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4"/>
          <w:szCs w:val="24"/>
          <w:color w:val="auto"/>
        </w:rPr>
      </w:pPr>
    </w:p>
    <w:p>
      <w:pPr>
        <w:jc w:val="center"/>
        <w:ind w:right="-99"/>
        <w:spacing w:after="0"/>
        <w:rPr>
          <w:sz w:val="20"/>
          <w:szCs w:val="20"/>
          <w:color w:val="auto"/>
        </w:rPr>
      </w:pPr>
      <w:r>
        <w:rPr>
          <w:rFonts w:ascii="Arial" w:cs="Arial" w:eastAsia="Arial" w:hAnsi="Arial"/>
          <w:sz w:val="18"/>
          <w:szCs w:val="18"/>
          <w:b w:val="1"/>
          <w:bCs w:val="1"/>
          <w:color w:val="auto"/>
        </w:rPr>
        <w:t>Confidential Treatment Requested by Definitive Healthcare Corp.</w:t>
      </w:r>
    </w:p>
    <w:p>
      <w:pPr>
        <w:spacing w:after="0" w:line="27" w:lineRule="exact"/>
        <w:rPr>
          <w:sz w:val="24"/>
          <w:szCs w:val="24"/>
          <w:color w:val="auto"/>
        </w:rPr>
      </w:pPr>
    </w:p>
    <w:p>
      <w:pPr>
        <w:jc w:val="center"/>
        <w:ind w:right="-99"/>
        <w:spacing w:after="0"/>
        <w:rPr>
          <w:sz w:val="20"/>
          <w:szCs w:val="20"/>
          <w:color w:val="auto"/>
        </w:rPr>
      </w:pPr>
      <w:r>
        <w:rPr>
          <w:rFonts w:ascii="Arial" w:cs="Arial" w:eastAsia="Arial" w:hAnsi="Arial"/>
          <w:sz w:val="18"/>
          <w:szCs w:val="18"/>
          <w:b w:val="1"/>
          <w:bCs w:val="1"/>
          <w:color w:val="auto"/>
        </w:rPr>
        <w:t>Pursuant to 17 C.F.R. Section 200.83</w:t>
      </w:r>
    </w:p>
    <w:p>
      <w:pPr>
        <w:spacing w:after="0" w:line="135" w:lineRule="exact"/>
        <w:rPr>
          <w:sz w:val="24"/>
          <w:szCs w:val="24"/>
          <w:color w:val="auto"/>
        </w:rPr>
      </w:pPr>
    </w:p>
    <w:p>
      <w:pPr>
        <w:jc w:val="center"/>
        <w:ind w:right="-99"/>
        <w:spacing w:after="0"/>
        <w:rPr>
          <w:sz w:val="20"/>
          <w:szCs w:val="20"/>
          <w:color w:val="auto"/>
        </w:rPr>
      </w:pPr>
      <w:r>
        <w:rPr>
          <w:rFonts w:ascii="Arial" w:cs="Arial" w:eastAsia="Arial" w:hAnsi="Arial"/>
          <w:sz w:val="14"/>
          <w:szCs w:val="14"/>
          <w:b w:val="1"/>
          <w:bCs w:val="1"/>
          <w:color w:val="auto"/>
        </w:rPr>
        <w:t>As submitted confidentially with the Securities and Exchange Commission on November 5, 2021</w:t>
      </w:r>
    </w:p>
    <w:p>
      <w:pPr>
        <w:spacing w:after="0" w:line="4" w:lineRule="exact"/>
        <w:rPr>
          <w:sz w:val="24"/>
          <w:szCs w:val="24"/>
          <w:color w:val="auto"/>
        </w:rPr>
      </w:pPr>
    </w:p>
    <w:p>
      <w:pPr>
        <w:ind w:left="9400" w:right="440" w:hanging="8752"/>
        <w:spacing w:after="0" w:line="314" w:lineRule="auto"/>
        <w:rPr>
          <w:sz w:val="20"/>
          <w:szCs w:val="20"/>
          <w:color w:val="auto"/>
        </w:rPr>
      </w:pPr>
      <w:r>
        <w:rPr>
          <w:rFonts w:ascii="Arial" w:cs="Arial" w:eastAsia="Arial" w:hAnsi="Arial"/>
          <w:sz w:val="12"/>
          <w:szCs w:val="12"/>
          <w:b w:val="1"/>
          <w:bCs w:val="1"/>
          <w:color w:val="auto"/>
        </w:rPr>
        <w:t>This draft registration statement has not been publicly filed with the Securities and Exchange Commission and all information herein remains strictly confidential. Registration No. 333-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73660</wp:posOffset>
            </wp:positionH>
            <wp:positionV relativeFrom="paragraph">
              <wp:posOffset>23495</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66675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161" w:lineRule="exact"/>
        <w:rPr>
          <w:sz w:val="24"/>
          <w:szCs w:val="24"/>
          <w:color w:val="auto"/>
        </w:rPr>
      </w:pPr>
    </w:p>
    <w:p>
      <w:pPr>
        <w:jc w:val="center"/>
        <w:ind w:right="-99"/>
        <w:spacing w:after="0"/>
        <w:rPr>
          <w:sz w:val="20"/>
          <w:szCs w:val="20"/>
          <w:color w:val="auto"/>
        </w:rPr>
      </w:pPr>
      <w:r>
        <w:rPr>
          <w:rFonts w:ascii="Arial" w:cs="Arial" w:eastAsia="Arial" w:hAnsi="Arial"/>
          <w:sz w:val="18"/>
          <w:szCs w:val="18"/>
          <w:b w:val="1"/>
          <w:bCs w:val="1"/>
          <w:color w:val="auto"/>
        </w:rPr>
        <w:t>UNITED STATES</w:t>
      </w:r>
    </w:p>
    <w:p>
      <w:pPr>
        <w:spacing w:after="0" w:line="27" w:lineRule="exact"/>
        <w:rPr>
          <w:sz w:val="24"/>
          <w:szCs w:val="24"/>
          <w:color w:val="auto"/>
        </w:rPr>
      </w:pPr>
    </w:p>
    <w:p>
      <w:pPr>
        <w:jc w:val="center"/>
        <w:ind w:right="-99"/>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ind w:right="-99"/>
        <w:spacing w:after="0"/>
        <w:rPr>
          <w:sz w:val="20"/>
          <w:szCs w:val="20"/>
          <w:color w:val="auto"/>
        </w:rPr>
      </w:pPr>
      <w:r>
        <w:rPr>
          <w:rFonts w:ascii="Arial" w:cs="Arial" w:eastAsia="Arial" w:hAnsi="Arial"/>
          <w:sz w:val="16"/>
          <w:szCs w:val="16"/>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132080</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50" w:lineRule="exact"/>
        <w:rPr>
          <w:sz w:val="24"/>
          <w:szCs w:val="24"/>
          <w:color w:val="auto"/>
        </w:rPr>
      </w:pPr>
    </w:p>
    <w:p>
      <w:pPr>
        <w:jc w:val="center"/>
        <w:ind w:right="-99"/>
        <w:spacing w:after="0"/>
        <w:rPr>
          <w:sz w:val="20"/>
          <w:szCs w:val="20"/>
          <w:color w:val="auto"/>
        </w:rPr>
      </w:pPr>
      <w:r>
        <w:rPr>
          <w:rFonts w:ascii="Arial" w:cs="Arial" w:eastAsia="Arial" w:hAnsi="Arial"/>
          <w:sz w:val="18"/>
          <w:szCs w:val="18"/>
          <w:b w:val="1"/>
          <w:bCs w:val="1"/>
          <w:color w:val="auto"/>
        </w:rPr>
        <w:t>FORM S-1</w:t>
      </w:r>
    </w:p>
    <w:p>
      <w:pPr>
        <w:spacing w:after="0" w:line="27" w:lineRule="exact"/>
        <w:rPr>
          <w:sz w:val="24"/>
          <w:szCs w:val="24"/>
          <w:color w:val="auto"/>
        </w:rPr>
      </w:pPr>
    </w:p>
    <w:p>
      <w:pPr>
        <w:jc w:val="center"/>
        <w:ind w:right="-99"/>
        <w:spacing w:after="0"/>
        <w:rPr>
          <w:sz w:val="20"/>
          <w:szCs w:val="20"/>
          <w:color w:val="auto"/>
        </w:rPr>
      </w:pPr>
      <w:r>
        <w:rPr>
          <w:rFonts w:ascii="Arial" w:cs="Arial" w:eastAsia="Arial" w:hAnsi="Arial"/>
          <w:sz w:val="18"/>
          <w:szCs w:val="18"/>
          <w:b w:val="1"/>
          <w:bCs w:val="1"/>
          <w:color w:val="auto"/>
        </w:rPr>
        <w:t>REGISTRATION STATEMENT</w:t>
      </w:r>
    </w:p>
    <w:p>
      <w:pPr>
        <w:spacing w:after="0" w:line="9" w:lineRule="exact"/>
        <w:rPr>
          <w:sz w:val="24"/>
          <w:szCs w:val="24"/>
          <w:color w:val="auto"/>
        </w:rPr>
      </w:pPr>
    </w:p>
    <w:p>
      <w:pPr>
        <w:jc w:val="center"/>
        <w:ind w:right="-99"/>
        <w:spacing w:after="0"/>
        <w:rPr>
          <w:sz w:val="20"/>
          <w:szCs w:val="20"/>
          <w:color w:val="auto"/>
        </w:rPr>
      </w:pPr>
      <w:r>
        <w:rPr>
          <w:rFonts w:ascii="Arial" w:cs="Arial" w:eastAsia="Arial" w:hAnsi="Arial"/>
          <w:sz w:val="16"/>
          <w:szCs w:val="16"/>
          <w:b w:val="1"/>
          <w:bCs w:val="1"/>
          <w:i w:val="1"/>
          <w:iCs w:val="1"/>
          <w:color w:val="auto"/>
        </w:rPr>
        <w:t>UNDER</w:t>
      </w:r>
    </w:p>
    <w:p>
      <w:pPr>
        <w:spacing w:after="0" w:line="13" w:lineRule="exact"/>
        <w:rPr>
          <w:sz w:val="24"/>
          <w:szCs w:val="24"/>
          <w:color w:val="auto"/>
        </w:rPr>
      </w:pPr>
    </w:p>
    <w:p>
      <w:pPr>
        <w:jc w:val="center"/>
        <w:ind w:right="-99"/>
        <w:spacing w:after="0"/>
        <w:rPr>
          <w:sz w:val="20"/>
          <w:szCs w:val="20"/>
          <w:color w:val="auto"/>
        </w:rPr>
      </w:pPr>
      <w:r>
        <w:rPr>
          <w:rFonts w:ascii="Arial" w:cs="Arial" w:eastAsia="Arial" w:hAnsi="Arial"/>
          <w:sz w:val="16"/>
          <w:szCs w:val="16"/>
          <w:b w:val="1"/>
          <w:bCs w:val="1"/>
          <w:i w:val="1"/>
          <w:iCs w:val="1"/>
          <w:color w:val="auto"/>
        </w:rPr>
        <w:t>THE SECURITIES ACT OF 1933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135890</wp:posOffset>
            </wp:positionV>
            <wp:extent cx="147447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65" w:lineRule="exact"/>
        <w:rPr>
          <w:sz w:val="24"/>
          <w:szCs w:val="24"/>
          <w:color w:val="auto"/>
        </w:rPr>
      </w:pPr>
    </w:p>
    <w:p>
      <w:pPr>
        <w:jc w:val="center"/>
        <w:ind w:right="-99"/>
        <w:spacing w:after="0"/>
        <w:rPr>
          <w:sz w:val="20"/>
          <w:szCs w:val="20"/>
          <w:color w:val="auto"/>
        </w:rPr>
      </w:pPr>
      <w:r>
        <w:rPr>
          <w:rFonts w:ascii="Arial" w:cs="Arial" w:eastAsia="Arial" w:hAnsi="Arial"/>
          <w:sz w:val="25"/>
          <w:szCs w:val="25"/>
          <w:b w:val="1"/>
          <w:bCs w:val="1"/>
          <w:color w:val="auto"/>
        </w:rPr>
        <w:t>Definitive Healthcare Corp.</w:t>
      </w:r>
    </w:p>
    <w:p>
      <w:pPr>
        <w:spacing w:after="0" w:line="26" w:lineRule="exact"/>
        <w:rPr>
          <w:sz w:val="24"/>
          <w:szCs w:val="24"/>
          <w:color w:val="auto"/>
        </w:rPr>
      </w:pPr>
    </w:p>
    <w:p>
      <w:pPr>
        <w:jc w:val="center"/>
        <w:ind w:right="-99"/>
        <w:spacing w:after="0"/>
        <w:rPr>
          <w:sz w:val="20"/>
          <w:szCs w:val="20"/>
          <w:color w:val="auto"/>
        </w:rPr>
      </w:pPr>
      <w:r>
        <w:rPr>
          <w:rFonts w:ascii="Arial" w:cs="Arial" w:eastAsia="Arial" w:hAnsi="Arial"/>
          <w:sz w:val="14"/>
          <w:szCs w:val="14"/>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116205</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63" w:lineRule="exact"/>
        <w:rPr>
          <w:sz w:val="24"/>
          <w:szCs w:val="24"/>
          <w:color w:val="auto"/>
        </w:rPr>
      </w:pPr>
    </w:p>
    <w:tbl>
      <w:tblPr>
        <w:tblLayout w:type="fixed"/>
        <w:tblInd w:w="1020" w:type="dxa"/>
        <w:tblCellMar>
          <w:top w:w="0" w:type="dxa"/>
          <w:left w:w="0" w:type="dxa"/>
          <w:bottom w:w="0" w:type="dxa"/>
          <w:right w:w="0" w:type="dxa"/>
        </w:tblCellMar>
      </w:tblPr>
      <w:tr>
        <w:trPr>
          <w:trHeight w:val="161"/>
        </w:trPr>
        <w:tc>
          <w:tcPr>
            <w:tcW w:w="2860" w:type="dxa"/>
            <w:vAlign w:val="bottom"/>
          </w:tcPr>
          <w:p>
            <w:pPr>
              <w:jc w:val="center"/>
              <w:ind w:right="848"/>
              <w:spacing w:after="0"/>
              <w:rPr>
                <w:sz w:val="20"/>
                <w:szCs w:val="20"/>
                <w:color w:val="auto"/>
              </w:rPr>
            </w:pPr>
            <w:r>
              <w:rPr>
                <w:rFonts w:ascii="Arial" w:cs="Arial" w:eastAsia="Arial" w:hAnsi="Arial"/>
                <w:sz w:val="14"/>
                <w:szCs w:val="14"/>
                <w:b w:val="1"/>
                <w:bCs w:val="1"/>
                <w:color w:val="auto"/>
                <w:w w:val="94"/>
              </w:rPr>
              <w:t>Delaware</w:t>
            </w:r>
          </w:p>
        </w:tc>
        <w:tc>
          <w:tcPr>
            <w:tcW w:w="3780" w:type="dxa"/>
            <w:vAlign w:val="bottom"/>
          </w:tcPr>
          <w:p>
            <w:pPr>
              <w:jc w:val="center"/>
              <w:spacing w:after="0"/>
              <w:rPr>
                <w:sz w:val="20"/>
                <w:szCs w:val="20"/>
                <w:color w:val="auto"/>
              </w:rPr>
            </w:pPr>
            <w:r>
              <w:rPr>
                <w:rFonts w:ascii="Arial" w:cs="Arial" w:eastAsia="Arial" w:hAnsi="Arial"/>
                <w:sz w:val="14"/>
                <w:szCs w:val="14"/>
                <w:b w:val="1"/>
                <w:bCs w:val="1"/>
                <w:color w:val="auto"/>
                <w:w w:val="89"/>
              </w:rPr>
              <w:t>7372</w:t>
            </w:r>
          </w:p>
        </w:tc>
        <w:tc>
          <w:tcPr>
            <w:tcW w:w="2420" w:type="dxa"/>
            <w:vAlign w:val="bottom"/>
          </w:tcPr>
          <w:p>
            <w:pPr>
              <w:jc w:val="center"/>
              <w:ind w:left="928"/>
              <w:spacing w:after="0"/>
              <w:rPr>
                <w:sz w:val="20"/>
                <w:szCs w:val="20"/>
                <w:color w:val="auto"/>
              </w:rPr>
            </w:pPr>
            <w:r>
              <w:rPr>
                <w:rFonts w:ascii="Arial" w:cs="Arial" w:eastAsia="Arial" w:hAnsi="Arial"/>
                <w:sz w:val="14"/>
                <w:szCs w:val="14"/>
                <w:b w:val="1"/>
                <w:bCs w:val="1"/>
                <w:color w:val="auto"/>
                <w:w w:val="93"/>
              </w:rPr>
              <w:t>86-3988281</w:t>
            </w:r>
          </w:p>
        </w:tc>
      </w:tr>
      <w:tr>
        <w:trPr>
          <w:trHeight w:val="148"/>
        </w:trPr>
        <w:tc>
          <w:tcPr>
            <w:tcW w:w="2860" w:type="dxa"/>
            <w:vAlign w:val="bottom"/>
          </w:tcPr>
          <w:p>
            <w:pPr>
              <w:jc w:val="center"/>
              <w:ind w:right="848"/>
              <w:spacing w:after="0" w:line="149" w:lineRule="exact"/>
              <w:rPr>
                <w:sz w:val="20"/>
                <w:szCs w:val="20"/>
                <w:color w:val="auto"/>
              </w:rPr>
            </w:pPr>
            <w:r>
              <w:rPr>
                <w:rFonts w:ascii="Arial" w:cs="Arial" w:eastAsia="Arial" w:hAnsi="Arial"/>
                <w:sz w:val="14"/>
                <w:szCs w:val="14"/>
                <w:b w:val="1"/>
                <w:bCs w:val="1"/>
                <w:color w:val="auto"/>
                <w:w w:val="93"/>
              </w:rPr>
              <w:t>(State or Other Jurisdiction of</w:t>
            </w:r>
          </w:p>
        </w:tc>
        <w:tc>
          <w:tcPr>
            <w:tcW w:w="37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7"/>
              </w:rPr>
              <w:t>(Primary Standard Industrial</w:t>
            </w:r>
          </w:p>
        </w:tc>
        <w:tc>
          <w:tcPr>
            <w:tcW w:w="2420" w:type="dxa"/>
            <w:vAlign w:val="bottom"/>
          </w:tcPr>
          <w:p>
            <w:pPr>
              <w:jc w:val="center"/>
              <w:ind w:left="928"/>
              <w:spacing w:after="0" w:line="149" w:lineRule="exact"/>
              <w:rPr>
                <w:sz w:val="20"/>
                <w:szCs w:val="20"/>
                <w:color w:val="auto"/>
              </w:rPr>
            </w:pPr>
            <w:r>
              <w:rPr>
                <w:rFonts w:ascii="Arial" w:cs="Arial" w:eastAsia="Arial" w:hAnsi="Arial"/>
                <w:sz w:val="14"/>
                <w:szCs w:val="14"/>
                <w:b w:val="1"/>
                <w:bCs w:val="1"/>
                <w:color w:val="auto"/>
                <w:w w:val="94"/>
              </w:rPr>
              <w:t>(I.R.S. Employer</w:t>
            </w:r>
          </w:p>
        </w:tc>
      </w:tr>
      <w:tr>
        <w:trPr>
          <w:trHeight w:val="186"/>
        </w:trPr>
        <w:tc>
          <w:tcPr>
            <w:tcW w:w="2860" w:type="dxa"/>
            <w:vAlign w:val="bottom"/>
          </w:tcPr>
          <w:p>
            <w:pPr>
              <w:jc w:val="center"/>
              <w:ind w:right="848"/>
              <w:spacing w:after="0"/>
              <w:rPr>
                <w:sz w:val="20"/>
                <w:szCs w:val="20"/>
                <w:color w:val="auto"/>
              </w:rPr>
            </w:pPr>
            <w:r>
              <w:rPr>
                <w:rFonts w:ascii="Arial" w:cs="Arial" w:eastAsia="Arial" w:hAnsi="Arial"/>
                <w:sz w:val="14"/>
                <w:szCs w:val="14"/>
                <w:b w:val="1"/>
                <w:bCs w:val="1"/>
                <w:color w:val="auto"/>
                <w:w w:val="95"/>
              </w:rPr>
              <w:t>Incorporation or Organization)</w:t>
            </w:r>
          </w:p>
        </w:tc>
        <w:tc>
          <w:tcPr>
            <w:tcW w:w="3780" w:type="dxa"/>
            <w:vAlign w:val="bottom"/>
          </w:tcPr>
          <w:p>
            <w:pPr>
              <w:jc w:val="center"/>
              <w:spacing w:after="0"/>
              <w:rPr>
                <w:sz w:val="20"/>
                <w:szCs w:val="20"/>
                <w:color w:val="auto"/>
              </w:rPr>
            </w:pPr>
            <w:r>
              <w:rPr>
                <w:rFonts w:ascii="Arial" w:cs="Arial" w:eastAsia="Arial" w:hAnsi="Arial"/>
                <w:sz w:val="14"/>
                <w:szCs w:val="14"/>
                <w:b w:val="1"/>
                <w:bCs w:val="1"/>
                <w:color w:val="auto"/>
                <w:w w:val="94"/>
              </w:rPr>
              <w:t>Classification Code Number)</w:t>
            </w:r>
          </w:p>
        </w:tc>
        <w:tc>
          <w:tcPr>
            <w:tcW w:w="2420" w:type="dxa"/>
            <w:vAlign w:val="bottom"/>
          </w:tcPr>
          <w:p>
            <w:pPr>
              <w:jc w:val="center"/>
              <w:ind w:left="928"/>
              <w:spacing w:after="0"/>
              <w:rPr>
                <w:sz w:val="20"/>
                <w:szCs w:val="20"/>
                <w:color w:val="auto"/>
              </w:rPr>
            </w:pPr>
            <w:r>
              <w:rPr>
                <w:rFonts w:ascii="Arial" w:cs="Arial" w:eastAsia="Arial" w:hAnsi="Arial"/>
                <w:sz w:val="14"/>
                <w:szCs w:val="14"/>
                <w:b w:val="1"/>
                <w:bCs w:val="1"/>
                <w:color w:val="auto"/>
                <w:w w:val="95"/>
              </w:rPr>
              <w:t>Identification Number)</w:t>
            </w:r>
          </w:p>
        </w:tc>
      </w:tr>
    </w:tbl>
    <w:p>
      <w:pPr>
        <w:spacing w:after="0" w:line="43" w:lineRule="exact"/>
        <w:rPr>
          <w:sz w:val="24"/>
          <w:szCs w:val="24"/>
          <w:color w:val="auto"/>
        </w:rPr>
      </w:pPr>
    </w:p>
    <w:p>
      <w:pPr>
        <w:jc w:val="center"/>
        <w:ind w:right="-99"/>
        <w:spacing w:after="0"/>
        <w:rPr>
          <w:sz w:val="20"/>
          <w:szCs w:val="20"/>
          <w:color w:val="auto"/>
        </w:rPr>
      </w:pPr>
      <w:r>
        <w:rPr>
          <w:rFonts w:ascii="Arial" w:cs="Arial" w:eastAsia="Arial" w:hAnsi="Arial"/>
          <w:sz w:val="14"/>
          <w:szCs w:val="14"/>
          <w:b w:val="1"/>
          <w:bCs w:val="1"/>
          <w:color w:val="auto"/>
        </w:rPr>
        <w:t>550 Cochituate Road</w:t>
      </w:r>
    </w:p>
    <w:p>
      <w:pPr>
        <w:jc w:val="center"/>
        <w:ind w:right="-99"/>
        <w:spacing w:after="0" w:line="226" w:lineRule="auto"/>
        <w:rPr>
          <w:sz w:val="20"/>
          <w:szCs w:val="20"/>
          <w:color w:val="auto"/>
        </w:rPr>
      </w:pPr>
      <w:r>
        <w:rPr>
          <w:rFonts w:ascii="Arial" w:cs="Arial" w:eastAsia="Arial" w:hAnsi="Arial"/>
          <w:sz w:val="14"/>
          <w:szCs w:val="14"/>
          <w:b w:val="1"/>
          <w:bCs w:val="1"/>
          <w:color w:val="auto"/>
        </w:rPr>
        <w:t>Framingham, MA 01701</w:t>
      </w:r>
    </w:p>
    <w:p>
      <w:pPr>
        <w:jc w:val="center"/>
        <w:ind w:right="-99"/>
        <w:spacing w:after="0" w:line="221" w:lineRule="auto"/>
        <w:rPr>
          <w:sz w:val="20"/>
          <w:szCs w:val="20"/>
          <w:color w:val="auto"/>
        </w:rPr>
      </w:pPr>
      <w:r>
        <w:rPr>
          <w:rFonts w:ascii="Arial" w:cs="Arial" w:eastAsia="Arial" w:hAnsi="Arial"/>
          <w:sz w:val="14"/>
          <w:szCs w:val="14"/>
          <w:b w:val="1"/>
          <w:bCs w:val="1"/>
          <w:color w:val="auto"/>
        </w:rPr>
        <w:t>(508) 720-4224</w:t>
      </w:r>
    </w:p>
    <w:p>
      <w:pPr>
        <w:spacing w:after="0" w:line="1" w:lineRule="exact"/>
        <w:rPr>
          <w:sz w:val="24"/>
          <w:szCs w:val="24"/>
          <w:color w:val="auto"/>
        </w:rPr>
      </w:pPr>
    </w:p>
    <w:p>
      <w:pPr>
        <w:jc w:val="center"/>
        <w:ind w:right="-99"/>
        <w:spacing w:after="0"/>
        <w:rPr>
          <w:sz w:val="20"/>
          <w:szCs w:val="20"/>
          <w:color w:val="auto"/>
        </w:rPr>
      </w:pPr>
      <w:r>
        <w:rPr>
          <w:rFonts w:ascii="Arial" w:cs="Arial" w:eastAsia="Arial" w:hAnsi="Arial"/>
          <w:sz w:val="14"/>
          <w:szCs w:val="14"/>
          <w:b w:val="1"/>
          <w:bCs w:val="1"/>
          <w:color w:val="auto"/>
        </w:rPr>
        <w:t>(Address, Including Zip Code, and Telephone Number, Including Area Code, of Registrant’s Principal Executive Offices)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116205</wp:posOffset>
            </wp:positionV>
            <wp:extent cx="147447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35" w:lineRule="exact"/>
        <w:rPr>
          <w:sz w:val="24"/>
          <w:szCs w:val="24"/>
          <w:color w:val="auto"/>
        </w:rPr>
      </w:pPr>
    </w:p>
    <w:p>
      <w:pPr>
        <w:jc w:val="center"/>
        <w:ind w:right="-99"/>
        <w:spacing w:after="0"/>
        <w:rPr>
          <w:sz w:val="20"/>
          <w:szCs w:val="20"/>
          <w:color w:val="auto"/>
        </w:rPr>
      </w:pPr>
      <w:r>
        <w:rPr>
          <w:rFonts w:ascii="Arial" w:cs="Arial" w:eastAsia="Arial" w:hAnsi="Arial"/>
          <w:sz w:val="14"/>
          <w:szCs w:val="14"/>
          <w:b w:val="1"/>
          <w:bCs w:val="1"/>
          <w:color w:val="auto"/>
        </w:rPr>
        <w:t>550 Cochituate Road</w:t>
      </w:r>
    </w:p>
    <w:p>
      <w:pPr>
        <w:jc w:val="center"/>
        <w:ind w:right="-99"/>
        <w:spacing w:after="0" w:line="226" w:lineRule="auto"/>
        <w:rPr>
          <w:sz w:val="20"/>
          <w:szCs w:val="20"/>
          <w:color w:val="auto"/>
        </w:rPr>
      </w:pPr>
      <w:r>
        <w:rPr>
          <w:rFonts w:ascii="Arial" w:cs="Arial" w:eastAsia="Arial" w:hAnsi="Arial"/>
          <w:sz w:val="14"/>
          <w:szCs w:val="14"/>
          <w:b w:val="1"/>
          <w:bCs w:val="1"/>
          <w:color w:val="auto"/>
        </w:rPr>
        <w:t>Framingham, MA 01701</w:t>
      </w:r>
    </w:p>
    <w:p>
      <w:pPr>
        <w:jc w:val="center"/>
        <w:ind w:right="-99"/>
        <w:spacing w:after="0" w:line="221" w:lineRule="auto"/>
        <w:rPr>
          <w:sz w:val="20"/>
          <w:szCs w:val="20"/>
          <w:color w:val="auto"/>
        </w:rPr>
      </w:pPr>
      <w:r>
        <w:rPr>
          <w:rFonts w:ascii="Arial" w:cs="Arial" w:eastAsia="Arial" w:hAnsi="Arial"/>
          <w:sz w:val="14"/>
          <w:szCs w:val="14"/>
          <w:b w:val="1"/>
          <w:bCs w:val="1"/>
          <w:color w:val="auto"/>
        </w:rPr>
        <w:t>(508) 720-4224</w:t>
      </w:r>
    </w:p>
    <w:p>
      <w:pPr>
        <w:spacing w:after="0" w:line="1" w:lineRule="exact"/>
        <w:rPr>
          <w:sz w:val="24"/>
          <w:szCs w:val="24"/>
          <w:color w:val="auto"/>
        </w:rPr>
      </w:pPr>
    </w:p>
    <w:p>
      <w:pPr>
        <w:jc w:val="center"/>
        <w:ind w:right="-99"/>
        <w:spacing w:after="0"/>
        <w:rPr>
          <w:sz w:val="20"/>
          <w:szCs w:val="20"/>
          <w:color w:val="auto"/>
        </w:rPr>
      </w:pPr>
      <w:r>
        <w:rPr>
          <w:rFonts w:ascii="Arial" w:cs="Arial" w:eastAsia="Arial" w:hAnsi="Arial"/>
          <w:sz w:val="14"/>
          <w:szCs w:val="14"/>
          <w:b w:val="1"/>
          <w:bCs w:val="1"/>
          <w:color w:val="auto"/>
        </w:rPr>
        <w:t>(Name, Address, Including Zip Code, and Telephone Number, Including Area Code, of Agent For Service)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116205</wp:posOffset>
            </wp:positionV>
            <wp:extent cx="147447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26" w:lineRule="exact"/>
        <w:rPr>
          <w:sz w:val="24"/>
          <w:szCs w:val="24"/>
          <w:color w:val="auto"/>
        </w:rPr>
      </w:pPr>
    </w:p>
    <w:tbl>
      <w:tblPr>
        <w:tblLayout w:type="fixed"/>
        <w:tblInd w:w="1080" w:type="dxa"/>
        <w:tblCellMar>
          <w:top w:w="0" w:type="dxa"/>
          <w:left w:w="0" w:type="dxa"/>
          <w:bottom w:w="0" w:type="dxa"/>
          <w:right w:w="0" w:type="dxa"/>
        </w:tblCellMar>
      </w:tblPr>
      <w:tr>
        <w:trPr>
          <w:trHeight w:val="182"/>
        </w:trPr>
        <w:tc>
          <w:tcPr>
            <w:tcW w:w="2860" w:type="dxa"/>
            <w:vAlign w:val="bottom"/>
          </w:tcPr>
          <w:p>
            <w:pPr>
              <w:spacing w:after="0"/>
              <w:rPr>
                <w:sz w:val="15"/>
                <w:szCs w:val="15"/>
                <w:color w:val="auto"/>
              </w:rPr>
            </w:pPr>
          </w:p>
        </w:tc>
        <w:tc>
          <w:tcPr>
            <w:tcW w:w="3400" w:type="dxa"/>
            <w:vAlign w:val="bottom"/>
          </w:tcPr>
          <w:p>
            <w:pPr>
              <w:ind w:left="1380"/>
              <w:spacing w:after="0"/>
              <w:rPr>
                <w:sz w:val="20"/>
                <w:szCs w:val="20"/>
                <w:color w:val="auto"/>
              </w:rPr>
            </w:pPr>
            <w:r>
              <w:rPr>
                <w:rFonts w:ascii="Arial" w:cs="Arial" w:eastAsia="Arial" w:hAnsi="Arial"/>
                <w:sz w:val="14"/>
                <w:szCs w:val="14"/>
                <w:b w:val="1"/>
                <w:bCs w:val="1"/>
                <w:i w:val="1"/>
                <w:iCs w:val="1"/>
                <w:color w:val="auto"/>
              </w:rPr>
              <w:t>Copies to:</w:t>
            </w:r>
          </w:p>
        </w:tc>
        <w:tc>
          <w:tcPr>
            <w:tcW w:w="3200" w:type="dxa"/>
            <w:vAlign w:val="bottom"/>
          </w:tcPr>
          <w:p>
            <w:pPr>
              <w:spacing w:after="0"/>
              <w:rPr>
                <w:sz w:val="15"/>
                <w:szCs w:val="15"/>
                <w:color w:val="auto"/>
              </w:rPr>
            </w:pPr>
          </w:p>
        </w:tc>
      </w:tr>
      <w:tr>
        <w:trPr>
          <w:trHeight w:val="192"/>
        </w:trPr>
        <w:tc>
          <w:tcPr>
            <w:tcW w:w="2860" w:type="dxa"/>
            <w:vAlign w:val="bottom"/>
          </w:tcPr>
          <w:p>
            <w:pPr>
              <w:jc w:val="center"/>
              <w:ind w:right="988"/>
              <w:spacing w:after="0"/>
              <w:rPr>
                <w:sz w:val="20"/>
                <w:szCs w:val="20"/>
                <w:color w:val="auto"/>
              </w:rPr>
            </w:pPr>
            <w:r>
              <w:rPr>
                <w:rFonts w:ascii="Arial" w:cs="Arial" w:eastAsia="Arial" w:hAnsi="Arial"/>
                <w:sz w:val="14"/>
                <w:szCs w:val="14"/>
                <w:b w:val="1"/>
                <w:bCs w:val="1"/>
                <w:color w:val="auto"/>
                <w:w w:val="94"/>
              </w:rPr>
              <w:t>Alexander D. Lynch</w:t>
            </w:r>
          </w:p>
        </w:tc>
        <w:tc>
          <w:tcPr>
            <w:tcW w:w="3400" w:type="dxa"/>
            <w:vAlign w:val="bottom"/>
          </w:tcPr>
          <w:p>
            <w:pPr>
              <w:jc w:val="center"/>
              <w:ind w:left="128"/>
              <w:spacing w:after="0"/>
              <w:rPr>
                <w:sz w:val="20"/>
                <w:szCs w:val="20"/>
                <w:color w:val="auto"/>
              </w:rPr>
            </w:pPr>
            <w:r>
              <w:rPr>
                <w:rFonts w:ascii="Arial" w:cs="Arial" w:eastAsia="Arial" w:hAnsi="Arial"/>
                <w:sz w:val="14"/>
                <w:szCs w:val="14"/>
                <w:b w:val="1"/>
                <w:bCs w:val="1"/>
                <w:color w:val="auto"/>
                <w:w w:val="94"/>
              </w:rPr>
              <w:t>David M. Samuels</w:t>
            </w:r>
          </w:p>
        </w:tc>
        <w:tc>
          <w:tcPr>
            <w:tcW w:w="3200" w:type="dxa"/>
            <w:vAlign w:val="bottom"/>
          </w:tcPr>
          <w:p>
            <w:pPr>
              <w:jc w:val="center"/>
              <w:ind w:left="788"/>
              <w:spacing w:after="0"/>
              <w:rPr>
                <w:sz w:val="20"/>
                <w:szCs w:val="20"/>
                <w:color w:val="auto"/>
              </w:rPr>
            </w:pPr>
            <w:r>
              <w:rPr>
                <w:rFonts w:ascii="Arial" w:cs="Arial" w:eastAsia="Arial" w:hAnsi="Arial"/>
                <w:sz w:val="14"/>
                <w:szCs w:val="14"/>
                <w:b w:val="1"/>
                <w:bCs w:val="1"/>
                <w:color w:val="auto"/>
                <w:w w:val="97"/>
              </w:rPr>
              <w:t>Cathy A. Birkeland</w:t>
            </w:r>
          </w:p>
        </w:tc>
      </w:tr>
      <w:tr>
        <w:trPr>
          <w:trHeight w:val="148"/>
        </w:trPr>
        <w:tc>
          <w:tcPr>
            <w:tcW w:w="2860" w:type="dxa"/>
            <w:vAlign w:val="bottom"/>
          </w:tcPr>
          <w:p>
            <w:pPr>
              <w:jc w:val="center"/>
              <w:ind w:right="968"/>
              <w:spacing w:after="0" w:line="149" w:lineRule="exact"/>
              <w:rPr>
                <w:sz w:val="20"/>
                <w:szCs w:val="20"/>
                <w:color w:val="auto"/>
              </w:rPr>
            </w:pPr>
            <w:r>
              <w:rPr>
                <w:rFonts w:ascii="Arial" w:cs="Arial" w:eastAsia="Arial" w:hAnsi="Arial"/>
                <w:sz w:val="14"/>
                <w:szCs w:val="14"/>
                <w:b w:val="1"/>
                <w:bCs w:val="1"/>
                <w:color w:val="auto"/>
                <w:w w:val="96"/>
              </w:rPr>
              <w:t>Barbra J. Broudy</w:t>
            </w:r>
          </w:p>
        </w:tc>
        <w:tc>
          <w:tcPr>
            <w:tcW w:w="3400" w:type="dxa"/>
            <w:vAlign w:val="bottom"/>
          </w:tcPr>
          <w:p>
            <w:pPr>
              <w:jc w:val="center"/>
              <w:ind w:left="128"/>
              <w:spacing w:after="0" w:line="149" w:lineRule="exact"/>
              <w:rPr>
                <w:sz w:val="20"/>
                <w:szCs w:val="20"/>
                <w:color w:val="auto"/>
              </w:rPr>
            </w:pPr>
            <w:r>
              <w:rPr>
                <w:rFonts w:ascii="Arial" w:cs="Arial" w:eastAsia="Arial" w:hAnsi="Arial"/>
                <w:sz w:val="14"/>
                <w:szCs w:val="14"/>
                <w:b w:val="1"/>
                <w:bCs w:val="1"/>
                <w:color w:val="auto"/>
                <w:w w:val="96"/>
              </w:rPr>
              <w:t>Chief Legal Officer</w:t>
            </w:r>
          </w:p>
        </w:tc>
        <w:tc>
          <w:tcPr>
            <w:tcW w:w="3200" w:type="dxa"/>
            <w:vAlign w:val="bottom"/>
          </w:tcPr>
          <w:p>
            <w:pPr>
              <w:jc w:val="center"/>
              <w:ind w:left="788"/>
              <w:spacing w:after="0" w:line="149" w:lineRule="exact"/>
              <w:rPr>
                <w:sz w:val="20"/>
                <w:szCs w:val="20"/>
                <w:color w:val="auto"/>
              </w:rPr>
            </w:pPr>
            <w:r>
              <w:rPr>
                <w:rFonts w:ascii="Arial" w:cs="Arial" w:eastAsia="Arial" w:hAnsi="Arial"/>
                <w:sz w:val="14"/>
                <w:szCs w:val="14"/>
                <w:b w:val="1"/>
                <w:bCs w:val="1"/>
                <w:color w:val="auto"/>
                <w:w w:val="87"/>
              </w:rPr>
              <w:t>Senet Bischoff</w:t>
            </w:r>
          </w:p>
        </w:tc>
      </w:tr>
      <w:tr>
        <w:trPr>
          <w:trHeight w:val="149"/>
        </w:trPr>
        <w:tc>
          <w:tcPr>
            <w:tcW w:w="2860" w:type="dxa"/>
            <w:vAlign w:val="bottom"/>
          </w:tcPr>
          <w:p>
            <w:pPr>
              <w:jc w:val="center"/>
              <w:ind w:right="968"/>
              <w:spacing w:after="0" w:line="149" w:lineRule="exact"/>
              <w:rPr>
                <w:sz w:val="20"/>
                <w:szCs w:val="20"/>
                <w:color w:val="auto"/>
              </w:rPr>
            </w:pPr>
            <w:r>
              <w:rPr>
                <w:rFonts w:ascii="Arial" w:cs="Arial" w:eastAsia="Arial" w:hAnsi="Arial"/>
                <w:sz w:val="14"/>
                <w:szCs w:val="14"/>
                <w:b w:val="1"/>
                <w:bCs w:val="1"/>
                <w:color w:val="auto"/>
                <w:w w:val="96"/>
              </w:rPr>
              <w:t>Weil, Gotshal &amp; Manges LLP</w:t>
            </w:r>
          </w:p>
        </w:tc>
        <w:tc>
          <w:tcPr>
            <w:tcW w:w="3400" w:type="dxa"/>
            <w:vAlign w:val="bottom"/>
          </w:tcPr>
          <w:p>
            <w:pPr>
              <w:jc w:val="center"/>
              <w:ind w:left="128"/>
              <w:spacing w:after="0" w:line="149" w:lineRule="exact"/>
              <w:rPr>
                <w:sz w:val="20"/>
                <w:szCs w:val="20"/>
                <w:color w:val="auto"/>
              </w:rPr>
            </w:pPr>
            <w:r>
              <w:rPr>
                <w:rFonts w:ascii="Arial" w:cs="Arial" w:eastAsia="Arial" w:hAnsi="Arial"/>
                <w:sz w:val="14"/>
                <w:szCs w:val="14"/>
                <w:b w:val="1"/>
                <w:bCs w:val="1"/>
                <w:color w:val="auto"/>
                <w:w w:val="94"/>
              </w:rPr>
              <w:t>550 Cochituate Rd</w:t>
            </w:r>
          </w:p>
        </w:tc>
        <w:tc>
          <w:tcPr>
            <w:tcW w:w="3200" w:type="dxa"/>
            <w:vAlign w:val="bottom"/>
          </w:tcPr>
          <w:p>
            <w:pPr>
              <w:jc w:val="center"/>
              <w:ind w:left="788"/>
              <w:spacing w:after="0" w:line="149" w:lineRule="exact"/>
              <w:rPr>
                <w:sz w:val="20"/>
                <w:szCs w:val="20"/>
                <w:color w:val="auto"/>
              </w:rPr>
            </w:pPr>
            <w:r>
              <w:rPr>
                <w:rFonts w:ascii="Arial" w:cs="Arial" w:eastAsia="Arial" w:hAnsi="Arial"/>
                <w:sz w:val="14"/>
                <w:szCs w:val="14"/>
                <w:b w:val="1"/>
                <w:bCs w:val="1"/>
                <w:color w:val="auto"/>
                <w:w w:val="96"/>
              </w:rPr>
              <w:t>Alexa Berlin</w:t>
            </w:r>
          </w:p>
        </w:tc>
      </w:tr>
      <w:tr>
        <w:trPr>
          <w:trHeight w:val="148"/>
        </w:trPr>
        <w:tc>
          <w:tcPr>
            <w:tcW w:w="2860" w:type="dxa"/>
            <w:vAlign w:val="bottom"/>
          </w:tcPr>
          <w:p>
            <w:pPr>
              <w:jc w:val="center"/>
              <w:ind w:right="988"/>
              <w:spacing w:after="0" w:line="149" w:lineRule="exact"/>
              <w:rPr>
                <w:sz w:val="20"/>
                <w:szCs w:val="20"/>
                <w:color w:val="auto"/>
              </w:rPr>
            </w:pPr>
            <w:r>
              <w:rPr>
                <w:rFonts w:ascii="Arial" w:cs="Arial" w:eastAsia="Arial" w:hAnsi="Arial"/>
                <w:sz w:val="14"/>
                <w:szCs w:val="14"/>
                <w:b w:val="1"/>
                <w:bCs w:val="1"/>
                <w:color w:val="auto"/>
                <w:w w:val="92"/>
              </w:rPr>
              <w:t>767 Fifth Avenue</w:t>
            </w:r>
          </w:p>
        </w:tc>
        <w:tc>
          <w:tcPr>
            <w:tcW w:w="3400" w:type="dxa"/>
            <w:vAlign w:val="bottom"/>
          </w:tcPr>
          <w:p>
            <w:pPr>
              <w:jc w:val="center"/>
              <w:ind w:left="128"/>
              <w:spacing w:after="0" w:line="149" w:lineRule="exact"/>
              <w:rPr>
                <w:sz w:val="20"/>
                <w:szCs w:val="20"/>
                <w:color w:val="auto"/>
              </w:rPr>
            </w:pPr>
            <w:r>
              <w:rPr>
                <w:rFonts w:ascii="Arial" w:cs="Arial" w:eastAsia="Arial" w:hAnsi="Arial"/>
                <w:sz w:val="14"/>
                <w:szCs w:val="14"/>
                <w:b w:val="1"/>
                <w:bCs w:val="1"/>
                <w:color w:val="auto"/>
                <w:w w:val="97"/>
              </w:rPr>
              <w:t>Framingham, MA 01701</w:t>
            </w:r>
          </w:p>
        </w:tc>
        <w:tc>
          <w:tcPr>
            <w:tcW w:w="3200" w:type="dxa"/>
            <w:vAlign w:val="bottom"/>
          </w:tcPr>
          <w:p>
            <w:pPr>
              <w:jc w:val="center"/>
              <w:ind w:left="788"/>
              <w:spacing w:after="0" w:line="149" w:lineRule="exact"/>
              <w:rPr>
                <w:sz w:val="20"/>
                <w:szCs w:val="20"/>
                <w:color w:val="auto"/>
              </w:rPr>
            </w:pPr>
            <w:r>
              <w:rPr>
                <w:rFonts w:ascii="Arial" w:cs="Arial" w:eastAsia="Arial" w:hAnsi="Arial"/>
                <w:sz w:val="14"/>
                <w:szCs w:val="14"/>
                <w:b w:val="1"/>
                <w:bCs w:val="1"/>
                <w:color w:val="auto"/>
                <w:w w:val="98"/>
              </w:rPr>
              <w:t>Latham &amp; Watkins LLP</w:t>
            </w:r>
          </w:p>
        </w:tc>
      </w:tr>
      <w:tr>
        <w:trPr>
          <w:trHeight w:val="149"/>
        </w:trPr>
        <w:tc>
          <w:tcPr>
            <w:tcW w:w="2860" w:type="dxa"/>
            <w:vAlign w:val="bottom"/>
          </w:tcPr>
          <w:p>
            <w:pPr>
              <w:jc w:val="center"/>
              <w:ind w:right="988"/>
              <w:spacing w:after="0" w:line="149" w:lineRule="exact"/>
              <w:rPr>
                <w:sz w:val="20"/>
                <w:szCs w:val="20"/>
                <w:color w:val="auto"/>
              </w:rPr>
            </w:pPr>
            <w:r>
              <w:rPr>
                <w:rFonts w:ascii="Arial" w:cs="Arial" w:eastAsia="Arial" w:hAnsi="Arial"/>
                <w:sz w:val="14"/>
                <w:szCs w:val="14"/>
                <w:b w:val="1"/>
                <w:bCs w:val="1"/>
                <w:color w:val="auto"/>
                <w:w w:val="95"/>
              </w:rPr>
              <w:t>New York, NY 10153</w:t>
            </w:r>
          </w:p>
        </w:tc>
        <w:tc>
          <w:tcPr>
            <w:tcW w:w="3400" w:type="dxa"/>
            <w:vAlign w:val="bottom"/>
          </w:tcPr>
          <w:p>
            <w:pPr>
              <w:jc w:val="center"/>
              <w:ind w:left="108"/>
              <w:spacing w:after="0" w:line="149" w:lineRule="exact"/>
              <w:rPr>
                <w:sz w:val="20"/>
                <w:szCs w:val="20"/>
                <w:color w:val="auto"/>
              </w:rPr>
            </w:pPr>
            <w:r>
              <w:rPr>
                <w:rFonts w:ascii="Arial" w:cs="Arial" w:eastAsia="Arial" w:hAnsi="Arial"/>
                <w:sz w:val="14"/>
                <w:szCs w:val="14"/>
                <w:b w:val="1"/>
                <w:bCs w:val="1"/>
                <w:color w:val="auto"/>
                <w:w w:val="93"/>
              </w:rPr>
              <w:t>(508) 720-4224</w:t>
            </w:r>
          </w:p>
        </w:tc>
        <w:tc>
          <w:tcPr>
            <w:tcW w:w="3200" w:type="dxa"/>
            <w:vAlign w:val="bottom"/>
          </w:tcPr>
          <w:p>
            <w:pPr>
              <w:jc w:val="center"/>
              <w:ind w:left="788"/>
              <w:spacing w:after="0" w:line="149" w:lineRule="exact"/>
              <w:rPr>
                <w:sz w:val="20"/>
                <w:szCs w:val="20"/>
                <w:color w:val="auto"/>
              </w:rPr>
            </w:pPr>
            <w:r>
              <w:rPr>
                <w:rFonts w:ascii="Arial" w:cs="Arial" w:eastAsia="Arial" w:hAnsi="Arial"/>
                <w:sz w:val="14"/>
                <w:szCs w:val="14"/>
                <w:b w:val="1"/>
                <w:bCs w:val="1"/>
                <w:color w:val="auto"/>
                <w:w w:val="92"/>
              </w:rPr>
              <w:t>330 North Wabash Avenue, Suite 2800</w:t>
            </w:r>
          </w:p>
        </w:tc>
      </w:tr>
      <w:tr>
        <w:trPr>
          <w:trHeight w:val="148"/>
        </w:trPr>
        <w:tc>
          <w:tcPr>
            <w:tcW w:w="2860" w:type="dxa"/>
            <w:vAlign w:val="bottom"/>
          </w:tcPr>
          <w:p>
            <w:pPr>
              <w:jc w:val="center"/>
              <w:ind w:right="968"/>
              <w:spacing w:after="0" w:line="149" w:lineRule="exact"/>
              <w:rPr>
                <w:sz w:val="20"/>
                <w:szCs w:val="20"/>
                <w:color w:val="auto"/>
              </w:rPr>
            </w:pPr>
            <w:r>
              <w:rPr>
                <w:rFonts w:ascii="Arial" w:cs="Arial" w:eastAsia="Arial" w:hAnsi="Arial"/>
                <w:sz w:val="14"/>
                <w:szCs w:val="14"/>
                <w:b w:val="1"/>
                <w:bCs w:val="1"/>
                <w:color w:val="auto"/>
                <w:w w:val="93"/>
              </w:rPr>
              <w:t>(212) 310-8000 (Phone)</w:t>
            </w:r>
          </w:p>
        </w:tc>
        <w:tc>
          <w:tcPr>
            <w:tcW w:w="3400" w:type="dxa"/>
            <w:vAlign w:val="bottom"/>
          </w:tcPr>
          <w:p>
            <w:pPr>
              <w:spacing w:after="0"/>
              <w:rPr>
                <w:sz w:val="12"/>
                <w:szCs w:val="12"/>
                <w:color w:val="auto"/>
              </w:rPr>
            </w:pPr>
          </w:p>
        </w:tc>
        <w:tc>
          <w:tcPr>
            <w:tcW w:w="3200" w:type="dxa"/>
            <w:vAlign w:val="bottom"/>
          </w:tcPr>
          <w:p>
            <w:pPr>
              <w:jc w:val="center"/>
              <w:ind w:left="788"/>
              <w:spacing w:after="0" w:line="149" w:lineRule="exact"/>
              <w:rPr>
                <w:sz w:val="20"/>
                <w:szCs w:val="20"/>
                <w:color w:val="auto"/>
              </w:rPr>
            </w:pPr>
            <w:r>
              <w:rPr>
                <w:rFonts w:ascii="Arial" w:cs="Arial" w:eastAsia="Arial" w:hAnsi="Arial"/>
                <w:sz w:val="14"/>
                <w:szCs w:val="14"/>
                <w:b w:val="1"/>
                <w:bCs w:val="1"/>
                <w:color w:val="auto"/>
                <w:w w:val="92"/>
              </w:rPr>
              <w:t>Chicago, IL 60611</w:t>
            </w:r>
          </w:p>
        </w:tc>
      </w:tr>
      <w:tr>
        <w:trPr>
          <w:trHeight w:val="148"/>
        </w:trPr>
        <w:tc>
          <w:tcPr>
            <w:tcW w:w="2860" w:type="dxa"/>
            <w:vAlign w:val="bottom"/>
          </w:tcPr>
          <w:p>
            <w:pPr>
              <w:jc w:val="center"/>
              <w:ind w:right="968"/>
              <w:spacing w:after="0" w:line="149" w:lineRule="exact"/>
              <w:rPr>
                <w:sz w:val="20"/>
                <w:szCs w:val="20"/>
                <w:color w:val="auto"/>
              </w:rPr>
            </w:pPr>
            <w:r>
              <w:rPr>
                <w:rFonts w:ascii="Arial" w:cs="Arial" w:eastAsia="Arial" w:hAnsi="Arial"/>
                <w:sz w:val="14"/>
                <w:szCs w:val="14"/>
                <w:b w:val="1"/>
                <w:bCs w:val="1"/>
                <w:color w:val="auto"/>
                <w:w w:val="94"/>
              </w:rPr>
              <w:t>(212) 310-8007 (Fax)</w:t>
            </w:r>
          </w:p>
        </w:tc>
        <w:tc>
          <w:tcPr>
            <w:tcW w:w="3400" w:type="dxa"/>
            <w:vAlign w:val="bottom"/>
          </w:tcPr>
          <w:p>
            <w:pPr>
              <w:spacing w:after="0"/>
              <w:rPr>
                <w:sz w:val="12"/>
                <w:szCs w:val="12"/>
                <w:color w:val="auto"/>
              </w:rPr>
            </w:pPr>
          </w:p>
        </w:tc>
        <w:tc>
          <w:tcPr>
            <w:tcW w:w="3200" w:type="dxa"/>
            <w:vAlign w:val="bottom"/>
          </w:tcPr>
          <w:p>
            <w:pPr>
              <w:jc w:val="center"/>
              <w:ind w:left="788"/>
              <w:spacing w:after="0" w:line="149" w:lineRule="exact"/>
              <w:rPr>
                <w:sz w:val="20"/>
                <w:szCs w:val="20"/>
                <w:color w:val="auto"/>
              </w:rPr>
            </w:pPr>
            <w:r>
              <w:rPr>
                <w:rFonts w:ascii="Arial" w:cs="Arial" w:eastAsia="Arial" w:hAnsi="Arial"/>
                <w:sz w:val="14"/>
                <w:szCs w:val="14"/>
                <w:b w:val="1"/>
                <w:bCs w:val="1"/>
                <w:color w:val="auto"/>
                <w:w w:val="93"/>
              </w:rPr>
              <w:t>(312) 876-7700 (Phone)</w:t>
            </w:r>
          </w:p>
        </w:tc>
      </w:tr>
      <w:tr>
        <w:trPr>
          <w:trHeight w:val="186"/>
        </w:trPr>
        <w:tc>
          <w:tcPr>
            <w:tcW w:w="2860" w:type="dxa"/>
            <w:vAlign w:val="bottom"/>
          </w:tcPr>
          <w:p>
            <w:pPr>
              <w:spacing w:after="0"/>
              <w:rPr>
                <w:sz w:val="16"/>
                <w:szCs w:val="16"/>
                <w:color w:val="auto"/>
              </w:rPr>
            </w:pPr>
          </w:p>
        </w:tc>
        <w:tc>
          <w:tcPr>
            <w:tcW w:w="3400" w:type="dxa"/>
            <w:vAlign w:val="bottom"/>
          </w:tcPr>
          <w:p>
            <w:pPr>
              <w:spacing w:after="0"/>
              <w:rPr>
                <w:sz w:val="16"/>
                <w:szCs w:val="16"/>
                <w:color w:val="auto"/>
              </w:rPr>
            </w:pPr>
          </w:p>
        </w:tc>
        <w:tc>
          <w:tcPr>
            <w:tcW w:w="3200" w:type="dxa"/>
            <w:vAlign w:val="bottom"/>
          </w:tcPr>
          <w:p>
            <w:pPr>
              <w:jc w:val="center"/>
              <w:ind w:left="788"/>
              <w:spacing w:after="0"/>
              <w:rPr>
                <w:sz w:val="20"/>
                <w:szCs w:val="20"/>
                <w:color w:val="auto"/>
              </w:rPr>
            </w:pPr>
            <w:r>
              <w:rPr>
                <w:rFonts w:ascii="Arial" w:cs="Arial" w:eastAsia="Arial" w:hAnsi="Arial"/>
                <w:sz w:val="14"/>
                <w:szCs w:val="14"/>
                <w:b w:val="1"/>
                <w:bCs w:val="1"/>
                <w:color w:val="auto"/>
                <w:w w:val="94"/>
              </w:rPr>
              <w:t>(312) 993-9767 (Fax)</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127635</wp:posOffset>
            </wp:positionV>
            <wp:extent cx="147447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39" w:lineRule="exact"/>
        <w:rPr>
          <w:sz w:val="24"/>
          <w:szCs w:val="24"/>
          <w:color w:val="auto"/>
        </w:rPr>
      </w:pPr>
    </w:p>
    <w:p>
      <w:pPr>
        <w:jc w:val="center"/>
        <w:ind w:right="-99"/>
        <w:spacing w:after="0"/>
        <w:rPr>
          <w:sz w:val="20"/>
          <w:szCs w:val="20"/>
          <w:color w:val="auto"/>
        </w:rPr>
      </w:pPr>
      <w:r>
        <w:rPr>
          <w:rFonts w:ascii="Arial" w:cs="Arial" w:eastAsia="Arial" w:hAnsi="Arial"/>
          <w:sz w:val="14"/>
          <w:szCs w:val="14"/>
          <w:b w:val="1"/>
          <w:bCs w:val="1"/>
          <w:color w:val="auto"/>
        </w:rPr>
        <w:t>Approximate date of commencement of proposed sale to the public:</w:t>
      </w:r>
    </w:p>
    <w:p>
      <w:pPr>
        <w:spacing w:after="0" w:line="4" w:lineRule="exact"/>
        <w:rPr>
          <w:sz w:val="24"/>
          <w:szCs w:val="24"/>
          <w:color w:val="auto"/>
        </w:rPr>
      </w:pPr>
    </w:p>
    <w:p>
      <w:pPr>
        <w:jc w:val="center"/>
        <w:ind w:right="-99"/>
        <w:spacing w:after="0"/>
        <w:rPr>
          <w:sz w:val="20"/>
          <w:szCs w:val="20"/>
          <w:color w:val="auto"/>
        </w:rPr>
      </w:pPr>
      <w:r>
        <w:rPr>
          <w:rFonts w:ascii="Arial" w:cs="Arial" w:eastAsia="Arial" w:hAnsi="Arial"/>
          <w:sz w:val="14"/>
          <w:szCs w:val="14"/>
          <w:b w:val="1"/>
          <w:bCs w:val="1"/>
          <w:color w:val="auto"/>
        </w:rPr>
        <w:t>As soon as practicable after the effective date of this Registration Statement.</w:t>
      </w:r>
    </w:p>
    <w:p>
      <w:pPr>
        <w:spacing w:after="0" w:line="43" w:lineRule="exact"/>
        <w:rPr>
          <w:sz w:val="24"/>
          <w:szCs w:val="24"/>
          <w:color w:val="auto"/>
        </w:rPr>
      </w:pPr>
    </w:p>
    <w:p>
      <w:pPr>
        <w:ind w:left="120" w:right="320" w:firstLine="440"/>
        <w:spacing w:after="0" w:line="180" w:lineRule="exact"/>
        <w:rPr>
          <w:sz w:val="20"/>
          <w:szCs w:val="20"/>
          <w:color w:val="auto"/>
        </w:rPr>
      </w:pPr>
      <w:r>
        <w:rPr>
          <w:rFonts w:ascii="Arial" w:cs="Arial" w:eastAsia="Arial" w:hAnsi="Arial"/>
          <w:sz w:val="14"/>
          <w:szCs w:val="14"/>
          <w:color w:val="auto"/>
        </w:rPr>
        <w:t xml:space="preserve">If any of the securities being registered on this Form are to be offered on a delayed or continuous basis pursuant to Rule 415 under the Securities Act of 1933, check the following box. </w:t>
      </w:r>
      <w:r>
        <w:rPr>
          <w:rFonts w:ascii="MS PGothic" w:cs="MS PGothic" w:eastAsia="MS PGothic" w:hAnsi="MS PGothic"/>
          <w:sz w:val="14"/>
          <w:szCs w:val="14"/>
          <w:color w:val="auto"/>
        </w:rPr>
        <w:t>☐</w:t>
      </w:r>
    </w:p>
    <w:p>
      <w:pPr>
        <w:spacing w:after="0" w:line="45" w:lineRule="exact"/>
        <w:rPr>
          <w:sz w:val="24"/>
          <w:szCs w:val="24"/>
          <w:color w:val="auto"/>
        </w:rPr>
      </w:pPr>
    </w:p>
    <w:p>
      <w:pPr>
        <w:ind w:left="120" w:right="580" w:firstLine="440"/>
        <w:spacing w:after="0" w:line="180" w:lineRule="exact"/>
        <w:rPr>
          <w:sz w:val="20"/>
          <w:szCs w:val="20"/>
          <w:color w:val="auto"/>
        </w:rPr>
      </w:pPr>
      <w:r>
        <w:rPr>
          <w:rFonts w:ascii="Arial" w:cs="Arial" w:eastAsia="Arial" w:hAnsi="Arial"/>
          <w:sz w:val="14"/>
          <w:szCs w:val="14"/>
          <w:color w:val="auto"/>
        </w:rPr>
        <w:t xml:space="preserve">If this Form is filed to register additional securities for an offering pursuant to Rule 462(b) under the Securities Act, please check the following box and list the Securities Act registration statement number of the earlier effective registration statement for the same offering. </w:t>
      </w:r>
      <w:r>
        <w:rPr>
          <w:rFonts w:ascii="MS PGothic" w:cs="MS PGothic" w:eastAsia="MS PGothic" w:hAnsi="MS PGothic"/>
          <w:sz w:val="14"/>
          <w:szCs w:val="14"/>
          <w:color w:val="auto"/>
        </w:rPr>
        <w:t>☐</w:t>
      </w:r>
    </w:p>
    <w:p>
      <w:pPr>
        <w:spacing w:after="0" w:line="32" w:lineRule="exact"/>
        <w:rPr>
          <w:sz w:val="24"/>
          <w:szCs w:val="24"/>
          <w:color w:val="auto"/>
        </w:rPr>
      </w:pPr>
    </w:p>
    <w:p>
      <w:pPr>
        <w:ind w:left="120" w:right="120" w:firstLine="440"/>
        <w:spacing w:after="0" w:line="180" w:lineRule="exact"/>
        <w:rPr>
          <w:sz w:val="20"/>
          <w:szCs w:val="20"/>
          <w:color w:val="auto"/>
        </w:rPr>
      </w:pPr>
      <w:r>
        <w:rPr>
          <w:rFonts w:ascii="Arial" w:cs="Arial" w:eastAsia="Arial" w:hAnsi="Arial"/>
          <w:sz w:val="14"/>
          <w:szCs w:val="14"/>
          <w:color w:val="auto"/>
        </w:rPr>
        <w:t xml:space="preserve">If this Form is a post-effective amendment filed pursuant to Rule 462(c) under the Securities Act, check the following box and list the Securities Act registration statement number of the earlier effective registration statement for the same offering. </w:t>
      </w:r>
      <w:r>
        <w:rPr>
          <w:rFonts w:ascii="MS PGothic" w:cs="MS PGothic" w:eastAsia="MS PGothic" w:hAnsi="MS PGothic"/>
          <w:sz w:val="14"/>
          <w:szCs w:val="14"/>
          <w:color w:val="auto"/>
        </w:rPr>
        <w:t>☐</w:t>
      </w:r>
    </w:p>
    <w:p>
      <w:pPr>
        <w:spacing w:after="0" w:line="32" w:lineRule="exact"/>
        <w:rPr>
          <w:sz w:val="24"/>
          <w:szCs w:val="24"/>
          <w:color w:val="auto"/>
        </w:rPr>
      </w:pPr>
    </w:p>
    <w:p>
      <w:pPr>
        <w:ind w:left="120" w:right="120" w:firstLine="440"/>
        <w:spacing w:after="0" w:line="180" w:lineRule="exact"/>
        <w:rPr>
          <w:sz w:val="20"/>
          <w:szCs w:val="20"/>
          <w:color w:val="auto"/>
        </w:rPr>
      </w:pPr>
      <w:r>
        <w:rPr>
          <w:rFonts w:ascii="Arial" w:cs="Arial" w:eastAsia="Arial" w:hAnsi="Arial"/>
          <w:sz w:val="14"/>
          <w:szCs w:val="14"/>
          <w:color w:val="auto"/>
        </w:rPr>
        <w:t xml:space="preserve">If this Form is a post-effective amendment filed pursuant to Rule 462(d) under the Securities Act, check the following box and list the Securities Act registration statement number of the earlier effective registration statement for the same offering. </w:t>
      </w:r>
      <w:r>
        <w:rPr>
          <w:rFonts w:ascii="MS PGothic" w:cs="MS PGothic" w:eastAsia="MS PGothic" w:hAnsi="MS PGothic"/>
          <w:sz w:val="14"/>
          <w:szCs w:val="14"/>
          <w:color w:val="auto"/>
        </w:rPr>
        <w:t>☐</w:t>
      </w:r>
    </w:p>
    <w:p>
      <w:pPr>
        <w:spacing w:after="0" w:line="45" w:lineRule="exact"/>
        <w:rPr>
          <w:sz w:val="24"/>
          <w:szCs w:val="24"/>
          <w:color w:val="auto"/>
        </w:rPr>
      </w:pPr>
    </w:p>
    <w:p>
      <w:pPr>
        <w:ind w:left="120" w:right="400" w:firstLine="440"/>
        <w:spacing w:after="0" w:line="253" w:lineRule="auto"/>
        <w:rPr>
          <w:sz w:val="20"/>
          <w:szCs w:val="20"/>
          <w:color w:val="auto"/>
        </w:rPr>
      </w:pPr>
      <w:r>
        <w:rPr>
          <w:rFonts w:ascii="Arial" w:cs="Arial" w:eastAsia="Arial" w:hAnsi="Arial"/>
          <w:sz w:val="14"/>
          <w:szCs w:val="14"/>
          <w:color w:val="auto"/>
        </w:rPr>
        <w:t>Indicate by check mark whether the registrant is a large accelerated filer, an accelerated filer, a non-accelerated filer or a smaller reporting company. See the definitions of “large accelerated filer,” “accelerated filer,” “smaller reporting company” and “emerging growth company” in Rule 12b-2 of the Exchange Act.</w:t>
      </w:r>
    </w:p>
    <w:p>
      <w:pPr>
        <w:spacing w:after="0" w:line="52" w:lineRule="exact"/>
        <w:rPr>
          <w:sz w:val="24"/>
          <w:szCs w:val="24"/>
          <w:color w:val="auto"/>
        </w:rPr>
      </w:pPr>
    </w:p>
    <w:tbl>
      <w:tblPr>
        <w:tblLayout w:type="fixed"/>
        <w:tblInd w:w="120" w:type="dxa"/>
        <w:tblCellMar>
          <w:top w:w="0" w:type="dxa"/>
          <w:left w:w="0" w:type="dxa"/>
          <w:bottom w:w="0" w:type="dxa"/>
          <w:right w:w="0" w:type="dxa"/>
        </w:tblCellMar>
      </w:tblPr>
      <w:tr>
        <w:trPr>
          <w:trHeight w:val="203"/>
        </w:trPr>
        <w:tc>
          <w:tcPr>
            <w:tcW w:w="1480" w:type="dxa"/>
            <w:vAlign w:val="bottom"/>
          </w:tcPr>
          <w:p>
            <w:pPr>
              <w:spacing w:after="0"/>
              <w:rPr>
                <w:sz w:val="20"/>
                <w:szCs w:val="20"/>
                <w:color w:val="auto"/>
              </w:rPr>
            </w:pPr>
            <w:r>
              <w:rPr>
                <w:rFonts w:ascii="Arial" w:cs="Arial" w:eastAsia="Arial" w:hAnsi="Arial"/>
                <w:sz w:val="14"/>
                <w:szCs w:val="14"/>
                <w:color w:val="auto"/>
              </w:rPr>
              <w:t>Large accelerated filer</w:t>
            </w:r>
          </w:p>
        </w:tc>
        <w:tc>
          <w:tcPr>
            <w:tcW w:w="3840" w:type="dxa"/>
            <w:vAlign w:val="bottom"/>
          </w:tcPr>
          <w:p>
            <w:pPr>
              <w:ind w:left="200"/>
              <w:spacing w:after="0" w:line="141" w:lineRule="exact"/>
              <w:rPr>
                <w:sz w:val="20"/>
                <w:szCs w:val="20"/>
                <w:color w:val="auto"/>
              </w:rPr>
            </w:pPr>
            <w:r>
              <w:rPr>
                <w:rFonts w:ascii="MS PGothic" w:cs="MS PGothic" w:eastAsia="MS PGothic" w:hAnsi="MS PGothic"/>
                <w:sz w:val="14"/>
                <w:szCs w:val="14"/>
                <w:color w:val="auto"/>
              </w:rPr>
              <w:t>☐</w:t>
            </w:r>
          </w:p>
        </w:tc>
        <w:tc>
          <w:tcPr>
            <w:tcW w:w="5280" w:type="dxa"/>
            <w:vAlign w:val="bottom"/>
          </w:tcPr>
          <w:p>
            <w:pPr>
              <w:ind w:left="3500"/>
              <w:spacing w:after="0"/>
              <w:rPr>
                <w:sz w:val="20"/>
                <w:szCs w:val="20"/>
                <w:color w:val="auto"/>
              </w:rPr>
            </w:pPr>
            <w:r>
              <w:rPr>
                <w:rFonts w:ascii="Arial" w:cs="Arial" w:eastAsia="Arial" w:hAnsi="Arial"/>
                <w:sz w:val="14"/>
                <w:szCs w:val="14"/>
                <w:color w:val="auto"/>
              </w:rPr>
              <w:t>Accelerated filer</w:t>
            </w:r>
          </w:p>
        </w:tc>
        <w:tc>
          <w:tcPr>
            <w:tcW w:w="320" w:type="dxa"/>
            <w:vAlign w:val="bottom"/>
          </w:tcPr>
          <w:p>
            <w:pPr>
              <w:ind w:left="200"/>
              <w:spacing w:after="0" w:line="141" w:lineRule="exact"/>
              <w:rPr>
                <w:sz w:val="20"/>
                <w:szCs w:val="20"/>
                <w:color w:val="auto"/>
              </w:rPr>
            </w:pPr>
            <w:r>
              <w:rPr>
                <w:rFonts w:ascii="MS PGothic" w:cs="MS PGothic" w:eastAsia="MS PGothic" w:hAnsi="MS PGothic"/>
                <w:sz w:val="14"/>
                <w:szCs w:val="14"/>
                <w:color w:val="auto"/>
                <w:w w:val="71"/>
              </w:rPr>
              <w:t>☐</w:t>
            </w:r>
          </w:p>
        </w:tc>
      </w:tr>
      <w:tr>
        <w:trPr>
          <w:trHeight w:val="203"/>
        </w:trPr>
        <w:tc>
          <w:tcPr>
            <w:tcW w:w="1480" w:type="dxa"/>
            <w:vAlign w:val="bottom"/>
          </w:tcPr>
          <w:p>
            <w:pPr>
              <w:spacing w:after="0"/>
              <w:rPr>
                <w:sz w:val="20"/>
                <w:szCs w:val="20"/>
                <w:color w:val="auto"/>
              </w:rPr>
            </w:pPr>
            <w:r>
              <w:rPr>
                <w:rFonts w:ascii="Arial" w:cs="Arial" w:eastAsia="Arial" w:hAnsi="Arial"/>
                <w:sz w:val="14"/>
                <w:szCs w:val="14"/>
                <w:color w:val="auto"/>
              </w:rPr>
              <w:t>Non-accelerated filer</w:t>
            </w:r>
          </w:p>
        </w:tc>
        <w:tc>
          <w:tcPr>
            <w:tcW w:w="3840" w:type="dxa"/>
            <w:vAlign w:val="bottom"/>
          </w:tcPr>
          <w:p>
            <w:pPr>
              <w:ind w:left="200"/>
              <w:spacing w:after="0" w:line="141" w:lineRule="exact"/>
              <w:rPr>
                <w:sz w:val="20"/>
                <w:szCs w:val="20"/>
                <w:color w:val="auto"/>
              </w:rPr>
            </w:pPr>
            <w:r>
              <w:rPr>
                <w:rFonts w:ascii="MS PGothic" w:cs="MS PGothic" w:eastAsia="MS PGothic" w:hAnsi="MS PGothic"/>
                <w:sz w:val="14"/>
                <w:szCs w:val="14"/>
                <w:color w:val="auto"/>
              </w:rPr>
              <w:t>☒</w:t>
            </w:r>
          </w:p>
        </w:tc>
        <w:tc>
          <w:tcPr>
            <w:tcW w:w="5280" w:type="dxa"/>
            <w:vAlign w:val="bottom"/>
          </w:tcPr>
          <w:p>
            <w:pPr>
              <w:ind w:left="3500"/>
              <w:spacing w:after="0"/>
              <w:rPr>
                <w:sz w:val="20"/>
                <w:szCs w:val="20"/>
                <w:color w:val="auto"/>
              </w:rPr>
            </w:pPr>
            <w:r>
              <w:rPr>
                <w:rFonts w:ascii="Arial" w:cs="Arial" w:eastAsia="Arial" w:hAnsi="Arial"/>
                <w:sz w:val="14"/>
                <w:szCs w:val="14"/>
                <w:color w:val="auto"/>
              </w:rPr>
              <w:t>Smaller reporting company</w:t>
            </w:r>
          </w:p>
        </w:tc>
        <w:tc>
          <w:tcPr>
            <w:tcW w:w="320" w:type="dxa"/>
            <w:vAlign w:val="bottom"/>
          </w:tcPr>
          <w:p>
            <w:pPr>
              <w:ind w:left="200"/>
              <w:spacing w:after="0" w:line="141" w:lineRule="exact"/>
              <w:rPr>
                <w:sz w:val="20"/>
                <w:szCs w:val="20"/>
                <w:color w:val="auto"/>
              </w:rPr>
            </w:pPr>
            <w:r>
              <w:rPr>
                <w:rFonts w:ascii="MS PGothic" w:cs="MS PGothic" w:eastAsia="MS PGothic" w:hAnsi="MS PGothic"/>
                <w:sz w:val="14"/>
                <w:szCs w:val="14"/>
                <w:color w:val="auto"/>
                <w:w w:val="71"/>
              </w:rPr>
              <w:t>☐</w:t>
            </w:r>
          </w:p>
        </w:tc>
      </w:tr>
      <w:tr>
        <w:trPr>
          <w:trHeight w:val="226"/>
        </w:trPr>
        <w:tc>
          <w:tcPr>
            <w:tcW w:w="1480" w:type="dxa"/>
            <w:vAlign w:val="bottom"/>
          </w:tcPr>
          <w:p>
            <w:pPr>
              <w:spacing w:after="0"/>
              <w:rPr>
                <w:sz w:val="19"/>
                <w:szCs w:val="19"/>
                <w:color w:val="auto"/>
              </w:rPr>
            </w:pPr>
          </w:p>
        </w:tc>
        <w:tc>
          <w:tcPr>
            <w:tcW w:w="3840" w:type="dxa"/>
            <w:vAlign w:val="bottom"/>
          </w:tcPr>
          <w:p>
            <w:pPr>
              <w:spacing w:after="0"/>
              <w:rPr>
                <w:sz w:val="19"/>
                <w:szCs w:val="19"/>
                <w:color w:val="auto"/>
              </w:rPr>
            </w:pPr>
          </w:p>
        </w:tc>
        <w:tc>
          <w:tcPr>
            <w:tcW w:w="5280" w:type="dxa"/>
            <w:vAlign w:val="bottom"/>
          </w:tcPr>
          <w:p>
            <w:pPr>
              <w:ind w:left="3500"/>
              <w:spacing w:after="0"/>
              <w:rPr>
                <w:sz w:val="20"/>
                <w:szCs w:val="20"/>
                <w:color w:val="auto"/>
              </w:rPr>
            </w:pPr>
            <w:r>
              <w:rPr>
                <w:rFonts w:ascii="Arial" w:cs="Arial" w:eastAsia="Arial" w:hAnsi="Arial"/>
                <w:sz w:val="14"/>
                <w:szCs w:val="14"/>
                <w:color w:val="auto"/>
              </w:rPr>
              <w:t>Emerging growth company</w:t>
            </w:r>
          </w:p>
        </w:tc>
        <w:tc>
          <w:tcPr>
            <w:tcW w:w="320" w:type="dxa"/>
            <w:vAlign w:val="bottom"/>
          </w:tcPr>
          <w:p>
            <w:pPr>
              <w:ind w:left="200"/>
              <w:spacing w:after="0" w:line="141" w:lineRule="exact"/>
              <w:rPr>
                <w:sz w:val="20"/>
                <w:szCs w:val="20"/>
                <w:color w:val="auto"/>
              </w:rPr>
            </w:pPr>
            <w:r>
              <w:rPr>
                <w:rFonts w:ascii="MS PGothic" w:cs="MS PGothic" w:eastAsia="MS PGothic" w:hAnsi="MS PGothic"/>
                <w:sz w:val="14"/>
                <w:szCs w:val="14"/>
                <w:color w:val="auto"/>
                <w:w w:val="71"/>
              </w:rPr>
              <w:t>☒</w:t>
            </w:r>
          </w:p>
        </w:tc>
      </w:tr>
    </w:tbl>
    <w:p>
      <w:pPr>
        <w:spacing w:after="0" w:line="31" w:lineRule="exact"/>
        <w:rPr>
          <w:sz w:val="24"/>
          <w:szCs w:val="24"/>
          <w:color w:val="auto"/>
        </w:rPr>
      </w:pPr>
    </w:p>
    <w:p>
      <w:pPr>
        <w:ind w:left="120" w:right="580" w:firstLine="440"/>
        <w:spacing w:after="0" w:line="180" w:lineRule="exact"/>
        <w:rPr>
          <w:sz w:val="20"/>
          <w:szCs w:val="20"/>
          <w:color w:val="auto"/>
        </w:rPr>
      </w:pPr>
      <w:r>
        <w:rPr>
          <w:rFonts w:ascii="Arial" w:cs="Arial" w:eastAsia="Arial" w:hAnsi="Arial"/>
          <w:sz w:val="14"/>
          <w:szCs w:val="14"/>
          <w:color w:val="auto"/>
        </w:rPr>
        <w:t xml:space="preserve">If an emerging growth company, indicate by check mark if the registrant has elected not to use the extended transition period for complying with any new or revised financial accounting standards provided to Section 7(a)(2)(B) of the Securities Act. </w:t>
      </w:r>
      <w:r>
        <w:rPr>
          <w:rFonts w:ascii="MS PGothic" w:cs="MS PGothic" w:eastAsia="MS PGothic" w:hAnsi="MS PGothic"/>
          <w:sz w:val="14"/>
          <w:szCs w:val="14"/>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109220</wp:posOffset>
            </wp:positionV>
            <wp:extent cx="147447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24" w:lineRule="exact"/>
        <w:rPr>
          <w:sz w:val="24"/>
          <w:szCs w:val="24"/>
          <w:color w:val="auto"/>
        </w:rPr>
      </w:pPr>
    </w:p>
    <w:p>
      <w:pPr>
        <w:jc w:val="center"/>
        <w:ind w:right="-99"/>
        <w:spacing w:after="0"/>
        <w:rPr>
          <w:sz w:val="20"/>
          <w:szCs w:val="20"/>
          <w:color w:val="auto"/>
        </w:rPr>
      </w:pPr>
      <w:r>
        <w:rPr>
          <w:rFonts w:ascii="Arial" w:cs="Arial" w:eastAsia="Arial" w:hAnsi="Arial"/>
          <w:sz w:val="14"/>
          <w:szCs w:val="14"/>
          <w:b w:val="1"/>
          <w:bCs w:val="1"/>
          <w:color w:val="auto"/>
        </w:rPr>
        <w:t>CALCULATION OF REGISTRATION FEE</w:t>
      </w:r>
    </w:p>
    <w:p>
      <w:pPr>
        <w:spacing w:after="0" w:line="58" w:lineRule="exact"/>
        <w:rPr>
          <w:sz w:val="24"/>
          <w:szCs w:val="24"/>
          <w:color w:val="auto"/>
        </w:rPr>
      </w:pPr>
    </w:p>
    <w:tbl>
      <w:tblPr>
        <w:tblLayout w:type="fixed"/>
        <w:tblInd w:w="120" w:type="dxa"/>
        <w:tblCellMar>
          <w:top w:w="0" w:type="dxa"/>
          <w:left w:w="0" w:type="dxa"/>
          <w:bottom w:w="0" w:type="dxa"/>
          <w:right w:w="0" w:type="dxa"/>
        </w:tblCellMar>
      </w:tblPr>
      <w:tr>
        <w:trPr>
          <w:trHeight w:val="40"/>
        </w:trPr>
        <w:tc>
          <w:tcPr>
            <w:tcW w:w="300" w:type="dxa"/>
            <w:vAlign w:val="bottom"/>
            <w:tcBorders>
              <w:top w:val="single" w:sz="8" w:color="auto"/>
              <w:bottom w:val="single" w:sz="8" w:color="auto"/>
            </w:tcBorders>
          </w:tcPr>
          <w:p>
            <w:pPr>
              <w:spacing w:after="0"/>
              <w:rPr>
                <w:sz w:val="3"/>
                <w:szCs w:val="3"/>
                <w:color w:val="auto"/>
              </w:rPr>
            </w:pPr>
          </w:p>
        </w:tc>
        <w:tc>
          <w:tcPr>
            <w:tcW w:w="800" w:type="dxa"/>
            <w:vAlign w:val="bottom"/>
            <w:tcBorders>
              <w:top w:val="single" w:sz="8" w:color="auto"/>
              <w:bottom w:val="single" w:sz="8" w:color="auto"/>
            </w:tcBorders>
          </w:tcPr>
          <w:p>
            <w:pPr>
              <w:spacing w:after="0"/>
              <w:rPr>
                <w:sz w:val="3"/>
                <w:szCs w:val="3"/>
                <w:color w:val="auto"/>
              </w:rPr>
            </w:pPr>
          </w:p>
        </w:tc>
        <w:tc>
          <w:tcPr>
            <w:tcW w:w="3120" w:type="dxa"/>
            <w:vAlign w:val="bottom"/>
            <w:tcBorders>
              <w:top w:val="single" w:sz="8" w:color="auto"/>
              <w:bottom w:val="single" w:sz="8" w:color="auto"/>
            </w:tcBorders>
          </w:tcPr>
          <w:p>
            <w:pPr>
              <w:spacing w:after="0"/>
              <w:rPr>
                <w:sz w:val="3"/>
                <w:szCs w:val="3"/>
                <w:color w:val="auto"/>
              </w:rPr>
            </w:pPr>
          </w:p>
        </w:tc>
        <w:tc>
          <w:tcPr>
            <w:tcW w:w="1540" w:type="dxa"/>
            <w:vAlign w:val="bottom"/>
            <w:tcBorders>
              <w:top w:val="single" w:sz="8" w:color="auto"/>
              <w:bottom w:val="single" w:sz="8" w:color="auto"/>
            </w:tcBorders>
          </w:tcPr>
          <w:p>
            <w:pPr>
              <w:spacing w:after="0"/>
              <w:rPr>
                <w:sz w:val="3"/>
                <w:szCs w:val="3"/>
                <w:color w:val="auto"/>
              </w:rPr>
            </w:pPr>
          </w:p>
        </w:tc>
        <w:tc>
          <w:tcPr>
            <w:tcW w:w="1760" w:type="dxa"/>
            <w:vAlign w:val="bottom"/>
            <w:tcBorders>
              <w:top w:val="single" w:sz="8" w:color="auto"/>
              <w:bottom w:val="single" w:sz="8" w:color="auto"/>
            </w:tcBorders>
          </w:tcPr>
          <w:p>
            <w:pPr>
              <w:spacing w:after="0"/>
              <w:rPr>
                <w:sz w:val="3"/>
                <w:szCs w:val="3"/>
                <w:color w:val="auto"/>
              </w:rPr>
            </w:pPr>
          </w:p>
        </w:tc>
        <w:tc>
          <w:tcPr>
            <w:tcW w:w="200" w:type="dxa"/>
            <w:vAlign w:val="bottom"/>
            <w:tcBorders>
              <w:top w:val="single" w:sz="8" w:color="auto"/>
              <w:bottom w:val="single" w:sz="8" w:color="auto"/>
            </w:tcBorders>
          </w:tcPr>
          <w:p>
            <w:pPr>
              <w:spacing w:after="0"/>
              <w:rPr>
                <w:sz w:val="3"/>
                <w:szCs w:val="3"/>
                <w:color w:val="auto"/>
              </w:rPr>
            </w:pPr>
          </w:p>
        </w:tc>
        <w:tc>
          <w:tcPr>
            <w:tcW w:w="1660" w:type="dxa"/>
            <w:vAlign w:val="bottom"/>
            <w:tcBorders>
              <w:top w:val="single" w:sz="8" w:color="auto"/>
              <w:bottom w:val="single" w:sz="8" w:color="auto"/>
            </w:tcBorders>
          </w:tcPr>
          <w:p>
            <w:pPr>
              <w:spacing w:after="0"/>
              <w:rPr>
                <w:sz w:val="3"/>
                <w:szCs w:val="3"/>
                <w:color w:val="auto"/>
              </w:rPr>
            </w:pPr>
          </w:p>
        </w:tc>
        <w:tc>
          <w:tcPr>
            <w:tcW w:w="1640" w:type="dxa"/>
            <w:vAlign w:val="bottom"/>
            <w:tcBorders>
              <w:top w:val="single" w:sz="8" w:color="auto"/>
              <w:bottom w:val="single" w:sz="8" w:color="auto"/>
            </w:tcBorders>
          </w:tcPr>
          <w:p>
            <w:pPr>
              <w:spacing w:after="0"/>
              <w:rPr>
                <w:sz w:val="3"/>
                <w:szCs w:val="3"/>
                <w:color w:val="auto"/>
              </w:rPr>
            </w:pPr>
          </w:p>
        </w:tc>
      </w:tr>
      <w:tr>
        <w:trPr>
          <w:trHeight w:val="106"/>
        </w:trPr>
        <w:tc>
          <w:tcPr>
            <w:tcW w:w="300" w:type="dxa"/>
            <w:vAlign w:val="bottom"/>
          </w:tcPr>
          <w:p>
            <w:pPr>
              <w:spacing w:after="0"/>
              <w:rPr>
                <w:sz w:val="9"/>
                <w:szCs w:val="9"/>
                <w:color w:val="auto"/>
              </w:rPr>
            </w:pPr>
          </w:p>
        </w:tc>
        <w:tc>
          <w:tcPr>
            <w:tcW w:w="800" w:type="dxa"/>
            <w:vAlign w:val="bottom"/>
          </w:tcPr>
          <w:p>
            <w:pPr>
              <w:spacing w:after="0"/>
              <w:rPr>
                <w:sz w:val="9"/>
                <w:szCs w:val="9"/>
                <w:color w:val="auto"/>
              </w:rPr>
            </w:pPr>
          </w:p>
        </w:tc>
        <w:tc>
          <w:tcPr>
            <w:tcW w:w="3120" w:type="dxa"/>
            <w:vAlign w:val="bottom"/>
            <w:tcBorders>
              <w:right w:val="single" w:sz="8" w:color="auto"/>
            </w:tcBorders>
          </w:tcPr>
          <w:p>
            <w:pPr>
              <w:spacing w:after="0"/>
              <w:rPr>
                <w:sz w:val="9"/>
                <w:szCs w:val="9"/>
                <w:color w:val="auto"/>
              </w:rPr>
            </w:pPr>
          </w:p>
        </w:tc>
        <w:tc>
          <w:tcPr>
            <w:tcW w:w="1540" w:type="dxa"/>
            <w:vAlign w:val="bottom"/>
            <w:tcBorders>
              <w:right w:val="single" w:sz="8" w:color="auto"/>
            </w:tcBorders>
          </w:tcPr>
          <w:p>
            <w:pPr>
              <w:spacing w:after="0"/>
              <w:rPr>
                <w:sz w:val="9"/>
                <w:szCs w:val="9"/>
                <w:color w:val="auto"/>
              </w:rPr>
            </w:pPr>
          </w:p>
        </w:tc>
        <w:tc>
          <w:tcPr>
            <w:tcW w:w="1760" w:type="dxa"/>
            <w:vAlign w:val="bottom"/>
            <w:tcBorders>
              <w:right w:val="single" w:sz="8" w:color="auto"/>
            </w:tcBorders>
          </w:tcPr>
          <w:p>
            <w:pPr>
              <w:jc w:val="center"/>
              <w:ind w:left="11"/>
              <w:spacing w:after="0" w:line="106" w:lineRule="exact"/>
              <w:rPr>
                <w:sz w:val="20"/>
                <w:szCs w:val="20"/>
                <w:color w:val="auto"/>
              </w:rPr>
            </w:pPr>
            <w:r>
              <w:rPr>
                <w:rFonts w:ascii="Arial" w:cs="Arial" w:eastAsia="Arial" w:hAnsi="Arial"/>
                <w:sz w:val="12"/>
                <w:szCs w:val="12"/>
                <w:b w:val="1"/>
                <w:bCs w:val="1"/>
                <w:color w:val="auto"/>
              </w:rPr>
              <w:t>Proposed</w:t>
            </w:r>
          </w:p>
        </w:tc>
        <w:tc>
          <w:tcPr>
            <w:tcW w:w="200" w:type="dxa"/>
            <w:vAlign w:val="bottom"/>
          </w:tcPr>
          <w:p>
            <w:pPr>
              <w:spacing w:after="0"/>
              <w:rPr>
                <w:sz w:val="9"/>
                <w:szCs w:val="9"/>
                <w:color w:val="auto"/>
              </w:rPr>
            </w:pPr>
          </w:p>
        </w:tc>
        <w:tc>
          <w:tcPr>
            <w:tcW w:w="1660" w:type="dxa"/>
            <w:vAlign w:val="bottom"/>
            <w:tcBorders>
              <w:right w:val="single" w:sz="8" w:color="auto"/>
            </w:tcBorders>
          </w:tcPr>
          <w:p>
            <w:pPr>
              <w:jc w:val="center"/>
              <w:ind w:right="51"/>
              <w:spacing w:after="0" w:line="106" w:lineRule="exact"/>
              <w:rPr>
                <w:sz w:val="20"/>
                <w:szCs w:val="20"/>
                <w:color w:val="auto"/>
              </w:rPr>
            </w:pPr>
            <w:r>
              <w:rPr>
                <w:rFonts w:ascii="Arial" w:cs="Arial" w:eastAsia="Arial" w:hAnsi="Arial"/>
                <w:sz w:val="12"/>
                <w:szCs w:val="12"/>
                <w:b w:val="1"/>
                <w:bCs w:val="1"/>
                <w:color w:val="auto"/>
              </w:rPr>
              <w:t>Proposed</w:t>
            </w:r>
          </w:p>
        </w:tc>
        <w:tc>
          <w:tcPr>
            <w:tcW w:w="1640" w:type="dxa"/>
            <w:vAlign w:val="bottom"/>
          </w:tcPr>
          <w:p>
            <w:pPr>
              <w:spacing w:after="0"/>
              <w:rPr>
                <w:sz w:val="9"/>
                <w:szCs w:val="9"/>
                <w:color w:val="auto"/>
              </w:rPr>
            </w:pPr>
          </w:p>
        </w:tc>
      </w:tr>
      <w:tr>
        <w:trPr>
          <w:trHeight w:val="158"/>
        </w:trPr>
        <w:tc>
          <w:tcPr>
            <w:tcW w:w="3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3120" w:type="dxa"/>
            <w:vAlign w:val="bottom"/>
            <w:tcBorders>
              <w:right w:val="single" w:sz="8" w:color="auto"/>
            </w:tcBorders>
          </w:tcPr>
          <w:p>
            <w:pPr>
              <w:jc w:val="center"/>
              <w:ind w:right="1068"/>
              <w:spacing w:after="0" w:line="158" w:lineRule="exact"/>
              <w:rPr>
                <w:sz w:val="20"/>
                <w:szCs w:val="20"/>
                <w:color w:val="auto"/>
              </w:rPr>
            </w:pPr>
            <w:r>
              <w:rPr>
                <w:rFonts w:ascii="Arial" w:cs="Arial" w:eastAsia="Arial" w:hAnsi="Arial"/>
                <w:sz w:val="14"/>
                <w:szCs w:val="14"/>
                <w:b w:val="1"/>
                <w:bCs w:val="1"/>
                <w:color w:val="auto"/>
                <w:w w:val="91"/>
              </w:rPr>
              <w:t>Title of Each Class of</w:t>
            </w:r>
          </w:p>
        </w:tc>
        <w:tc>
          <w:tcPr>
            <w:tcW w:w="1540" w:type="dxa"/>
            <w:vAlign w:val="bottom"/>
            <w:tcBorders>
              <w:right w:val="single" w:sz="8" w:color="auto"/>
            </w:tcBorders>
          </w:tcPr>
          <w:p>
            <w:pPr>
              <w:ind w:left="400"/>
              <w:spacing w:after="0" w:line="158" w:lineRule="exact"/>
              <w:rPr>
                <w:sz w:val="20"/>
                <w:szCs w:val="20"/>
                <w:color w:val="auto"/>
              </w:rPr>
            </w:pPr>
            <w:r>
              <w:rPr>
                <w:rFonts w:ascii="Arial" w:cs="Arial" w:eastAsia="Arial" w:hAnsi="Arial"/>
                <w:sz w:val="14"/>
                <w:szCs w:val="14"/>
                <w:b w:val="1"/>
                <w:bCs w:val="1"/>
                <w:color w:val="auto"/>
              </w:rPr>
              <w:t>Amount to be</w:t>
            </w:r>
          </w:p>
        </w:tc>
        <w:tc>
          <w:tcPr>
            <w:tcW w:w="1760" w:type="dxa"/>
            <w:vAlign w:val="bottom"/>
            <w:tcBorders>
              <w:right w:val="single" w:sz="8" w:color="auto"/>
            </w:tcBorders>
          </w:tcPr>
          <w:p>
            <w:pPr>
              <w:jc w:val="center"/>
              <w:ind w:left="11"/>
              <w:spacing w:after="0" w:line="158" w:lineRule="exact"/>
              <w:rPr>
                <w:sz w:val="20"/>
                <w:szCs w:val="20"/>
                <w:color w:val="auto"/>
              </w:rPr>
            </w:pPr>
            <w:r>
              <w:rPr>
                <w:rFonts w:ascii="Arial" w:cs="Arial" w:eastAsia="Arial" w:hAnsi="Arial"/>
                <w:sz w:val="14"/>
                <w:szCs w:val="14"/>
                <w:b w:val="1"/>
                <w:bCs w:val="1"/>
                <w:color w:val="auto"/>
                <w:w w:val="97"/>
              </w:rPr>
              <w:t>Maximum Offering</w:t>
            </w:r>
          </w:p>
        </w:tc>
        <w:tc>
          <w:tcPr>
            <w:tcW w:w="200" w:type="dxa"/>
            <w:vAlign w:val="bottom"/>
          </w:tcPr>
          <w:p>
            <w:pPr>
              <w:spacing w:after="0"/>
              <w:rPr>
                <w:sz w:val="13"/>
                <w:szCs w:val="13"/>
                <w:color w:val="auto"/>
              </w:rPr>
            </w:pPr>
          </w:p>
        </w:tc>
        <w:tc>
          <w:tcPr>
            <w:tcW w:w="1660" w:type="dxa"/>
            <w:vAlign w:val="bottom"/>
            <w:tcBorders>
              <w:right w:val="single" w:sz="8" w:color="auto"/>
            </w:tcBorders>
          </w:tcPr>
          <w:p>
            <w:pPr>
              <w:jc w:val="center"/>
              <w:ind w:right="51"/>
              <w:spacing w:after="0" w:line="158" w:lineRule="exact"/>
              <w:rPr>
                <w:sz w:val="20"/>
                <w:szCs w:val="20"/>
                <w:color w:val="auto"/>
              </w:rPr>
            </w:pPr>
            <w:r>
              <w:rPr>
                <w:rFonts w:ascii="Arial" w:cs="Arial" w:eastAsia="Arial" w:hAnsi="Arial"/>
                <w:sz w:val="14"/>
                <w:szCs w:val="14"/>
                <w:b w:val="1"/>
                <w:bCs w:val="1"/>
                <w:color w:val="auto"/>
                <w:w w:val="94"/>
              </w:rPr>
              <w:t>Maximum Aggregate</w:t>
            </w:r>
          </w:p>
        </w:tc>
        <w:tc>
          <w:tcPr>
            <w:tcW w:w="1640" w:type="dxa"/>
            <w:vAlign w:val="bottom"/>
          </w:tcPr>
          <w:p>
            <w:pPr>
              <w:jc w:val="center"/>
              <w:ind w:left="28"/>
              <w:spacing w:after="0" w:line="158" w:lineRule="exact"/>
              <w:rPr>
                <w:sz w:val="20"/>
                <w:szCs w:val="20"/>
                <w:color w:val="auto"/>
              </w:rPr>
            </w:pPr>
            <w:r>
              <w:rPr>
                <w:rFonts w:ascii="Arial" w:cs="Arial" w:eastAsia="Arial" w:hAnsi="Arial"/>
                <w:sz w:val="14"/>
                <w:szCs w:val="14"/>
                <w:b w:val="1"/>
                <w:bCs w:val="1"/>
                <w:color w:val="auto"/>
                <w:w w:val="94"/>
              </w:rPr>
              <w:t>Amount of</w:t>
            </w:r>
          </w:p>
        </w:tc>
      </w:tr>
      <w:tr>
        <w:trPr>
          <w:trHeight w:val="176"/>
        </w:trPr>
        <w:tc>
          <w:tcPr>
            <w:tcW w:w="30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spacing w:after="0"/>
              <w:rPr>
                <w:sz w:val="15"/>
                <w:szCs w:val="15"/>
                <w:color w:val="auto"/>
              </w:rPr>
            </w:pPr>
          </w:p>
        </w:tc>
        <w:tc>
          <w:tcPr>
            <w:tcW w:w="3120" w:type="dxa"/>
            <w:vAlign w:val="bottom"/>
            <w:tcBorders>
              <w:bottom w:val="single" w:sz="8" w:color="auto"/>
              <w:right w:val="single" w:sz="8" w:color="auto"/>
            </w:tcBorders>
          </w:tcPr>
          <w:p>
            <w:pPr>
              <w:jc w:val="center"/>
              <w:ind w:right="1068"/>
              <w:spacing w:after="0"/>
              <w:rPr>
                <w:sz w:val="20"/>
                <w:szCs w:val="20"/>
                <w:color w:val="auto"/>
              </w:rPr>
            </w:pPr>
            <w:r>
              <w:rPr>
                <w:rFonts w:ascii="Arial" w:cs="Arial" w:eastAsia="Arial" w:hAnsi="Arial"/>
                <w:sz w:val="14"/>
                <w:szCs w:val="14"/>
                <w:b w:val="1"/>
                <w:bCs w:val="1"/>
                <w:color w:val="auto"/>
                <w:w w:val="89"/>
              </w:rPr>
              <w:t>Securities to be Registered</w:t>
            </w:r>
          </w:p>
        </w:tc>
        <w:tc>
          <w:tcPr>
            <w:tcW w:w="1540" w:type="dxa"/>
            <w:vAlign w:val="bottom"/>
            <w:tcBorders>
              <w:bottom w:val="single" w:sz="8" w:color="auto"/>
              <w:right w:val="single" w:sz="8" w:color="auto"/>
            </w:tcBorders>
          </w:tcPr>
          <w:p>
            <w:pPr>
              <w:ind w:left="400"/>
              <w:spacing w:after="0"/>
              <w:rPr>
                <w:sz w:val="20"/>
                <w:szCs w:val="20"/>
                <w:color w:val="auto"/>
              </w:rPr>
            </w:pPr>
            <w:r>
              <w:rPr>
                <w:rFonts w:ascii="Arial" w:cs="Arial" w:eastAsia="Arial" w:hAnsi="Arial"/>
                <w:sz w:val="14"/>
                <w:szCs w:val="14"/>
                <w:b w:val="1"/>
                <w:bCs w:val="1"/>
                <w:color w:val="auto"/>
              </w:rPr>
              <w:t>Registered(1)</w:t>
            </w:r>
          </w:p>
        </w:tc>
        <w:tc>
          <w:tcPr>
            <w:tcW w:w="1760" w:type="dxa"/>
            <w:vAlign w:val="bottom"/>
            <w:tcBorders>
              <w:bottom w:val="single" w:sz="8" w:color="auto"/>
              <w:right w:val="single" w:sz="8" w:color="auto"/>
            </w:tcBorders>
          </w:tcPr>
          <w:p>
            <w:pPr>
              <w:jc w:val="center"/>
              <w:ind w:left="11"/>
              <w:spacing w:after="0"/>
              <w:rPr>
                <w:sz w:val="20"/>
                <w:szCs w:val="20"/>
                <w:color w:val="auto"/>
              </w:rPr>
            </w:pPr>
            <w:r>
              <w:rPr>
                <w:rFonts w:ascii="Arial" w:cs="Arial" w:eastAsia="Arial" w:hAnsi="Arial"/>
                <w:sz w:val="14"/>
                <w:szCs w:val="14"/>
                <w:b w:val="1"/>
                <w:bCs w:val="1"/>
                <w:color w:val="auto"/>
                <w:w w:val="92"/>
              </w:rPr>
              <w:t>Price Per Share</w:t>
            </w:r>
          </w:p>
        </w:tc>
        <w:tc>
          <w:tcPr>
            <w:tcW w:w="200" w:type="dxa"/>
            <w:vAlign w:val="bottom"/>
            <w:tcBorders>
              <w:bottom w:val="single" w:sz="8" w:color="auto"/>
            </w:tcBorders>
          </w:tcPr>
          <w:p>
            <w:pPr>
              <w:spacing w:after="0"/>
              <w:rPr>
                <w:sz w:val="15"/>
                <w:szCs w:val="15"/>
                <w:color w:val="auto"/>
              </w:rPr>
            </w:pPr>
          </w:p>
        </w:tc>
        <w:tc>
          <w:tcPr>
            <w:tcW w:w="1660" w:type="dxa"/>
            <w:vAlign w:val="bottom"/>
            <w:tcBorders>
              <w:bottom w:val="single" w:sz="8" w:color="auto"/>
              <w:right w:val="single" w:sz="8" w:color="auto"/>
            </w:tcBorders>
          </w:tcPr>
          <w:p>
            <w:pPr>
              <w:jc w:val="center"/>
              <w:ind w:right="51"/>
              <w:spacing w:after="0"/>
              <w:rPr>
                <w:sz w:val="20"/>
                <w:szCs w:val="20"/>
                <w:color w:val="auto"/>
              </w:rPr>
            </w:pPr>
            <w:r>
              <w:rPr>
                <w:rFonts w:ascii="Arial" w:cs="Arial" w:eastAsia="Arial" w:hAnsi="Arial"/>
                <w:sz w:val="14"/>
                <w:szCs w:val="14"/>
                <w:b w:val="1"/>
                <w:bCs w:val="1"/>
                <w:color w:val="auto"/>
                <w:w w:val="96"/>
              </w:rPr>
              <w:t>Offering Price(1)(2)</w:t>
            </w:r>
          </w:p>
        </w:tc>
        <w:tc>
          <w:tcPr>
            <w:tcW w:w="1640" w:type="dxa"/>
            <w:vAlign w:val="bottom"/>
            <w:tcBorders>
              <w:bottom w:val="single" w:sz="8" w:color="auto"/>
            </w:tcBorders>
          </w:tcPr>
          <w:p>
            <w:pPr>
              <w:jc w:val="center"/>
              <w:ind w:left="8"/>
              <w:spacing w:after="0"/>
              <w:rPr>
                <w:sz w:val="20"/>
                <w:szCs w:val="20"/>
                <w:color w:val="auto"/>
              </w:rPr>
            </w:pPr>
            <w:r>
              <w:rPr>
                <w:rFonts w:ascii="Arial" w:cs="Arial" w:eastAsia="Arial" w:hAnsi="Arial"/>
                <w:sz w:val="14"/>
                <w:szCs w:val="14"/>
                <w:b w:val="1"/>
                <w:bCs w:val="1"/>
                <w:color w:val="auto"/>
                <w:w w:val="91"/>
              </w:rPr>
              <w:t>Registration Fee</w:t>
            </w:r>
          </w:p>
        </w:tc>
      </w:tr>
      <w:tr>
        <w:trPr>
          <w:trHeight w:val="142"/>
        </w:trPr>
        <w:tc>
          <w:tcPr>
            <w:tcW w:w="4220" w:type="dxa"/>
            <w:vAlign w:val="bottom"/>
            <w:tcBorders>
              <w:bottom w:val="single" w:sz="8" w:color="auto"/>
              <w:right w:val="single" w:sz="8" w:color="auto"/>
            </w:tcBorders>
            <w:gridSpan w:val="3"/>
          </w:tcPr>
          <w:p>
            <w:pPr>
              <w:spacing w:after="0" w:line="142" w:lineRule="exact"/>
              <w:rPr>
                <w:sz w:val="20"/>
                <w:szCs w:val="20"/>
                <w:color w:val="auto"/>
              </w:rPr>
            </w:pPr>
            <w:r>
              <w:rPr>
                <w:rFonts w:ascii="Arial" w:cs="Arial" w:eastAsia="Arial" w:hAnsi="Arial"/>
                <w:sz w:val="14"/>
                <w:szCs w:val="14"/>
                <w:color w:val="auto"/>
              </w:rPr>
              <w:t>Class A common stock, $0.001 par value per share</w:t>
            </w:r>
          </w:p>
        </w:tc>
        <w:tc>
          <w:tcPr>
            <w:tcW w:w="1540" w:type="dxa"/>
            <w:vAlign w:val="bottom"/>
            <w:tcBorders>
              <w:bottom w:val="single" w:sz="8" w:color="auto"/>
              <w:right w:val="single" w:sz="8" w:color="auto"/>
            </w:tcBorders>
          </w:tcPr>
          <w:p>
            <w:pPr>
              <w:spacing w:after="0"/>
              <w:rPr>
                <w:sz w:val="12"/>
                <w:szCs w:val="12"/>
                <w:color w:val="auto"/>
              </w:rPr>
            </w:pPr>
          </w:p>
        </w:tc>
        <w:tc>
          <w:tcPr>
            <w:tcW w:w="1760" w:type="dxa"/>
            <w:vAlign w:val="bottom"/>
            <w:tcBorders>
              <w:bottom w:val="single" w:sz="8" w:color="auto"/>
              <w:right w:val="single" w:sz="8" w:color="auto"/>
            </w:tcBorders>
          </w:tcPr>
          <w:p>
            <w:pPr>
              <w:jc w:val="right"/>
              <w:ind w:right="951"/>
              <w:spacing w:after="0" w:line="142" w:lineRule="exact"/>
              <w:rPr>
                <w:sz w:val="20"/>
                <w:szCs w:val="20"/>
                <w:color w:val="auto"/>
              </w:rPr>
            </w:pPr>
            <w:r>
              <w:rPr>
                <w:rFonts w:ascii="Arial" w:cs="Arial" w:eastAsia="Arial" w:hAnsi="Arial"/>
                <w:sz w:val="14"/>
                <w:szCs w:val="14"/>
                <w:color w:val="auto"/>
              </w:rPr>
              <w:t>$</w:t>
            </w:r>
          </w:p>
        </w:tc>
        <w:tc>
          <w:tcPr>
            <w:tcW w:w="200" w:type="dxa"/>
            <w:vAlign w:val="bottom"/>
            <w:tcBorders>
              <w:bottom w:val="single" w:sz="8" w:color="auto"/>
            </w:tcBorders>
          </w:tcPr>
          <w:p>
            <w:pPr>
              <w:spacing w:after="0"/>
              <w:rPr>
                <w:sz w:val="12"/>
                <w:szCs w:val="12"/>
                <w:color w:val="auto"/>
              </w:rPr>
            </w:pPr>
          </w:p>
        </w:tc>
        <w:tc>
          <w:tcPr>
            <w:tcW w:w="1660" w:type="dxa"/>
            <w:vAlign w:val="bottom"/>
            <w:tcBorders>
              <w:bottom w:val="single" w:sz="8" w:color="auto"/>
              <w:right w:val="single" w:sz="8" w:color="auto"/>
            </w:tcBorders>
          </w:tcPr>
          <w:p>
            <w:pPr>
              <w:jc w:val="right"/>
              <w:ind w:right="1011"/>
              <w:spacing w:after="0" w:line="142" w:lineRule="exact"/>
              <w:rPr>
                <w:sz w:val="20"/>
                <w:szCs w:val="20"/>
                <w:color w:val="auto"/>
              </w:rPr>
            </w:pPr>
            <w:r>
              <w:rPr>
                <w:rFonts w:ascii="Arial" w:cs="Arial" w:eastAsia="Arial" w:hAnsi="Arial"/>
                <w:sz w:val="14"/>
                <w:szCs w:val="14"/>
                <w:color w:val="auto"/>
              </w:rPr>
              <w:t>$</w:t>
            </w:r>
          </w:p>
        </w:tc>
        <w:tc>
          <w:tcPr>
            <w:tcW w:w="1640" w:type="dxa"/>
            <w:vAlign w:val="bottom"/>
            <w:tcBorders>
              <w:bottom w:val="single" w:sz="8" w:color="auto"/>
            </w:tcBorders>
          </w:tcPr>
          <w:p>
            <w:pPr>
              <w:jc w:val="right"/>
              <w:ind w:right="888"/>
              <w:spacing w:after="0" w:line="142" w:lineRule="exact"/>
              <w:rPr>
                <w:sz w:val="20"/>
                <w:szCs w:val="20"/>
                <w:color w:val="auto"/>
              </w:rPr>
            </w:pPr>
            <w:r>
              <w:rPr>
                <w:rFonts w:ascii="Arial" w:cs="Arial" w:eastAsia="Arial" w:hAnsi="Arial"/>
                <w:sz w:val="14"/>
                <w:szCs w:val="14"/>
                <w:color w:val="auto"/>
              </w:rPr>
              <w:t>$</w:t>
            </w:r>
          </w:p>
        </w:tc>
      </w:tr>
      <w:tr>
        <w:trPr>
          <w:trHeight w:val="20"/>
        </w:trPr>
        <w:tc>
          <w:tcPr>
            <w:tcW w:w="3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312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r>
      <w:tr>
        <w:trPr>
          <w:trHeight w:val="136"/>
        </w:trPr>
        <w:tc>
          <w:tcPr>
            <w:tcW w:w="300" w:type="dxa"/>
            <w:vAlign w:val="bottom"/>
          </w:tcPr>
          <w:p>
            <w:pPr>
              <w:spacing w:after="0" w:line="136" w:lineRule="exact"/>
              <w:rPr>
                <w:sz w:val="20"/>
                <w:szCs w:val="20"/>
                <w:color w:val="auto"/>
              </w:rPr>
            </w:pPr>
            <w:r>
              <w:rPr>
                <w:rFonts w:ascii="Arial" w:cs="Arial" w:eastAsia="Arial" w:hAnsi="Arial"/>
                <w:sz w:val="14"/>
                <w:szCs w:val="14"/>
                <w:color w:val="auto"/>
              </w:rPr>
              <w:t>(1)</w:t>
            </w:r>
          </w:p>
        </w:tc>
        <w:tc>
          <w:tcPr>
            <w:tcW w:w="800" w:type="dxa"/>
            <w:vAlign w:val="bottom"/>
          </w:tcPr>
          <w:p>
            <w:pPr>
              <w:ind w:left="120"/>
              <w:spacing w:after="0" w:line="136" w:lineRule="exact"/>
              <w:rPr>
                <w:sz w:val="20"/>
                <w:szCs w:val="20"/>
                <w:color w:val="auto"/>
              </w:rPr>
            </w:pPr>
            <w:r>
              <w:rPr>
                <w:rFonts w:ascii="Arial" w:cs="Arial" w:eastAsia="Arial" w:hAnsi="Arial"/>
                <w:sz w:val="14"/>
                <w:szCs w:val="14"/>
                <w:color w:val="auto"/>
              </w:rPr>
              <w:t>Includes</w:t>
            </w:r>
          </w:p>
        </w:tc>
        <w:tc>
          <w:tcPr>
            <w:tcW w:w="6620" w:type="dxa"/>
            <w:vAlign w:val="bottom"/>
            <w:gridSpan w:val="4"/>
          </w:tcPr>
          <w:p>
            <w:pPr>
              <w:ind w:left="420"/>
              <w:spacing w:after="0" w:line="136" w:lineRule="exact"/>
              <w:rPr>
                <w:sz w:val="20"/>
                <w:szCs w:val="20"/>
                <w:color w:val="auto"/>
              </w:rPr>
            </w:pPr>
            <w:r>
              <w:rPr>
                <w:rFonts w:ascii="Arial" w:cs="Arial" w:eastAsia="Arial" w:hAnsi="Arial"/>
                <w:sz w:val="14"/>
                <w:szCs w:val="14"/>
                <w:color w:val="auto"/>
                <w:w w:val="93"/>
              </w:rPr>
              <w:t>shares of Class A common stock that are subject to the underwriters’ option to purchase additional shares.</w:t>
            </w:r>
          </w:p>
        </w:tc>
        <w:tc>
          <w:tcPr>
            <w:tcW w:w="1660" w:type="dxa"/>
            <w:vAlign w:val="bottom"/>
          </w:tcPr>
          <w:p>
            <w:pPr>
              <w:spacing w:after="0"/>
              <w:rPr>
                <w:sz w:val="11"/>
                <w:szCs w:val="11"/>
                <w:color w:val="auto"/>
              </w:rPr>
            </w:pPr>
          </w:p>
        </w:tc>
        <w:tc>
          <w:tcPr>
            <w:tcW w:w="1640" w:type="dxa"/>
            <w:vAlign w:val="bottom"/>
          </w:tcPr>
          <w:p>
            <w:pPr>
              <w:spacing w:after="0"/>
              <w:rPr>
                <w:sz w:val="11"/>
                <w:szCs w:val="11"/>
                <w:color w:val="auto"/>
              </w:rPr>
            </w:pPr>
          </w:p>
        </w:tc>
      </w:tr>
    </w:tbl>
    <w:p>
      <w:pPr>
        <w:ind w:left="540" w:right="80" w:hanging="424"/>
        <w:spacing w:after="0" w:line="258" w:lineRule="auto"/>
        <w:tabs>
          <w:tab w:leader="none" w:pos="540" w:val="left"/>
        </w:tabs>
        <w:numPr>
          <w:ilvl w:val="0"/>
          <w:numId w:val="1"/>
        </w:numPr>
        <w:rPr>
          <w:rFonts w:ascii="Arial" w:cs="Arial" w:eastAsia="Arial" w:hAnsi="Arial"/>
          <w:sz w:val="12"/>
          <w:szCs w:val="12"/>
          <w:color w:val="auto"/>
        </w:rPr>
      </w:pPr>
      <w:r>
        <w:rPr>
          <w:rFonts w:ascii="Arial" w:cs="Arial" w:eastAsia="Arial" w:hAnsi="Arial"/>
          <w:sz w:val="12"/>
          <w:szCs w:val="12"/>
          <w:color w:val="auto"/>
        </w:rPr>
        <w:t>Estimated solely for the purpose of computing the amount of the registration fee in accordance with Rule 457(c) under the Securities Act of 1933, as amended. The proposed maximum offering price per share and proposed maximum aggregate offering price are based on the average of the high and low sales prices of the registrant’s Class A common stock</w:t>
      </w:r>
    </w:p>
    <w:tbl>
      <w:tblPr>
        <w:tblLayout w:type="fixed"/>
        <w:tblInd w:w="540" w:type="dxa"/>
        <w:tblCellMar>
          <w:top w:w="0" w:type="dxa"/>
          <w:left w:w="0" w:type="dxa"/>
          <w:bottom w:w="0" w:type="dxa"/>
          <w:right w:w="0" w:type="dxa"/>
        </w:tblCellMar>
      </w:tblPr>
      <w:tr>
        <w:trPr>
          <w:trHeight w:val="182"/>
        </w:trPr>
        <w:tc>
          <w:tcPr>
            <w:tcW w:w="3320" w:type="dxa"/>
            <w:vAlign w:val="bottom"/>
          </w:tcPr>
          <w:p>
            <w:pPr>
              <w:spacing w:after="0"/>
              <w:rPr>
                <w:sz w:val="20"/>
                <w:szCs w:val="20"/>
                <w:color w:val="auto"/>
              </w:rPr>
            </w:pPr>
            <w:r>
              <w:rPr>
                <w:rFonts w:ascii="Arial" w:cs="Arial" w:eastAsia="Arial" w:hAnsi="Arial"/>
                <w:sz w:val="14"/>
                <w:szCs w:val="14"/>
                <w:color w:val="auto"/>
              </w:rPr>
              <w:t>as reported on the Nasdaq Global Select Market on</w:t>
            </w:r>
          </w:p>
        </w:tc>
        <w:tc>
          <w:tcPr>
            <w:tcW w:w="780" w:type="dxa"/>
            <w:vAlign w:val="bottom"/>
          </w:tcPr>
          <w:p>
            <w:pPr>
              <w:jc w:val="right"/>
              <w:spacing w:after="0"/>
              <w:rPr>
                <w:sz w:val="20"/>
                <w:szCs w:val="20"/>
                <w:color w:val="auto"/>
              </w:rPr>
            </w:pPr>
            <w:r>
              <w:rPr>
                <w:rFonts w:ascii="Arial" w:cs="Arial" w:eastAsia="Arial" w:hAnsi="Arial"/>
                <w:sz w:val="14"/>
                <w:szCs w:val="14"/>
                <w:color w:val="auto"/>
              </w:rPr>
              <w:t>, 2021.</w:t>
            </w:r>
          </w:p>
        </w:tc>
      </w:tr>
    </w:tbl>
    <w:p>
      <w:pPr>
        <w:spacing w:after="0" w:line="18" w:lineRule="exact"/>
        <w:rPr>
          <w:sz w:val="24"/>
          <w:szCs w:val="24"/>
          <w:color w:val="auto"/>
        </w:rPr>
      </w:pPr>
    </w:p>
    <w:p>
      <w:pPr>
        <w:ind w:left="120" w:right="80" w:firstLine="440"/>
        <w:spacing w:after="0" w:line="267" w:lineRule="auto"/>
        <w:rPr>
          <w:sz w:val="20"/>
          <w:szCs w:val="20"/>
          <w:color w:val="auto"/>
        </w:rPr>
      </w:pPr>
      <w:r>
        <w:rPr>
          <w:rFonts w:ascii="Arial" w:cs="Arial" w:eastAsia="Arial" w:hAnsi="Arial"/>
          <w:sz w:val="13"/>
          <w:szCs w:val="13"/>
          <w:b w:val="1"/>
          <w:bCs w:val="1"/>
          <w:color w:val="auto"/>
        </w:rPr>
        <w:t>The Registrant hereby amends this Registration Statement on such date or dates as may be necessary to delay its effective date until the Registrant shall file a further amendment which specifically states that this Registration Statement shall thereafter become effective in accordance with Section 8(a) of the Securities Act of 1933, as amended, or until the Registration Statement shall become effective on such date as the Commission, acting pursuant to said Section 8(a), may determine.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73660</wp:posOffset>
            </wp:positionH>
            <wp:positionV relativeFrom="paragraph">
              <wp:posOffset>40640</wp:posOffset>
            </wp:positionV>
            <wp:extent cx="699516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83185</wp:posOffset>
            </wp:positionV>
            <wp:extent cx="699516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1140"/>
          </w:cols>
          <w:pgMar w:left="320" w:top="230" w:right="439" w:bottom="1440" w:gutter="0" w:footer="0" w:header="0"/>
        </w:sectPr>
      </w:pPr>
    </w:p>
    <w:bookmarkStart w:id="1" w:name="page2"/>
    <w:bookmarkEnd w:id="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Confidential Treatment Requested by Definitive Healthcare Corp.</w:t>
      </w:r>
    </w:p>
    <w:p>
      <w:pPr>
        <w:spacing w:after="0" w:line="27"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Pursuant to 17 C.F.R. Section 200.83</w:t>
      </w:r>
    </w:p>
    <w:p>
      <w:pPr>
        <w:spacing w:after="0" w:line="139" w:lineRule="exact"/>
        <w:rPr>
          <w:sz w:val="20"/>
          <w:szCs w:val="20"/>
          <w:color w:val="auto"/>
        </w:rPr>
      </w:pPr>
    </w:p>
    <w:p>
      <w:pPr>
        <w:ind w:left="120" w:right="40"/>
        <w:spacing w:after="0" w:line="289" w:lineRule="auto"/>
        <w:rPr>
          <w:sz w:val="20"/>
          <w:szCs w:val="20"/>
          <w:color w:val="auto"/>
        </w:rPr>
      </w:pPr>
      <w:r>
        <w:rPr>
          <w:rFonts w:ascii="Arial" w:cs="Arial" w:eastAsia="Arial" w:hAnsi="Arial"/>
          <w:sz w:val="17"/>
          <w:szCs w:val="17"/>
          <w:b w:val="1"/>
          <w:bCs w:val="1"/>
          <w:color w:val="FF4338"/>
        </w:rPr>
        <w:t>The information in this preliminary prospectus is not complete and may be changed. We may not sell these securities until the registration statement filed with the Securities and Exchange Commission is effective. This preliminary prospectus is not an offer to sell these securities and it is not soliciting an offer to buy these securities in any state where the offer or sale is not permitted.</w:t>
      </w:r>
    </w:p>
    <w:p>
      <w:pPr>
        <w:spacing w:after="0" w:line="90" w:lineRule="exact"/>
        <w:rPr>
          <w:sz w:val="20"/>
          <w:szCs w:val="20"/>
          <w:color w:val="auto"/>
        </w:rPr>
      </w:pPr>
    </w:p>
    <w:tbl>
      <w:tblPr>
        <w:tblLayout w:type="fixed"/>
        <w:tblInd w:w="3800" w:type="dxa"/>
        <w:tblCellMar>
          <w:top w:w="0" w:type="dxa"/>
          <w:left w:w="0" w:type="dxa"/>
          <w:bottom w:w="0" w:type="dxa"/>
          <w:right w:w="0" w:type="dxa"/>
        </w:tblCellMar>
      </w:tblPr>
      <w:tr>
        <w:trPr>
          <w:trHeight w:val="231"/>
        </w:trPr>
        <w:tc>
          <w:tcPr>
            <w:tcW w:w="2740" w:type="dxa"/>
            <w:vAlign w:val="bottom"/>
          </w:tcPr>
          <w:p>
            <w:pPr>
              <w:spacing w:after="0"/>
              <w:rPr>
                <w:sz w:val="20"/>
                <w:szCs w:val="20"/>
                <w:color w:val="auto"/>
              </w:rPr>
            </w:pPr>
            <w:r>
              <w:rPr>
                <w:rFonts w:ascii="Arial" w:cs="Arial" w:eastAsia="Arial" w:hAnsi="Arial"/>
                <w:sz w:val="18"/>
                <w:szCs w:val="18"/>
                <w:b w:val="1"/>
                <w:bCs w:val="1"/>
                <w:color w:val="FF4338"/>
              </w:rPr>
              <w:t>Subject to Completion, Dated</w:t>
            </w:r>
          </w:p>
        </w:tc>
        <w:tc>
          <w:tcPr>
            <w:tcW w:w="920" w:type="dxa"/>
            <w:vAlign w:val="bottom"/>
          </w:tcPr>
          <w:p>
            <w:pPr>
              <w:jc w:val="right"/>
              <w:spacing w:after="0"/>
              <w:rPr>
                <w:sz w:val="20"/>
                <w:szCs w:val="20"/>
                <w:color w:val="auto"/>
              </w:rPr>
            </w:pPr>
            <w:r>
              <w:rPr>
                <w:rFonts w:ascii="Arial" w:cs="Arial" w:eastAsia="Arial" w:hAnsi="Arial"/>
                <w:sz w:val="18"/>
                <w:szCs w:val="18"/>
                <w:b w:val="1"/>
                <w:bCs w:val="1"/>
                <w:color w:val="FF4338"/>
              </w:rPr>
              <w:t>, 2021</w:t>
            </w:r>
          </w:p>
        </w:tc>
      </w:tr>
    </w:tbl>
    <w:p>
      <w:pPr>
        <w:ind w:left="120"/>
        <w:spacing w:after="0"/>
        <w:rPr>
          <w:sz w:val="20"/>
          <w:szCs w:val="20"/>
          <w:color w:val="auto"/>
        </w:rPr>
      </w:pPr>
      <w:r>
        <w:rPr>
          <w:rFonts w:ascii="Arial" w:cs="Arial" w:eastAsia="Arial" w:hAnsi="Arial"/>
          <w:sz w:val="17"/>
          <w:szCs w:val="17"/>
          <w:b w:val="1"/>
          <w:bCs w:val="1"/>
          <w:color w:val="auto"/>
        </w:rPr>
        <w:t>PRELIMINARY PROSPECTUS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2499360</wp:posOffset>
            </wp:positionH>
            <wp:positionV relativeFrom="paragraph">
              <wp:posOffset>83820</wp:posOffset>
            </wp:positionV>
            <wp:extent cx="2143125" cy="43688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2143125" cy="4368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ind w:left="5800"/>
        <w:spacing w:after="0"/>
        <w:rPr>
          <w:sz w:val="20"/>
          <w:szCs w:val="20"/>
          <w:color w:val="auto"/>
        </w:rPr>
      </w:pPr>
      <w:r>
        <w:rPr>
          <w:rFonts w:ascii="Arial" w:cs="Arial" w:eastAsia="Arial" w:hAnsi="Arial"/>
          <w:sz w:val="25"/>
          <w:szCs w:val="25"/>
          <w:b w:val="1"/>
          <w:bCs w:val="1"/>
          <w:color w:val="auto"/>
        </w:rPr>
        <w:t>Shares</w:t>
      </w:r>
    </w:p>
    <w:p>
      <w:pPr>
        <w:spacing w:after="0" w:line="45" w:lineRule="exact"/>
        <w:rPr>
          <w:sz w:val="20"/>
          <w:szCs w:val="20"/>
          <w:color w:val="auto"/>
        </w:rPr>
      </w:pPr>
    </w:p>
    <w:p>
      <w:pPr>
        <w:jc w:val="center"/>
        <w:ind w:right="-139"/>
        <w:spacing w:after="0"/>
        <w:rPr>
          <w:sz w:val="20"/>
          <w:szCs w:val="20"/>
          <w:color w:val="auto"/>
        </w:rPr>
      </w:pPr>
      <w:r>
        <w:rPr>
          <w:rFonts w:ascii="Arial" w:cs="Arial" w:eastAsia="Arial" w:hAnsi="Arial"/>
          <w:sz w:val="32"/>
          <w:szCs w:val="32"/>
          <w:b w:val="1"/>
          <w:bCs w:val="1"/>
          <w:color w:val="auto"/>
        </w:rPr>
        <w:t>Definitive Healthcare Corp.</w:t>
      </w:r>
    </w:p>
    <w:p>
      <w:pPr>
        <w:spacing w:after="0" w:line="64" w:lineRule="exact"/>
        <w:rPr>
          <w:sz w:val="20"/>
          <w:szCs w:val="20"/>
          <w:color w:val="auto"/>
        </w:rPr>
      </w:pPr>
    </w:p>
    <w:p>
      <w:pPr>
        <w:jc w:val="center"/>
        <w:ind w:right="-139"/>
        <w:spacing w:after="0"/>
        <w:rPr>
          <w:sz w:val="20"/>
          <w:szCs w:val="20"/>
          <w:color w:val="auto"/>
        </w:rPr>
      </w:pPr>
      <w:r>
        <w:rPr>
          <w:rFonts w:ascii="Arial" w:cs="Arial" w:eastAsia="Arial" w:hAnsi="Arial"/>
          <w:sz w:val="22"/>
          <w:szCs w:val="22"/>
          <w:b w:val="1"/>
          <w:bCs w:val="1"/>
          <w:color w:val="auto"/>
        </w:rPr>
        <w:t>Class A 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2834005</wp:posOffset>
            </wp:positionH>
            <wp:positionV relativeFrom="paragraph">
              <wp:posOffset>130810</wp:posOffset>
            </wp:positionV>
            <wp:extent cx="147447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36" w:lineRule="exact"/>
        <w:rPr>
          <w:sz w:val="20"/>
          <w:szCs w:val="20"/>
          <w:color w:val="auto"/>
        </w:rPr>
      </w:pPr>
    </w:p>
    <w:p>
      <w:pPr>
        <w:ind w:left="120" w:right="180" w:firstLine="440"/>
        <w:spacing w:after="0" w:line="257" w:lineRule="auto"/>
        <w:rPr>
          <w:sz w:val="20"/>
          <w:szCs w:val="20"/>
          <w:color w:val="auto"/>
        </w:rPr>
      </w:pPr>
      <w:r>
        <w:rPr>
          <w:rFonts w:ascii="Arial" w:cs="Arial" w:eastAsia="Arial" w:hAnsi="Arial"/>
          <w:sz w:val="17"/>
          <w:szCs w:val="17"/>
          <w:color w:val="auto"/>
        </w:rPr>
        <w:t>We are offering shares of Class A common stock of Definitive Healthcare Corp. Our Class A common stock is listed on Nasdaq Global Select Market (“Nasdaq”) under the symbol “DH.” On , 2021, the last sale price of our common stock as reported on Nasdaq was $ per share. In</w:t>
      </w:r>
    </w:p>
    <w:p>
      <w:pPr>
        <w:ind w:left="120" w:right="100"/>
        <w:spacing w:after="0" w:line="257" w:lineRule="auto"/>
        <w:rPr>
          <w:sz w:val="20"/>
          <w:szCs w:val="20"/>
          <w:color w:val="auto"/>
        </w:rPr>
      </w:pPr>
      <w:r>
        <w:rPr>
          <w:rFonts w:ascii="Arial" w:cs="Arial" w:eastAsia="Arial" w:hAnsi="Arial"/>
          <w:sz w:val="17"/>
          <w:szCs w:val="17"/>
          <w:color w:val="auto"/>
        </w:rPr>
        <w:t>this prospectus, unless the context otherwise requires, “Definitive,” the “Company,” “we,” “us” and “our” refer to Definitive Healthcare Corp, Definitive OpCo and their subsidiaries.</w:t>
      </w:r>
    </w:p>
    <w:p>
      <w:pPr>
        <w:spacing w:after="0" w:line="27" w:lineRule="exact"/>
        <w:rPr>
          <w:sz w:val="20"/>
          <w:szCs w:val="20"/>
          <w:color w:val="auto"/>
        </w:rPr>
      </w:pPr>
    </w:p>
    <w:p>
      <w:pPr>
        <w:ind w:left="120" w:right="40" w:firstLine="440"/>
        <w:spacing w:after="0" w:line="253" w:lineRule="auto"/>
        <w:rPr>
          <w:sz w:val="20"/>
          <w:szCs w:val="20"/>
          <w:color w:val="auto"/>
        </w:rPr>
      </w:pPr>
      <w:r>
        <w:rPr>
          <w:rFonts w:ascii="Arial" w:cs="Arial" w:eastAsia="Arial" w:hAnsi="Arial"/>
          <w:sz w:val="17"/>
          <w:szCs w:val="17"/>
          <w:color w:val="auto"/>
        </w:rPr>
        <w:t>We have two classes of common stock: Class A common stock and Class B common stock. Holders of shares of our Class A common stock are entitled to one vote for each share of Class A common stock held of record on all matters on which stockholders are entitled to vote generally. Holders of shares of our Class B common stock are entitled to one vote for each share of Class B common stock held of record on all matters on which stockholders of Definitive Healthcare Corp. are entitled to vote generally. See “Description of Capital Stock.” The number of outstanding LLC Units (as defined herein) of Definitive OpCo will equal the aggregate number of outstanding shares of Class A common stock and Class B common stock. See “Prospectus Summary—Organizational Structure.”</w:t>
      </w:r>
    </w:p>
    <w:p>
      <w:pPr>
        <w:spacing w:after="0" w:line="33" w:lineRule="exact"/>
        <w:rPr>
          <w:sz w:val="20"/>
          <w:szCs w:val="20"/>
          <w:color w:val="auto"/>
        </w:rPr>
      </w:pPr>
    </w:p>
    <w:p>
      <w:pPr>
        <w:ind w:left="120" w:right="60" w:firstLine="440"/>
        <w:spacing w:after="0" w:line="261" w:lineRule="auto"/>
        <w:rPr>
          <w:sz w:val="20"/>
          <w:szCs w:val="20"/>
          <w:color w:val="auto"/>
        </w:rPr>
      </w:pPr>
      <w:r>
        <w:rPr>
          <w:rFonts w:ascii="Arial" w:cs="Arial" w:eastAsia="Arial" w:hAnsi="Arial"/>
          <w:sz w:val="17"/>
          <w:szCs w:val="17"/>
          <w:color w:val="auto"/>
        </w:rPr>
        <w:t>As a result, certain Unitholders will be able to significantly influence any action requiring the general approval of our stockholders, including the election of our board of directors, the adoption of amendments to our certificate of incorporation and bylaws and the approval of any merger or sale of the Company or substantially all of our assets. See “Management.”</w:t>
      </w:r>
    </w:p>
    <w:p>
      <w:pPr>
        <w:spacing w:after="0" w:line="24" w:lineRule="exact"/>
        <w:rPr>
          <w:sz w:val="20"/>
          <w:szCs w:val="20"/>
          <w:color w:val="auto"/>
        </w:rPr>
      </w:pPr>
    </w:p>
    <w:p>
      <w:pPr>
        <w:ind w:left="560"/>
        <w:spacing w:after="0"/>
        <w:rPr>
          <w:sz w:val="20"/>
          <w:szCs w:val="20"/>
          <w:color w:val="auto"/>
        </w:rPr>
      </w:pPr>
      <w:r>
        <w:rPr>
          <w:rFonts w:ascii="Arial" w:cs="Arial" w:eastAsia="Arial" w:hAnsi="Arial"/>
          <w:sz w:val="15"/>
          <w:szCs w:val="15"/>
          <w:color w:val="auto"/>
        </w:rPr>
        <w:t>We intend to use all of the net proceeds from this offering (including from any exercise by the underwriters of their option to purchase additional shares of</w:t>
      </w:r>
    </w:p>
    <w:p>
      <w:pPr>
        <w:spacing w:after="0" w:line="44" w:lineRule="exact"/>
        <w:rPr>
          <w:sz w:val="20"/>
          <w:szCs w:val="20"/>
          <w:color w:val="auto"/>
        </w:rPr>
      </w:pPr>
    </w:p>
    <w:p>
      <w:pPr>
        <w:ind w:left="120"/>
        <w:spacing w:after="0"/>
        <w:tabs>
          <w:tab w:leader="none" w:pos="7520" w:val="left"/>
        </w:tabs>
        <w:rPr>
          <w:sz w:val="20"/>
          <w:szCs w:val="20"/>
          <w:color w:val="auto"/>
        </w:rPr>
      </w:pPr>
      <w:r>
        <w:rPr>
          <w:rFonts w:ascii="Arial" w:cs="Arial" w:eastAsia="Arial" w:hAnsi="Arial"/>
          <w:sz w:val="17"/>
          <w:szCs w:val="17"/>
          <w:color w:val="auto"/>
        </w:rPr>
        <w:t>Class A common stock) to (i) purchase newly issued LLC Units from Definitive OpCo, (ii) purchase</w:t>
      </w:r>
      <w:r>
        <w:rPr>
          <w:sz w:val="20"/>
          <w:szCs w:val="20"/>
          <w:color w:val="auto"/>
        </w:rPr>
        <w:tab/>
      </w:r>
      <w:r>
        <w:rPr>
          <w:rFonts w:ascii="Arial" w:cs="Arial" w:eastAsia="Arial" w:hAnsi="Arial"/>
          <w:sz w:val="15"/>
          <w:szCs w:val="15"/>
          <w:color w:val="auto"/>
        </w:rPr>
        <w:t>LLC Units from certain Unitholders, and</w:t>
      </w:r>
    </w:p>
    <w:p>
      <w:pPr>
        <w:spacing w:after="0" w:line="7" w:lineRule="exact"/>
        <w:rPr>
          <w:sz w:val="20"/>
          <w:szCs w:val="20"/>
          <w:color w:val="auto"/>
        </w:rPr>
      </w:pPr>
    </w:p>
    <w:p>
      <w:pPr>
        <w:ind w:left="120" w:right="180" w:hanging="4"/>
        <w:spacing w:after="0" w:line="251" w:lineRule="auto"/>
        <w:tabs>
          <w:tab w:leader="none" w:pos="419" w:val="left"/>
        </w:tabs>
        <w:numPr>
          <w:ilvl w:val="0"/>
          <w:numId w:val="2"/>
        </w:numPr>
        <w:rPr>
          <w:rFonts w:ascii="Arial" w:cs="Arial" w:eastAsia="Arial" w:hAnsi="Arial"/>
          <w:sz w:val="17"/>
          <w:szCs w:val="17"/>
          <w:color w:val="auto"/>
        </w:rPr>
      </w:pPr>
      <w:r>
        <w:rPr>
          <w:rFonts w:ascii="Arial" w:cs="Arial" w:eastAsia="Arial" w:hAnsi="Arial"/>
          <w:sz w:val="17"/>
          <w:szCs w:val="17"/>
          <w:color w:val="auto"/>
        </w:rPr>
        <w:t>repurchase a portion of our Class A common stock from certain of the Blocker Companies’ Former Owners (as defined herein), in each case at a price per LLC Unit and share of Class A common stock, as applicable, equal to the public offering price of our Class A common stock minus underwriting discounts. Definitive OpCo expects to use the proceeds it receives from the issuance of the newly issued LLC Units as set forth in “Use of Proceeds.” See “Use of Proceeds” and “Certain Relationships and Related Party Transactions.”</w:t>
      </w:r>
    </w:p>
    <w:p>
      <w:pPr>
        <w:spacing w:after="0" w:line="32" w:lineRule="exact"/>
        <w:rPr>
          <w:sz w:val="20"/>
          <w:szCs w:val="20"/>
          <w:color w:val="auto"/>
        </w:rPr>
      </w:pPr>
    </w:p>
    <w:p>
      <w:pPr>
        <w:ind w:left="120" w:right="340" w:firstLine="440"/>
        <w:spacing w:after="0" w:line="274" w:lineRule="auto"/>
        <w:rPr>
          <w:sz w:val="20"/>
          <w:szCs w:val="20"/>
          <w:color w:val="auto"/>
        </w:rPr>
      </w:pPr>
      <w:r>
        <w:rPr>
          <w:rFonts w:ascii="Arial" w:cs="Arial" w:eastAsia="Arial" w:hAnsi="Arial"/>
          <w:sz w:val="17"/>
          <w:szCs w:val="17"/>
          <w:color w:val="auto"/>
        </w:rPr>
        <w:t>We are an “emerging growth company” as defined under the federal securities laws and, as such, will be subject to reduced public company reporting requirements. See “Prospectus Summary—Implications of Being an Emerging Growth Company.”</w:t>
      </w:r>
    </w:p>
    <w:p>
      <w:pPr>
        <w:spacing w:after="0" w:line="9" w:lineRule="exact"/>
        <w:rPr>
          <w:sz w:val="20"/>
          <w:szCs w:val="20"/>
          <w:color w:val="auto"/>
        </w:rPr>
      </w:pPr>
    </w:p>
    <w:p>
      <w:pPr>
        <w:ind w:left="120" w:right="260" w:firstLine="440"/>
        <w:spacing w:after="0" w:line="279" w:lineRule="auto"/>
        <w:rPr>
          <w:rFonts w:ascii="Arial" w:cs="Arial" w:eastAsia="Arial" w:hAnsi="Arial"/>
          <w:sz w:val="17"/>
          <w:szCs w:val="17"/>
          <w:b w:val="1"/>
          <w:bCs w:val="1"/>
          <w:color w:val="auto"/>
        </w:rPr>
      </w:pPr>
      <w:r>
        <w:rPr>
          <w:rFonts w:ascii="Arial" w:cs="Arial" w:eastAsia="Arial" w:hAnsi="Arial"/>
          <w:sz w:val="17"/>
          <w:szCs w:val="17"/>
          <w:b w:val="1"/>
          <w:bCs w:val="1"/>
          <w:color w:val="auto"/>
        </w:rPr>
        <w:t>Investing in our common stock involves risk. See “</w:t>
      </w:r>
      <w:hyperlink w:anchor="page35">
        <w:r>
          <w:rPr>
            <w:rFonts w:ascii="Arial" w:cs="Arial" w:eastAsia="Arial" w:hAnsi="Arial"/>
            <w:sz w:val="17"/>
            <w:szCs w:val="17"/>
            <w:b w:val="1"/>
            <w:bCs w:val="1"/>
            <w:u w:val="single" w:color="auto"/>
            <w:color w:val="0000EE"/>
          </w:rPr>
          <w:t>Risk Factors</w:t>
        </w:r>
      </w:hyperlink>
      <w:r>
        <w:rPr>
          <w:rFonts w:ascii="Arial" w:cs="Arial" w:eastAsia="Arial" w:hAnsi="Arial"/>
          <w:sz w:val="17"/>
          <w:szCs w:val="17"/>
          <w:b w:val="1"/>
          <w:bCs w:val="1"/>
          <w:color w:val="auto"/>
        </w:rPr>
        <w:t>” on page 28 to read about factors you should consider before buying shares of our Class A 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2834005</wp:posOffset>
            </wp:positionH>
            <wp:positionV relativeFrom="paragraph">
              <wp:posOffset>93980</wp:posOffset>
            </wp:positionV>
            <wp:extent cx="147447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174" w:lineRule="exact"/>
        <w:rPr>
          <w:sz w:val="20"/>
          <w:szCs w:val="20"/>
          <w:color w:val="auto"/>
        </w:rPr>
      </w:pPr>
    </w:p>
    <w:p>
      <w:pPr>
        <w:ind w:left="120" w:right="660" w:firstLine="440"/>
        <w:spacing w:after="0" w:line="307" w:lineRule="auto"/>
        <w:rPr>
          <w:sz w:val="20"/>
          <w:szCs w:val="20"/>
          <w:color w:val="auto"/>
        </w:rPr>
      </w:pPr>
      <w:r>
        <w:rPr>
          <w:rFonts w:ascii="Arial" w:cs="Arial" w:eastAsia="Arial" w:hAnsi="Arial"/>
          <w:sz w:val="16"/>
          <w:szCs w:val="16"/>
          <w:b w:val="1"/>
          <w:bCs w:val="1"/>
          <w:color w:val="auto"/>
        </w:rPr>
        <w:t>Neither the Securities and Exchange Commission (the “SEC”) nor any state securities commission has approved or disapproved of these securities or determined if this prospectus is truthful or complete. Any representation to the contrary is a criminal offense.</w:t>
      </w:r>
    </w:p>
    <w:p>
      <w:pPr>
        <w:spacing w:after="0" w:line="1" w:lineRule="exact"/>
        <w:rPr>
          <w:sz w:val="20"/>
          <w:szCs w:val="20"/>
          <w:color w:val="auto"/>
        </w:rPr>
      </w:pPr>
    </w:p>
    <w:p>
      <w:pPr>
        <w:ind w:left="7980"/>
        <w:spacing w:after="0"/>
        <w:tabs>
          <w:tab w:leader="none" w:pos="9420" w:val="left"/>
        </w:tabs>
        <w:rPr>
          <w:sz w:val="20"/>
          <w:szCs w:val="20"/>
          <w:color w:val="auto"/>
        </w:rPr>
      </w:pPr>
      <w:r>
        <w:rPr>
          <w:rFonts w:ascii="Arial" w:cs="Arial" w:eastAsia="Arial" w:hAnsi="Arial"/>
          <w:sz w:val="14"/>
          <w:szCs w:val="14"/>
          <w:b w:val="1"/>
          <w:bCs w:val="1"/>
          <w:u w:val="single" w:color="auto"/>
          <w:color w:val="auto"/>
        </w:rPr>
        <w:t>Per Share</w:t>
      </w:r>
      <w:r>
        <w:rPr>
          <w:sz w:val="20"/>
          <w:szCs w:val="20"/>
          <w:color w:val="auto"/>
        </w:rPr>
        <w:tab/>
      </w:r>
      <w:r>
        <w:rPr>
          <w:rFonts w:ascii="Arial" w:cs="Arial" w:eastAsia="Arial" w:hAnsi="Arial"/>
          <w:sz w:val="13"/>
          <w:szCs w:val="13"/>
          <w:b w:val="1"/>
          <w:bCs w:val="1"/>
          <w:u w:val="single" w:color="auto"/>
          <w:color w:val="auto"/>
        </w:rPr>
        <w:t>Total</w:t>
      </w:r>
    </w:p>
    <w:p>
      <w:pPr>
        <w:spacing w:after="0" w:line="6" w:lineRule="exact"/>
        <w:rPr>
          <w:sz w:val="20"/>
          <w:szCs w:val="20"/>
          <w:color w:val="auto"/>
        </w:rPr>
      </w:pPr>
    </w:p>
    <w:p>
      <w:pPr>
        <w:ind w:left="1440"/>
        <w:spacing w:after="0"/>
        <w:rPr>
          <w:sz w:val="20"/>
          <w:szCs w:val="20"/>
          <w:color w:val="auto"/>
        </w:rPr>
      </w:pPr>
      <w:r>
        <w:rPr>
          <w:rFonts w:ascii="Arial" w:cs="Arial" w:eastAsia="Arial" w:hAnsi="Arial"/>
          <w:sz w:val="17"/>
          <w:szCs w:val="17"/>
          <w:color w:val="auto"/>
        </w:rPr>
        <w:t>Public offering price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913765</wp:posOffset>
            </wp:positionH>
            <wp:positionV relativeFrom="paragraph">
              <wp:posOffset>-121285</wp:posOffset>
            </wp:positionV>
            <wp:extent cx="5314950" cy="12890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5314950" cy="128905"/>
                    </a:xfrm>
                    <a:prstGeom prst="rect">
                      <a:avLst/>
                    </a:prstGeom>
                    <a:noFill/>
                  </pic:spPr>
                </pic:pic>
              </a:graphicData>
            </a:graphic>
          </wp:anchor>
        </w:drawing>
      </w:r>
    </w:p>
    <w:p>
      <w:pPr>
        <w:ind w:left="1440"/>
        <w:spacing w:after="0"/>
        <w:rPr>
          <w:sz w:val="20"/>
          <w:szCs w:val="20"/>
          <w:color w:val="auto"/>
        </w:rPr>
      </w:pPr>
      <w:r>
        <w:rPr>
          <w:rFonts w:ascii="Arial" w:cs="Arial" w:eastAsia="Arial" w:hAnsi="Arial"/>
          <w:sz w:val="17"/>
          <w:szCs w:val="17"/>
          <w:color w:val="auto"/>
        </w:rPr>
        <w:t>Underwriting discounts</w:t>
      </w:r>
      <w:r>
        <w:rPr>
          <w:rFonts w:ascii="Arial" w:cs="Arial" w:eastAsia="Arial" w:hAnsi="Arial"/>
          <w:sz w:val="14"/>
          <w:szCs w:val="14"/>
          <w:color w:val="auto"/>
        </w:rPr>
        <w:t>(1)</w:t>
      </w:r>
    </w:p>
    <w:p>
      <w:pPr>
        <w:spacing w:after="0" w:line="7" w:lineRule="exact"/>
        <w:rPr>
          <w:sz w:val="20"/>
          <w:szCs w:val="20"/>
          <w:color w:val="auto"/>
        </w:rPr>
      </w:pPr>
    </w:p>
    <w:p>
      <w:pPr>
        <w:ind w:left="1440"/>
        <w:spacing w:after="0"/>
        <w:rPr>
          <w:sz w:val="20"/>
          <w:szCs w:val="20"/>
          <w:color w:val="auto"/>
        </w:rPr>
      </w:pPr>
      <w:r>
        <w:rPr>
          <w:rFonts w:ascii="Arial" w:cs="Arial" w:eastAsia="Arial" w:hAnsi="Arial"/>
          <w:sz w:val="17"/>
          <w:szCs w:val="17"/>
          <w:color w:val="auto"/>
        </w:rPr>
        <w:t>Proceeds, before expenses, to 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913765</wp:posOffset>
            </wp:positionH>
            <wp:positionV relativeFrom="paragraph">
              <wp:posOffset>-120650</wp:posOffset>
            </wp:positionV>
            <wp:extent cx="5314950" cy="12890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5314950" cy="128905"/>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92710</wp:posOffset>
            </wp:positionV>
            <wp:extent cx="771525"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71525" cy="8890"/>
                    </a:xfrm>
                    <a:prstGeom prst="rect">
                      <a:avLst/>
                    </a:prstGeom>
                    <a:noFill/>
                  </pic:spPr>
                </pic:pic>
              </a:graphicData>
            </a:graphic>
          </wp:anchor>
        </w:drawing>
      </w:r>
    </w:p>
    <w:p>
      <w:pPr>
        <w:spacing w:after="0" w:line="162" w:lineRule="exact"/>
        <w:rPr>
          <w:sz w:val="20"/>
          <w:szCs w:val="20"/>
          <w:color w:val="auto"/>
        </w:rPr>
      </w:pPr>
    </w:p>
    <w:p>
      <w:pPr>
        <w:ind w:left="540" w:hanging="424"/>
        <w:spacing w:after="0"/>
        <w:tabs>
          <w:tab w:leader="none" w:pos="540" w:val="left"/>
        </w:tabs>
        <w:numPr>
          <w:ilvl w:val="0"/>
          <w:numId w:val="3"/>
        </w:numPr>
        <w:rPr>
          <w:rFonts w:ascii="Arial" w:cs="Arial" w:eastAsia="Arial" w:hAnsi="Arial"/>
          <w:sz w:val="16"/>
          <w:szCs w:val="16"/>
          <w:color w:val="auto"/>
        </w:rPr>
      </w:pPr>
      <w:r>
        <w:rPr>
          <w:rFonts w:ascii="Arial" w:cs="Arial" w:eastAsia="Arial" w:hAnsi="Arial"/>
          <w:sz w:val="16"/>
          <w:szCs w:val="16"/>
          <w:color w:val="auto"/>
        </w:rPr>
        <w:t>We refer you to “Underwriting,” beginning on page 184 of this prospectus, for additional information regarding total underwriter compensation.</w:t>
      </w:r>
    </w:p>
    <w:p>
      <w:pPr>
        <w:sectPr>
          <w:pgSz w:w="11900" w:h="16838" w:orient="portrait"/>
          <w:cols w:equalWidth="0" w:num="1">
            <w:col w:w="11120"/>
          </w:cols>
          <w:pgMar w:left="320" w:top="459" w:right="459" w:bottom="1440" w:gutter="0" w:footer="0" w:header="0"/>
        </w:sectPr>
      </w:pPr>
    </w:p>
    <w:p>
      <w:pPr>
        <w:spacing w:after="0" w:line="73" w:lineRule="exact"/>
        <w:rPr>
          <w:sz w:val="20"/>
          <w:szCs w:val="20"/>
          <w:color w:val="auto"/>
        </w:rPr>
      </w:pPr>
    </w:p>
    <w:p>
      <w:pPr>
        <w:ind w:left="120" w:firstLine="440"/>
        <w:spacing w:after="0" w:line="274" w:lineRule="auto"/>
        <w:rPr>
          <w:sz w:val="20"/>
          <w:szCs w:val="20"/>
          <w:color w:val="auto"/>
        </w:rPr>
      </w:pPr>
      <w:r>
        <w:rPr>
          <w:rFonts w:ascii="Arial" w:cs="Arial" w:eastAsia="Arial" w:hAnsi="Arial"/>
          <w:sz w:val="17"/>
          <w:szCs w:val="17"/>
          <w:color w:val="auto"/>
        </w:rPr>
        <w:t>The underwriters have an option to purchase up to an additional underwriting discounts.</w:t>
      </w:r>
    </w:p>
    <w:p>
      <w:pPr>
        <w:spacing w:after="0" w:line="20" w:lineRule="exact"/>
        <w:rPr>
          <w:sz w:val="20"/>
          <w:szCs w:val="20"/>
          <w:color w:val="auto"/>
        </w:rPr>
      </w:pPr>
      <w:r>
        <w:rPr>
          <w:sz w:val="20"/>
          <w:szCs w:val="20"/>
          <w:color w:val="auto"/>
        </w:rPr>
        <w:br w:type="column"/>
      </w:r>
    </w:p>
    <w:p>
      <w:pPr>
        <w:spacing w:after="0" w:line="53" w:lineRule="exact"/>
        <w:rPr>
          <w:sz w:val="20"/>
          <w:szCs w:val="20"/>
          <w:color w:val="auto"/>
        </w:rPr>
      </w:pPr>
    </w:p>
    <w:p>
      <w:pPr>
        <w:spacing w:after="0"/>
        <w:rPr>
          <w:sz w:val="20"/>
          <w:szCs w:val="20"/>
          <w:color w:val="auto"/>
        </w:rPr>
      </w:pPr>
      <w:r>
        <w:rPr>
          <w:rFonts w:ascii="Arial" w:cs="Arial" w:eastAsia="Arial" w:hAnsi="Arial"/>
          <w:sz w:val="15"/>
          <w:szCs w:val="15"/>
          <w:color w:val="auto"/>
        </w:rPr>
        <w:t>shares of Class A common stock from us at the initial public offering price less the</w:t>
      </w:r>
    </w:p>
    <w:p>
      <w:pPr>
        <w:spacing w:after="0" w:line="282" w:lineRule="exact"/>
        <w:rPr>
          <w:sz w:val="20"/>
          <w:szCs w:val="20"/>
          <w:color w:val="auto"/>
        </w:rPr>
      </w:pPr>
    </w:p>
    <w:p>
      <w:pPr>
        <w:sectPr>
          <w:pgSz w:w="11900" w:h="16838" w:orient="portrait"/>
          <w:cols w:equalWidth="0" w:num="2">
            <w:col w:w="4920" w:space="560"/>
            <w:col w:w="5640"/>
          </w:cols>
          <w:pgMar w:left="320" w:top="459" w:right="459" w:bottom="1440" w:gutter="0" w:footer="0" w:header="0"/>
          <w:type w:val="continuous"/>
        </w:sectPr>
      </w:pPr>
    </w:p>
    <w:p>
      <w:pPr>
        <w:ind w:left="560"/>
        <w:spacing w:after="0"/>
        <w:rPr>
          <w:sz w:val="20"/>
          <w:szCs w:val="20"/>
          <w:color w:val="auto"/>
        </w:rPr>
      </w:pPr>
      <w:r>
        <w:rPr>
          <w:rFonts w:ascii="Arial" w:cs="Arial" w:eastAsia="Arial" w:hAnsi="Arial"/>
          <w:sz w:val="15"/>
          <w:szCs w:val="15"/>
          <w:b w:val="1"/>
          <w:bCs w:val="1"/>
          <w:color w:val="auto"/>
        </w:rPr>
        <w:t>The underwriters expect to deliver the shares against payment in New York, New York 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2834005</wp:posOffset>
            </wp:positionH>
            <wp:positionV relativeFrom="paragraph">
              <wp:posOffset>144145</wp:posOffset>
            </wp:positionV>
            <wp:extent cx="1474470"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5"/>
          <w:szCs w:val="15"/>
          <w:b w:val="1"/>
          <w:bCs w:val="1"/>
          <w:color w:val="auto"/>
        </w:rPr>
        <w:t>, 2021.</w:t>
      </w:r>
    </w:p>
    <w:p>
      <w:pPr>
        <w:spacing w:after="0" w:line="200" w:lineRule="exact"/>
        <w:rPr>
          <w:sz w:val="20"/>
          <w:szCs w:val="20"/>
          <w:color w:val="auto"/>
        </w:rPr>
      </w:pPr>
    </w:p>
    <w:p>
      <w:pPr>
        <w:sectPr>
          <w:pgSz w:w="11900" w:h="16838" w:orient="portrait"/>
          <w:cols w:equalWidth="0" w:num="2">
            <w:col w:w="7100" w:space="720"/>
            <w:col w:w="3300"/>
          </w:cols>
          <w:pgMar w:left="320" w:top="459" w:right="459" w:bottom="1440" w:gutter="0" w:footer="0" w:header="0"/>
          <w:type w:val="continuous"/>
        </w:sectPr>
      </w:pPr>
    </w:p>
    <w:p>
      <w:pPr>
        <w:spacing w:after="0" w:line="139" w:lineRule="exact"/>
        <w:rPr>
          <w:sz w:val="20"/>
          <w:szCs w:val="20"/>
          <w:color w:val="auto"/>
        </w:rPr>
      </w:pPr>
    </w:p>
    <w:tbl>
      <w:tblPr>
        <w:tblLayout w:type="fixed"/>
        <w:tblInd w:w="120" w:type="dxa"/>
        <w:tblCellMar>
          <w:top w:w="0" w:type="dxa"/>
          <w:left w:w="0" w:type="dxa"/>
          <w:bottom w:w="0" w:type="dxa"/>
          <w:right w:w="0" w:type="dxa"/>
        </w:tblCellMar>
      </w:tblPr>
      <w:tr>
        <w:trPr>
          <w:trHeight w:val="230"/>
        </w:trPr>
        <w:tc>
          <w:tcPr>
            <w:tcW w:w="6280" w:type="dxa"/>
            <w:vAlign w:val="bottom"/>
            <w:gridSpan w:val="2"/>
          </w:tcPr>
          <w:p>
            <w:pPr>
              <w:spacing w:after="0"/>
              <w:rPr>
                <w:sz w:val="20"/>
                <w:szCs w:val="20"/>
                <w:color w:val="auto"/>
              </w:rPr>
            </w:pPr>
            <w:r>
              <w:rPr>
                <w:rFonts w:ascii="Arial" w:cs="Arial" w:eastAsia="Arial" w:hAnsi="Arial"/>
                <w:sz w:val="20"/>
                <w:szCs w:val="20"/>
                <w:b w:val="1"/>
                <w:bCs w:val="1"/>
                <w:color w:val="auto"/>
              </w:rPr>
              <w:t>Goldman Sachs &amp; Co. LLC*</w:t>
            </w:r>
          </w:p>
        </w:tc>
        <w:tc>
          <w:tcPr>
            <w:tcW w:w="4680" w:type="dxa"/>
            <w:vAlign w:val="bottom"/>
          </w:tcPr>
          <w:p>
            <w:pPr>
              <w:jc w:val="right"/>
              <w:spacing w:after="0"/>
              <w:rPr>
                <w:sz w:val="20"/>
                <w:szCs w:val="20"/>
                <w:color w:val="auto"/>
              </w:rPr>
            </w:pPr>
            <w:r>
              <w:rPr>
                <w:rFonts w:ascii="Arial" w:cs="Arial" w:eastAsia="Arial" w:hAnsi="Arial"/>
                <w:sz w:val="20"/>
                <w:szCs w:val="20"/>
                <w:b w:val="1"/>
                <w:bCs w:val="1"/>
                <w:color w:val="auto"/>
              </w:rPr>
              <w:t>J.P. Morgan*</w:t>
            </w:r>
          </w:p>
        </w:tc>
      </w:tr>
      <w:tr>
        <w:trPr>
          <w:trHeight w:val="256"/>
        </w:trPr>
        <w:tc>
          <w:tcPr>
            <w:tcW w:w="6280" w:type="dxa"/>
            <w:vAlign w:val="bottom"/>
            <w:gridSpan w:val="2"/>
          </w:tcPr>
          <w:p>
            <w:pPr>
              <w:spacing w:after="0"/>
              <w:rPr>
                <w:sz w:val="20"/>
                <w:szCs w:val="20"/>
                <w:color w:val="auto"/>
              </w:rPr>
            </w:pPr>
            <w:r>
              <w:rPr>
                <w:rFonts w:ascii="Arial" w:cs="Arial" w:eastAsia="Arial" w:hAnsi="Arial"/>
                <w:sz w:val="20"/>
                <w:szCs w:val="20"/>
                <w:b w:val="1"/>
                <w:bCs w:val="1"/>
                <w:color w:val="auto"/>
              </w:rPr>
              <w:t>Morgan Stanley</w:t>
            </w:r>
          </w:p>
        </w:tc>
        <w:tc>
          <w:tcPr>
            <w:tcW w:w="4680" w:type="dxa"/>
            <w:vAlign w:val="bottom"/>
          </w:tcPr>
          <w:p>
            <w:pPr>
              <w:jc w:val="right"/>
              <w:ind w:right="6"/>
              <w:spacing w:after="0"/>
              <w:rPr>
                <w:sz w:val="20"/>
                <w:szCs w:val="20"/>
                <w:color w:val="auto"/>
              </w:rPr>
            </w:pPr>
            <w:r>
              <w:rPr>
                <w:rFonts w:ascii="Arial" w:cs="Arial" w:eastAsia="Arial" w:hAnsi="Arial"/>
                <w:sz w:val="20"/>
                <w:szCs w:val="20"/>
                <w:b w:val="1"/>
                <w:bCs w:val="1"/>
                <w:color w:val="auto"/>
              </w:rPr>
              <w:t>Barclays</w:t>
            </w:r>
          </w:p>
        </w:tc>
      </w:tr>
      <w:tr>
        <w:trPr>
          <w:trHeight w:val="131"/>
        </w:trPr>
        <w:tc>
          <w:tcPr>
            <w:tcW w:w="1220" w:type="dxa"/>
            <w:vAlign w:val="bottom"/>
            <w:tcBorders>
              <w:bottom w:val="single" w:sz="8" w:color="auto"/>
            </w:tcBorders>
          </w:tcPr>
          <w:p>
            <w:pPr>
              <w:spacing w:after="0"/>
              <w:rPr>
                <w:sz w:val="11"/>
                <w:szCs w:val="11"/>
                <w:color w:val="auto"/>
              </w:rPr>
            </w:pPr>
          </w:p>
        </w:tc>
        <w:tc>
          <w:tcPr>
            <w:tcW w:w="5060" w:type="dxa"/>
            <w:vAlign w:val="bottom"/>
          </w:tcPr>
          <w:p>
            <w:pPr>
              <w:spacing w:after="0"/>
              <w:rPr>
                <w:sz w:val="11"/>
                <w:szCs w:val="11"/>
                <w:color w:val="auto"/>
              </w:rPr>
            </w:pPr>
          </w:p>
        </w:tc>
        <w:tc>
          <w:tcPr>
            <w:tcW w:w="4680" w:type="dxa"/>
            <w:vAlign w:val="bottom"/>
          </w:tcPr>
          <w:p>
            <w:pPr>
              <w:spacing w:after="0"/>
              <w:rPr>
                <w:sz w:val="11"/>
                <w:szCs w:val="11"/>
                <w:color w:val="auto"/>
              </w:rPr>
            </w:pPr>
          </w:p>
        </w:tc>
      </w:tr>
      <w:tr>
        <w:trPr>
          <w:trHeight w:val="205"/>
        </w:trPr>
        <w:tc>
          <w:tcPr>
            <w:tcW w:w="6280" w:type="dxa"/>
            <w:vAlign w:val="bottom"/>
            <w:gridSpan w:val="2"/>
          </w:tcPr>
          <w:p>
            <w:pPr>
              <w:spacing w:after="0"/>
              <w:rPr>
                <w:sz w:val="20"/>
                <w:szCs w:val="20"/>
                <w:color w:val="auto"/>
              </w:rPr>
            </w:pPr>
            <w:r>
              <w:rPr>
                <w:rFonts w:ascii="Arial" w:cs="Arial" w:eastAsia="Arial" w:hAnsi="Arial"/>
                <w:sz w:val="17"/>
                <w:szCs w:val="17"/>
                <w:color w:val="auto"/>
              </w:rPr>
              <w:t>* In alphabetical order.</w:t>
            </w:r>
          </w:p>
        </w:tc>
        <w:tc>
          <w:tcPr>
            <w:tcW w:w="4680" w:type="dxa"/>
            <w:vAlign w:val="bottom"/>
          </w:tcPr>
          <w:p>
            <w:pPr>
              <w:spacing w:after="0"/>
              <w:rPr>
                <w:sz w:val="17"/>
                <w:szCs w:val="17"/>
                <w:color w:val="auto"/>
              </w:rPr>
            </w:pPr>
          </w:p>
        </w:tc>
      </w:tr>
      <w:tr>
        <w:trPr>
          <w:trHeight w:val="216"/>
        </w:trPr>
        <w:tc>
          <w:tcPr>
            <w:tcW w:w="1220" w:type="dxa"/>
            <w:vAlign w:val="bottom"/>
          </w:tcPr>
          <w:p>
            <w:pPr>
              <w:spacing w:after="0"/>
              <w:rPr>
                <w:sz w:val="18"/>
                <w:szCs w:val="18"/>
                <w:color w:val="auto"/>
              </w:rPr>
            </w:pPr>
          </w:p>
        </w:tc>
        <w:tc>
          <w:tcPr>
            <w:tcW w:w="5060" w:type="dxa"/>
            <w:vAlign w:val="bottom"/>
          </w:tcPr>
          <w:p>
            <w:pPr>
              <w:ind w:left="2620"/>
              <w:spacing w:after="0"/>
              <w:rPr>
                <w:sz w:val="20"/>
                <w:szCs w:val="20"/>
                <w:color w:val="auto"/>
              </w:rPr>
            </w:pPr>
            <w:r>
              <w:rPr>
                <w:rFonts w:ascii="Arial" w:cs="Arial" w:eastAsia="Arial" w:hAnsi="Arial"/>
                <w:sz w:val="17"/>
                <w:szCs w:val="17"/>
                <w:color w:val="auto"/>
              </w:rPr>
              <w:t>The date of this prospectus is</w:t>
            </w:r>
          </w:p>
        </w:tc>
        <w:tc>
          <w:tcPr>
            <w:tcW w:w="4680" w:type="dxa"/>
            <w:vAlign w:val="bottom"/>
          </w:tcPr>
          <w:p>
            <w:pPr>
              <w:jc w:val="right"/>
              <w:ind w:right="3706"/>
              <w:spacing w:after="0"/>
              <w:rPr>
                <w:sz w:val="20"/>
                <w:szCs w:val="20"/>
                <w:color w:val="auto"/>
              </w:rPr>
            </w:pPr>
            <w:r>
              <w:rPr>
                <w:rFonts w:ascii="Arial" w:cs="Arial" w:eastAsia="Arial" w:hAnsi="Arial"/>
                <w:sz w:val="17"/>
                <w:szCs w:val="17"/>
                <w:color w:val="auto"/>
              </w:rPr>
              <w:t>, 2021</w:t>
            </w:r>
          </w:p>
        </w:tc>
      </w:tr>
    </w:tbl>
    <w:p>
      <w:pPr>
        <w:sectPr>
          <w:pgSz w:w="11900" w:h="16838" w:orient="portrait"/>
          <w:cols w:equalWidth="0" w:num="1">
            <w:col w:w="11120"/>
          </w:cols>
          <w:pgMar w:left="320" w:top="459" w:right="459" w:bottom="1440" w:gutter="0" w:footer="0" w:header="0"/>
          <w:type w:val="continuous"/>
        </w:sectPr>
      </w:pPr>
    </w:p>
    <w:bookmarkStart w:id="2" w:name="page3"/>
    <w:bookmarkEnd w:id="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Confidential Treatment Requested by Definitive Healthcare Corp.</w:t>
      </w:r>
    </w:p>
    <w:p>
      <w:pPr>
        <w:spacing w:after="0" w:line="27"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Pursuant to 17 C.F.R. Section 200.83</w:t>
      </w:r>
    </w:p>
    <w:p>
      <w:pPr>
        <w:spacing w:after="0" w:line="139"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TABLE OF CONTENTS</w:t>
      </w:r>
    </w:p>
    <w:p>
      <w:pPr>
        <w:spacing w:after="0" w:line="248"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10640" w:type="dxa"/>
            <w:vAlign w:val="bottom"/>
            <w:gridSpan w:val="26"/>
            <w:vMerge w:val="restart"/>
          </w:tcPr>
          <w:p>
            <w:pPr>
              <w:spacing w:after="0"/>
              <w:rPr>
                <w:rFonts w:ascii="Arial" w:cs="Arial" w:eastAsia="Arial" w:hAnsi="Arial"/>
                <w:sz w:val="18"/>
                <w:szCs w:val="18"/>
                <w:color w:val="0000EE"/>
              </w:rPr>
            </w:pPr>
            <w:hyperlink w:anchor="page8">
              <w:r>
                <w:rPr>
                  <w:rFonts w:ascii="Arial" w:cs="Arial" w:eastAsia="Arial" w:hAnsi="Arial"/>
                  <w:sz w:val="18"/>
                  <w:szCs w:val="18"/>
                  <w:color w:val="0000EE"/>
                </w:rPr>
                <w:t>PROSPECTUS SUMMARY</w:t>
              </w:r>
            </w:hyperlink>
          </w:p>
        </w:tc>
        <w:tc>
          <w:tcPr>
            <w:tcW w:w="340" w:type="dxa"/>
            <w:vAlign w:val="bottom"/>
            <w:gridSpan w:val="2"/>
          </w:tcPr>
          <w:p>
            <w:pPr>
              <w:spacing w:after="0"/>
              <w:rPr>
                <w:sz w:val="20"/>
                <w:szCs w:val="20"/>
                <w:color w:val="auto"/>
              </w:rPr>
            </w:pPr>
            <w:r>
              <w:rPr>
                <w:rFonts w:ascii="Arial" w:cs="Arial" w:eastAsia="Arial" w:hAnsi="Arial"/>
                <w:sz w:val="14"/>
                <w:szCs w:val="14"/>
                <w:b w:val="1"/>
                <w:bCs w:val="1"/>
                <w:color w:val="auto"/>
                <w:w w:val="95"/>
              </w:rPr>
              <w:t>Page</w:t>
            </w:r>
          </w:p>
        </w:tc>
        <w:tc>
          <w:tcPr>
            <w:tcW w:w="0" w:type="dxa"/>
            <w:vAlign w:val="bottom"/>
          </w:tcPr>
          <w:p>
            <w:pPr>
              <w:spacing w:after="0"/>
              <w:rPr>
                <w:sz w:val="1"/>
                <w:szCs w:val="1"/>
                <w:color w:val="auto"/>
              </w:rPr>
            </w:pPr>
          </w:p>
        </w:tc>
      </w:tr>
      <w:tr>
        <w:trPr>
          <w:trHeight w:val="169"/>
        </w:trPr>
        <w:tc>
          <w:tcPr>
            <w:tcW w:w="10640" w:type="dxa"/>
            <w:vAlign w:val="bottom"/>
            <w:gridSpan w:val="26"/>
            <w:vMerge w:val="continue"/>
          </w:tcPr>
          <w:p>
            <w:pPr>
              <w:spacing w:after="0"/>
              <w:rPr>
                <w:sz w:val="14"/>
                <w:szCs w:val="14"/>
                <w:color w:val="auto"/>
              </w:rPr>
            </w:pPr>
          </w:p>
        </w:tc>
        <w:tc>
          <w:tcPr>
            <w:tcW w:w="320" w:type="dxa"/>
            <w:vAlign w:val="bottom"/>
            <w:tcBorders>
              <w:top w:val="single" w:sz="8" w:color="auto"/>
            </w:tcBorders>
          </w:tcPr>
          <w:p>
            <w:pPr>
              <w:jc w:val="right"/>
              <w:spacing w:after="0" w:line="169" w:lineRule="exact"/>
              <w:rPr>
                <w:sz w:val="20"/>
                <w:szCs w:val="20"/>
                <w:color w:val="auto"/>
              </w:rPr>
            </w:pPr>
            <w:r>
              <w:rPr>
                <w:rFonts w:ascii="Arial" w:cs="Arial" w:eastAsia="Arial" w:hAnsi="Arial"/>
                <w:sz w:val="18"/>
                <w:szCs w:val="18"/>
                <w:color w:val="auto"/>
              </w:rPr>
              <w:t>1</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7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680" w:type="dxa"/>
            <w:vAlign w:val="bottom"/>
            <w:tcBorders>
              <w:bottom w:val="single" w:sz="8" w:color="0000EE"/>
            </w:tcBorders>
            <w:gridSpan w:val="13"/>
          </w:tcPr>
          <w:p>
            <w:pPr>
              <w:spacing w:after="0" w:line="196" w:lineRule="exact"/>
              <w:rPr>
                <w:rFonts w:ascii="Arial" w:cs="Arial" w:eastAsia="Arial" w:hAnsi="Arial"/>
                <w:sz w:val="18"/>
                <w:szCs w:val="18"/>
                <w:color w:val="0000EE"/>
                <w:w w:val="96"/>
              </w:rPr>
            </w:pPr>
            <w:hyperlink w:anchor="page15">
              <w:r>
                <w:rPr>
                  <w:rFonts w:ascii="Arial" w:cs="Arial" w:eastAsia="Arial" w:hAnsi="Arial"/>
                  <w:sz w:val="18"/>
                  <w:szCs w:val="18"/>
                  <w:color w:val="0000EE"/>
                  <w:w w:val="96"/>
                </w:rPr>
                <w:t>ORGANIZATIONAL STRUCTURE</w:t>
              </w:r>
            </w:hyperlink>
          </w:p>
        </w:tc>
        <w:tc>
          <w:tcPr>
            <w:tcW w:w="7960" w:type="dxa"/>
            <w:vAlign w:val="bottom"/>
            <w:gridSpan w:val="13"/>
          </w:tcPr>
          <w:p>
            <w:pPr>
              <w:spacing w:after="0"/>
              <w:rPr>
                <w:sz w:val="17"/>
                <w:szCs w:val="17"/>
                <w:color w:val="auto"/>
              </w:rPr>
            </w:pPr>
          </w:p>
        </w:tc>
        <w:tc>
          <w:tcPr>
            <w:tcW w:w="34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196"/>
        </w:trPr>
        <w:tc>
          <w:tcPr>
            <w:tcW w:w="1280" w:type="dxa"/>
            <w:vAlign w:val="bottom"/>
            <w:tcBorders>
              <w:bottom w:val="single" w:sz="8" w:color="0000EE"/>
            </w:tcBorders>
            <w:gridSpan w:val="4"/>
          </w:tcPr>
          <w:p>
            <w:pPr>
              <w:spacing w:after="0" w:line="196" w:lineRule="exact"/>
              <w:rPr>
                <w:rFonts w:ascii="Arial" w:cs="Arial" w:eastAsia="Arial" w:hAnsi="Arial"/>
                <w:sz w:val="18"/>
                <w:szCs w:val="18"/>
                <w:color w:val="0000EE"/>
                <w:w w:val="93"/>
              </w:rPr>
            </w:pPr>
            <w:hyperlink w:anchor="page24">
              <w:r>
                <w:rPr>
                  <w:rFonts w:ascii="Arial" w:cs="Arial" w:eastAsia="Arial" w:hAnsi="Arial"/>
                  <w:sz w:val="18"/>
                  <w:szCs w:val="18"/>
                  <w:color w:val="0000EE"/>
                  <w:w w:val="93"/>
                </w:rPr>
                <w:t>THE OFFERING</w:t>
              </w:r>
            </w:hyperlink>
          </w:p>
        </w:tc>
        <w:tc>
          <w:tcPr>
            <w:tcW w:w="9360" w:type="dxa"/>
            <w:vAlign w:val="bottom"/>
            <w:gridSpan w:val="22"/>
          </w:tcPr>
          <w:p>
            <w:pPr>
              <w:spacing w:after="0"/>
              <w:rPr>
                <w:sz w:val="17"/>
                <w:szCs w:val="17"/>
                <w:color w:val="auto"/>
              </w:rPr>
            </w:pPr>
          </w:p>
        </w:tc>
        <w:tc>
          <w:tcPr>
            <w:tcW w:w="34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196"/>
        </w:trPr>
        <w:tc>
          <w:tcPr>
            <w:tcW w:w="10640" w:type="dxa"/>
            <w:vAlign w:val="bottom"/>
            <w:gridSpan w:val="26"/>
          </w:tcPr>
          <w:p>
            <w:pPr>
              <w:spacing w:after="0" w:line="196" w:lineRule="exact"/>
              <w:rPr>
                <w:rFonts w:ascii="Arial" w:cs="Arial" w:eastAsia="Arial" w:hAnsi="Arial"/>
                <w:sz w:val="18"/>
                <w:szCs w:val="18"/>
                <w:color w:val="0000EE"/>
              </w:rPr>
            </w:pPr>
            <w:hyperlink w:anchor="page28">
              <w:r>
                <w:rPr>
                  <w:rFonts w:ascii="Arial" w:cs="Arial" w:eastAsia="Arial" w:hAnsi="Arial"/>
                  <w:sz w:val="18"/>
                  <w:szCs w:val="18"/>
                  <w:color w:val="0000EE"/>
                </w:rPr>
                <w:t>SUMMARY HISTORICAL AND PRO FORMA CONSOLIDATED FINANCIAL AND OTHER DATA</w:t>
              </w:r>
            </w:hyperlink>
          </w:p>
        </w:tc>
        <w:tc>
          <w:tcPr>
            <w:tcW w:w="34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196"/>
        </w:trPr>
        <w:tc>
          <w:tcPr>
            <w:tcW w:w="7560" w:type="dxa"/>
            <w:vAlign w:val="bottom"/>
            <w:tcBorders>
              <w:top w:val="single" w:sz="8" w:color="0000EE"/>
            </w:tcBorders>
            <w:gridSpan w:val="24"/>
          </w:tcPr>
          <w:p>
            <w:pPr>
              <w:spacing w:after="0" w:line="196" w:lineRule="exact"/>
              <w:rPr>
                <w:rFonts w:ascii="Arial" w:cs="Arial" w:eastAsia="Arial" w:hAnsi="Arial"/>
                <w:sz w:val="18"/>
                <w:szCs w:val="18"/>
                <w:color w:val="0000EE"/>
              </w:rPr>
            </w:pPr>
            <w:hyperlink w:anchor="page35">
              <w:r>
                <w:rPr>
                  <w:rFonts w:ascii="Arial" w:cs="Arial" w:eastAsia="Arial" w:hAnsi="Arial"/>
                  <w:sz w:val="18"/>
                  <w:szCs w:val="18"/>
                  <w:color w:val="0000EE"/>
                </w:rPr>
                <w:t>RISK FACTORS</w:t>
              </w:r>
            </w:hyperlink>
          </w:p>
        </w:tc>
        <w:tc>
          <w:tcPr>
            <w:tcW w:w="3080" w:type="dxa"/>
            <w:vAlign w:val="bottom"/>
            <w:gridSpan w:val="2"/>
          </w:tcPr>
          <w:p>
            <w:pPr>
              <w:spacing w:after="0"/>
              <w:rPr>
                <w:sz w:val="17"/>
                <w:szCs w:val="17"/>
                <w:color w:val="auto"/>
              </w:rPr>
            </w:pPr>
          </w:p>
        </w:tc>
        <w:tc>
          <w:tcPr>
            <w:tcW w:w="34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20"/>
        </w:trPr>
        <w:tc>
          <w:tcPr>
            <w:tcW w:w="7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960" w:type="dxa"/>
            <w:vAlign w:val="bottom"/>
            <w:gridSpan w:val="2"/>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780" w:type="dxa"/>
            <w:vAlign w:val="bottom"/>
            <w:tcBorders>
              <w:bottom w:val="single" w:sz="8" w:color="0000EE"/>
            </w:tcBorders>
            <w:gridSpan w:val="21"/>
          </w:tcPr>
          <w:p>
            <w:pPr>
              <w:spacing w:after="0" w:line="196" w:lineRule="exact"/>
              <w:rPr>
                <w:rFonts w:ascii="Arial" w:cs="Arial" w:eastAsia="Arial" w:hAnsi="Arial"/>
                <w:sz w:val="18"/>
                <w:szCs w:val="18"/>
                <w:color w:val="0000EE"/>
                <w:w w:val="96"/>
              </w:rPr>
            </w:pPr>
            <w:hyperlink w:anchor="page74">
              <w:r>
                <w:rPr>
                  <w:rFonts w:ascii="Arial" w:cs="Arial" w:eastAsia="Arial" w:hAnsi="Arial"/>
                  <w:sz w:val="18"/>
                  <w:szCs w:val="18"/>
                  <w:color w:val="0000EE"/>
                  <w:w w:val="96"/>
                </w:rPr>
                <w:t>CAUTIONARY NOTE REGARDING FORWARD-LOOKING STATEMENTS</w:t>
              </w:r>
            </w:hyperlink>
          </w:p>
        </w:tc>
        <w:tc>
          <w:tcPr>
            <w:tcW w:w="4860" w:type="dxa"/>
            <w:vAlign w:val="bottom"/>
            <w:gridSpan w:val="5"/>
          </w:tcPr>
          <w:p>
            <w:pPr>
              <w:spacing w:after="0"/>
              <w:rPr>
                <w:sz w:val="17"/>
                <w:szCs w:val="17"/>
                <w:color w:val="auto"/>
              </w:rPr>
            </w:pPr>
          </w:p>
        </w:tc>
        <w:tc>
          <w:tcPr>
            <w:tcW w:w="34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67</w:t>
            </w:r>
          </w:p>
        </w:tc>
        <w:tc>
          <w:tcPr>
            <w:tcW w:w="0" w:type="dxa"/>
            <w:vAlign w:val="bottom"/>
          </w:tcPr>
          <w:p>
            <w:pPr>
              <w:spacing w:after="0"/>
              <w:rPr>
                <w:sz w:val="1"/>
                <w:szCs w:val="1"/>
                <w:color w:val="auto"/>
              </w:rPr>
            </w:pPr>
          </w:p>
        </w:tc>
      </w:tr>
      <w:tr>
        <w:trPr>
          <w:trHeight w:val="196"/>
        </w:trPr>
        <w:tc>
          <w:tcPr>
            <w:tcW w:w="1600" w:type="dxa"/>
            <w:vAlign w:val="bottom"/>
            <w:tcBorders>
              <w:bottom w:val="single" w:sz="8" w:color="0000EE"/>
            </w:tcBorders>
            <w:gridSpan w:val="10"/>
          </w:tcPr>
          <w:p>
            <w:pPr>
              <w:spacing w:after="0" w:line="196" w:lineRule="exact"/>
              <w:rPr>
                <w:rFonts w:ascii="Arial" w:cs="Arial" w:eastAsia="Arial" w:hAnsi="Arial"/>
                <w:sz w:val="18"/>
                <w:szCs w:val="18"/>
                <w:color w:val="0000EE"/>
                <w:w w:val="91"/>
              </w:rPr>
            </w:pPr>
            <w:hyperlink w:anchor="page76">
              <w:r>
                <w:rPr>
                  <w:rFonts w:ascii="Arial" w:cs="Arial" w:eastAsia="Arial" w:hAnsi="Arial"/>
                  <w:sz w:val="18"/>
                  <w:szCs w:val="18"/>
                  <w:color w:val="0000EE"/>
                  <w:w w:val="91"/>
                </w:rPr>
                <w:t>USE OF PROCEEDS</w:t>
              </w:r>
            </w:hyperlink>
          </w:p>
        </w:tc>
        <w:tc>
          <w:tcPr>
            <w:tcW w:w="9040" w:type="dxa"/>
            <w:vAlign w:val="bottom"/>
            <w:gridSpan w:val="16"/>
          </w:tcPr>
          <w:p>
            <w:pPr>
              <w:spacing w:after="0"/>
              <w:rPr>
                <w:sz w:val="17"/>
                <w:szCs w:val="17"/>
                <w:color w:val="auto"/>
              </w:rPr>
            </w:pPr>
          </w:p>
        </w:tc>
        <w:tc>
          <w:tcPr>
            <w:tcW w:w="34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69</w:t>
            </w:r>
          </w:p>
        </w:tc>
        <w:tc>
          <w:tcPr>
            <w:tcW w:w="0" w:type="dxa"/>
            <w:vAlign w:val="bottom"/>
          </w:tcPr>
          <w:p>
            <w:pPr>
              <w:spacing w:after="0"/>
              <w:rPr>
                <w:sz w:val="1"/>
                <w:szCs w:val="1"/>
                <w:color w:val="auto"/>
              </w:rPr>
            </w:pPr>
          </w:p>
        </w:tc>
      </w:tr>
      <w:tr>
        <w:trPr>
          <w:trHeight w:val="196"/>
        </w:trPr>
        <w:tc>
          <w:tcPr>
            <w:tcW w:w="1580" w:type="dxa"/>
            <w:vAlign w:val="bottom"/>
            <w:tcBorders>
              <w:bottom w:val="single" w:sz="8" w:color="0000EE"/>
            </w:tcBorders>
            <w:gridSpan w:val="9"/>
          </w:tcPr>
          <w:p>
            <w:pPr>
              <w:spacing w:after="0" w:line="196" w:lineRule="exact"/>
              <w:rPr>
                <w:rFonts w:ascii="Arial" w:cs="Arial" w:eastAsia="Arial" w:hAnsi="Arial"/>
                <w:sz w:val="18"/>
                <w:szCs w:val="18"/>
                <w:color w:val="0000EE"/>
                <w:w w:val="99"/>
              </w:rPr>
            </w:pPr>
            <w:hyperlink w:anchor="page77">
              <w:r>
                <w:rPr>
                  <w:rFonts w:ascii="Arial" w:cs="Arial" w:eastAsia="Arial" w:hAnsi="Arial"/>
                  <w:sz w:val="18"/>
                  <w:szCs w:val="18"/>
                  <w:color w:val="0000EE"/>
                  <w:w w:val="99"/>
                </w:rPr>
                <w:t>DIVIDEND POLICY</w:t>
              </w:r>
            </w:hyperlink>
          </w:p>
        </w:tc>
        <w:tc>
          <w:tcPr>
            <w:tcW w:w="9060" w:type="dxa"/>
            <w:vAlign w:val="bottom"/>
            <w:gridSpan w:val="17"/>
          </w:tcPr>
          <w:p>
            <w:pPr>
              <w:spacing w:after="0"/>
              <w:rPr>
                <w:sz w:val="17"/>
                <w:szCs w:val="17"/>
                <w:color w:val="auto"/>
              </w:rPr>
            </w:pPr>
          </w:p>
        </w:tc>
        <w:tc>
          <w:tcPr>
            <w:tcW w:w="34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70</w:t>
            </w:r>
          </w:p>
        </w:tc>
        <w:tc>
          <w:tcPr>
            <w:tcW w:w="0" w:type="dxa"/>
            <w:vAlign w:val="bottom"/>
          </w:tcPr>
          <w:p>
            <w:pPr>
              <w:spacing w:after="0"/>
              <w:rPr>
                <w:sz w:val="1"/>
                <w:szCs w:val="1"/>
                <w:color w:val="auto"/>
              </w:rPr>
            </w:pPr>
          </w:p>
        </w:tc>
      </w:tr>
      <w:tr>
        <w:trPr>
          <w:trHeight w:val="196"/>
        </w:trPr>
        <w:tc>
          <w:tcPr>
            <w:tcW w:w="1480" w:type="dxa"/>
            <w:vAlign w:val="bottom"/>
            <w:tcBorders>
              <w:bottom w:val="single" w:sz="8" w:color="0000EE"/>
            </w:tcBorders>
            <w:gridSpan w:val="8"/>
          </w:tcPr>
          <w:p>
            <w:pPr>
              <w:spacing w:after="0" w:line="196" w:lineRule="exact"/>
              <w:rPr>
                <w:rFonts w:ascii="Arial" w:cs="Arial" w:eastAsia="Arial" w:hAnsi="Arial"/>
                <w:sz w:val="18"/>
                <w:szCs w:val="18"/>
                <w:color w:val="0000EE"/>
                <w:w w:val="99"/>
              </w:rPr>
            </w:pPr>
            <w:hyperlink w:anchor="page78">
              <w:r>
                <w:rPr>
                  <w:rFonts w:ascii="Arial" w:cs="Arial" w:eastAsia="Arial" w:hAnsi="Arial"/>
                  <w:sz w:val="18"/>
                  <w:szCs w:val="18"/>
                  <w:color w:val="0000EE"/>
                  <w:w w:val="99"/>
                </w:rPr>
                <w:t>CAPITALIZATION</w:t>
              </w:r>
            </w:hyperlink>
          </w:p>
        </w:tc>
        <w:tc>
          <w:tcPr>
            <w:tcW w:w="9160" w:type="dxa"/>
            <w:vAlign w:val="bottom"/>
            <w:gridSpan w:val="18"/>
          </w:tcPr>
          <w:p>
            <w:pPr>
              <w:spacing w:after="0"/>
              <w:rPr>
                <w:sz w:val="17"/>
                <w:szCs w:val="17"/>
                <w:color w:val="auto"/>
              </w:rPr>
            </w:pPr>
          </w:p>
        </w:tc>
        <w:tc>
          <w:tcPr>
            <w:tcW w:w="34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71</w:t>
            </w:r>
          </w:p>
        </w:tc>
        <w:tc>
          <w:tcPr>
            <w:tcW w:w="0" w:type="dxa"/>
            <w:vAlign w:val="bottom"/>
          </w:tcPr>
          <w:p>
            <w:pPr>
              <w:spacing w:after="0"/>
              <w:rPr>
                <w:sz w:val="1"/>
                <w:szCs w:val="1"/>
                <w:color w:val="auto"/>
              </w:rPr>
            </w:pPr>
          </w:p>
        </w:tc>
      </w:tr>
      <w:tr>
        <w:trPr>
          <w:trHeight w:val="196"/>
        </w:trPr>
        <w:tc>
          <w:tcPr>
            <w:tcW w:w="10640" w:type="dxa"/>
            <w:vAlign w:val="bottom"/>
            <w:gridSpan w:val="26"/>
          </w:tcPr>
          <w:p>
            <w:pPr>
              <w:spacing w:after="0" w:line="196" w:lineRule="exact"/>
              <w:rPr>
                <w:rFonts w:ascii="Arial" w:cs="Arial" w:eastAsia="Arial" w:hAnsi="Arial"/>
                <w:sz w:val="18"/>
                <w:szCs w:val="18"/>
                <w:color w:val="0000EE"/>
              </w:rPr>
            </w:pPr>
            <w:hyperlink w:anchor="page79">
              <w:r>
                <w:rPr>
                  <w:rFonts w:ascii="Arial" w:cs="Arial" w:eastAsia="Arial" w:hAnsi="Arial"/>
                  <w:sz w:val="18"/>
                  <w:szCs w:val="18"/>
                  <w:color w:val="0000EE"/>
                </w:rPr>
                <w:t>UNAUDITED PRO FORMA CONSOLIDATED FINANCIAL INFORMATION</w:t>
              </w:r>
            </w:hyperlink>
          </w:p>
        </w:tc>
        <w:tc>
          <w:tcPr>
            <w:tcW w:w="34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72</w:t>
            </w:r>
          </w:p>
        </w:tc>
        <w:tc>
          <w:tcPr>
            <w:tcW w:w="0" w:type="dxa"/>
            <w:vAlign w:val="bottom"/>
          </w:tcPr>
          <w:p>
            <w:pPr>
              <w:spacing w:after="0"/>
              <w:rPr>
                <w:sz w:val="1"/>
                <w:szCs w:val="1"/>
                <w:color w:val="auto"/>
              </w:rPr>
            </w:pPr>
          </w:p>
        </w:tc>
      </w:tr>
      <w:tr>
        <w:trPr>
          <w:trHeight w:val="20"/>
        </w:trPr>
        <w:tc>
          <w:tcPr>
            <w:tcW w:w="7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60" w:type="dxa"/>
            <w:vAlign w:val="bottom"/>
            <w:gridSpan w:val="3"/>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920" w:type="dxa"/>
            <w:vAlign w:val="bottom"/>
            <w:gridSpan w:val="5"/>
            <w:shd w:val="clear" w:color="auto" w:fill="0000EE"/>
          </w:tcPr>
          <w:p>
            <w:pPr>
              <w:spacing w:after="0" w:line="20" w:lineRule="exact"/>
              <w:rPr>
                <w:sz w:val="1"/>
                <w:szCs w:val="1"/>
                <w:color w:val="auto"/>
              </w:rPr>
            </w:pPr>
          </w:p>
        </w:tc>
        <w:tc>
          <w:tcPr>
            <w:tcW w:w="480" w:type="dxa"/>
            <w:vAlign w:val="bottom"/>
            <w:gridSpan w:val="2"/>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640" w:type="dxa"/>
            <w:vAlign w:val="bottom"/>
            <w:shd w:val="clear" w:color="auto" w:fill="0000EE"/>
          </w:tcPr>
          <w:p>
            <w:pPr>
              <w:spacing w:after="0" w:line="20" w:lineRule="exact"/>
              <w:rPr>
                <w:sz w:val="1"/>
                <w:szCs w:val="1"/>
                <w:color w:val="auto"/>
              </w:rPr>
            </w:pPr>
          </w:p>
        </w:tc>
        <w:tc>
          <w:tcPr>
            <w:tcW w:w="380" w:type="dxa"/>
            <w:vAlign w:val="bottom"/>
            <w:gridSpan w:val="2"/>
            <w:shd w:val="clear" w:color="auto" w:fill="0000EE"/>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960" w:type="dxa"/>
            <w:vAlign w:val="bottom"/>
            <w:gridSpan w:val="2"/>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640" w:type="dxa"/>
            <w:vAlign w:val="bottom"/>
            <w:gridSpan w:val="26"/>
          </w:tcPr>
          <w:p>
            <w:pPr>
              <w:spacing w:after="0" w:line="196" w:lineRule="exact"/>
              <w:rPr>
                <w:rFonts w:ascii="Arial" w:cs="Arial" w:eastAsia="Arial" w:hAnsi="Arial"/>
                <w:sz w:val="18"/>
                <w:szCs w:val="18"/>
                <w:color w:val="0000EE"/>
              </w:rPr>
            </w:pPr>
            <w:hyperlink w:anchor="page85">
              <w:r>
                <w:rPr>
                  <w:rFonts w:ascii="Arial" w:cs="Arial" w:eastAsia="Arial" w:hAnsi="Arial"/>
                  <w:sz w:val="18"/>
                  <w:szCs w:val="18"/>
                  <w:color w:val="0000EE"/>
                </w:rPr>
                <w:t>MANAGEMENT’S DISCUSSION AND ANALYSIS OF FINANCIAL CONDITION AND RESULTS OF OPERATIONS</w:t>
              </w:r>
            </w:hyperlink>
          </w:p>
        </w:tc>
        <w:tc>
          <w:tcPr>
            <w:tcW w:w="34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78</w:t>
            </w:r>
          </w:p>
        </w:tc>
        <w:tc>
          <w:tcPr>
            <w:tcW w:w="0" w:type="dxa"/>
            <w:vAlign w:val="bottom"/>
          </w:tcPr>
          <w:p>
            <w:pPr>
              <w:spacing w:after="0"/>
              <w:rPr>
                <w:sz w:val="1"/>
                <w:szCs w:val="1"/>
                <w:color w:val="auto"/>
              </w:rPr>
            </w:pPr>
          </w:p>
        </w:tc>
      </w:tr>
      <w:tr>
        <w:trPr>
          <w:trHeight w:val="196"/>
        </w:trPr>
        <w:tc>
          <w:tcPr>
            <w:tcW w:w="8900" w:type="dxa"/>
            <w:vAlign w:val="bottom"/>
            <w:tcBorders>
              <w:top w:val="single" w:sz="8" w:color="0000EE"/>
            </w:tcBorders>
            <w:gridSpan w:val="25"/>
          </w:tcPr>
          <w:p>
            <w:pPr>
              <w:spacing w:after="0" w:line="196" w:lineRule="exact"/>
              <w:rPr>
                <w:rFonts w:ascii="Arial" w:cs="Arial" w:eastAsia="Arial" w:hAnsi="Arial"/>
                <w:sz w:val="18"/>
                <w:szCs w:val="18"/>
                <w:color w:val="0000EE"/>
              </w:rPr>
            </w:pPr>
            <w:hyperlink w:anchor="page115">
              <w:r>
                <w:rPr>
                  <w:rFonts w:ascii="Arial" w:cs="Arial" w:eastAsia="Arial" w:hAnsi="Arial"/>
                  <w:sz w:val="18"/>
                  <w:szCs w:val="18"/>
                  <w:color w:val="0000EE"/>
                </w:rPr>
                <w:t>BUSINESS</w:t>
              </w:r>
            </w:hyperlink>
          </w:p>
        </w:tc>
        <w:tc>
          <w:tcPr>
            <w:tcW w:w="1740" w:type="dxa"/>
            <w:vAlign w:val="bottom"/>
          </w:tcPr>
          <w:p>
            <w:pPr>
              <w:spacing w:after="0"/>
              <w:rPr>
                <w:sz w:val="17"/>
                <w:szCs w:val="17"/>
                <w:color w:val="auto"/>
              </w:rPr>
            </w:pPr>
          </w:p>
        </w:tc>
        <w:tc>
          <w:tcPr>
            <w:tcW w:w="34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w w:val="99"/>
              </w:rPr>
              <w:t>108</w:t>
            </w:r>
          </w:p>
        </w:tc>
        <w:tc>
          <w:tcPr>
            <w:tcW w:w="0" w:type="dxa"/>
            <w:vAlign w:val="bottom"/>
          </w:tcPr>
          <w:p>
            <w:pPr>
              <w:spacing w:after="0"/>
              <w:rPr>
                <w:sz w:val="1"/>
                <w:szCs w:val="1"/>
                <w:color w:val="auto"/>
              </w:rPr>
            </w:pPr>
          </w:p>
        </w:tc>
      </w:tr>
      <w:tr>
        <w:trPr>
          <w:trHeight w:val="20"/>
        </w:trPr>
        <w:tc>
          <w:tcPr>
            <w:tcW w:w="7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6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20" w:type="dxa"/>
            <w:vAlign w:val="bottom"/>
            <w:gridSpan w:val="5"/>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1480" w:type="dxa"/>
            <w:vAlign w:val="bottom"/>
            <w:gridSpan w:val="3"/>
          </w:tcPr>
          <w:p>
            <w:pPr>
              <w:spacing w:after="0" w:line="20" w:lineRule="exact"/>
              <w:rPr>
                <w:sz w:val="1"/>
                <w:szCs w:val="1"/>
                <w:color w:val="auto"/>
              </w:rPr>
            </w:pPr>
          </w:p>
        </w:tc>
        <w:tc>
          <w:tcPr>
            <w:tcW w:w="3700" w:type="dxa"/>
            <w:vAlign w:val="bottom"/>
            <w:gridSpan w:val="3"/>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300" w:type="dxa"/>
            <w:vAlign w:val="bottom"/>
            <w:tcBorders>
              <w:bottom w:val="single" w:sz="8" w:color="0000EE"/>
            </w:tcBorders>
            <w:gridSpan w:val="5"/>
          </w:tcPr>
          <w:p>
            <w:pPr>
              <w:spacing w:after="0" w:line="196" w:lineRule="exact"/>
              <w:rPr>
                <w:rFonts w:ascii="Arial" w:cs="Arial" w:eastAsia="Arial" w:hAnsi="Arial"/>
                <w:sz w:val="18"/>
                <w:szCs w:val="18"/>
                <w:color w:val="0000EE"/>
                <w:w w:val="99"/>
              </w:rPr>
            </w:pPr>
            <w:hyperlink w:anchor="page135">
              <w:r>
                <w:rPr>
                  <w:rFonts w:ascii="Arial" w:cs="Arial" w:eastAsia="Arial" w:hAnsi="Arial"/>
                  <w:sz w:val="18"/>
                  <w:szCs w:val="18"/>
                  <w:color w:val="0000EE"/>
                  <w:w w:val="99"/>
                </w:rPr>
                <w:t>MANAGEMENT</w:t>
              </w:r>
            </w:hyperlink>
          </w:p>
        </w:tc>
        <w:tc>
          <w:tcPr>
            <w:tcW w:w="9340" w:type="dxa"/>
            <w:vAlign w:val="bottom"/>
            <w:gridSpan w:val="21"/>
          </w:tcPr>
          <w:p>
            <w:pPr>
              <w:spacing w:after="0"/>
              <w:rPr>
                <w:sz w:val="17"/>
                <w:szCs w:val="17"/>
                <w:color w:val="auto"/>
              </w:rPr>
            </w:pPr>
          </w:p>
        </w:tc>
        <w:tc>
          <w:tcPr>
            <w:tcW w:w="34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w w:val="99"/>
              </w:rPr>
              <w:t>128</w:t>
            </w:r>
          </w:p>
        </w:tc>
        <w:tc>
          <w:tcPr>
            <w:tcW w:w="0" w:type="dxa"/>
            <w:vAlign w:val="bottom"/>
          </w:tcPr>
          <w:p>
            <w:pPr>
              <w:spacing w:after="0"/>
              <w:rPr>
                <w:sz w:val="1"/>
                <w:szCs w:val="1"/>
                <w:color w:val="auto"/>
              </w:rPr>
            </w:pPr>
          </w:p>
        </w:tc>
      </w:tr>
      <w:tr>
        <w:trPr>
          <w:trHeight w:val="196"/>
        </w:trPr>
        <w:tc>
          <w:tcPr>
            <w:tcW w:w="3820" w:type="dxa"/>
            <w:vAlign w:val="bottom"/>
            <w:tcBorders>
              <w:bottom w:val="single" w:sz="8" w:color="0000EE"/>
            </w:tcBorders>
            <w:gridSpan w:val="19"/>
          </w:tcPr>
          <w:p>
            <w:pPr>
              <w:spacing w:after="0" w:line="196" w:lineRule="exact"/>
              <w:rPr>
                <w:rFonts w:ascii="Arial" w:cs="Arial" w:eastAsia="Arial" w:hAnsi="Arial"/>
                <w:sz w:val="18"/>
                <w:szCs w:val="18"/>
                <w:color w:val="0000EE"/>
                <w:w w:val="96"/>
              </w:rPr>
            </w:pPr>
            <w:hyperlink w:anchor="page143">
              <w:r>
                <w:rPr>
                  <w:rFonts w:ascii="Arial" w:cs="Arial" w:eastAsia="Arial" w:hAnsi="Arial"/>
                  <w:sz w:val="18"/>
                  <w:szCs w:val="18"/>
                  <w:color w:val="0000EE"/>
                  <w:w w:val="96"/>
                </w:rPr>
                <w:t>EXECUTIVE AND DIRECTOR COMPENSATION</w:t>
              </w:r>
            </w:hyperlink>
          </w:p>
        </w:tc>
        <w:tc>
          <w:tcPr>
            <w:tcW w:w="6820" w:type="dxa"/>
            <w:vAlign w:val="bottom"/>
            <w:gridSpan w:val="7"/>
          </w:tcPr>
          <w:p>
            <w:pPr>
              <w:spacing w:after="0"/>
              <w:rPr>
                <w:sz w:val="17"/>
                <w:szCs w:val="17"/>
                <w:color w:val="auto"/>
              </w:rPr>
            </w:pPr>
          </w:p>
        </w:tc>
        <w:tc>
          <w:tcPr>
            <w:tcW w:w="34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w w:val="99"/>
              </w:rPr>
              <w:t>136</w:t>
            </w:r>
          </w:p>
        </w:tc>
        <w:tc>
          <w:tcPr>
            <w:tcW w:w="0" w:type="dxa"/>
            <w:vAlign w:val="bottom"/>
          </w:tcPr>
          <w:p>
            <w:pPr>
              <w:spacing w:after="0"/>
              <w:rPr>
                <w:sz w:val="1"/>
                <w:szCs w:val="1"/>
                <w:color w:val="auto"/>
              </w:rPr>
            </w:pPr>
          </w:p>
        </w:tc>
      </w:tr>
      <w:tr>
        <w:trPr>
          <w:trHeight w:val="196"/>
        </w:trPr>
        <w:tc>
          <w:tcPr>
            <w:tcW w:w="2380" w:type="dxa"/>
            <w:vAlign w:val="bottom"/>
            <w:tcBorders>
              <w:bottom w:val="single" w:sz="8" w:color="0000EE"/>
            </w:tcBorders>
            <w:gridSpan w:val="12"/>
          </w:tcPr>
          <w:p>
            <w:pPr>
              <w:spacing w:after="0" w:line="196" w:lineRule="exact"/>
              <w:rPr>
                <w:rFonts w:ascii="Arial" w:cs="Arial" w:eastAsia="Arial" w:hAnsi="Arial"/>
                <w:sz w:val="18"/>
                <w:szCs w:val="18"/>
                <w:color w:val="0000EE"/>
                <w:w w:val="94"/>
              </w:rPr>
            </w:pPr>
            <w:hyperlink w:anchor="page164">
              <w:r>
                <w:rPr>
                  <w:rFonts w:ascii="Arial" w:cs="Arial" w:eastAsia="Arial" w:hAnsi="Arial"/>
                  <w:sz w:val="18"/>
                  <w:szCs w:val="18"/>
                  <w:color w:val="0000EE"/>
                  <w:w w:val="94"/>
                </w:rPr>
                <w:t>PRINCIPAL STOCKHOLDERS</w:t>
              </w:r>
            </w:hyperlink>
          </w:p>
        </w:tc>
        <w:tc>
          <w:tcPr>
            <w:tcW w:w="8260" w:type="dxa"/>
            <w:vAlign w:val="bottom"/>
            <w:gridSpan w:val="14"/>
          </w:tcPr>
          <w:p>
            <w:pPr>
              <w:spacing w:after="0"/>
              <w:rPr>
                <w:sz w:val="17"/>
                <w:szCs w:val="17"/>
                <w:color w:val="auto"/>
              </w:rPr>
            </w:pPr>
          </w:p>
        </w:tc>
        <w:tc>
          <w:tcPr>
            <w:tcW w:w="34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w w:val="99"/>
              </w:rPr>
              <w:t>157</w:t>
            </w:r>
          </w:p>
        </w:tc>
        <w:tc>
          <w:tcPr>
            <w:tcW w:w="0" w:type="dxa"/>
            <w:vAlign w:val="bottom"/>
          </w:tcPr>
          <w:p>
            <w:pPr>
              <w:spacing w:after="0"/>
              <w:rPr>
                <w:sz w:val="1"/>
                <w:szCs w:val="1"/>
                <w:color w:val="auto"/>
              </w:rPr>
            </w:pPr>
          </w:p>
        </w:tc>
      </w:tr>
      <w:tr>
        <w:trPr>
          <w:trHeight w:val="196"/>
        </w:trPr>
        <w:tc>
          <w:tcPr>
            <w:tcW w:w="10640" w:type="dxa"/>
            <w:vAlign w:val="bottom"/>
            <w:gridSpan w:val="26"/>
          </w:tcPr>
          <w:p>
            <w:pPr>
              <w:spacing w:after="0" w:line="196" w:lineRule="exact"/>
              <w:rPr>
                <w:rFonts w:ascii="Arial" w:cs="Arial" w:eastAsia="Arial" w:hAnsi="Arial"/>
                <w:sz w:val="18"/>
                <w:szCs w:val="18"/>
                <w:color w:val="0000EE"/>
              </w:rPr>
            </w:pPr>
            <w:hyperlink w:anchor="page168">
              <w:r>
                <w:rPr>
                  <w:rFonts w:ascii="Arial" w:cs="Arial" w:eastAsia="Arial" w:hAnsi="Arial"/>
                  <w:sz w:val="18"/>
                  <w:szCs w:val="18"/>
                  <w:color w:val="0000EE"/>
                </w:rPr>
                <w:t>CERTAIN RELATIONSHIPS AND RELATED PARTY TRANSACTIONS</w:t>
              </w:r>
            </w:hyperlink>
          </w:p>
        </w:tc>
        <w:tc>
          <w:tcPr>
            <w:tcW w:w="34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w w:val="99"/>
              </w:rPr>
              <w:t>161</w:t>
            </w:r>
          </w:p>
        </w:tc>
        <w:tc>
          <w:tcPr>
            <w:tcW w:w="0" w:type="dxa"/>
            <w:vAlign w:val="bottom"/>
          </w:tcPr>
          <w:p>
            <w:pPr>
              <w:spacing w:after="0"/>
              <w:rPr>
                <w:sz w:val="1"/>
                <w:szCs w:val="1"/>
                <w:color w:val="auto"/>
              </w:rPr>
            </w:pPr>
          </w:p>
        </w:tc>
      </w:tr>
      <w:tr>
        <w:trPr>
          <w:trHeight w:val="196"/>
        </w:trPr>
        <w:tc>
          <w:tcPr>
            <w:tcW w:w="3780" w:type="dxa"/>
            <w:vAlign w:val="bottom"/>
            <w:tcBorders>
              <w:top w:val="single" w:sz="8" w:color="0000EE"/>
              <w:bottom w:val="single" w:sz="8" w:color="0000EE"/>
            </w:tcBorders>
            <w:gridSpan w:val="17"/>
          </w:tcPr>
          <w:p>
            <w:pPr>
              <w:spacing w:after="0" w:line="196" w:lineRule="exact"/>
              <w:rPr>
                <w:rFonts w:ascii="Arial" w:cs="Arial" w:eastAsia="Arial" w:hAnsi="Arial"/>
                <w:sz w:val="18"/>
                <w:szCs w:val="18"/>
                <w:color w:val="0000EE"/>
                <w:w w:val="95"/>
              </w:rPr>
            </w:pPr>
            <w:hyperlink w:anchor="page174">
              <w:r>
                <w:rPr>
                  <w:rFonts w:ascii="Arial" w:cs="Arial" w:eastAsia="Arial" w:hAnsi="Arial"/>
                  <w:sz w:val="18"/>
                  <w:szCs w:val="18"/>
                  <w:color w:val="0000EE"/>
                  <w:w w:val="95"/>
                </w:rPr>
                <w:t>DESCRIPTION OF MATERIAL INDEBTEDNESS</w:t>
              </w:r>
            </w:hyperlink>
          </w:p>
        </w:tc>
        <w:tc>
          <w:tcPr>
            <w:tcW w:w="1680" w:type="dxa"/>
            <w:vAlign w:val="bottom"/>
            <w:tcBorders>
              <w:top w:val="single" w:sz="8" w:color="0000EE"/>
            </w:tcBorders>
            <w:gridSpan w:val="3"/>
          </w:tcPr>
          <w:p>
            <w:pPr>
              <w:spacing w:after="0"/>
              <w:rPr>
                <w:sz w:val="17"/>
                <w:szCs w:val="17"/>
                <w:color w:val="auto"/>
              </w:rPr>
            </w:pPr>
          </w:p>
        </w:tc>
        <w:tc>
          <w:tcPr>
            <w:tcW w:w="5180" w:type="dxa"/>
            <w:vAlign w:val="bottom"/>
            <w:gridSpan w:val="6"/>
          </w:tcPr>
          <w:p>
            <w:pPr>
              <w:spacing w:after="0"/>
              <w:rPr>
                <w:sz w:val="17"/>
                <w:szCs w:val="17"/>
                <w:color w:val="auto"/>
              </w:rPr>
            </w:pPr>
          </w:p>
        </w:tc>
        <w:tc>
          <w:tcPr>
            <w:tcW w:w="34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w w:val="99"/>
              </w:rPr>
              <w:t>167</w:t>
            </w:r>
          </w:p>
        </w:tc>
        <w:tc>
          <w:tcPr>
            <w:tcW w:w="0" w:type="dxa"/>
            <w:vAlign w:val="bottom"/>
          </w:tcPr>
          <w:p>
            <w:pPr>
              <w:spacing w:after="0"/>
              <w:rPr>
                <w:sz w:val="1"/>
                <w:szCs w:val="1"/>
                <w:color w:val="auto"/>
              </w:rPr>
            </w:pPr>
          </w:p>
        </w:tc>
      </w:tr>
      <w:tr>
        <w:trPr>
          <w:trHeight w:val="196"/>
        </w:trPr>
        <w:tc>
          <w:tcPr>
            <w:tcW w:w="10640" w:type="dxa"/>
            <w:vAlign w:val="bottom"/>
            <w:gridSpan w:val="26"/>
          </w:tcPr>
          <w:p>
            <w:pPr>
              <w:spacing w:after="0" w:line="196" w:lineRule="exact"/>
              <w:rPr>
                <w:rFonts w:ascii="Arial" w:cs="Arial" w:eastAsia="Arial" w:hAnsi="Arial"/>
                <w:sz w:val="18"/>
                <w:szCs w:val="18"/>
                <w:color w:val="0000EE"/>
              </w:rPr>
            </w:pPr>
            <w:hyperlink w:anchor="page178">
              <w:r>
                <w:rPr>
                  <w:rFonts w:ascii="Arial" w:cs="Arial" w:eastAsia="Arial" w:hAnsi="Arial"/>
                  <w:sz w:val="18"/>
                  <w:szCs w:val="18"/>
                  <w:color w:val="0000EE"/>
                </w:rPr>
                <w:t>DESCRIPTION OF CAPITAL STOCK</w:t>
              </w:r>
            </w:hyperlink>
          </w:p>
        </w:tc>
        <w:tc>
          <w:tcPr>
            <w:tcW w:w="34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w w:val="99"/>
              </w:rPr>
              <w:t>171</w:t>
            </w:r>
          </w:p>
        </w:tc>
        <w:tc>
          <w:tcPr>
            <w:tcW w:w="0" w:type="dxa"/>
            <w:vAlign w:val="bottom"/>
          </w:tcPr>
          <w:p>
            <w:pPr>
              <w:spacing w:after="0"/>
              <w:rPr>
                <w:sz w:val="1"/>
                <w:szCs w:val="1"/>
                <w:color w:val="auto"/>
              </w:rPr>
            </w:pPr>
          </w:p>
        </w:tc>
      </w:tr>
      <w:tr>
        <w:trPr>
          <w:trHeight w:val="20"/>
        </w:trPr>
        <w:tc>
          <w:tcPr>
            <w:tcW w:w="760" w:type="dxa"/>
            <w:vAlign w:val="bottom"/>
            <w:shd w:val="clear" w:color="auto" w:fill="0000EE"/>
          </w:tcPr>
          <w:p>
            <w:pPr>
              <w:spacing w:after="0" w:line="20" w:lineRule="exact"/>
              <w:rPr>
                <w:sz w:val="1"/>
                <w:szCs w:val="1"/>
                <w:color w:val="auto"/>
              </w:rPr>
            </w:pPr>
          </w:p>
        </w:tc>
        <w:tc>
          <w:tcPr>
            <w:tcW w:w="620" w:type="dxa"/>
            <w:vAlign w:val="bottom"/>
            <w:gridSpan w:val="5"/>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400" w:type="dxa"/>
            <w:vAlign w:val="bottom"/>
            <w:gridSpan w:val="7"/>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3140" w:type="dxa"/>
            <w:vAlign w:val="bottom"/>
            <w:gridSpan w:val="5"/>
          </w:tcPr>
          <w:p>
            <w:pPr>
              <w:spacing w:after="0" w:line="20" w:lineRule="exact"/>
              <w:rPr>
                <w:sz w:val="1"/>
                <w:szCs w:val="1"/>
                <w:color w:val="auto"/>
              </w:rPr>
            </w:pPr>
          </w:p>
        </w:tc>
        <w:tc>
          <w:tcPr>
            <w:tcW w:w="3700" w:type="dxa"/>
            <w:vAlign w:val="bottom"/>
            <w:gridSpan w:val="3"/>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180" w:type="dxa"/>
            <w:vAlign w:val="bottom"/>
            <w:tcBorders>
              <w:bottom w:val="single" w:sz="8" w:color="0000EE"/>
            </w:tcBorders>
            <w:gridSpan w:val="16"/>
          </w:tcPr>
          <w:p>
            <w:pPr>
              <w:spacing w:after="0" w:line="196" w:lineRule="exact"/>
              <w:rPr>
                <w:rFonts w:ascii="Arial" w:cs="Arial" w:eastAsia="Arial" w:hAnsi="Arial"/>
                <w:sz w:val="18"/>
                <w:szCs w:val="18"/>
                <w:color w:val="0000EE"/>
                <w:w w:val="95"/>
              </w:rPr>
            </w:pPr>
            <w:hyperlink w:anchor="page185">
              <w:r>
                <w:rPr>
                  <w:rFonts w:ascii="Arial" w:cs="Arial" w:eastAsia="Arial" w:hAnsi="Arial"/>
                  <w:sz w:val="18"/>
                  <w:szCs w:val="18"/>
                  <w:color w:val="0000EE"/>
                  <w:w w:val="95"/>
                </w:rPr>
                <w:t>SHARES ELIGIBLE FOR FUTURE SALE</w:t>
              </w:r>
            </w:hyperlink>
          </w:p>
        </w:tc>
        <w:tc>
          <w:tcPr>
            <w:tcW w:w="7460" w:type="dxa"/>
            <w:vAlign w:val="bottom"/>
            <w:gridSpan w:val="10"/>
          </w:tcPr>
          <w:p>
            <w:pPr>
              <w:spacing w:after="0"/>
              <w:rPr>
                <w:sz w:val="17"/>
                <w:szCs w:val="17"/>
                <w:color w:val="auto"/>
              </w:rPr>
            </w:pPr>
          </w:p>
        </w:tc>
        <w:tc>
          <w:tcPr>
            <w:tcW w:w="34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w w:val="99"/>
              </w:rPr>
              <w:t>178</w:t>
            </w:r>
          </w:p>
        </w:tc>
        <w:tc>
          <w:tcPr>
            <w:tcW w:w="0" w:type="dxa"/>
            <w:vAlign w:val="bottom"/>
          </w:tcPr>
          <w:p>
            <w:pPr>
              <w:spacing w:after="0"/>
              <w:rPr>
                <w:sz w:val="1"/>
                <w:szCs w:val="1"/>
                <w:color w:val="auto"/>
              </w:rPr>
            </w:pPr>
          </w:p>
        </w:tc>
      </w:tr>
      <w:tr>
        <w:trPr>
          <w:trHeight w:val="196"/>
        </w:trPr>
        <w:tc>
          <w:tcPr>
            <w:tcW w:w="10640" w:type="dxa"/>
            <w:vAlign w:val="bottom"/>
            <w:gridSpan w:val="26"/>
          </w:tcPr>
          <w:p>
            <w:pPr>
              <w:spacing w:after="0" w:line="196" w:lineRule="exact"/>
              <w:rPr>
                <w:rFonts w:ascii="Arial" w:cs="Arial" w:eastAsia="Arial" w:hAnsi="Arial"/>
                <w:sz w:val="18"/>
                <w:szCs w:val="18"/>
                <w:color w:val="0000EE"/>
              </w:rPr>
            </w:pPr>
            <w:hyperlink w:anchor="page188">
              <w:r>
                <w:rPr>
                  <w:rFonts w:ascii="Arial" w:cs="Arial" w:eastAsia="Arial" w:hAnsi="Arial"/>
                  <w:sz w:val="18"/>
                  <w:szCs w:val="18"/>
                  <w:color w:val="0000EE"/>
                </w:rPr>
                <w:t>MATERIAL U.S. FEDERAL INCOME TAX CONSIDERATIONS FOR NON-U.S. HOLDERS</w:t>
              </w:r>
            </w:hyperlink>
          </w:p>
        </w:tc>
        <w:tc>
          <w:tcPr>
            <w:tcW w:w="34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w w:val="99"/>
              </w:rPr>
              <w:t>181</w:t>
            </w:r>
          </w:p>
        </w:tc>
        <w:tc>
          <w:tcPr>
            <w:tcW w:w="0" w:type="dxa"/>
            <w:vAlign w:val="bottom"/>
          </w:tcPr>
          <w:p>
            <w:pPr>
              <w:spacing w:after="0"/>
              <w:rPr>
                <w:sz w:val="1"/>
                <w:szCs w:val="1"/>
                <w:color w:val="auto"/>
              </w:rPr>
            </w:pPr>
          </w:p>
        </w:tc>
      </w:tr>
      <w:tr>
        <w:trPr>
          <w:trHeight w:val="196"/>
        </w:trPr>
        <w:tc>
          <w:tcPr>
            <w:tcW w:w="6940" w:type="dxa"/>
            <w:vAlign w:val="bottom"/>
            <w:tcBorders>
              <w:top w:val="single" w:sz="8" w:color="0000EE"/>
            </w:tcBorders>
            <w:gridSpan w:val="23"/>
          </w:tcPr>
          <w:p>
            <w:pPr>
              <w:spacing w:after="0" w:line="196" w:lineRule="exact"/>
              <w:rPr>
                <w:rFonts w:ascii="Arial" w:cs="Arial" w:eastAsia="Arial" w:hAnsi="Arial"/>
                <w:sz w:val="18"/>
                <w:szCs w:val="18"/>
                <w:color w:val="0000EE"/>
              </w:rPr>
            </w:pPr>
            <w:hyperlink w:anchor="page192">
              <w:r>
                <w:rPr>
                  <w:rFonts w:ascii="Arial" w:cs="Arial" w:eastAsia="Arial" w:hAnsi="Arial"/>
                  <w:sz w:val="18"/>
                  <w:szCs w:val="18"/>
                  <w:color w:val="0000EE"/>
                </w:rPr>
                <w:t>UNDERWRITING</w:t>
              </w:r>
            </w:hyperlink>
          </w:p>
        </w:tc>
        <w:tc>
          <w:tcPr>
            <w:tcW w:w="3700" w:type="dxa"/>
            <w:vAlign w:val="bottom"/>
            <w:gridSpan w:val="3"/>
          </w:tcPr>
          <w:p>
            <w:pPr>
              <w:spacing w:after="0"/>
              <w:rPr>
                <w:sz w:val="17"/>
                <w:szCs w:val="17"/>
                <w:color w:val="auto"/>
              </w:rPr>
            </w:pPr>
          </w:p>
        </w:tc>
        <w:tc>
          <w:tcPr>
            <w:tcW w:w="34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w w:val="99"/>
              </w:rPr>
              <w:t>185</w:t>
            </w:r>
          </w:p>
        </w:tc>
        <w:tc>
          <w:tcPr>
            <w:tcW w:w="0" w:type="dxa"/>
            <w:vAlign w:val="bottom"/>
          </w:tcPr>
          <w:p>
            <w:pPr>
              <w:spacing w:after="0"/>
              <w:rPr>
                <w:sz w:val="1"/>
                <w:szCs w:val="1"/>
                <w:color w:val="auto"/>
              </w:rPr>
            </w:pPr>
          </w:p>
        </w:tc>
      </w:tr>
      <w:tr>
        <w:trPr>
          <w:trHeight w:val="20"/>
        </w:trPr>
        <w:tc>
          <w:tcPr>
            <w:tcW w:w="760" w:type="dxa"/>
            <w:vAlign w:val="bottom"/>
            <w:shd w:val="clear" w:color="auto" w:fill="0000EE"/>
          </w:tcPr>
          <w:p>
            <w:pPr>
              <w:spacing w:after="0" w:line="20" w:lineRule="exact"/>
              <w:rPr>
                <w:sz w:val="1"/>
                <w:szCs w:val="1"/>
                <w:color w:val="auto"/>
              </w:rPr>
            </w:pPr>
          </w:p>
        </w:tc>
        <w:tc>
          <w:tcPr>
            <w:tcW w:w="620" w:type="dxa"/>
            <w:vAlign w:val="bottom"/>
            <w:gridSpan w:val="5"/>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580" w:type="dxa"/>
            <w:vAlign w:val="bottom"/>
            <w:gridSpan w:val="8"/>
          </w:tcPr>
          <w:p>
            <w:pPr>
              <w:spacing w:after="0" w:line="20" w:lineRule="exact"/>
              <w:rPr>
                <w:sz w:val="1"/>
                <w:szCs w:val="1"/>
                <w:color w:val="auto"/>
              </w:rPr>
            </w:pPr>
          </w:p>
        </w:tc>
        <w:tc>
          <w:tcPr>
            <w:tcW w:w="760" w:type="dxa"/>
            <w:vAlign w:val="bottom"/>
            <w:gridSpan w:val="3"/>
          </w:tcPr>
          <w:p>
            <w:pPr>
              <w:spacing w:after="0" w:line="20" w:lineRule="exact"/>
              <w:rPr>
                <w:sz w:val="1"/>
                <w:szCs w:val="1"/>
                <w:color w:val="auto"/>
              </w:rPr>
            </w:pPr>
          </w:p>
        </w:tc>
        <w:tc>
          <w:tcPr>
            <w:tcW w:w="6840" w:type="dxa"/>
            <w:vAlign w:val="bottom"/>
            <w:gridSpan w:val="8"/>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460" w:type="dxa"/>
            <w:vAlign w:val="bottom"/>
            <w:tcBorders>
              <w:bottom w:val="single" w:sz="8" w:color="0000EE"/>
            </w:tcBorders>
            <w:gridSpan w:val="7"/>
          </w:tcPr>
          <w:p>
            <w:pPr>
              <w:spacing w:after="0" w:line="196" w:lineRule="exact"/>
              <w:rPr>
                <w:rFonts w:ascii="Arial" w:cs="Arial" w:eastAsia="Arial" w:hAnsi="Arial"/>
                <w:sz w:val="18"/>
                <w:szCs w:val="18"/>
                <w:color w:val="0000EE"/>
                <w:w w:val="96"/>
              </w:rPr>
            </w:pPr>
            <w:hyperlink w:anchor="page205">
              <w:r>
                <w:rPr>
                  <w:rFonts w:ascii="Arial" w:cs="Arial" w:eastAsia="Arial" w:hAnsi="Arial"/>
                  <w:sz w:val="18"/>
                  <w:szCs w:val="18"/>
                  <w:color w:val="0000EE"/>
                  <w:w w:val="96"/>
                </w:rPr>
                <w:t>LEGAL MATTERS</w:t>
              </w:r>
            </w:hyperlink>
          </w:p>
        </w:tc>
        <w:tc>
          <w:tcPr>
            <w:tcW w:w="9180" w:type="dxa"/>
            <w:vAlign w:val="bottom"/>
            <w:gridSpan w:val="19"/>
          </w:tcPr>
          <w:p>
            <w:pPr>
              <w:spacing w:after="0"/>
              <w:rPr>
                <w:sz w:val="17"/>
                <w:szCs w:val="17"/>
                <w:color w:val="auto"/>
              </w:rPr>
            </w:pPr>
          </w:p>
        </w:tc>
        <w:tc>
          <w:tcPr>
            <w:tcW w:w="34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w w:val="99"/>
              </w:rPr>
              <w:t>198</w:t>
            </w:r>
          </w:p>
        </w:tc>
        <w:tc>
          <w:tcPr>
            <w:tcW w:w="0" w:type="dxa"/>
            <w:vAlign w:val="bottom"/>
          </w:tcPr>
          <w:p>
            <w:pPr>
              <w:spacing w:after="0"/>
              <w:rPr>
                <w:sz w:val="1"/>
                <w:szCs w:val="1"/>
                <w:color w:val="auto"/>
              </w:rPr>
            </w:pPr>
          </w:p>
        </w:tc>
      </w:tr>
      <w:tr>
        <w:trPr>
          <w:trHeight w:val="196"/>
        </w:trPr>
        <w:tc>
          <w:tcPr>
            <w:tcW w:w="10640" w:type="dxa"/>
            <w:vAlign w:val="bottom"/>
            <w:gridSpan w:val="26"/>
          </w:tcPr>
          <w:p>
            <w:pPr>
              <w:spacing w:after="0" w:line="196" w:lineRule="exact"/>
              <w:rPr>
                <w:rFonts w:ascii="Arial" w:cs="Arial" w:eastAsia="Arial" w:hAnsi="Arial"/>
                <w:sz w:val="18"/>
                <w:szCs w:val="18"/>
                <w:color w:val="0000EE"/>
              </w:rPr>
            </w:pPr>
            <w:hyperlink w:anchor="page205">
              <w:r>
                <w:rPr>
                  <w:rFonts w:ascii="Arial" w:cs="Arial" w:eastAsia="Arial" w:hAnsi="Arial"/>
                  <w:sz w:val="18"/>
                  <w:szCs w:val="18"/>
                  <w:color w:val="0000EE"/>
                </w:rPr>
                <w:t>EXPERTS</w:t>
              </w:r>
            </w:hyperlink>
          </w:p>
        </w:tc>
        <w:tc>
          <w:tcPr>
            <w:tcW w:w="34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w w:val="99"/>
              </w:rPr>
              <w:t>198</w:t>
            </w:r>
          </w:p>
        </w:tc>
        <w:tc>
          <w:tcPr>
            <w:tcW w:w="0" w:type="dxa"/>
            <w:vAlign w:val="bottom"/>
          </w:tcPr>
          <w:p>
            <w:pPr>
              <w:spacing w:after="0"/>
              <w:rPr>
                <w:sz w:val="1"/>
                <w:szCs w:val="1"/>
                <w:color w:val="auto"/>
              </w:rPr>
            </w:pPr>
          </w:p>
        </w:tc>
      </w:tr>
      <w:tr>
        <w:trPr>
          <w:trHeight w:val="20"/>
        </w:trPr>
        <w:tc>
          <w:tcPr>
            <w:tcW w:w="760" w:type="dxa"/>
            <w:vAlign w:val="bottom"/>
            <w:shd w:val="clear" w:color="auto" w:fill="0000EE"/>
          </w:tcPr>
          <w:p>
            <w:pPr>
              <w:spacing w:after="0" w:line="20" w:lineRule="exact"/>
              <w:rPr>
                <w:sz w:val="1"/>
                <w:szCs w:val="1"/>
                <w:color w:val="auto"/>
              </w:rPr>
            </w:pPr>
          </w:p>
        </w:tc>
        <w:tc>
          <w:tcPr>
            <w:tcW w:w="2280" w:type="dxa"/>
            <w:vAlign w:val="bottom"/>
            <w:gridSpan w:val="14"/>
          </w:tcPr>
          <w:p>
            <w:pPr>
              <w:spacing w:after="0" w:line="20" w:lineRule="exact"/>
              <w:rPr>
                <w:sz w:val="1"/>
                <w:szCs w:val="1"/>
                <w:color w:val="auto"/>
              </w:rPr>
            </w:pPr>
          </w:p>
        </w:tc>
        <w:tc>
          <w:tcPr>
            <w:tcW w:w="760" w:type="dxa"/>
            <w:vAlign w:val="bottom"/>
            <w:gridSpan w:val="3"/>
          </w:tcPr>
          <w:p>
            <w:pPr>
              <w:spacing w:after="0" w:line="20" w:lineRule="exact"/>
              <w:rPr>
                <w:sz w:val="1"/>
                <w:szCs w:val="1"/>
                <w:color w:val="auto"/>
              </w:rPr>
            </w:pPr>
          </w:p>
        </w:tc>
        <w:tc>
          <w:tcPr>
            <w:tcW w:w="6840" w:type="dxa"/>
            <w:vAlign w:val="bottom"/>
            <w:gridSpan w:val="8"/>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640" w:type="dxa"/>
            <w:vAlign w:val="bottom"/>
            <w:gridSpan w:val="26"/>
          </w:tcPr>
          <w:p>
            <w:pPr>
              <w:spacing w:after="0" w:line="196" w:lineRule="exact"/>
              <w:rPr>
                <w:rFonts w:ascii="Arial" w:cs="Arial" w:eastAsia="Arial" w:hAnsi="Arial"/>
                <w:sz w:val="18"/>
                <w:szCs w:val="18"/>
                <w:color w:val="0000EE"/>
              </w:rPr>
            </w:pPr>
            <w:hyperlink w:anchor="page206">
              <w:r>
                <w:rPr>
                  <w:rFonts w:ascii="Arial" w:cs="Arial" w:eastAsia="Arial" w:hAnsi="Arial"/>
                  <w:sz w:val="18"/>
                  <w:szCs w:val="18"/>
                  <w:color w:val="0000EE"/>
                </w:rPr>
                <w:t>WHERE YOU CAN FIND MORE INFORMATION</w:t>
              </w:r>
            </w:hyperlink>
          </w:p>
        </w:tc>
        <w:tc>
          <w:tcPr>
            <w:tcW w:w="34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w w:val="99"/>
              </w:rPr>
              <w:t>199</w:t>
            </w:r>
          </w:p>
        </w:tc>
        <w:tc>
          <w:tcPr>
            <w:tcW w:w="0" w:type="dxa"/>
            <w:vAlign w:val="bottom"/>
          </w:tcPr>
          <w:p>
            <w:pPr>
              <w:spacing w:after="0"/>
              <w:rPr>
                <w:sz w:val="1"/>
                <w:szCs w:val="1"/>
                <w:color w:val="auto"/>
              </w:rPr>
            </w:pPr>
          </w:p>
        </w:tc>
      </w:tr>
      <w:tr>
        <w:trPr>
          <w:trHeight w:val="196"/>
        </w:trPr>
        <w:tc>
          <w:tcPr>
            <w:tcW w:w="3040" w:type="dxa"/>
            <w:vAlign w:val="bottom"/>
            <w:tcBorders>
              <w:top w:val="single" w:sz="8" w:color="0000EE"/>
              <w:bottom w:val="single" w:sz="8" w:color="0000EE"/>
            </w:tcBorders>
            <w:gridSpan w:val="15"/>
          </w:tcPr>
          <w:p>
            <w:pPr>
              <w:spacing w:after="0" w:line="196" w:lineRule="exact"/>
              <w:rPr>
                <w:rFonts w:ascii="Arial" w:cs="Arial" w:eastAsia="Arial" w:hAnsi="Arial"/>
                <w:sz w:val="18"/>
                <w:szCs w:val="18"/>
                <w:color w:val="0000EE"/>
                <w:w w:val="97"/>
              </w:rPr>
            </w:pPr>
            <w:hyperlink w:anchor="page207">
              <w:r>
                <w:rPr>
                  <w:rFonts w:ascii="Arial" w:cs="Arial" w:eastAsia="Arial" w:hAnsi="Arial"/>
                  <w:sz w:val="18"/>
                  <w:szCs w:val="18"/>
                  <w:color w:val="0000EE"/>
                  <w:w w:val="97"/>
                </w:rPr>
                <w:t>INDEX TO FINANCIAL STATEMENTS</w:t>
              </w:r>
            </w:hyperlink>
          </w:p>
        </w:tc>
        <w:tc>
          <w:tcPr>
            <w:tcW w:w="760" w:type="dxa"/>
            <w:vAlign w:val="bottom"/>
            <w:tcBorders>
              <w:top w:val="single" w:sz="8" w:color="0000EE"/>
            </w:tcBorders>
            <w:gridSpan w:val="3"/>
          </w:tcPr>
          <w:p>
            <w:pPr>
              <w:spacing w:after="0"/>
              <w:rPr>
                <w:sz w:val="17"/>
                <w:szCs w:val="17"/>
                <w:color w:val="auto"/>
              </w:rPr>
            </w:pPr>
          </w:p>
        </w:tc>
        <w:tc>
          <w:tcPr>
            <w:tcW w:w="6840" w:type="dxa"/>
            <w:vAlign w:val="bottom"/>
            <w:gridSpan w:val="8"/>
          </w:tcPr>
          <w:p>
            <w:pPr>
              <w:spacing w:after="0"/>
              <w:rPr>
                <w:sz w:val="17"/>
                <w:szCs w:val="17"/>
                <w:color w:val="auto"/>
              </w:rPr>
            </w:pPr>
          </w:p>
        </w:tc>
        <w:tc>
          <w:tcPr>
            <w:tcW w:w="340" w:type="dxa"/>
            <w:vAlign w:val="bottom"/>
            <w:gridSpan w:val="2"/>
          </w:tcPr>
          <w:p>
            <w:pPr>
              <w:ind w:left="60"/>
              <w:spacing w:after="0" w:line="196" w:lineRule="exact"/>
              <w:rPr>
                <w:sz w:val="20"/>
                <w:szCs w:val="20"/>
                <w:color w:val="auto"/>
              </w:rPr>
            </w:pPr>
            <w:r>
              <w:rPr>
                <w:rFonts w:ascii="Arial" w:cs="Arial" w:eastAsia="Arial" w:hAnsi="Arial"/>
                <w:sz w:val="18"/>
                <w:szCs w:val="18"/>
                <w:color w:val="auto"/>
                <w:w w:val="96"/>
              </w:rPr>
              <w:t>F-1</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2834005</wp:posOffset>
            </wp:positionH>
            <wp:positionV relativeFrom="paragraph">
              <wp:posOffset>248920</wp:posOffset>
            </wp:positionV>
            <wp:extent cx="1474470"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0"/>
          <w:szCs w:val="20"/>
          <w:color w:val="auto"/>
        </w:rPr>
      </w:pPr>
    </w:p>
    <w:p>
      <w:pPr>
        <w:spacing w:after="0" w:line="387" w:lineRule="exact"/>
        <w:rPr>
          <w:sz w:val="20"/>
          <w:szCs w:val="20"/>
          <w:color w:val="auto"/>
        </w:rPr>
      </w:pPr>
    </w:p>
    <w:p>
      <w:pPr>
        <w:ind w:left="120" w:right="20" w:firstLine="440"/>
        <w:spacing w:after="0" w:line="271" w:lineRule="auto"/>
        <w:rPr>
          <w:sz w:val="20"/>
          <w:szCs w:val="20"/>
          <w:color w:val="auto"/>
        </w:rPr>
      </w:pPr>
      <w:r>
        <w:rPr>
          <w:rFonts w:ascii="Arial" w:cs="Arial" w:eastAsia="Arial" w:hAnsi="Arial"/>
          <w:sz w:val="17"/>
          <w:szCs w:val="17"/>
          <w:color w:val="auto"/>
        </w:rPr>
        <w:t>You should rely only on the information contained in this prospectus or in any free-writing prospectus we may specifically authorize to be delivered or made available to you. Neither we nor the underwriters (or any of our or their respective affiliates) have authorized anyone to provide any information other than that contained in this prospectus or in any free writing prospectus prepared by or on behalf of us or to which we have referred you. Neither we nor the underwriters (or any of our or their respective affiliates) take any responsibility for, and can provide no assurance as to the reliability of, any other information that others may give you. We and the underwriters (or any of our or their respective affiliates) are not making an offer to sell these securities in any jurisdiction where the offer or sale is not permitted. You should assume that the information appearing in this prospectus or any free-writing prospectus is accurate only as of its date, regardless of its time of delivery or the time of any sale of shares of our Class A common stock. Our business, financial condition, results of operations and prospects may have changed since that date.</w:t>
      </w:r>
    </w:p>
    <w:p>
      <w:pPr>
        <w:spacing w:after="0" w:line="28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Basis of Presentation</w:t>
      </w:r>
    </w:p>
    <w:p>
      <w:pPr>
        <w:spacing w:after="0" w:line="121" w:lineRule="exact"/>
        <w:rPr>
          <w:sz w:val="20"/>
          <w:szCs w:val="20"/>
          <w:color w:val="auto"/>
        </w:rPr>
      </w:pPr>
    </w:p>
    <w:p>
      <w:pPr>
        <w:ind w:left="120" w:right="40" w:firstLine="440"/>
        <w:spacing w:after="0" w:line="259" w:lineRule="auto"/>
        <w:rPr>
          <w:sz w:val="20"/>
          <w:szCs w:val="20"/>
          <w:color w:val="auto"/>
        </w:rPr>
      </w:pPr>
      <w:r>
        <w:rPr>
          <w:rFonts w:ascii="Arial" w:cs="Arial" w:eastAsia="Arial" w:hAnsi="Arial"/>
          <w:sz w:val="18"/>
          <w:szCs w:val="18"/>
          <w:color w:val="auto"/>
        </w:rPr>
        <w:t>In this prospectus, unless the context otherwise requires, “Definitive,” the “Company,” “we,” “us” and “our” refer to Definitive Healthcare Corp., Definitive OpCo and their subsidiaries. References to “Predecessor Company” refer to Definitive OpCo prior to July 16, 2019 and “Successor Company” refer to Definitive OpCo after July 15, 2019. See “Management’s Discussion and Analysis of Financial Condition and Results of Operations —Impact of Acquisitions.”</w:t>
      </w:r>
    </w:p>
    <w:p>
      <w:pPr>
        <w:spacing w:after="0" w:line="119"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i</w:t>
      </w:r>
    </w:p>
    <w:p>
      <w:pPr>
        <w:sectPr>
          <w:pgSz w:w="11900" w:h="16838" w:orient="portrait"/>
          <w:cols w:equalWidth="0" w:num="1">
            <w:col w:w="11080"/>
          </w:cols>
          <w:pgMar w:left="320" w:top="459" w:right="499"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Confidential Treatment Requested by Definitive Healthcare Corp.</w:t>
      </w:r>
    </w:p>
    <w:p>
      <w:pPr>
        <w:spacing w:after="0" w:line="27"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Pursuant to 17 C.F.R. Section 200.83</w:t>
      </w:r>
    </w:p>
    <w:p>
      <w:pPr>
        <w:spacing w:after="0" w:line="13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Trademarks and Trade Names</w:t>
      </w:r>
    </w:p>
    <w:p>
      <w:pPr>
        <w:spacing w:after="0" w:line="121" w:lineRule="exact"/>
        <w:rPr>
          <w:sz w:val="20"/>
          <w:szCs w:val="20"/>
          <w:color w:val="auto"/>
        </w:rPr>
      </w:pPr>
    </w:p>
    <w:p>
      <w:pPr>
        <w:ind w:left="120" w:firstLine="440"/>
        <w:spacing w:after="0" w:line="255" w:lineRule="auto"/>
        <w:rPr>
          <w:sz w:val="20"/>
          <w:szCs w:val="20"/>
          <w:color w:val="auto"/>
        </w:rPr>
      </w:pPr>
      <w:r>
        <w:rPr>
          <w:rFonts w:ascii="Arial" w:cs="Arial" w:eastAsia="Arial" w:hAnsi="Arial"/>
          <w:sz w:val="18"/>
          <w:szCs w:val="18"/>
          <w:color w:val="auto"/>
        </w:rPr>
        <w:t>We own or have the rights to use various trademarks, trade names, service marks and copyrights, including: Definitive Healthcare</w:t>
      </w:r>
      <w:r>
        <w:rPr>
          <w:rFonts w:ascii="Arial" w:cs="Arial" w:eastAsia="Arial" w:hAnsi="Arial"/>
          <w:sz w:val="15"/>
          <w:szCs w:val="15"/>
          <w:color w:val="auto"/>
        </w:rPr>
        <w:t>®</w:t>
      </w:r>
      <w:r>
        <w:rPr>
          <w:rFonts w:ascii="Arial" w:cs="Arial" w:eastAsia="Arial" w:hAnsi="Arial"/>
          <w:sz w:val="18"/>
          <w:szCs w:val="18"/>
          <w:color w:val="auto"/>
        </w:rPr>
        <w:t xml:space="preserve"> and our logo used in association with our name. Solely for convenience, any trademarks, trade names, service marks or copyrights referred to or used herein are listed without the applicable </w:t>
      </w:r>
      <w:r>
        <w:rPr>
          <w:rFonts w:ascii="Arial" w:cs="Arial" w:eastAsia="Arial" w:hAnsi="Arial"/>
          <w:sz w:val="15"/>
          <w:szCs w:val="15"/>
          <w:color w:val="auto"/>
        </w:rPr>
        <w:t>©</w:t>
      </w:r>
      <w:r>
        <w:rPr>
          <w:rFonts w:ascii="Arial" w:cs="Arial" w:eastAsia="Arial" w:hAnsi="Arial"/>
          <w:sz w:val="18"/>
          <w:szCs w:val="18"/>
          <w:color w:val="auto"/>
        </w:rPr>
        <w:t xml:space="preserve">, </w:t>
      </w:r>
      <w:r>
        <w:rPr>
          <w:rFonts w:ascii="Arial" w:cs="Arial" w:eastAsia="Arial" w:hAnsi="Arial"/>
          <w:sz w:val="15"/>
          <w:szCs w:val="15"/>
          <w:color w:val="auto"/>
        </w:rPr>
        <w:t>®</w:t>
      </w:r>
      <w:r>
        <w:rPr>
          <w:rFonts w:ascii="Arial" w:cs="Arial" w:eastAsia="Arial" w:hAnsi="Arial"/>
          <w:sz w:val="18"/>
          <w:szCs w:val="18"/>
          <w:color w:val="auto"/>
        </w:rPr>
        <w:t xml:space="preserve"> or ™ symbol, but such references or uses are not intended to indicate, in any way, that we, or the applicable owner, will not assert, to the fullest extent under applicable law, our or their, as applicable, rights to these trademarks, trade names, service marks and copyrights. Other trademarks, trade names, service marks or copyrights of any other company appearing in this prospectus are, to our knowledge, the property of their respective owners.</w:t>
      </w:r>
    </w:p>
    <w:p>
      <w:pPr>
        <w:spacing w:after="0" w:line="296"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Market and Industry Information</w:t>
      </w:r>
    </w:p>
    <w:p>
      <w:pPr>
        <w:spacing w:after="0" w:line="121" w:lineRule="exact"/>
        <w:rPr>
          <w:sz w:val="20"/>
          <w:szCs w:val="20"/>
          <w:color w:val="auto"/>
        </w:rPr>
      </w:pPr>
    </w:p>
    <w:p>
      <w:pPr>
        <w:ind w:left="120" w:right="40" w:firstLine="440"/>
        <w:spacing w:after="0" w:line="268" w:lineRule="auto"/>
        <w:rPr>
          <w:sz w:val="20"/>
          <w:szCs w:val="20"/>
          <w:color w:val="auto"/>
        </w:rPr>
      </w:pPr>
      <w:r>
        <w:rPr>
          <w:rFonts w:ascii="Arial" w:cs="Arial" w:eastAsia="Arial" w:hAnsi="Arial"/>
          <w:sz w:val="17"/>
          <w:szCs w:val="17"/>
          <w:color w:val="auto"/>
        </w:rPr>
        <w:t>Unless otherwise indicated, market data and industry information used throughout this prospectus is based on management’s knowledge of the industry and the good faith estimates of management. We also relied, to the extent available, upon management’s review of independent industry surveys and publications, other publicly available information prepared by a number of sources, including consultant surveys and forecasts. All of the market data and industry information used in this prospectus involves a number of assumptions and limitations, and you are cautioned not to give undue weight to such estimates. Although we believe that these sources are reliable, neither we nor the underwriters can guarantee the accuracy or completeness of this information and neither we nor the underwriters have independently verified this information. Additionally, from time to time, these sources may change their input information or methodologies, which may change the related results. While we believe the estimated market position, market opportunity and market size information included in this prospectus is generally reliable, such information, which is derived in part from management’s estimates and beliefs, is inherently uncertain and imprecise. Projections, assumptions and estimates of our future performance and the future performance of the industry in which we operate are necessarily subject to a high degree of uncertainty and risk due to a variety of factors, including those described in “Risk Factors,” “Cautionary Note Regarding Forward-Looking Statements” and elsewhere in this prospectus. These and other factors could cause results to differ materially from those expressed in our estimates and beliefs and in the estimates prepared by independent parties.</w:t>
      </w:r>
    </w:p>
    <w:p>
      <w:pPr>
        <w:spacing w:after="0" w:line="186" w:lineRule="exact"/>
        <w:rPr>
          <w:sz w:val="20"/>
          <w:szCs w:val="20"/>
          <w:color w:val="auto"/>
        </w:rPr>
      </w:pPr>
    </w:p>
    <w:p>
      <w:pPr>
        <w:ind w:left="120" w:right="380" w:firstLine="440"/>
        <w:spacing w:after="0" w:line="277" w:lineRule="auto"/>
        <w:rPr>
          <w:sz w:val="20"/>
          <w:szCs w:val="20"/>
          <w:color w:val="auto"/>
        </w:rPr>
      </w:pPr>
      <w:r>
        <w:rPr>
          <w:rFonts w:ascii="Arial" w:cs="Arial" w:eastAsia="Arial" w:hAnsi="Arial"/>
          <w:sz w:val="18"/>
          <w:szCs w:val="18"/>
          <w:color w:val="auto"/>
        </w:rPr>
        <w:t>We have relied on the calculations and analysis and our use of third-party analytics tools to present metrics that, as closely as possible, reflect genuine users and legitimate user activity on our platform.</w:t>
      </w:r>
    </w:p>
    <w:p>
      <w:pPr>
        <w:spacing w:after="0" w:line="170" w:lineRule="exact"/>
        <w:rPr>
          <w:sz w:val="20"/>
          <w:szCs w:val="20"/>
          <w:color w:val="auto"/>
        </w:rPr>
      </w:pPr>
    </w:p>
    <w:p>
      <w:pPr>
        <w:ind w:left="120" w:right="40" w:firstLine="440"/>
        <w:spacing w:after="0" w:line="296" w:lineRule="auto"/>
        <w:rPr>
          <w:sz w:val="20"/>
          <w:szCs w:val="20"/>
          <w:color w:val="auto"/>
        </w:rPr>
      </w:pPr>
      <w:r>
        <w:rPr>
          <w:rFonts w:ascii="Arial" w:cs="Arial" w:eastAsia="Arial" w:hAnsi="Arial"/>
          <w:sz w:val="16"/>
          <w:szCs w:val="16"/>
          <w:color w:val="auto"/>
        </w:rPr>
        <w:t>However, data from such sources may include inaccuracies such as information relating to fraudulent accounts or interactions with our sites. Such inaccuracies and fraudulent accounts or interactions may be caused by the use of bots or other mechanisms to generate false impressions, persons with multiple accounts on one service, persons with deactivated or inactive accounts and multiple views by the same user. We have only a limited ability to independently verify the metrics provided by and third-party analytics tools. Investors should not place undue reliance or emphasis on website visits given these limitations and the fact that such measures do not bear any direct relationship to our financial condition or results of operations.</w:t>
      </w:r>
    </w:p>
    <w:p>
      <w:pPr>
        <w:spacing w:after="0" w:line="26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Certain Definitions</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As used in this prospectus, unless otherwise noted or the context requires otherwise:</w:t>
      </w:r>
    </w:p>
    <w:p>
      <w:pPr>
        <w:spacing w:after="0" w:line="131" w:lineRule="exact"/>
        <w:rPr>
          <w:sz w:val="20"/>
          <w:szCs w:val="20"/>
          <w:color w:val="auto"/>
        </w:rPr>
      </w:pPr>
    </w:p>
    <w:p>
      <w:pPr>
        <w:ind w:left="540" w:hanging="316"/>
        <w:spacing w:after="0"/>
        <w:tabs>
          <w:tab w:leader="none" w:pos="540" w:val="left"/>
        </w:tabs>
        <w:numPr>
          <w:ilvl w:val="0"/>
          <w:numId w:val="4"/>
        </w:numPr>
        <w:rPr>
          <w:rFonts w:ascii="Arial" w:cs="Arial" w:eastAsia="Arial" w:hAnsi="Arial"/>
          <w:sz w:val="18"/>
          <w:szCs w:val="18"/>
          <w:color w:val="auto"/>
        </w:rPr>
      </w:pPr>
      <w:r>
        <w:rPr>
          <w:rFonts w:ascii="Arial" w:cs="Arial" w:eastAsia="Arial" w:hAnsi="Arial"/>
          <w:sz w:val="18"/>
          <w:szCs w:val="18"/>
          <w:color w:val="auto"/>
        </w:rPr>
        <w:t>“Advent” refers to Advent International, a global private equity firm.</w:t>
      </w:r>
    </w:p>
    <w:p>
      <w:pPr>
        <w:spacing w:after="0" w:line="130" w:lineRule="exact"/>
        <w:rPr>
          <w:rFonts w:ascii="Arial" w:cs="Arial" w:eastAsia="Arial" w:hAnsi="Arial"/>
          <w:sz w:val="18"/>
          <w:szCs w:val="18"/>
          <w:color w:val="auto"/>
        </w:rPr>
      </w:pPr>
    </w:p>
    <w:p>
      <w:pPr>
        <w:ind w:left="540" w:hanging="316"/>
        <w:spacing w:after="0"/>
        <w:tabs>
          <w:tab w:leader="none" w:pos="540" w:val="left"/>
        </w:tabs>
        <w:numPr>
          <w:ilvl w:val="0"/>
          <w:numId w:val="4"/>
        </w:numPr>
        <w:rPr>
          <w:rFonts w:ascii="Arial" w:cs="Arial" w:eastAsia="Arial" w:hAnsi="Arial"/>
          <w:sz w:val="18"/>
          <w:szCs w:val="18"/>
          <w:color w:val="auto"/>
        </w:rPr>
      </w:pPr>
      <w:r>
        <w:rPr>
          <w:rFonts w:ascii="Arial" w:cs="Arial" w:eastAsia="Arial" w:hAnsi="Arial"/>
          <w:sz w:val="18"/>
          <w:szCs w:val="18"/>
          <w:color w:val="auto"/>
        </w:rPr>
        <w:t>“Amended LLC Agreement” has the meaning given in “Prospectus Summary—Organizational Structure.”</w:t>
      </w:r>
    </w:p>
    <w:p>
      <w:pPr>
        <w:spacing w:after="0" w:line="130" w:lineRule="exact"/>
        <w:rPr>
          <w:rFonts w:ascii="Arial" w:cs="Arial" w:eastAsia="Arial" w:hAnsi="Arial"/>
          <w:sz w:val="18"/>
          <w:szCs w:val="18"/>
          <w:color w:val="auto"/>
        </w:rPr>
      </w:pPr>
    </w:p>
    <w:p>
      <w:pPr>
        <w:ind w:left="540" w:right="440" w:hanging="316"/>
        <w:spacing w:after="0" w:line="277" w:lineRule="auto"/>
        <w:tabs>
          <w:tab w:leader="none" w:pos="540" w:val="left"/>
        </w:tabs>
        <w:numPr>
          <w:ilvl w:val="0"/>
          <w:numId w:val="4"/>
        </w:numPr>
        <w:rPr>
          <w:rFonts w:ascii="Arial" w:cs="Arial" w:eastAsia="Arial" w:hAnsi="Arial"/>
          <w:sz w:val="18"/>
          <w:szCs w:val="18"/>
          <w:color w:val="auto"/>
        </w:rPr>
      </w:pPr>
      <w:r>
        <w:rPr>
          <w:rFonts w:ascii="Arial" w:cs="Arial" w:eastAsia="Arial" w:hAnsi="Arial"/>
          <w:sz w:val="18"/>
          <w:szCs w:val="18"/>
          <w:color w:val="auto"/>
        </w:rPr>
        <w:t>“ARR” refers to annual recurring revenue or annualized contractually recurring revenue as of period end, which is calculated by aggregating annual subscription revenue from committed contractual amounts for all existing customers during that period.</w:t>
      </w:r>
    </w:p>
    <w:p>
      <w:pPr>
        <w:spacing w:after="0" w:line="75" w:lineRule="exact"/>
        <w:rPr>
          <w:rFonts w:ascii="Arial" w:cs="Arial" w:eastAsia="Arial" w:hAnsi="Arial"/>
          <w:sz w:val="18"/>
          <w:szCs w:val="18"/>
          <w:color w:val="auto"/>
        </w:rPr>
      </w:pPr>
    </w:p>
    <w:p>
      <w:pPr>
        <w:ind w:left="540" w:hanging="316"/>
        <w:spacing w:after="0"/>
        <w:tabs>
          <w:tab w:leader="none" w:pos="540" w:val="left"/>
        </w:tabs>
        <w:numPr>
          <w:ilvl w:val="0"/>
          <w:numId w:val="4"/>
        </w:numPr>
        <w:rPr>
          <w:rFonts w:ascii="Arial" w:cs="Arial" w:eastAsia="Arial" w:hAnsi="Arial"/>
          <w:sz w:val="18"/>
          <w:szCs w:val="18"/>
          <w:color w:val="auto"/>
        </w:rPr>
      </w:pPr>
      <w:r>
        <w:rPr>
          <w:rFonts w:ascii="Arial" w:cs="Arial" w:eastAsia="Arial" w:hAnsi="Arial"/>
          <w:sz w:val="18"/>
          <w:szCs w:val="18"/>
          <w:color w:val="auto"/>
        </w:rPr>
        <w:t>“Blocker Company” has the meaning given in “Prospectus Summary—Organizational Structure.”</w:t>
      </w:r>
    </w:p>
    <w:p>
      <w:pPr>
        <w:spacing w:after="0" w:line="158"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ii</w:t>
      </w:r>
    </w:p>
    <w:p>
      <w:pPr>
        <w:sectPr>
          <w:pgSz w:w="11900" w:h="16838" w:orient="portrait"/>
          <w:cols w:equalWidth="0" w:num="1">
            <w:col w:w="11100"/>
          </w:cols>
          <w:pgMar w:left="320" w:top="459" w:right="47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Confidential Treatment Requested by Definitive Healthcare Corp.</w:t>
      </w:r>
    </w:p>
    <w:p>
      <w:pPr>
        <w:spacing w:after="0" w:line="27"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Pursuant to 17 C.F.R. Section 200.83</w:t>
      </w:r>
    </w:p>
    <w:p>
      <w:pPr>
        <w:spacing w:after="0" w:line="143" w:lineRule="exact"/>
        <w:rPr>
          <w:sz w:val="20"/>
          <w:szCs w:val="20"/>
          <w:color w:val="auto"/>
        </w:rPr>
      </w:pPr>
    </w:p>
    <w:p>
      <w:pPr>
        <w:ind w:left="540" w:right="20" w:hanging="316"/>
        <w:spacing w:after="0" w:line="301" w:lineRule="auto"/>
        <w:tabs>
          <w:tab w:leader="none" w:pos="540" w:val="left"/>
        </w:tabs>
        <w:numPr>
          <w:ilvl w:val="0"/>
          <w:numId w:val="5"/>
        </w:numPr>
        <w:rPr>
          <w:rFonts w:ascii="Arial" w:cs="Arial" w:eastAsia="Arial" w:hAnsi="Arial"/>
          <w:sz w:val="16"/>
          <w:szCs w:val="16"/>
          <w:color w:val="auto"/>
        </w:rPr>
      </w:pPr>
      <w:r>
        <w:rPr>
          <w:rFonts w:ascii="Arial" w:cs="Arial" w:eastAsia="Arial" w:hAnsi="Arial"/>
          <w:sz w:val="16"/>
          <w:szCs w:val="16"/>
          <w:color w:val="auto"/>
        </w:rPr>
        <w:t>“CAC” refers to customer acquisition cost, or the cost of acquiring a new customer. We calculate CAC as (i) the sales and marketing expense, including associated indirect costs, such as management and overheads, associated with acquiring new customers on a trailing twelve month basis starting from the prior quarter, excluding expenses that are non-cash or one-time in nature, including share-based compensation, acquisition-related integration and compensation expenses, and non-recurring items divided by (ii) the number of new customers added during the period.</w:t>
      </w:r>
    </w:p>
    <w:p>
      <w:pPr>
        <w:spacing w:after="0" w:line="62" w:lineRule="exact"/>
        <w:rPr>
          <w:rFonts w:ascii="Arial" w:cs="Arial" w:eastAsia="Arial" w:hAnsi="Arial"/>
          <w:sz w:val="16"/>
          <w:szCs w:val="16"/>
          <w:color w:val="auto"/>
        </w:rPr>
      </w:pPr>
    </w:p>
    <w:p>
      <w:pPr>
        <w:ind w:left="540" w:hanging="316"/>
        <w:spacing w:after="0"/>
        <w:tabs>
          <w:tab w:leader="none" w:pos="540" w:val="left"/>
        </w:tabs>
        <w:numPr>
          <w:ilvl w:val="0"/>
          <w:numId w:val="5"/>
        </w:numPr>
        <w:rPr>
          <w:rFonts w:ascii="Arial" w:cs="Arial" w:eastAsia="Arial" w:hAnsi="Arial"/>
          <w:sz w:val="18"/>
          <w:szCs w:val="18"/>
          <w:color w:val="auto"/>
        </w:rPr>
      </w:pPr>
      <w:r>
        <w:rPr>
          <w:rFonts w:ascii="Arial" w:cs="Arial" w:eastAsia="Arial" w:hAnsi="Arial"/>
          <w:sz w:val="18"/>
          <w:szCs w:val="18"/>
          <w:color w:val="auto"/>
        </w:rPr>
        <w:t>“Class B Units” has the meaning given in “Prospectus Summary—Organizational Structure.”</w:t>
      </w:r>
    </w:p>
    <w:p>
      <w:pPr>
        <w:spacing w:after="0" w:line="130" w:lineRule="exact"/>
        <w:rPr>
          <w:rFonts w:ascii="Arial" w:cs="Arial" w:eastAsia="Arial" w:hAnsi="Arial"/>
          <w:sz w:val="18"/>
          <w:szCs w:val="18"/>
          <w:color w:val="auto"/>
        </w:rPr>
      </w:pPr>
    </w:p>
    <w:p>
      <w:pPr>
        <w:ind w:left="540" w:hanging="316"/>
        <w:spacing w:after="0"/>
        <w:tabs>
          <w:tab w:leader="none" w:pos="540" w:val="left"/>
        </w:tabs>
        <w:numPr>
          <w:ilvl w:val="0"/>
          <w:numId w:val="5"/>
        </w:numPr>
        <w:rPr>
          <w:rFonts w:ascii="Arial" w:cs="Arial" w:eastAsia="Arial" w:hAnsi="Arial"/>
          <w:sz w:val="18"/>
          <w:szCs w:val="18"/>
          <w:color w:val="auto"/>
        </w:rPr>
      </w:pPr>
      <w:r>
        <w:rPr>
          <w:rFonts w:ascii="Arial" w:cs="Arial" w:eastAsia="Arial" w:hAnsi="Arial"/>
          <w:sz w:val="18"/>
          <w:szCs w:val="18"/>
          <w:color w:val="auto"/>
        </w:rPr>
        <w:t>“Management LLC Class B Units” has the meaning given in “Prospectus Summary—Organizational Structure.”</w:t>
      </w:r>
    </w:p>
    <w:p>
      <w:pPr>
        <w:spacing w:after="0" w:line="130" w:lineRule="exact"/>
        <w:rPr>
          <w:rFonts w:ascii="Arial" w:cs="Arial" w:eastAsia="Arial" w:hAnsi="Arial"/>
          <w:sz w:val="18"/>
          <w:szCs w:val="18"/>
          <w:color w:val="auto"/>
        </w:rPr>
      </w:pPr>
    </w:p>
    <w:p>
      <w:pPr>
        <w:ind w:left="540" w:hanging="316"/>
        <w:spacing w:after="0"/>
        <w:tabs>
          <w:tab w:leader="none" w:pos="540" w:val="left"/>
        </w:tabs>
        <w:numPr>
          <w:ilvl w:val="0"/>
          <w:numId w:val="5"/>
        </w:numPr>
        <w:rPr>
          <w:rFonts w:ascii="Arial" w:cs="Arial" w:eastAsia="Arial" w:hAnsi="Arial"/>
          <w:sz w:val="18"/>
          <w:szCs w:val="18"/>
          <w:color w:val="auto"/>
        </w:rPr>
      </w:pPr>
      <w:r>
        <w:rPr>
          <w:rFonts w:ascii="Arial" w:cs="Arial" w:eastAsia="Arial" w:hAnsi="Arial"/>
          <w:sz w:val="18"/>
          <w:szCs w:val="18"/>
          <w:color w:val="auto"/>
        </w:rPr>
        <w:t>“Mergers” has the meaning given in “Prospectus Summary—Organizational Structure.”</w:t>
      </w:r>
    </w:p>
    <w:p>
      <w:pPr>
        <w:spacing w:after="0" w:line="130" w:lineRule="exact"/>
        <w:rPr>
          <w:rFonts w:ascii="Arial" w:cs="Arial" w:eastAsia="Arial" w:hAnsi="Arial"/>
          <w:sz w:val="18"/>
          <w:szCs w:val="18"/>
          <w:color w:val="auto"/>
        </w:rPr>
      </w:pPr>
    </w:p>
    <w:p>
      <w:pPr>
        <w:ind w:left="540" w:hanging="316"/>
        <w:spacing w:after="0"/>
        <w:tabs>
          <w:tab w:leader="none" w:pos="540" w:val="left"/>
        </w:tabs>
        <w:numPr>
          <w:ilvl w:val="0"/>
          <w:numId w:val="5"/>
        </w:numPr>
        <w:rPr>
          <w:rFonts w:ascii="Arial" w:cs="Arial" w:eastAsia="Arial" w:hAnsi="Arial"/>
          <w:sz w:val="18"/>
          <w:szCs w:val="18"/>
          <w:color w:val="auto"/>
        </w:rPr>
      </w:pPr>
      <w:r>
        <w:rPr>
          <w:rFonts w:ascii="Arial" w:cs="Arial" w:eastAsia="Arial" w:hAnsi="Arial"/>
          <w:sz w:val="18"/>
          <w:szCs w:val="18"/>
          <w:color w:val="auto"/>
        </w:rPr>
        <w:t>“Unitholders” has the meaning given in “Prospectus Summary—Organizational Structure.”</w:t>
      </w:r>
    </w:p>
    <w:p>
      <w:pPr>
        <w:spacing w:after="0" w:line="130" w:lineRule="exact"/>
        <w:rPr>
          <w:rFonts w:ascii="Arial" w:cs="Arial" w:eastAsia="Arial" w:hAnsi="Arial"/>
          <w:sz w:val="18"/>
          <w:szCs w:val="18"/>
          <w:color w:val="auto"/>
        </w:rPr>
      </w:pPr>
    </w:p>
    <w:p>
      <w:pPr>
        <w:ind w:left="540" w:hanging="316"/>
        <w:spacing w:after="0" w:line="263" w:lineRule="auto"/>
        <w:tabs>
          <w:tab w:leader="none" w:pos="540" w:val="left"/>
        </w:tabs>
        <w:numPr>
          <w:ilvl w:val="0"/>
          <w:numId w:val="5"/>
        </w:numPr>
        <w:rPr>
          <w:rFonts w:ascii="Arial" w:cs="Arial" w:eastAsia="Arial" w:hAnsi="Arial"/>
          <w:sz w:val="18"/>
          <w:szCs w:val="18"/>
          <w:color w:val="auto"/>
        </w:rPr>
      </w:pPr>
      <w:r>
        <w:rPr>
          <w:rFonts w:ascii="Arial" w:cs="Arial" w:eastAsia="Arial" w:hAnsi="Arial"/>
          <w:sz w:val="18"/>
          <w:szCs w:val="18"/>
          <w:color w:val="auto"/>
        </w:rPr>
        <w:t>“Definitive,” “Definitive Healthcare,” the “Company,” “we,” “us” and “our” refer (i) prior to the recent consummation of the Reorganization Transactions to Definitive OpCo and its subsidiaries and (ii) after the reorganization transactions, to Definitive Healthcare Corp., Definitive OpCo and their subsidiaries.</w:t>
      </w:r>
    </w:p>
    <w:p>
      <w:pPr>
        <w:spacing w:after="0" w:line="89" w:lineRule="exact"/>
        <w:rPr>
          <w:rFonts w:ascii="Arial" w:cs="Arial" w:eastAsia="Arial" w:hAnsi="Arial"/>
          <w:sz w:val="18"/>
          <w:szCs w:val="18"/>
          <w:color w:val="auto"/>
        </w:rPr>
      </w:pPr>
    </w:p>
    <w:p>
      <w:pPr>
        <w:ind w:left="540" w:hanging="316"/>
        <w:spacing w:after="0"/>
        <w:tabs>
          <w:tab w:leader="none" w:pos="540" w:val="left"/>
        </w:tabs>
        <w:numPr>
          <w:ilvl w:val="0"/>
          <w:numId w:val="5"/>
        </w:numPr>
        <w:rPr>
          <w:rFonts w:ascii="Arial" w:cs="Arial" w:eastAsia="Arial" w:hAnsi="Arial"/>
          <w:sz w:val="18"/>
          <w:szCs w:val="18"/>
          <w:color w:val="auto"/>
        </w:rPr>
      </w:pPr>
      <w:r>
        <w:rPr>
          <w:rFonts w:ascii="Arial" w:cs="Arial" w:eastAsia="Arial" w:hAnsi="Arial"/>
          <w:sz w:val="18"/>
          <w:szCs w:val="18"/>
          <w:color w:val="auto"/>
        </w:rPr>
        <w:t>“Definitive OpCo” refers to AIDH TopCo, LLC, a Delaware limited liability company, and a subsidiary of Definitive Healthcare Corp.</w:t>
      </w:r>
    </w:p>
    <w:p>
      <w:pPr>
        <w:spacing w:after="0" w:line="130" w:lineRule="exact"/>
        <w:rPr>
          <w:rFonts w:ascii="Arial" w:cs="Arial" w:eastAsia="Arial" w:hAnsi="Arial"/>
          <w:sz w:val="18"/>
          <w:szCs w:val="18"/>
          <w:color w:val="auto"/>
        </w:rPr>
      </w:pPr>
    </w:p>
    <w:p>
      <w:pPr>
        <w:ind w:left="540" w:hanging="316"/>
        <w:spacing w:after="0"/>
        <w:tabs>
          <w:tab w:leader="none" w:pos="540" w:val="left"/>
        </w:tabs>
        <w:numPr>
          <w:ilvl w:val="0"/>
          <w:numId w:val="5"/>
        </w:numPr>
        <w:rPr>
          <w:rFonts w:ascii="Arial" w:cs="Arial" w:eastAsia="Arial" w:hAnsi="Arial"/>
          <w:sz w:val="18"/>
          <w:szCs w:val="18"/>
          <w:color w:val="auto"/>
        </w:rPr>
      </w:pPr>
      <w:r>
        <w:rPr>
          <w:rFonts w:ascii="Arial" w:cs="Arial" w:eastAsia="Arial" w:hAnsi="Arial"/>
          <w:sz w:val="18"/>
          <w:szCs w:val="18"/>
          <w:color w:val="auto"/>
        </w:rPr>
        <w:t>“DH Holdings” refers to Definitive Healthcare Holdings, LLC, a wholly-owned subsidiary of Definitive Healthcare.</w:t>
      </w:r>
    </w:p>
    <w:p>
      <w:pPr>
        <w:spacing w:after="0" w:line="130" w:lineRule="exact"/>
        <w:rPr>
          <w:rFonts w:ascii="Arial" w:cs="Arial" w:eastAsia="Arial" w:hAnsi="Arial"/>
          <w:sz w:val="18"/>
          <w:szCs w:val="18"/>
          <w:color w:val="auto"/>
        </w:rPr>
      </w:pPr>
    </w:p>
    <w:p>
      <w:pPr>
        <w:ind w:left="540" w:hanging="316"/>
        <w:spacing w:after="0"/>
        <w:tabs>
          <w:tab w:leader="none" w:pos="540" w:val="left"/>
        </w:tabs>
        <w:numPr>
          <w:ilvl w:val="0"/>
          <w:numId w:val="5"/>
        </w:numPr>
        <w:rPr>
          <w:rFonts w:ascii="Arial" w:cs="Arial" w:eastAsia="Arial" w:hAnsi="Arial"/>
          <w:sz w:val="18"/>
          <w:szCs w:val="18"/>
          <w:color w:val="auto"/>
        </w:rPr>
      </w:pPr>
      <w:r>
        <w:rPr>
          <w:rFonts w:ascii="Arial" w:cs="Arial" w:eastAsia="Arial" w:hAnsi="Arial"/>
          <w:sz w:val="18"/>
          <w:szCs w:val="18"/>
          <w:color w:val="auto"/>
        </w:rPr>
        <w:t>“IPO” refers to the initial public offering of our Class A common stock completed September 17, 2021.</w:t>
      </w:r>
    </w:p>
    <w:p>
      <w:pPr>
        <w:spacing w:after="0" w:line="130" w:lineRule="exact"/>
        <w:rPr>
          <w:rFonts w:ascii="Arial" w:cs="Arial" w:eastAsia="Arial" w:hAnsi="Arial"/>
          <w:sz w:val="18"/>
          <w:szCs w:val="18"/>
          <w:color w:val="auto"/>
        </w:rPr>
      </w:pPr>
    </w:p>
    <w:p>
      <w:pPr>
        <w:ind w:left="540" w:hanging="316"/>
        <w:spacing w:after="0"/>
        <w:tabs>
          <w:tab w:leader="none" w:pos="540" w:val="left"/>
        </w:tabs>
        <w:numPr>
          <w:ilvl w:val="0"/>
          <w:numId w:val="5"/>
        </w:numPr>
        <w:rPr>
          <w:rFonts w:ascii="Arial" w:cs="Arial" w:eastAsia="Arial" w:hAnsi="Arial"/>
          <w:sz w:val="17"/>
          <w:szCs w:val="17"/>
          <w:color w:val="auto"/>
        </w:rPr>
      </w:pPr>
      <w:r>
        <w:rPr>
          <w:rFonts w:ascii="Arial" w:cs="Arial" w:eastAsia="Arial" w:hAnsi="Arial"/>
          <w:sz w:val="17"/>
          <w:szCs w:val="17"/>
          <w:color w:val="auto"/>
        </w:rPr>
        <w:t>“IPO Transactions” refers to the offering of Class A common stock in our IPO and the transactions contemplated in connection therewith.</w:t>
      </w:r>
    </w:p>
    <w:p>
      <w:pPr>
        <w:spacing w:after="0" w:line="142" w:lineRule="exact"/>
        <w:rPr>
          <w:rFonts w:ascii="Arial" w:cs="Arial" w:eastAsia="Arial" w:hAnsi="Arial"/>
          <w:sz w:val="17"/>
          <w:szCs w:val="17"/>
          <w:color w:val="auto"/>
        </w:rPr>
      </w:pPr>
    </w:p>
    <w:p>
      <w:pPr>
        <w:ind w:left="540" w:hanging="316"/>
        <w:spacing w:after="0"/>
        <w:tabs>
          <w:tab w:leader="none" w:pos="540" w:val="left"/>
        </w:tabs>
        <w:numPr>
          <w:ilvl w:val="0"/>
          <w:numId w:val="5"/>
        </w:numPr>
        <w:rPr>
          <w:rFonts w:ascii="Arial" w:cs="Arial" w:eastAsia="Arial" w:hAnsi="Arial"/>
          <w:sz w:val="18"/>
          <w:szCs w:val="18"/>
          <w:color w:val="auto"/>
        </w:rPr>
      </w:pPr>
      <w:r>
        <w:rPr>
          <w:rFonts w:ascii="Arial" w:cs="Arial" w:eastAsia="Arial" w:hAnsi="Arial"/>
          <w:sz w:val="18"/>
          <w:szCs w:val="18"/>
          <w:color w:val="auto"/>
        </w:rPr>
        <w:t>“LLC Units” has the meaning given in “Prospectus Summary—Organizational Structure.”</w:t>
      </w:r>
    </w:p>
    <w:p>
      <w:pPr>
        <w:spacing w:after="0" w:line="130" w:lineRule="exact"/>
        <w:rPr>
          <w:rFonts w:ascii="Arial" w:cs="Arial" w:eastAsia="Arial" w:hAnsi="Arial"/>
          <w:sz w:val="18"/>
          <w:szCs w:val="18"/>
          <w:color w:val="auto"/>
        </w:rPr>
      </w:pPr>
    </w:p>
    <w:p>
      <w:pPr>
        <w:ind w:left="540" w:right="80" w:hanging="316"/>
        <w:spacing w:after="0" w:line="279" w:lineRule="auto"/>
        <w:tabs>
          <w:tab w:leader="none" w:pos="540" w:val="left"/>
        </w:tabs>
        <w:numPr>
          <w:ilvl w:val="0"/>
          <w:numId w:val="5"/>
        </w:numPr>
        <w:rPr>
          <w:rFonts w:ascii="Arial" w:cs="Arial" w:eastAsia="Arial" w:hAnsi="Arial"/>
          <w:sz w:val="17"/>
          <w:szCs w:val="17"/>
          <w:color w:val="auto"/>
        </w:rPr>
      </w:pPr>
      <w:r>
        <w:rPr>
          <w:rFonts w:ascii="Arial" w:cs="Arial" w:eastAsia="Arial" w:hAnsi="Arial"/>
          <w:sz w:val="17"/>
          <w:szCs w:val="17"/>
          <w:color w:val="auto"/>
        </w:rPr>
        <w:t>“LTV” refers to customer lifetime value, or the value that we expect to generate from a customer during the period that the customer continues to subscribe to our healthcare commercial intelligence platform. We calculate LTV as the product of (i) our average ARR per customer as of period end, multiplied by (ii) our Adjusted Gross Margin, divided by (iii) the annual revenue churn rate, which is defined as the percentage of ARR associated with customers that cancel during the period divided by the ARR at the beginning of the period.</w:t>
      </w:r>
    </w:p>
    <w:p>
      <w:pPr>
        <w:spacing w:after="0" w:line="76" w:lineRule="exact"/>
        <w:rPr>
          <w:rFonts w:ascii="Arial" w:cs="Arial" w:eastAsia="Arial" w:hAnsi="Arial"/>
          <w:sz w:val="17"/>
          <w:szCs w:val="17"/>
          <w:color w:val="auto"/>
        </w:rPr>
      </w:pPr>
    </w:p>
    <w:p>
      <w:pPr>
        <w:ind w:left="540" w:hanging="316"/>
        <w:spacing w:after="0"/>
        <w:tabs>
          <w:tab w:leader="none" w:pos="540" w:val="left"/>
        </w:tabs>
        <w:numPr>
          <w:ilvl w:val="0"/>
          <w:numId w:val="5"/>
        </w:numPr>
        <w:rPr>
          <w:rFonts w:ascii="Arial" w:cs="Arial" w:eastAsia="Arial" w:hAnsi="Arial"/>
          <w:sz w:val="18"/>
          <w:szCs w:val="18"/>
          <w:color w:val="auto"/>
        </w:rPr>
      </w:pPr>
      <w:r>
        <w:rPr>
          <w:rFonts w:ascii="Arial" w:cs="Arial" w:eastAsia="Arial" w:hAnsi="Arial"/>
          <w:sz w:val="18"/>
          <w:szCs w:val="18"/>
          <w:color w:val="auto"/>
        </w:rPr>
        <w:t>“Management LLC Class A Units” has the meaning given in “Prospectus Summary—Organizational Structure.”</w:t>
      </w:r>
    </w:p>
    <w:p>
      <w:pPr>
        <w:spacing w:after="0" w:line="130" w:lineRule="exact"/>
        <w:rPr>
          <w:rFonts w:ascii="Arial" w:cs="Arial" w:eastAsia="Arial" w:hAnsi="Arial"/>
          <w:sz w:val="18"/>
          <w:szCs w:val="18"/>
          <w:color w:val="auto"/>
        </w:rPr>
      </w:pPr>
    </w:p>
    <w:p>
      <w:pPr>
        <w:ind w:left="540" w:hanging="316"/>
        <w:spacing w:after="0" w:line="259" w:lineRule="auto"/>
        <w:tabs>
          <w:tab w:leader="none" w:pos="540" w:val="left"/>
        </w:tabs>
        <w:numPr>
          <w:ilvl w:val="0"/>
          <w:numId w:val="5"/>
        </w:numPr>
        <w:rPr>
          <w:rFonts w:ascii="Arial" w:cs="Arial" w:eastAsia="Arial" w:hAnsi="Arial"/>
          <w:sz w:val="18"/>
          <w:szCs w:val="18"/>
          <w:color w:val="auto"/>
        </w:rPr>
      </w:pPr>
      <w:r>
        <w:rPr>
          <w:rFonts w:ascii="Arial" w:cs="Arial" w:eastAsia="Arial" w:hAnsi="Arial"/>
          <w:sz w:val="18"/>
          <w:szCs w:val="18"/>
          <w:color w:val="auto"/>
        </w:rPr>
        <w:t>“NDR” or “Net Dollar Retention Rate” refers to net dollar retention rate, which we calculate as the percentage of ARR retained from existing customers across a defined period, after accounting for upsell, down-sell, pricing changes and churn. We calculate net dollar retention as beginning ARR for a period, plus (i) expansion ARR (including, but not limited to, upsell and pricing increases), less (ii) churn (including, but not limited to, non-renewals and contractions), divided by (iii) beginning ARR for a period.</w:t>
      </w:r>
    </w:p>
    <w:p>
      <w:pPr>
        <w:spacing w:after="0" w:line="92" w:lineRule="exact"/>
        <w:rPr>
          <w:rFonts w:ascii="Arial" w:cs="Arial" w:eastAsia="Arial" w:hAnsi="Arial"/>
          <w:sz w:val="18"/>
          <w:szCs w:val="18"/>
          <w:color w:val="auto"/>
        </w:rPr>
      </w:pPr>
    </w:p>
    <w:p>
      <w:pPr>
        <w:ind w:left="540" w:hanging="316"/>
        <w:spacing w:after="0"/>
        <w:tabs>
          <w:tab w:leader="none" w:pos="540" w:val="left"/>
        </w:tabs>
        <w:numPr>
          <w:ilvl w:val="0"/>
          <w:numId w:val="5"/>
        </w:numPr>
        <w:rPr>
          <w:rFonts w:ascii="Arial" w:cs="Arial" w:eastAsia="Arial" w:hAnsi="Arial"/>
          <w:sz w:val="18"/>
          <w:szCs w:val="18"/>
          <w:color w:val="auto"/>
        </w:rPr>
      </w:pPr>
      <w:r>
        <w:rPr>
          <w:rFonts w:ascii="Arial" w:cs="Arial" w:eastAsia="Arial" w:hAnsi="Arial"/>
          <w:sz w:val="18"/>
          <w:szCs w:val="18"/>
          <w:color w:val="auto"/>
        </w:rPr>
        <w:t>“Reclassified Class B LLC Units” has the meaning given in “Prospectus Summary—Organizational Structure.”</w:t>
      </w:r>
    </w:p>
    <w:p>
      <w:pPr>
        <w:spacing w:after="0" w:line="130" w:lineRule="exact"/>
        <w:rPr>
          <w:rFonts w:ascii="Arial" w:cs="Arial" w:eastAsia="Arial" w:hAnsi="Arial"/>
          <w:sz w:val="18"/>
          <w:szCs w:val="18"/>
          <w:color w:val="auto"/>
        </w:rPr>
      </w:pPr>
    </w:p>
    <w:p>
      <w:pPr>
        <w:ind w:left="540" w:hanging="316"/>
        <w:spacing w:after="0"/>
        <w:tabs>
          <w:tab w:leader="none" w:pos="540" w:val="left"/>
        </w:tabs>
        <w:numPr>
          <w:ilvl w:val="0"/>
          <w:numId w:val="5"/>
        </w:numPr>
        <w:rPr>
          <w:rFonts w:ascii="Arial" w:cs="Arial" w:eastAsia="Arial" w:hAnsi="Arial"/>
          <w:sz w:val="18"/>
          <w:szCs w:val="18"/>
          <w:color w:val="auto"/>
        </w:rPr>
      </w:pPr>
      <w:r>
        <w:rPr>
          <w:rFonts w:ascii="Arial" w:cs="Arial" w:eastAsia="Arial" w:hAnsi="Arial"/>
          <w:sz w:val="18"/>
          <w:szCs w:val="18"/>
          <w:color w:val="auto"/>
        </w:rPr>
        <w:t>“Reclassified Management Holdings Class B Units” has the meaning given in “Prospectus Summary— Organizational Structure.”</w:t>
      </w:r>
    </w:p>
    <w:p>
      <w:pPr>
        <w:spacing w:after="0" w:line="130" w:lineRule="exact"/>
        <w:rPr>
          <w:rFonts w:ascii="Arial" w:cs="Arial" w:eastAsia="Arial" w:hAnsi="Arial"/>
          <w:sz w:val="18"/>
          <w:szCs w:val="18"/>
          <w:color w:val="auto"/>
        </w:rPr>
      </w:pPr>
    </w:p>
    <w:p>
      <w:pPr>
        <w:ind w:left="540" w:hanging="316"/>
        <w:spacing w:after="0"/>
        <w:tabs>
          <w:tab w:leader="none" w:pos="540" w:val="left"/>
        </w:tabs>
        <w:numPr>
          <w:ilvl w:val="0"/>
          <w:numId w:val="5"/>
        </w:numPr>
        <w:rPr>
          <w:rFonts w:ascii="Arial" w:cs="Arial" w:eastAsia="Arial" w:hAnsi="Arial"/>
          <w:sz w:val="18"/>
          <w:szCs w:val="18"/>
          <w:color w:val="auto"/>
        </w:rPr>
      </w:pPr>
      <w:r>
        <w:rPr>
          <w:rFonts w:ascii="Arial" w:cs="Arial" w:eastAsia="Arial" w:hAnsi="Arial"/>
          <w:sz w:val="18"/>
          <w:szCs w:val="18"/>
          <w:color w:val="auto"/>
        </w:rPr>
        <w:t>“Reorganization Parties” has the meaning given in “Prospectus Summary—Organizational Structure.”</w:t>
      </w:r>
    </w:p>
    <w:p>
      <w:pPr>
        <w:spacing w:after="0" w:line="130" w:lineRule="exact"/>
        <w:rPr>
          <w:rFonts w:ascii="Arial" w:cs="Arial" w:eastAsia="Arial" w:hAnsi="Arial"/>
          <w:sz w:val="18"/>
          <w:szCs w:val="18"/>
          <w:color w:val="auto"/>
        </w:rPr>
      </w:pPr>
    </w:p>
    <w:p>
      <w:pPr>
        <w:ind w:left="540" w:hanging="316"/>
        <w:spacing w:after="0"/>
        <w:tabs>
          <w:tab w:leader="none" w:pos="540" w:val="left"/>
        </w:tabs>
        <w:numPr>
          <w:ilvl w:val="0"/>
          <w:numId w:val="5"/>
        </w:numPr>
        <w:rPr>
          <w:rFonts w:ascii="Arial" w:cs="Arial" w:eastAsia="Arial" w:hAnsi="Arial"/>
          <w:sz w:val="18"/>
          <w:szCs w:val="18"/>
          <w:color w:val="auto"/>
        </w:rPr>
      </w:pPr>
      <w:r>
        <w:rPr>
          <w:rFonts w:ascii="Arial" w:cs="Arial" w:eastAsia="Arial" w:hAnsi="Arial"/>
          <w:sz w:val="18"/>
          <w:szCs w:val="18"/>
          <w:color w:val="auto"/>
        </w:rPr>
        <w:t>“Reorganization Transactions” has the meaning given in “Prospectus Summary—Organizational Structure.”</w:t>
      </w:r>
    </w:p>
    <w:p>
      <w:pPr>
        <w:spacing w:after="0" w:line="130" w:lineRule="exact"/>
        <w:rPr>
          <w:rFonts w:ascii="Arial" w:cs="Arial" w:eastAsia="Arial" w:hAnsi="Arial"/>
          <w:sz w:val="18"/>
          <w:szCs w:val="18"/>
          <w:color w:val="auto"/>
        </w:rPr>
      </w:pPr>
    </w:p>
    <w:p>
      <w:pPr>
        <w:ind w:left="540" w:hanging="316"/>
        <w:spacing w:after="0"/>
        <w:tabs>
          <w:tab w:leader="none" w:pos="540" w:val="left"/>
        </w:tabs>
        <w:numPr>
          <w:ilvl w:val="0"/>
          <w:numId w:val="5"/>
        </w:numPr>
        <w:rPr>
          <w:rFonts w:ascii="Arial" w:cs="Arial" w:eastAsia="Arial" w:hAnsi="Arial"/>
          <w:sz w:val="18"/>
          <w:szCs w:val="18"/>
          <w:color w:val="auto"/>
        </w:rPr>
      </w:pPr>
      <w:r>
        <w:rPr>
          <w:rFonts w:ascii="Arial" w:cs="Arial" w:eastAsia="Arial" w:hAnsi="Arial"/>
          <w:sz w:val="18"/>
          <w:szCs w:val="18"/>
          <w:color w:val="auto"/>
        </w:rPr>
        <w:t>“Spectrum Equity” refers to investment funds associated with Spectrum Equity Management, L.P., a private equity firm.</w:t>
      </w:r>
    </w:p>
    <w:p>
      <w:pPr>
        <w:spacing w:after="0" w:line="130" w:lineRule="exact"/>
        <w:rPr>
          <w:rFonts w:ascii="Arial" w:cs="Arial" w:eastAsia="Arial" w:hAnsi="Arial"/>
          <w:sz w:val="18"/>
          <w:szCs w:val="18"/>
          <w:color w:val="auto"/>
        </w:rPr>
      </w:pPr>
    </w:p>
    <w:p>
      <w:pPr>
        <w:ind w:left="540" w:hanging="316"/>
        <w:spacing w:after="0"/>
        <w:tabs>
          <w:tab w:leader="none" w:pos="540" w:val="left"/>
        </w:tabs>
        <w:numPr>
          <w:ilvl w:val="0"/>
          <w:numId w:val="5"/>
        </w:numPr>
        <w:rPr>
          <w:rFonts w:ascii="Arial" w:cs="Arial" w:eastAsia="Arial" w:hAnsi="Arial"/>
          <w:sz w:val="18"/>
          <w:szCs w:val="18"/>
          <w:color w:val="auto"/>
        </w:rPr>
      </w:pPr>
      <w:r>
        <w:rPr>
          <w:rFonts w:ascii="Arial" w:cs="Arial" w:eastAsia="Arial" w:hAnsi="Arial"/>
          <w:sz w:val="18"/>
          <w:szCs w:val="18"/>
          <w:color w:val="auto"/>
        </w:rPr>
        <w:t>“Sponsors” refers collectively to Advent, Spectrum Equity and 22C Capital.</w:t>
      </w:r>
    </w:p>
    <w:p>
      <w:pPr>
        <w:spacing w:after="0" w:line="158"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iii</w:t>
      </w:r>
    </w:p>
    <w:p>
      <w:pPr>
        <w:sectPr>
          <w:pgSz w:w="11900" w:h="16838" w:orient="portrait"/>
          <w:cols w:equalWidth="0" w:num="1">
            <w:col w:w="11080"/>
          </w:cols>
          <w:pgMar w:left="320" w:top="459" w:right="49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Confidential Treatment Requested by Definitive Healthcare Corp.</w:t>
      </w:r>
    </w:p>
    <w:p>
      <w:pPr>
        <w:spacing w:after="0" w:line="27"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Pursuant to 17 C.F.R. Section 200.83</w:t>
      </w:r>
    </w:p>
    <w:p>
      <w:pPr>
        <w:spacing w:after="0" w:line="143" w:lineRule="exact"/>
        <w:rPr>
          <w:sz w:val="20"/>
          <w:szCs w:val="20"/>
          <w:color w:val="auto"/>
        </w:rPr>
      </w:pPr>
    </w:p>
    <w:p>
      <w:pPr>
        <w:ind w:left="540" w:hanging="316"/>
        <w:spacing w:after="0"/>
        <w:tabs>
          <w:tab w:leader="none" w:pos="540" w:val="left"/>
        </w:tabs>
        <w:numPr>
          <w:ilvl w:val="0"/>
          <w:numId w:val="6"/>
        </w:numPr>
        <w:rPr>
          <w:rFonts w:ascii="Arial" w:cs="Arial" w:eastAsia="Arial" w:hAnsi="Arial"/>
          <w:sz w:val="18"/>
          <w:szCs w:val="18"/>
          <w:color w:val="auto"/>
        </w:rPr>
      </w:pPr>
      <w:r>
        <w:rPr>
          <w:rFonts w:ascii="Arial" w:cs="Arial" w:eastAsia="Arial" w:hAnsi="Arial"/>
          <w:sz w:val="18"/>
          <w:szCs w:val="18"/>
          <w:color w:val="auto"/>
        </w:rPr>
        <w:t>“Topco Class A Units” has the meaning given in “Prospectus Summary—Organizational Structure.”</w:t>
      </w:r>
    </w:p>
    <w:p>
      <w:pPr>
        <w:spacing w:after="0" w:line="130" w:lineRule="exact"/>
        <w:rPr>
          <w:rFonts w:ascii="Arial" w:cs="Arial" w:eastAsia="Arial" w:hAnsi="Arial"/>
          <w:sz w:val="18"/>
          <w:szCs w:val="18"/>
          <w:color w:val="auto"/>
        </w:rPr>
      </w:pPr>
    </w:p>
    <w:p>
      <w:pPr>
        <w:ind w:left="540" w:hanging="316"/>
        <w:spacing w:after="0"/>
        <w:tabs>
          <w:tab w:leader="none" w:pos="540" w:val="left"/>
        </w:tabs>
        <w:numPr>
          <w:ilvl w:val="0"/>
          <w:numId w:val="6"/>
        </w:numPr>
        <w:rPr>
          <w:rFonts w:ascii="Arial" w:cs="Arial" w:eastAsia="Arial" w:hAnsi="Arial"/>
          <w:sz w:val="18"/>
          <w:szCs w:val="18"/>
          <w:color w:val="auto"/>
        </w:rPr>
      </w:pPr>
      <w:r>
        <w:rPr>
          <w:rFonts w:ascii="Arial" w:cs="Arial" w:eastAsia="Arial" w:hAnsi="Arial"/>
          <w:sz w:val="18"/>
          <w:szCs w:val="18"/>
          <w:color w:val="auto"/>
        </w:rPr>
        <w:t>“Tax Receivable Agreement” refers to the tax receivable agreement entered into with the TRA Parties.</w:t>
      </w:r>
    </w:p>
    <w:p>
      <w:pPr>
        <w:spacing w:after="0" w:line="130" w:lineRule="exact"/>
        <w:rPr>
          <w:rFonts w:ascii="Arial" w:cs="Arial" w:eastAsia="Arial" w:hAnsi="Arial"/>
          <w:sz w:val="18"/>
          <w:szCs w:val="18"/>
          <w:color w:val="auto"/>
        </w:rPr>
      </w:pPr>
    </w:p>
    <w:p>
      <w:pPr>
        <w:ind w:left="540" w:hanging="316"/>
        <w:spacing w:after="0"/>
        <w:tabs>
          <w:tab w:leader="none" w:pos="540" w:val="left"/>
        </w:tabs>
        <w:numPr>
          <w:ilvl w:val="0"/>
          <w:numId w:val="6"/>
        </w:numPr>
        <w:rPr>
          <w:rFonts w:ascii="Arial" w:cs="Arial" w:eastAsia="Arial" w:hAnsi="Arial"/>
          <w:sz w:val="18"/>
          <w:szCs w:val="18"/>
          <w:color w:val="auto"/>
        </w:rPr>
      </w:pPr>
      <w:r>
        <w:rPr>
          <w:rFonts w:ascii="Arial" w:cs="Arial" w:eastAsia="Arial" w:hAnsi="Arial"/>
          <w:sz w:val="18"/>
          <w:szCs w:val="18"/>
          <w:color w:val="auto"/>
        </w:rPr>
        <w:t>“TRA Parties” has the meaning given in “Prospectus Summary—Organizational Structure.”</w:t>
      </w:r>
    </w:p>
    <w:p>
      <w:pPr>
        <w:spacing w:after="0" w:line="130" w:lineRule="exact"/>
        <w:rPr>
          <w:rFonts w:ascii="Arial" w:cs="Arial" w:eastAsia="Arial" w:hAnsi="Arial"/>
          <w:sz w:val="18"/>
          <w:szCs w:val="18"/>
          <w:color w:val="auto"/>
        </w:rPr>
      </w:pPr>
    </w:p>
    <w:p>
      <w:pPr>
        <w:ind w:left="540" w:hanging="316"/>
        <w:spacing w:after="0"/>
        <w:tabs>
          <w:tab w:leader="none" w:pos="540" w:val="left"/>
        </w:tabs>
        <w:numPr>
          <w:ilvl w:val="0"/>
          <w:numId w:val="6"/>
        </w:numPr>
        <w:rPr>
          <w:rFonts w:ascii="Arial" w:cs="Arial" w:eastAsia="Arial" w:hAnsi="Arial"/>
          <w:sz w:val="18"/>
          <w:szCs w:val="18"/>
          <w:color w:val="auto"/>
        </w:rPr>
      </w:pPr>
      <w:r>
        <w:rPr>
          <w:rFonts w:ascii="Arial" w:cs="Arial" w:eastAsia="Arial" w:hAnsi="Arial"/>
          <w:sz w:val="18"/>
          <w:szCs w:val="18"/>
          <w:color w:val="auto"/>
        </w:rPr>
        <w:t>“22C Capital” refers to investment funds associated with 22C Capital LLC, a private equity firm.</w:t>
      </w:r>
    </w:p>
    <w:p>
      <w:pPr>
        <w:spacing w:after="0" w:line="32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Non-GAAP Financial Measures</w:t>
      </w:r>
    </w:p>
    <w:p>
      <w:pPr>
        <w:spacing w:after="0" w:line="121" w:lineRule="exact"/>
        <w:rPr>
          <w:sz w:val="20"/>
          <w:szCs w:val="20"/>
          <w:color w:val="auto"/>
        </w:rPr>
      </w:pPr>
    </w:p>
    <w:p>
      <w:pPr>
        <w:ind w:left="120" w:right="140" w:firstLine="440"/>
        <w:spacing w:after="0" w:line="279" w:lineRule="auto"/>
        <w:rPr>
          <w:sz w:val="20"/>
          <w:szCs w:val="20"/>
          <w:color w:val="auto"/>
        </w:rPr>
      </w:pPr>
      <w:r>
        <w:rPr>
          <w:rFonts w:ascii="Arial" w:cs="Arial" w:eastAsia="Arial" w:hAnsi="Arial"/>
          <w:sz w:val="17"/>
          <w:szCs w:val="17"/>
          <w:color w:val="auto"/>
        </w:rPr>
        <w:t>We refer in this prospectus to Adjusted EBITDA, Adjusted Gross Profit, Adjusted Gross Margin, Adjusted EBITDA Margin Adjusted Operating Income and Adjusted Net Income (Loss), as non-GAAP financial measures. These non-GAAP financial measures are not prepared in accordance with generally accepted accounting principles in the U.S. (“GAAP”). These are supplemental financial measures of our performance, and should not be considered substitutes for net (loss) income, gross profit or any other measure derived in accordance with GAAP.</w:t>
      </w:r>
    </w:p>
    <w:p>
      <w:pPr>
        <w:spacing w:after="0" w:line="171" w:lineRule="exact"/>
        <w:rPr>
          <w:sz w:val="20"/>
          <w:szCs w:val="20"/>
          <w:color w:val="auto"/>
        </w:rPr>
      </w:pPr>
    </w:p>
    <w:p>
      <w:pPr>
        <w:ind w:left="120" w:right="60" w:firstLine="440"/>
        <w:spacing w:after="0" w:line="273" w:lineRule="auto"/>
        <w:rPr>
          <w:sz w:val="20"/>
          <w:szCs w:val="20"/>
          <w:color w:val="auto"/>
        </w:rPr>
      </w:pPr>
      <w:r>
        <w:rPr>
          <w:rFonts w:ascii="Arial" w:cs="Arial" w:eastAsia="Arial" w:hAnsi="Arial"/>
          <w:sz w:val="17"/>
          <w:szCs w:val="17"/>
          <w:color w:val="auto"/>
        </w:rPr>
        <w:t>As used in this prospectus, EBITDA means earnings before debt-related costs, including interest expense and interest income, provision for taxes, depreciation and amortization and Adjusted EBITDA means EBITDA adjusted to exclude certain items of a significant or unusual nature, including stock-based compensation, acquisition-related expenses and other non-recurring expenses. Adjusted EBITDA Margin is determined by calculating the percentage Adjusted EBITDA is of revenue. Adjusted Gross Profit means revenue less cost of revenue (excluding acquisition-related depreciation and amortization) and Adjusted Gross Margin means Adjusted Gross Profit as a percentage of revenue. Adjusted Gross Profit differs from gross profit, in that gross profit includes acquisition-related depreciation and amortization expense.</w:t>
      </w:r>
    </w:p>
    <w:p>
      <w:pPr>
        <w:spacing w:after="0" w:line="178" w:lineRule="exact"/>
        <w:rPr>
          <w:sz w:val="20"/>
          <w:szCs w:val="20"/>
          <w:color w:val="auto"/>
        </w:rPr>
      </w:pPr>
    </w:p>
    <w:p>
      <w:pPr>
        <w:ind w:left="120" w:firstLine="440"/>
        <w:spacing w:after="0" w:line="301" w:lineRule="auto"/>
        <w:rPr>
          <w:sz w:val="20"/>
          <w:szCs w:val="20"/>
          <w:color w:val="auto"/>
        </w:rPr>
      </w:pPr>
      <w:r>
        <w:rPr>
          <w:rFonts w:ascii="Arial" w:cs="Arial" w:eastAsia="Arial" w:hAnsi="Arial"/>
          <w:sz w:val="16"/>
          <w:szCs w:val="16"/>
          <w:color w:val="auto"/>
        </w:rPr>
        <w:t>Adjusted EBITDA and Adjusted EBITDA Margin are key metrics used by management and our board of directors to assess the profitability of our operations. We believe that Adjusted EBITDA and Adjusted EBITDA Margin provide useful measures to investors to assess our operating performance because these metrics eliminate non-recurring and unusual items and non-cash expenses, which we do not consider indicative of ongoing operational performance. We believe that these metrics are helpful to investors in measuring the profitability of our operations on a consolidated level.</w:t>
      </w:r>
    </w:p>
    <w:p>
      <w:pPr>
        <w:spacing w:after="0" w:line="157" w:lineRule="exact"/>
        <w:rPr>
          <w:sz w:val="20"/>
          <w:szCs w:val="20"/>
          <w:color w:val="auto"/>
        </w:rPr>
      </w:pPr>
    </w:p>
    <w:p>
      <w:pPr>
        <w:ind w:left="120" w:right="300" w:firstLine="440"/>
        <w:spacing w:after="0" w:line="277" w:lineRule="auto"/>
        <w:rPr>
          <w:sz w:val="20"/>
          <w:szCs w:val="20"/>
          <w:color w:val="auto"/>
        </w:rPr>
      </w:pPr>
      <w:r>
        <w:rPr>
          <w:rFonts w:ascii="Arial" w:cs="Arial" w:eastAsia="Arial" w:hAnsi="Arial"/>
          <w:sz w:val="18"/>
          <w:szCs w:val="18"/>
          <w:color w:val="auto"/>
        </w:rPr>
        <w:t>Adjusted Operating Income and Adjusted Net Income (Loss) mean income from operations plus acquisition- related amortization, stock-based compensation, acquisition-related expenses and other non-recurring adjustments.</w:t>
      </w:r>
    </w:p>
    <w:p>
      <w:pPr>
        <w:spacing w:after="0" w:line="170" w:lineRule="exact"/>
        <w:rPr>
          <w:sz w:val="20"/>
          <w:szCs w:val="20"/>
          <w:color w:val="auto"/>
        </w:rPr>
      </w:pPr>
    </w:p>
    <w:p>
      <w:pPr>
        <w:ind w:left="120" w:right="80" w:firstLine="440"/>
        <w:spacing w:after="0" w:line="259" w:lineRule="auto"/>
        <w:rPr>
          <w:sz w:val="20"/>
          <w:szCs w:val="20"/>
          <w:color w:val="auto"/>
        </w:rPr>
      </w:pPr>
      <w:r>
        <w:rPr>
          <w:rFonts w:ascii="Arial" w:cs="Arial" w:eastAsia="Arial" w:hAnsi="Arial"/>
          <w:sz w:val="18"/>
          <w:szCs w:val="18"/>
          <w:color w:val="auto"/>
        </w:rPr>
        <w:t>Adjusted Gross Profit and Adjusted Gross Margin are key metrics used by management and our board of directors to assess our operations. We exclude acquisition-related depreciation and amortization expense as they have no direct correlation to the cost of operating our business on an ongoing basis. A small quantity of stock- based compensation is included in cost of revenue in accordance with GAAP, but is excluded from our Adjusted Gross Margin calculations due to its non-cash nature.</w:t>
      </w:r>
    </w:p>
    <w:p>
      <w:pPr>
        <w:spacing w:after="0" w:line="187" w:lineRule="exact"/>
        <w:rPr>
          <w:sz w:val="20"/>
          <w:szCs w:val="20"/>
          <w:color w:val="auto"/>
        </w:rPr>
      </w:pPr>
    </w:p>
    <w:p>
      <w:pPr>
        <w:ind w:left="120" w:firstLine="440"/>
        <w:spacing w:after="0" w:line="254" w:lineRule="auto"/>
        <w:rPr>
          <w:sz w:val="20"/>
          <w:szCs w:val="20"/>
          <w:color w:val="auto"/>
        </w:rPr>
      </w:pPr>
      <w:r>
        <w:rPr>
          <w:rFonts w:ascii="Arial" w:cs="Arial" w:eastAsia="Arial" w:hAnsi="Arial"/>
          <w:sz w:val="18"/>
          <w:szCs w:val="18"/>
          <w:color w:val="auto"/>
        </w:rPr>
        <w:t>Our use of the terms Adjusted EBITDA, Adjusted EBITDA Margin, Adjusted Gross Profit and Adjusted Gross Margin may vary from the use of similar terms by other companies in our industry and accordingly may not be comparable to similarly titled measures used by other companies and are not measures of performance calculated in accordance with GAAP. These metrics are intended as supplemental measures of our performance that are not required by, or presented in accordance with, GAAP. These metrics should not be considered as alternatives to (loss) income from operations, net (loss) income, gross profit, earnings per share or any other performance measures derived in accordance with GAAP, or as measures of operating cash flows or liquidity. Adjusted EBITDA, Adjusted EBITDA Margin, Adjusted Gross Profit and Adjusted Gross Margin have important limitations as an analytical tool. Some of these limitations are:</w:t>
      </w:r>
    </w:p>
    <w:p>
      <w:pPr>
        <w:spacing w:after="0" w:line="100" w:lineRule="exact"/>
        <w:rPr>
          <w:sz w:val="20"/>
          <w:szCs w:val="20"/>
          <w:color w:val="auto"/>
        </w:rPr>
      </w:pPr>
    </w:p>
    <w:p>
      <w:pPr>
        <w:ind w:left="5560" w:right="3000" w:hanging="5336"/>
        <w:spacing w:after="0" w:line="449" w:lineRule="auto"/>
        <w:tabs>
          <w:tab w:leader="none" w:pos="554" w:val="left"/>
        </w:tabs>
        <w:numPr>
          <w:ilvl w:val="0"/>
          <w:numId w:val="7"/>
        </w:numPr>
        <w:rPr>
          <w:rFonts w:ascii="Arial" w:cs="Arial" w:eastAsia="Arial" w:hAnsi="Arial"/>
          <w:sz w:val="18"/>
          <w:szCs w:val="18"/>
          <w:color w:val="auto"/>
        </w:rPr>
      </w:pPr>
      <w:r>
        <w:rPr>
          <w:rFonts w:ascii="Arial" w:cs="Arial" w:eastAsia="Arial" w:hAnsi="Arial"/>
          <w:sz w:val="18"/>
          <w:szCs w:val="18"/>
          <w:color w:val="auto"/>
        </w:rPr>
        <w:t>Adjusted EBITDA and Adjusted EBITDA Margin exclude debt-related costs, including interest expense; iv</w:t>
      </w:r>
    </w:p>
    <w:p>
      <w:pPr>
        <w:sectPr>
          <w:pgSz w:w="11900" w:h="16838" w:orient="portrait"/>
          <w:cols w:equalWidth="0" w:num="1">
            <w:col w:w="11120"/>
          </w:cols>
          <w:pgMar w:left="320" w:top="459" w:right="45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Confidential Treatment Requested by Definitive Healthcare Corp.</w:t>
      </w:r>
    </w:p>
    <w:p>
      <w:pPr>
        <w:spacing w:after="0" w:line="27"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Pursuant to 17 C.F.R. Section 200.83</w:t>
      </w:r>
    </w:p>
    <w:p>
      <w:pPr>
        <w:spacing w:after="0" w:line="143" w:lineRule="exact"/>
        <w:rPr>
          <w:sz w:val="20"/>
          <w:szCs w:val="20"/>
          <w:color w:val="auto"/>
        </w:rPr>
      </w:pPr>
    </w:p>
    <w:p>
      <w:pPr>
        <w:ind w:left="540" w:hanging="316"/>
        <w:spacing w:after="0"/>
        <w:tabs>
          <w:tab w:leader="none" w:pos="540" w:val="left"/>
        </w:tabs>
        <w:numPr>
          <w:ilvl w:val="0"/>
          <w:numId w:val="8"/>
        </w:numPr>
        <w:rPr>
          <w:rFonts w:ascii="Arial" w:cs="Arial" w:eastAsia="Arial" w:hAnsi="Arial"/>
          <w:sz w:val="18"/>
          <w:szCs w:val="18"/>
          <w:color w:val="auto"/>
        </w:rPr>
      </w:pPr>
      <w:r>
        <w:rPr>
          <w:rFonts w:ascii="Arial" w:cs="Arial" w:eastAsia="Arial" w:hAnsi="Arial"/>
          <w:sz w:val="18"/>
          <w:szCs w:val="18"/>
          <w:color w:val="auto"/>
        </w:rPr>
        <w:t>Adjusted EBITDA and Adjusted EBITDA Margin exclude income tax expense or the cash requirements to pay our income taxes;</w:t>
      </w:r>
    </w:p>
    <w:p>
      <w:pPr>
        <w:spacing w:after="0" w:line="130" w:lineRule="exact"/>
        <w:rPr>
          <w:rFonts w:ascii="Arial" w:cs="Arial" w:eastAsia="Arial" w:hAnsi="Arial"/>
          <w:sz w:val="18"/>
          <w:szCs w:val="18"/>
          <w:color w:val="auto"/>
        </w:rPr>
      </w:pPr>
    </w:p>
    <w:p>
      <w:pPr>
        <w:ind w:left="540" w:right="40" w:hanging="316"/>
        <w:spacing w:after="0" w:line="277" w:lineRule="auto"/>
        <w:tabs>
          <w:tab w:leader="none" w:pos="540" w:val="left"/>
        </w:tabs>
        <w:numPr>
          <w:ilvl w:val="0"/>
          <w:numId w:val="8"/>
        </w:numPr>
        <w:rPr>
          <w:rFonts w:ascii="Arial" w:cs="Arial" w:eastAsia="Arial" w:hAnsi="Arial"/>
          <w:sz w:val="18"/>
          <w:szCs w:val="18"/>
          <w:color w:val="auto"/>
        </w:rPr>
      </w:pPr>
      <w:r>
        <w:rPr>
          <w:rFonts w:ascii="Arial" w:cs="Arial" w:eastAsia="Arial" w:hAnsi="Arial"/>
          <w:sz w:val="18"/>
          <w:szCs w:val="18"/>
          <w:color w:val="auto"/>
        </w:rPr>
        <w:t>Adjusted EBITDA, Adjusted EBITDA Margin, Adjusted Net Income (Loss) and Adjusted Operating Income exclude charges for the assets being depreciated and amortized that may need to be replaced in the future;</w:t>
      </w:r>
    </w:p>
    <w:p>
      <w:pPr>
        <w:spacing w:after="0" w:line="75" w:lineRule="exact"/>
        <w:rPr>
          <w:rFonts w:ascii="Arial" w:cs="Arial" w:eastAsia="Arial" w:hAnsi="Arial"/>
          <w:sz w:val="18"/>
          <w:szCs w:val="18"/>
          <w:color w:val="auto"/>
        </w:rPr>
      </w:pPr>
    </w:p>
    <w:p>
      <w:pPr>
        <w:ind w:left="540" w:right="100" w:hanging="316"/>
        <w:spacing w:after="0" w:line="263" w:lineRule="auto"/>
        <w:tabs>
          <w:tab w:leader="none" w:pos="540" w:val="left"/>
        </w:tabs>
        <w:numPr>
          <w:ilvl w:val="0"/>
          <w:numId w:val="8"/>
        </w:numPr>
        <w:rPr>
          <w:rFonts w:ascii="Arial" w:cs="Arial" w:eastAsia="Arial" w:hAnsi="Arial"/>
          <w:sz w:val="18"/>
          <w:szCs w:val="18"/>
          <w:color w:val="auto"/>
        </w:rPr>
      </w:pPr>
      <w:r>
        <w:rPr>
          <w:rFonts w:ascii="Arial" w:cs="Arial" w:eastAsia="Arial" w:hAnsi="Arial"/>
          <w:sz w:val="18"/>
          <w:szCs w:val="18"/>
          <w:color w:val="auto"/>
        </w:rPr>
        <w:t>Adjusted Gross Profit, Adjusted Gross Margin and Adjusted Operating Income include depreciation and amortization for assets that may need to be replaced, but exclude amortization for intangible assets that are primarily a result of purchase accounting, which results primarily from the Advent acquisition;</w:t>
      </w:r>
    </w:p>
    <w:p>
      <w:pPr>
        <w:spacing w:after="0" w:line="89" w:lineRule="exact"/>
        <w:rPr>
          <w:rFonts w:ascii="Arial" w:cs="Arial" w:eastAsia="Arial" w:hAnsi="Arial"/>
          <w:sz w:val="18"/>
          <w:szCs w:val="18"/>
          <w:color w:val="auto"/>
        </w:rPr>
      </w:pPr>
    </w:p>
    <w:p>
      <w:pPr>
        <w:ind w:left="540" w:hanging="316"/>
        <w:spacing w:after="0"/>
        <w:tabs>
          <w:tab w:leader="none" w:pos="540" w:val="left"/>
        </w:tabs>
        <w:numPr>
          <w:ilvl w:val="0"/>
          <w:numId w:val="8"/>
        </w:numPr>
        <w:rPr>
          <w:rFonts w:ascii="Arial" w:cs="Arial" w:eastAsia="Arial" w:hAnsi="Arial"/>
          <w:sz w:val="18"/>
          <w:szCs w:val="18"/>
          <w:color w:val="auto"/>
        </w:rPr>
      </w:pPr>
      <w:r>
        <w:rPr>
          <w:rFonts w:ascii="Arial" w:cs="Arial" w:eastAsia="Arial" w:hAnsi="Arial"/>
          <w:sz w:val="18"/>
          <w:szCs w:val="18"/>
          <w:color w:val="auto"/>
        </w:rPr>
        <w:t>Adjusted EBITDA and Adjusted EBITDA Margin exclude the impact of impairment loss;</w:t>
      </w:r>
    </w:p>
    <w:p>
      <w:pPr>
        <w:spacing w:after="0" w:line="130" w:lineRule="exact"/>
        <w:rPr>
          <w:rFonts w:ascii="Arial" w:cs="Arial" w:eastAsia="Arial" w:hAnsi="Arial"/>
          <w:sz w:val="18"/>
          <w:szCs w:val="18"/>
          <w:color w:val="auto"/>
        </w:rPr>
      </w:pPr>
    </w:p>
    <w:p>
      <w:pPr>
        <w:ind w:left="540" w:hanging="316"/>
        <w:spacing w:after="0"/>
        <w:tabs>
          <w:tab w:leader="none" w:pos="540" w:val="left"/>
        </w:tabs>
        <w:numPr>
          <w:ilvl w:val="0"/>
          <w:numId w:val="8"/>
        </w:numPr>
        <w:rPr>
          <w:rFonts w:ascii="Arial" w:cs="Arial" w:eastAsia="Arial" w:hAnsi="Arial"/>
          <w:sz w:val="18"/>
          <w:szCs w:val="18"/>
          <w:color w:val="auto"/>
        </w:rPr>
      </w:pPr>
      <w:r>
        <w:rPr>
          <w:rFonts w:ascii="Arial" w:cs="Arial" w:eastAsia="Arial" w:hAnsi="Arial"/>
          <w:sz w:val="18"/>
          <w:szCs w:val="18"/>
          <w:color w:val="auto"/>
        </w:rPr>
        <w:t>Adjusted EBITDA and Adjusted EBITDA Margin exclude foreign exchange transaction gain and loss;</w:t>
      </w:r>
    </w:p>
    <w:p>
      <w:pPr>
        <w:spacing w:after="0" w:line="130" w:lineRule="exact"/>
        <w:rPr>
          <w:rFonts w:ascii="Arial" w:cs="Arial" w:eastAsia="Arial" w:hAnsi="Arial"/>
          <w:sz w:val="18"/>
          <w:szCs w:val="18"/>
          <w:color w:val="auto"/>
        </w:rPr>
      </w:pPr>
    </w:p>
    <w:p>
      <w:pPr>
        <w:ind w:left="540" w:right="160" w:hanging="316"/>
        <w:spacing w:after="0" w:line="277" w:lineRule="auto"/>
        <w:tabs>
          <w:tab w:leader="none" w:pos="540" w:val="left"/>
        </w:tabs>
        <w:numPr>
          <w:ilvl w:val="0"/>
          <w:numId w:val="8"/>
        </w:numPr>
        <w:rPr>
          <w:rFonts w:ascii="Arial" w:cs="Arial" w:eastAsia="Arial" w:hAnsi="Arial"/>
          <w:sz w:val="18"/>
          <w:szCs w:val="18"/>
          <w:color w:val="auto"/>
        </w:rPr>
      </w:pPr>
      <w:r>
        <w:rPr>
          <w:rFonts w:ascii="Arial" w:cs="Arial" w:eastAsia="Arial" w:hAnsi="Arial"/>
          <w:sz w:val="18"/>
          <w:szCs w:val="18"/>
          <w:color w:val="auto"/>
        </w:rPr>
        <w:t>Adjusted EBITDA, Adjusted EBITDA Margin, Adjusted Net Income (Loss) and Adjusted Operating Income exclude the impact of stock-based compensation upon our results of operations;</w:t>
      </w:r>
    </w:p>
    <w:p>
      <w:pPr>
        <w:spacing w:after="0" w:line="75" w:lineRule="exact"/>
        <w:rPr>
          <w:rFonts w:ascii="Arial" w:cs="Arial" w:eastAsia="Arial" w:hAnsi="Arial"/>
          <w:sz w:val="18"/>
          <w:szCs w:val="18"/>
          <w:color w:val="auto"/>
        </w:rPr>
      </w:pPr>
    </w:p>
    <w:p>
      <w:pPr>
        <w:ind w:left="540" w:right="680" w:hanging="316"/>
        <w:spacing w:after="0" w:line="277" w:lineRule="auto"/>
        <w:tabs>
          <w:tab w:leader="none" w:pos="540" w:val="left"/>
        </w:tabs>
        <w:numPr>
          <w:ilvl w:val="0"/>
          <w:numId w:val="8"/>
        </w:numPr>
        <w:rPr>
          <w:rFonts w:ascii="Arial" w:cs="Arial" w:eastAsia="Arial" w:hAnsi="Arial"/>
          <w:sz w:val="18"/>
          <w:szCs w:val="18"/>
          <w:color w:val="auto"/>
        </w:rPr>
      </w:pPr>
      <w:r>
        <w:rPr>
          <w:rFonts w:ascii="Arial" w:cs="Arial" w:eastAsia="Arial" w:hAnsi="Arial"/>
          <w:sz w:val="18"/>
          <w:szCs w:val="18"/>
          <w:color w:val="auto"/>
        </w:rPr>
        <w:t>Adjusted EBITDA, Adjusted EBITDA Margin, Adjusted Net Income (Loss) and Adjusted Operating Income exclude acquisition-related expenses; and</w:t>
      </w:r>
    </w:p>
    <w:p>
      <w:pPr>
        <w:spacing w:after="0" w:line="75" w:lineRule="exact"/>
        <w:rPr>
          <w:rFonts w:ascii="Arial" w:cs="Arial" w:eastAsia="Arial" w:hAnsi="Arial"/>
          <w:sz w:val="18"/>
          <w:szCs w:val="18"/>
          <w:color w:val="auto"/>
        </w:rPr>
      </w:pPr>
    </w:p>
    <w:p>
      <w:pPr>
        <w:ind w:left="540" w:right="240" w:hanging="316"/>
        <w:spacing w:after="0" w:line="277" w:lineRule="auto"/>
        <w:tabs>
          <w:tab w:leader="none" w:pos="540" w:val="left"/>
        </w:tabs>
        <w:numPr>
          <w:ilvl w:val="0"/>
          <w:numId w:val="8"/>
        </w:numPr>
        <w:rPr>
          <w:rFonts w:ascii="Arial" w:cs="Arial" w:eastAsia="Arial" w:hAnsi="Arial"/>
          <w:sz w:val="18"/>
          <w:szCs w:val="18"/>
          <w:color w:val="auto"/>
        </w:rPr>
      </w:pPr>
      <w:r>
        <w:rPr>
          <w:rFonts w:ascii="Arial" w:cs="Arial" w:eastAsia="Arial" w:hAnsi="Arial"/>
          <w:sz w:val="18"/>
          <w:szCs w:val="18"/>
          <w:color w:val="auto"/>
        </w:rPr>
        <w:t>Adjusted EBITDA, Adjusted EBITDA Margin, Adjusted Net Income (Loss) and Adjusted Operating Income exclude certain expenses that are non-recurring in nature.</w:t>
      </w:r>
    </w:p>
    <w:p>
      <w:pPr>
        <w:spacing w:after="0" w:line="170" w:lineRule="exact"/>
        <w:rPr>
          <w:sz w:val="20"/>
          <w:szCs w:val="20"/>
          <w:color w:val="auto"/>
        </w:rPr>
      </w:pPr>
    </w:p>
    <w:p>
      <w:pPr>
        <w:ind w:left="120" w:right="120" w:firstLine="440"/>
        <w:spacing w:after="0" w:line="277" w:lineRule="auto"/>
        <w:rPr>
          <w:sz w:val="20"/>
          <w:szCs w:val="20"/>
          <w:color w:val="auto"/>
        </w:rPr>
      </w:pPr>
      <w:r>
        <w:rPr>
          <w:rFonts w:ascii="Arial" w:cs="Arial" w:eastAsia="Arial" w:hAnsi="Arial"/>
          <w:sz w:val="18"/>
          <w:szCs w:val="18"/>
          <w:color w:val="auto"/>
        </w:rPr>
        <w:t>In evaluating Adjusted EBITDA, Adjusted EBITDA Margin, Adjusted Gross Profit and Adjusted Gross Margin, you should be aware that in the future we may incur expenses similar to those eliminated in these presentations.</w:t>
      </w:r>
    </w:p>
    <w:p>
      <w:pPr>
        <w:spacing w:after="0" w:line="170" w:lineRule="exact"/>
        <w:rPr>
          <w:sz w:val="20"/>
          <w:szCs w:val="20"/>
          <w:color w:val="auto"/>
        </w:rPr>
      </w:pPr>
    </w:p>
    <w:p>
      <w:pPr>
        <w:jc w:val="both"/>
        <w:ind w:left="120" w:firstLine="440"/>
        <w:spacing w:after="0" w:line="263" w:lineRule="auto"/>
        <w:rPr>
          <w:sz w:val="20"/>
          <w:szCs w:val="20"/>
          <w:color w:val="auto"/>
        </w:rPr>
      </w:pPr>
      <w:r>
        <w:rPr>
          <w:rFonts w:ascii="Arial" w:cs="Arial" w:eastAsia="Arial" w:hAnsi="Arial"/>
          <w:sz w:val="18"/>
          <w:szCs w:val="18"/>
          <w:color w:val="auto"/>
        </w:rPr>
        <w:t>See “Summary Historical and Pro Forma Consolidated Financial and Other Data” for a reconciliation of Adjusted EBITDA to net income (loss), the most directly comparable GAAP measure and a reconciliation of Adjusted Gross Profit and Adjusted Gross Margin to gross profit, the most directly comparable GAAP measure.</w:t>
      </w:r>
    </w:p>
    <w:p>
      <w:pPr>
        <w:spacing w:after="0" w:line="116"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v</w:t>
      </w:r>
    </w:p>
    <w:p>
      <w:pPr>
        <w:sectPr>
          <w:pgSz w:w="11900" w:h="16838" w:orient="portrait"/>
          <w:cols w:equalWidth="0" w:num="1">
            <w:col w:w="11060"/>
          </w:cols>
          <w:pgMar w:left="320" w:top="459" w:right="51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319"/>
        <w:spacing w:after="0"/>
        <w:rPr>
          <w:sz w:val="20"/>
          <w:szCs w:val="20"/>
          <w:color w:val="auto"/>
        </w:rPr>
      </w:pPr>
      <w:r>
        <w:rPr>
          <w:rFonts w:ascii="Arial" w:cs="Arial" w:eastAsia="Arial" w:hAnsi="Arial"/>
          <w:sz w:val="18"/>
          <w:szCs w:val="18"/>
          <w:b w:val="1"/>
          <w:bCs w:val="1"/>
          <w:color w:val="auto"/>
        </w:rPr>
        <w:t>Confidential Treatment Requested by Definitive Healthcare Corp.</w:t>
      </w:r>
    </w:p>
    <w:p>
      <w:pPr>
        <w:spacing w:after="0" w:line="27" w:lineRule="exact"/>
        <w:rPr>
          <w:sz w:val="20"/>
          <w:szCs w:val="20"/>
          <w:color w:val="auto"/>
        </w:rPr>
      </w:pPr>
    </w:p>
    <w:p>
      <w:pPr>
        <w:jc w:val="center"/>
        <w:ind w:right="-319"/>
        <w:spacing w:after="0"/>
        <w:rPr>
          <w:sz w:val="20"/>
          <w:szCs w:val="20"/>
          <w:color w:val="auto"/>
        </w:rPr>
      </w:pPr>
      <w:r>
        <w:rPr>
          <w:rFonts w:ascii="Arial" w:cs="Arial" w:eastAsia="Arial" w:hAnsi="Arial"/>
          <w:sz w:val="18"/>
          <w:szCs w:val="18"/>
          <w:b w:val="1"/>
          <w:bCs w:val="1"/>
          <w:color w:val="auto"/>
        </w:rPr>
        <w:t>Pursuant to 17 C.F.R. Section 200.83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97790</wp:posOffset>
            </wp:positionV>
            <wp:extent cx="6998970" cy="635635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6998970" cy="6356350"/>
                    </a:xfrm>
                    <a:prstGeom prst="rect">
                      <a:avLst/>
                    </a:prstGeom>
                    <a:noFill/>
                  </pic:spPr>
                </pic:pic>
              </a:graphicData>
            </a:graphic>
          </wp:anchor>
        </w:drawing>
      </w:r>
    </w:p>
    <w:p>
      <w:pPr>
        <w:spacing w:after="0" w:line="308" w:lineRule="exact"/>
        <w:rPr>
          <w:sz w:val="20"/>
          <w:szCs w:val="20"/>
          <w:color w:val="auto"/>
        </w:rPr>
      </w:pPr>
    </w:p>
    <w:p>
      <w:pPr>
        <w:jc w:val="center"/>
        <w:ind w:right="-319"/>
        <w:spacing w:after="0"/>
        <w:rPr>
          <w:sz w:val="20"/>
          <w:szCs w:val="20"/>
          <w:color w:val="auto"/>
        </w:rPr>
      </w:pPr>
      <w:r>
        <w:rPr>
          <w:rFonts w:ascii="Arial" w:cs="Arial" w:eastAsia="Arial" w:hAnsi="Arial"/>
          <w:sz w:val="18"/>
          <w:szCs w:val="18"/>
          <w:b w:val="1"/>
          <w:bCs w:val="1"/>
          <w:color w:val="auto"/>
        </w:rPr>
        <w:t>PROSPECTUS SUMMARY</w:t>
      </w:r>
    </w:p>
    <w:p>
      <w:pPr>
        <w:spacing w:after="0" w:line="229" w:lineRule="exact"/>
        <w:rPr>
          <w:sz w:val="20"/>
          <w:szCs w:val="20"/>
          <w:color w:val="auto"/>
        </w:rPr>
      </w:pPr>
    </w:p>
    <w:p>
      <w:pPr>
        <w:ind w:left="300" w:right="100" w:firstLine="426"/>
        <w:spacing w:after="0" w:line="275" w:lineRule="auto"/>
        <w:rPr>
          <w:sz w:val="20"/>
          <w:szCs w:val="20"/>
          <w:color w:val="auto"/>
        </w:rPr>
      </w:pPr>
      <w:r>
        <w:rPr>
          <w:rFonts w:ascii="Arial" w:cs="Arial" w:eastAsia="Arial" w:hAnsi="Arial"/>
          <w:sz w:val="17"/>
          <w:szCs w:val="17"/>
          <w:i w:val="1"/>
          <w:iCs w:val="1"/>
          <w:color w:val="auto"/>
        </w:rPr>
        <w:t>This summary highlights information contained elsewhere in this prospectus and may not contain all of the information you should consider before investing in our common stock. Before making an investment decision, you should read this entire prospectus, including our consolidated financial statements and the related notes included elsewhere herein. You should also carefully consider the information set forth under “Risk Factors” beginning on page 28. In addition, certain statements in this prospectus include forward-looking information that is subject to risks and uncertainties. See “Cautionary Note Regarding Forward-Looking Statements.”</w:t>
      </w:r>
    </w:p>
    <w:p>
      <w:pPr>
        <w:spacing w:after="0" w:line="280"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Our Mission</w:t>
      </w:r>
    </w:p>
    <w:p>
      <w:pPr>
        <w:spacing w:after="0" w:line="121" w:lineRule="exact"/>
        <w:rPr>
          <w:sz w:val="20"/>
          <w:szCs w:val="20"/>
          <w:color w:val="auto"/>
        </w:rPr>
      </w:pPr>
    </w:p>
    <w:p>
      <w:pPr>
        <w:ind w:left="300" w:right="380" w:firstLine="426"/>
        <w:spacing w:after="0" w:line="277" w:lineRule="auto"/>
        <w:rPr>
          <w:sz w:val="20"/>
          <w:szCs w:val="20"/>
          <w:color w:val="auto"/>
        </w:rPr>
      </w:pPr>
      <w:r>
        <w:rPr>
          <w:rFonts w:ascii="Arial" w:cs="Arial" w:eastAsia="Arial" w:hAnsi="Arial"/>
          <w:sz w:val="18"/>
          <w:szCs w:val="18"/>
          <w:color w:val="auto"/>
        </w:rPr>
        <w:t>Our mission is to make the complex healthcare ecosystem easier to analyze, navigate and sell into by providing a comprehensive, cloud-based healthcare commercial intelligence platform.</w:t>
      </w:r>
    </w:p>
    <w:p>
      <w:pPr>
        <w:spacing w:after="0" w:line="274"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Overview</w:t>
      </w:r>
    </w:p>
    <w:p>
      <w:pPr>
        <w:spacing w:after="0" w:line="121" w:lineRule="exact"/>
        <w:rPr>
          <w:sz w:val="20"/>
          <w:szCs w:val="20"/>
          <w:color w:val="auto"/>
        </w:rPr>
      </w:pPr>
    </w:p>
    <w:p>
      <w:pPr>
        <w:ind w:left="300" w:right="60" w:firstLine="426"/>
        <w:spacing w:after="0" w:line="259" w:lineRule="auto"/>
        <w:rPr>
          <w:sz w:val="20"/>
          <w:szCs w:val="20"/>
          <w:color w:val="auto"/>
        </w:rPr>
      </w:pPr>
      <w:r>
        <w:rPr>
          <w:rFonts w:ascii="Arial" w:cs="Arial" w:eastAsia="Arial" w:hAnsi="Arial"/>
          <w:sz w:val="18"/>
          <w:szCs w:val="18"/>
          <w:color w:val="auto"/>
        </w:rPr>
        <w:t>Definitive Healthcare is a leading provider of healthcare commercial intelligence. Our solutions provide accurate and comprehensive information on healthcare providers and their activities to help our customers optimize everything from product development to go-to-market planning and sales and marketing execution. Delivered through our software as a service (“SaaS”) platform, our intelligence has become critical to the commercial success of our over 2,600 customers as of June 30, 2021.</w:t>
      </w:r>
    </w:p>
    <w:p>
      <w:pPr>
        <w:spacing w:after="0" w:line="187" w:lineRule="exact"/>
        <w:rPr>
          <w:sz w:val="20"/>
          <w:szCs w:val="20"/>
          <w:color w:val="auto"/>
        </w:rPr>
      </w:pPr>
    </w:p>
    <w:p>
      <w:pPr>
        <w:ind w:left="300" w:right="160" w:firstLine="426"/>
        <w:spacing w:after="0" w:line="254" w:lineRule="auto"/>
        <w:rPr>
          <w:sz w:val="20"/>
          <w:szCs w:val="20"/>
          <w:color w:val="auto"/>
        </w:rPr>
      </w:pPr>
      <w:r>
        <w:rPr>
          <w:rFonts w:ascii="Arial" w:cs="Arial" w:eastAsia="Arial" w:hAnsi="Arial"/>
          <w:sz w:val="18"/>
          <w:szCs w:val="18"/>
          <w:color w:val="auto"/>
        </w:rPr>
        <w:t>Commercial success within the healthcare ecosystem is difficult to achieve. The complex relationships between physicians, hospitals, providers, healthcare insurance companies, government regulators and patients make it particularly difficult to develop products for and sell products into the healthcare ecosystem. To succeed in the industry, companies benefit from deep healthcare commercial intelligence that maps all the major players in the healthcare ecosystem, knowledge of the affiliations and relationships between the industry participants and an ability to size patient populations by disease area, geography and health system. Companies that compete within or sell into this ecosystem can utilize the Definitive Healthcare platform to navigate these complexities, enhance go-to-market strategies and access the provider and decision maker information needed to succeed.</w:t>
      </w:r>
    </w:p>
    <w:p>
      <w:pPr>
        <w:spacing w:after="0" w:line="195" w:lineRule="exact"/>
        <w:rPr>
          <w:sz w:val="20"/>
          <w:szCs w:val="20"/>
          <w:color w:val="auto"/>
        </w:rPr>
      </w:pPr>
    </w:p>
    <w:p>
      <w:pPr>
        <w:ind w:left="300" w:right="60" w:firstLine="426"/>
        <w:spacing w:after="0" w:line="257" w:lineRule="auto"/>
        <w:rPr>
          <w:sz w:val="20"/>
          <w:szCs w:val="20"/>
          <w:color w:val="auto"/>
        </w:rPr>
      </w:pPr>
      <w:r>
        <w:rPr>
          <w:rFonts w:ascii="Arial" w:cs="Arial" w:eastAsia="Arial" w:hAnsi="Arial"/>
          <w:sz w:val="18"/>
          <w:szCs w:val="18"/>
          <w:color w:val="auto"/>
        </w:rPr>
        <w:t>Our customers include biopharmaceutical and medical device (“Life Sciences”) companies, Healthcare Information Technology (“HCIT”) companies, healthcare providers and other diversified companies, such as staffing firms, commercial real estate firms, financial institutions and other organizations seeking commercial success in the attractive but complex healthcare ecosystem. Within these organizations, our platform is leveraged by a broad set of functional groups, including Sales, Marketing, Clinical Research &amp; Product Development, Strategy, Talent Acquisition and Physician Network Management.</w:t>
      </w:r>
    </w:p>
    <w:p>
      <w:pPr>
        <w:spacing w:after="0" w:line="188" w:lineRule="exact"/>
        <w:rPr>
          <w:sz w:val="20"/>
          <w:szCs w:val="20"/>
          <w:color w:val="auto"/>
        </w:rPr>
      </w:pPr>
    </w:p>
    <w:p>
      <w:pPr>
        <w:ind w:left="720"/>
        <w:spacing w:after="0"/>
        <w:rPr>
          <w:sz w:val="20"/>
          <w:szCs w:val="20"/>
          <w:color w:val="auto"/>
        </w:rPr>
      </w:pPr>
      <w:r>
        <w:rPr>
          <w:rFonts w:ascii="Arial" w:cs="Arial" w:eastAsia="Arial" w:hAnsi="Arial"/>
          <w:sz w:val="18"/>
          <w:szCs w:val="18"/>
          <w:color w:val="auto"/>
        </w:rPr>
        <w:t>Our customers use the Definitive Healthcare platform in many ways to drive commercial success, including:</w:t>
      </w:r>
    </w:p>
    <w:p>
      <w:pPr>
        <w:spacing w:after="0" w:line="131" w:lineRule="exact"/>
        <w:rPr>
          <w:sz w:val="20"/>
          <w:szCs w:val="20"/>
          <w:color w:val="auto"/>
        </w:rPr>
      </w:pPr>
    </w:p>
    <w:p>
      <w:pPr>
        <w:ind w:left="700" w:right="560" w:hanging="307"/>
        <w:spacing w:after="0" w:line="277" w:lineRule="auto"/>
        <w:tabs>
          <w:tab w:leader="none" w:pos="700" w:val="left"/>
        </w:tabs>
        <w:numPr>
          <w:ilvl w:val="0"/>
          <w:numId w:val="9"/>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Sales. </w:t>
      </w:r>
      <w:r>
        <w:rPr>
          <w:rFonts w:ascii="Arial" w:cs="Arial" w:eastAsia="Arial" w:hAnsi="Arial"/>
          <w:sz w:val="18"/>
          <w:szCs w:val="18"/>
          <w:color w:val="auto"/>
        </w:rPr>
        <w:t>Size markets, build efficient go-to-market strategies and generate actionable intelligence including prospect and decision maker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intelligence.</w:t>
      </w:r>
    </w:p>
    <w:p>
      <w:pPr>
        <w:spacing w:after="0" w:line="75" w:lineRule="exact"/>
        <w:rPr>
          <w:rFonts w:ascii="Arial" w:cs="Arial" w:eastAsia="Arial" w:hAnsi="Arial"/>
          <w:sz w:val="18"/>
          <w:szCs w:val="18"/>
          <w:color w:val="auto"/>
        </w:rPr>
      </w:pPr>
    </w:p>
    <w:p>
      <w:pPr>
        <w:ind w:left="700" w:hanging="307"/>
        <w:spacing w:after="0" w:line="277" w:lineRule="auto"/>
        <w:tabs>
          <w:tab w:leader="none" w:pos="700" w:val="left"/>
        </w:tabs>
        <w:numPr>
          <w:ilvl w:val="0"/>
          <w:numId w:val="9"/>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Marketing. </w:t>
      </w:r>
      <w:r>
        <w:rPr>
          <w:rFonts w:ascii="Arial" w:cs="Arial" w:eastAsia="Arial" w:hAnsi="Arial"/>
          <w:sz w:val="18"/>
          <w:szCs w:val="18"/>
          <w:color w:val="auto"/>
        </w:rPr>
        <w:t>Develop highly targeted marketing campaigns and gain contextual intelligence to quantify Return on Investment (“ROI”) for their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products and services.</w:t>
      </w:r>
    </w:p>
    <w:p>
      <w:pPr>
        <w:spacing w:after="0" w:line="75" w:lineRule="exact"/>
        <w:rPr>
          <w:rFonts w:ascii="Arial" w:cs="Arial" w:eastAsia="Arial" w:hAnsi="Arial"/>
          <w:sz w:val="18"/>
          <w:szCs w:val="18"/>
          <w:color w:val="auto"/>
        </w:rPr>
      </w:pPr>
    </w:p>
    <w:p>
      <w:pPr>
        <w:ind w:left="700" w:right="100" w:hanging="307"/>
        <w:spacing w:after="0" w:line="277" w:lineRule="auto"/>
        <w:tabs>
          <w:tab w:leader="none" w:pos="700" w:val="left"/>
        </w:tabs>
        <w:numPr>
          <w:ilvl w:val="0"/>
          <w:numId w:val="9"/>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Clinical Research &amp; Product Development. </w:t>
      </w:r>
      <w:r>
        <w:rPr>
          <w:rFonts w:ascii="Arial" w:cs="Arial" w:eastAsia="Arial" w:hAnsi="Arial"/>
          <w:sz w:val="18"/>
          <w:szCs w:val="18"/>
          <w:color w:val="auto"/>
        </w:rPr>
        <w:t>Identify experts within a specific disease area to find important sites for clinical trials and make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data-driven investment decisions.</w:t>
      </w:r>
    </w:p>
    <w:p>
      <w:pPr>
        <w:spacing w:after="0" w:line="75" w:lineRule="exact"/>
        <w:rPr>
          <w:rFonts w:ascii="Arial" w:cs="Arial" w:eastAsia="Arial" w:hAnsi="Arial"/>
          <w:sz w:val="18"/>
          <w:szCs w:val="18"/>
          <w:color w:val="auto"/>
        </w:rPr>
      </w:pPr>
    </w:p>
    <w:p>
      <w:pPr>
        <w:ind w:left="700" w:hanging="307"/>
        <w:spacing w:after="0"/>
        <w:tabs>
          <w:tab w:leader="none" w:pos="700" w:val="left"/>
        </w:tabs>
        <w:numPr>
          <w:ilvl w:val="0"/>
          <w:numId w:val="9"/>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Strategy. </w:t>
      </w:r>
      <w:r>
        <w:rPr>
          <w:rFonts w:ascii="Arial" w:cs="Arial" w:eastAsia="Arial" w:hAnsi="Arial"/>
          <w:sz w:val="18"/>
          <w:szCs w:val="18"/>
          <w:color w:val="auto"/>
        </w:rPr>
        <w:t>Size patient populations and identify market opportunities for new therapeutics, diagnostics and medical devices.</w:t>
      </w:r>
    </w:p>
    <w:p>
      <w:pPr>
        <w:spacing w:after="0" w:line="200" w:lineRule="exact"/>
        <w:rPr>
          <w:sz w:val="20"/>
          <w:szCs w:val="20"/>
          <w:color w:val="auto"/>
        </w:rPr>
      </w:pPr>
    </w:p>
    <w:p>
      <w:pPr>
        <w:spacing w:after="0" w:line="214" w:lineRule="exact"/>
        <w:rPr>
          <w:sz w:val="20"/>
          <w:szCs w:val="20"/>
          <w:color w:val="auto"/>
        </w:rPr>
      </w:pPr>
    </w:p>
    <w:p>
      <w:pPr>
        <w:jc w:val="center"/>
        <w:ind w:right="-559"/>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0920"/>
          </w:cols>
          <w:pgMar w:left="320" w:top="459" w:right="65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339"/>
        <w:spacing w:after="0"/>
        <w:rPr>
          <w:sz w:val="20"/>
          <w:szCs w:val="20"/>
          <w:color w:val="auto"/>
        </w:rPr>
      </w:pPr>
      <w:r>
        <w:rPr>
          <w:rFonts w:ascii="Arial" w:cs="Arial" w:eastAsia="Arial" w:hAnsi="Arial"/>
          <w:sz w:val="18"/>
          <w:szCs w:val="18"/>
          <w:b w:val="1"/>
          <w:bCs w:val="1"/>
          <w:color w:val="auto"/>
        </w:rPr>
        <w:t>Confidential Treatment Requested by Definitive Healthcare Corp.</w:t>
      </w:r>
    </w:p>
    <w:p>
      <w:pPr>
        <w:spacing w:after="0" w:line="27" w:lineRule="exact"/>
        <w:rPr>
          <w:sz w:val="20"/>
          <w:szCs w:val="20"/>
          <w:color w:val="auto"/>
        </w:rPr>
      </w:pPr>
    </w:p>
    <w:p>
      <w:pPr>
        <w:jc w:val="center"/>
        <w:ind w:right="-339"/>
        <w:spacing w:after="0"/>
        <w:rPr>
          <w:sz w:val="20"/>
          <w:szCs w:val="20"/>
          <w:color w:val="auto"/>
        </w:rPr>
      </w:pPr>
      <w:r>
        <w:rPr>
          <w:rFonts w:ascii="Arial" w:cs="Arial" w:eastAsia="Arial" w:hAnsi="Arial"/>
          <w:sz w:val="18"/>
          <w:szCs w:val="18"/>
          <w:b w:val="1"/>
          <w:bCs w:val="1"/>
          <w:color w:val="auto"/>
        </w:rPr>
        <w:t>Pursuant to 17 C.F.R. Section 200.83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97790</wp:posOffset>
            </wp:positionV>
            <wp:extent cx="6998970" cy="640778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6998970" cy="6407785"/>
                    </a:xfrm>
                    <a:prstGeom prst="rect">
                      <a:avLst/>
                    </a:prstGeom>
                    <a:noFill/>
                  </pic:spPr>
                </pic:pic>
              </a:graphicData>
            </a:graphic>
          </wp:anchor>
        </w:drawing>
      </w:r>
    </w:p>
    <w:p>
      <w:pPr>
        <w:spacing w:after="0" w:line="312" w:lineRule="exact"/>
        <w:rPr>
          <w:sz w:val="20"/>
          <w:szCs w:val="20"/>
          <w:color w:val="auto"/>
        </w:rPr>
      </w:pPr>
    </w:p>
    <w:p>
      <w:pPr>
        <w:ind w:left="700" w:right="580" w:hanging="307"/>
        <w:spacing w:after="0" w:line="277" w:lineRule="auto"/>
        <w:tabs>
          <w:tab w:leader="none" w:pos="700" w:val="left"/>
        </w:tabs>
        <w:numPr>
          <w:ilvl w:val="0"/>
          <w:numId w:val="10"/>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Talent Acquisition. </w:t>
      </w:r>
      <w:r>
        <w:rPr>
          <w:rFonts w:ascii="Arial" w:cs="Arial" w:eastAsia="Arial" w:hAnsi="Arial"/>
          <w:sz w:val="18"/>
          <w:szCs w:val="18"/>
          <w:color w:val="auto"/>
        </w:rPr>
        <w:t>Identify and conduct outreach to candidates for healthcare-specific roles including physicians, nurses and hospital</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executives.</w:t>
      </w:r>
    </w:p>
    <w:p>
      <w:pPr>
        <w:spacing w:after="0" w:line="75" w:lineRule="exact"/>
        <w:rPr>
          <w:rFonts w:ascii="Arial" w:cs="Arial" w:eastAsia="Arial" w:hAnsi="Arial"/>
          <w:sz w:val="18"/>
          <w:szCs w:val="18"/>
          <w:color w:val="auto"/>
        </w:rPr>
      </w:pPr>
    </w:p>
    <w:p>
      <w:pPr>
        <w:ind w:left="700" w:right="80" w:hanging="307"/>
        <w:spacing w:after="0" w:line="277" w:lineRule="auto"/>
        <w:tabs>
          <w:tab w:leader="none" w:pos="700" w:val="left"/>
        </w:tabs>
        <w:numPr>
          <w:ilvl w:val="0"/>
          <w:numId w:val="10"/>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Physician Network Management. </w:t>
      </w:r>
      <w:r>
        <w:rPr>
          <w:rFonts w:ascii="Arial" w:cs="Arial" w:eastAsia="Arial" w:hAnsi="Arial"/>
          <w:sz w:val="18"/>
          <w:szCs w:val="18"/>
          <w:color w:val="auto"/>
        </w:rPr>
        <w:t>Analyze opportunities to keep patients within a healthcare network and identify attractive physicians from</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whom to source patient referrals.</w:t>
      </w:r>
    </w:p>
    <w:p>
      <w:pPr>
        <w:spacing w:after="0" w:line="170" w:lineRule="exact"/>
        <w:rPr>
          <w:sz w:val="20"/>
          <w:szCs w:val="20"/>
          <w:color w:val="auto"/>
        </w:rPr>
      </w:pPr>
    </w:p>
    <w:p>
      <w:pPr>
        <w:ind w:left="300" w:right="320" w:firstLine="426"/>
        <w:spacing w:after="0" w:line="277" w:lineRule="auto"/>
        <w:rPr>
          <w:sz w:val="20"/>
          <w:szCs w:val="20"/>
          <w:color w:val="auto"/>
        </w:rPr>
      </w:pPr>
      <w:r>
        <w:rPr>
          <w:rFonts w:ascii="Arial" w:cs="Arial" w:eastAsia="Arial" w:hAnsi="Arial"/>
          <w:sz w:val="18"/>
          <w:szCs w:val="18"/>
          <w:color w:val="auto"/>
        </w:rPr>
        <w:t>Our healthcare commercial intelligence platform brings together three powerful elements, which have been built, modified and improved upon over the last 11 years, to create a highly differentiated offering.</w:t>
      </w:r>
    </w:p>
    <w:p>
      <w:pPr>
        <w:spacing w:after="0" w:line="278" w:lineRule="exact"/>
        <w:rPr>
          <w:sz w:val="20"/>
          <w:szCs w:val="20"/>
          <w:color w:val="auto"/>
        </w:rPr>
      </w:pPr>
    </w:p>
    <w:p>
      <w:pPr>
        <w:ind w:left="720"/>
        <w:spacing w:after="0"/>
        <w:rPr>
          <w:sz w:val="20"/>
          <w:szCs w:val="20"/>
          <w:color w:val="auto"/>
        </w:rPr>
      </w:pPr>
      <w:r>
        <w:rPr>
          <w:rFonts w:ascii="Arial" w:cs="Arial" w:eastAsia="Arial" w:hAnsi="Arial"/>
          <w:sz w:val="18"/>
          <w:szCs w:val="18"/>
          <w:color w:val="auto"/>
        </w:rPr>
        <w:t>These three elements are:</w:t>
      </w:r>
    </w:p>
    <w:p>
      <w:pPr>
        <w:spacing w:after="0" w:line="131" w:lineRule="exact"/>
        <w:rPr>
          <w:sz w:val="20"/>
          <w:szCs w:val="20"/>
          <w:color w:val="auto"/>
        </w:rPr>
      </w:pPr>
    </w:p>
    <w:p>
      <w:pPr>
        <w:ind w:left="700" w:hanging="307"/>
        <w:spacing w:after="0"/>
        <w:tabs>
          <w:tab w:leader="none" w:pos="700" w:val="left"/>
        </w:tabs>
        <w:numPr>
          <w:ilvl w:val="0"/>
          <w:numId w:val="11"/>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Comprehensive, In-depth and High-quality Intelligence </w:t>
      </w:r>
      <w:r>
        <w:rPr>
          <w:rFonts w:ascii="Arial" w:cs="Arial" w:eastAsia="Arial" w:hAnsi="Arial"/>
          <w:sz w:val="18"/>
          <w:szCs w:val="18"/>
          <w:color w:val="auto"/>
        </w:rPr>
        <w:t>on healthcare providers across the U.S.;</w:t>
      </w:r>
    </w:p>
    <w:p>
      <w:pPr>
        <w:spacing w:after="0" w:line="130" w:lineRule="exact"/>
        <w:rPr>
          <w:rFonts w:ascii="Arial" w:cs="Arial" w:eastAsia="Arial" w:hAnsi="Arial"/>
          <w:sz w:val="18"/>
          <w:szCs w:val="18"/>
          <w:color w:val="auto"/>
        </w:rPr>
      </w:pPr>
    </w:p>
    <w:p>
      <w:pPr>
        <w:ind w:left="700" w:right="760" w:hanging="307"/>
        <w:spacing w:after="0" w:line="277" w:lineRule="auto"/>
        <w:tabs>
          <w:tab w:leader="none" w:pos="700" w:val="left"/>
        </w:tabs>
        <w:numPr>
          <w:ilvl w:val="0"/>
          <w:numId w:val="11"/>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An Artificial Intelligence (“A.I.”) Engine, </w:t>
      </w:r>
      <w:r>
        <w:rPr>
          <w:rFonts w:ascii="Arial" w:cs="Arial" w:eastAsia="Arial" w:hAnsi="Arial"/>
          <w:sz w:val="18"/>
          <w:szCs w:val="18"/>
          <w:color w:val="auto"/>
        </w:rPr>
        <w:t>built by our team of data scientists, that cleanses, links and creates new information and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intelligence; and</w:t>
      </w:r>
    </w:p>
    <w:p>
      <w:pPr>
        <w:spacing w:after="0" w:line="75" w:lineRule="exact"/>
        <w:rPr>
          <w:rFonts w:ascii="Arial" w:cs="Arial" w:eastAsia="Arial" w:hAnsi="Arial"/>
          <w:sz w:val="18"/>
          <w:szCs w:val="18"/>
          <w:color w:val="auto"/>
        </w:rPr>
      </w:pPr>
    </w:p>
    <w:p>
      <w:pPr>
        <w:ind w:left="700" w:right="320" w:hanging="307"/>
        <w:spacing w:after="0" w:line="277" w:lineRule="auto"/>
        <w:tabs>
          <w:tab w:leader="none" w:pos="700" w:val="left"/>
        </w:tabs>
        <w:numPr>
          <w:ilvl w:val="0"/>
          <w:numId w:val="11"/>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An Intuitive Front-end SaaS Platform </w:t>
      </w:r>
      <w:r>
        <w:rPr>
          <w:rFonts w:ascii="Arial" w:cs="Arial" w:eastAsia="Arial" w:hAnsi="Arial"/>
          <w:sz w:val="18"/>
          <w:szCs w:val="18"/>
          <w:color w:val="auto"/>
        </w:rPr>
        <w:t>that provides customers with the ability to analyze the healthcare ecosystem in real-time, generate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actionable insights and create a path to commercial success.</w:t>
      </w:r>
    </w:p>
    <w:p>
      <w:pPr>
        <w:spacing w:after="0" w:line="170" w:lineRule="exact"/>
        <w:rPr>
          <w:sz w:val="20"/>
          <w:szCs w:val="20"/>
          <w:color w:val="auto"/>
        </w:rPr>
      </w:pPr>
    </w:p>
    <w:p>
      <w:pPr>
        <w:ind w:left="300" w:right="60" w:firstLine="426"/>
        <w:spacing w:after="0" w:line="259" w:lineRule="auto"/>
        <w:rPr>
          <w:sz w:val="20"/>
          <w:szCs w:val="20"/>
          <w:color w:val="auto"/>
        </w:rPr>
      </w:pPr>
      <w:r>
        <w:rPr>
          <w:rFonts w:ascii="Arial" w:cs="Arial" w:eastAsia="Arial" w:hAnsi="Arial"/>
          <w:sz w:val="18"/>
          <w:szCs w:val="18"/>
          <w:color w:val="auto"/>
        </w:rPr>
        <w:t>Any company selling or competing within the healthcare ecosystem is a potential customer for us and contributes to our estimated current Total Addressable Market (“TAM”) of over $10 billion. In total, we have identified over 100,000 companies in our primary target markets—a number that continues to grow as more companies seek to compete within the attractive healthcare ecosystem, and we develop new and innovative analytics that appeal to a broader number of companies and use cases.</w:t>
      </w:r>
    </w:p>
    <w:p>
      <w:pPr>
        <w:spacing w:after="0" w:line="187" w:lineRule="exact"/>
        <w:rPr>
          <w:sz w:val="20"/>
          <w:szCs w:val="20"/>
          <w:color w:val="auto"/>
        </w:rPr>
      </w:pPr>
    </w:p>
    <w:p>
      <w:pPr>
        <w:jc w:val="both"/>
        <w:ind w:left="300" w:firstLine="426"/>
        <w:spacing w:after="0" w:line="286" w:lineRule="auto"/>
        <w:rPr>
          <w:sz w:val="20"/>
          <w:szCs w:val="20"/>
          <w:color w:val="auto"/>
        </w:rPr>
      </w:pPr>
      <w:r>
        <w:rPr>
          <w:rFonts w:ascii="Arial" w:cs="Arial" w:eastAsia="Arial" w:hAnsi="Arial"/>
          <w:sz w:val="17"/>
          <w:szCs w:val="17"/>
          <w:color w:val="auto"/>
        </w:rPr>
        <w:t>We reach these customers through a highly efficient sales and marketing engine as demonstrated by our LTV to CAC ratio of over 10x. Once these customers are on our platform, we are able to expand our relationships with them over time by selling additional users, data modules and new analytical features. Only approximately one-third of a sales representative’s day is spent selling.</w:t>
      </w:r>
    </w:p>
    <w:p>
      <w:pPr>
        <w:spacing w:after="0" w:line="165" w:lineRule="exact"/>
        <w:rPr>
          <w:sz w:val="20"/>
          <w:szCs w:val="20"/>
          <w:color w:val="auto"/>
        </w:rPr>
      </w:pPr>
    </w:p>
    <w:p>
      <w:pPr>
        <w:ind w:left="300" w:right="340" w:firstLine="426"/>
        <w:spacing w:after="0" w:line="286" w:lineRule="auto"/>
        <w:rPr>
          <w:sz w:val="20"/>
          <w:szCs w:val="20"/>
          <w:color w:val="auto"/>
        </w:rPr>
      </w:pPr>
      <w:r>
        <w:rPr>
          <w:rFonts w:ascii="Arial" w:cs="Arial" w:eastAsia="Arial" w:hAnsi="Arial"/>
          <w:sz w:val="17"/>
          <w:szCs w:val="17"/>
          <w:color w:val="auto"/>
        </w:rPr>
        <w:t>We were founded in 2011 by our CEO, Jason Krantz, who has cultivated a culture of innovation that attracts and retains a highly talented team. Our seasoned executive team and over 550 employees are committed to growing a platform that delivers meaningful insights to our customers. This has resulted in a highly scalable business model and strong financial performance, including:</w:t>
      </w:r>
    </w:p>
    <w:p>
      <w:pPr>
        <w:spacing w:after="0" w:line="71" w:lineRule="exact"/>
        <w:rPr>
          <w:sz w:val="20"/>
          <w:szCs w:val="20"/>
          <w:color w:val="auto"/>
        </w:rPr>
      </w:pPr>
    </w:p>
    <w:p>
      <w:pPr>
        <w:ind w:left="700" w:hanging="307"/>
        <w:spacing w:after="0" w:line="263" w:lineRule="auto"/>
        <w:tabs>
          <w:tab w:leader="none" w:pos="700" w:val="left"/>
        </w:tabs>
        <w:numPr>
          <w:ilvl w:val="0"/>
          <w:numId w:val="12"/>
        </w:numPr>
        <w:rPr>
          <w:rFonts w:ascii="Arial" w:cs="Arial" w:eastAsia="Arial" w:hAnsi="Arial"/>
          <w:sz w:val="18"/>
          <w:szCs w:val="18"/>
          <w:color w:val="auto"/>
        </w:rPr>
      </w:pPr>
      <w:r>
        <w:rPr>
          <w:rFonts w:ascii="Arial" w:cs="Arial" w:eastAsia="Arial" w:hAnsi="Arial"/>
          <w:sz w:val="18"/>
          <w:szCs w:val="18"/>
          <w:b w:val="1"/>
          <w:bCs w:val="1"/>
          <w:i w:val="1"/>
          <w:iCs w:val="1"/>
          <w:color w:val="auto"/>
        </w:rPr>
        <w:t>History of Significant Revenue Growth at Scale</w:t>
      </w:r>
      <w:r>
        <w:rPr>
          <w:rFonts w:ascii="Arial" w:cs="Arial" w:eastAsia="Arial" w:hAnsi="Arial"/>
          <w:sz w:val="18"/>
          <w:szCs w:val="18"/>
          <w:color w:val="auto"/>
        </w:rPr>
        <w:t>. We generated revenue of $118.3 million and $85.5 million in the years ended December 31,</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2020 and December 31, 2019, respectively, representing 38% growth. We generated revenue of $76.8 million and $54.6 million in the six months ended June 30, 2021 and 2020, respectively, representing 41% growth.</w:t>
      </w:r>
    </w:p>
    <w:p>
      <w:pPr>
        <w:spacing w:after="0" w:line="89" w:lineRule="exact"/>
        <w:rPr>
          <w:rFonts w:ascii="Arial" w:cs="Arial" w:eastAsia="Arial" w:hAnsi="Arial"/>
          <w:sz w:val="18"/>
          <w:szCs w:val="18"/>
          <w:color w:val="auto"/>
        </w:rPr>
      </w:pPr>
    </w:p>
    <w:p>
      <w:pPr>
        <w:ind w:left="700" w:right="220" w:hanging="307"/>
        <w:spacing w:after="0" w:line="308" w:lineRule="auto"/>
        <w:tabs>
          <w:tab w:leader="none" w:pos="700" w:val="left"/>
        </w:tabs>
        <w:numPr>
          <w:ilvl w:val="0"/>
          <w:numId w:val="12"/>
        </w:numPr>
        <w:rPr>
          <w:rFonts w:ascii="Arial" w:cs="Arial" w:eastAsia="Arial" w:hAnsi="Arial"/>
          <w:sz w:val="17"/>
          <w:szCs w:val="17"/>
          <w:color w:val="auto"/>
        </w:rPr>
      </w:pPr>
      <w:r>
        <w:rPr>
          <w:rFonts w:ascii="Arial" w:cs="Arial" w:eastAsia="Arial" w:hAnsi="Arial"/>
          <w:sz w:val="17"/>
          <w:szCs w:val="17"/>
          <w:b w:val="1"/>
          <w:bCs w:val="1"/>
          <w:i w:val="1"/>
          <w:iCs w:val="1"/>
          <w:color w:val="auto"/>
        </w:rPr>
        <w:t>Subscription-based Business Model with Significant Visibility</w:t>
      </w:r>
      <w:r>
        <w:rPr>
          <w:rFonts w:ascii="Arial" w:cs="Arial" w:eastAsia="Arial" w:hAnsi="Arial"/>
          <w:sz w:val="17"/>
          <w:szCs w:val="17"/>
          <w:color w:val="auto"/>
        </w:rPr>
        <w:t>. We generate substantially all of our revenue from subscription fees, which</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accounted for 99% of our revenue for the year ended December 31, 2020 and the six months ended June 30, 2021.</w:t>
      </w:r>
    </w:p>
    <w:p>
      <w:pPr>
        <w:spacing w:after="0" w:line="51" w:lineRule="exact"/>
        <w:rPr>
          <w:rFonts w:ascii="Arial" w:cs="Arial" w:eastAsia="Arial" w:hAnsi="Arial"/>
          <w:sz w:val="17"/>
          <w:szCs w:val="17"/>
          <w:color w:val="auto"/>
        </w:rPr>
      </w:pPr>
    </w:p>
    <w:p>
      <w:pPr>
        <w:ind w:left="700" w:right="240" w:hanging="307"/>
        <w:spacing w:after="0" w:line="263" w:lineRule="auto"/>
        <w:tabs>
          <w:tab w:leader="none" w:pos="700" w:val="left"/>
        </w:tabs>
        <w:numPr>
          <w:ilvl w:val="0"/>
          <w:numId w:val="12"/>
        </w:numPr>
        <w:rPr>
          <w:rFonts w:ascii="Arial" w:cs="Arial" w:eastAsia="Arial" w:hAnsi="Arial"/>
          <w:sz w:val="18"/>
          <w:szCs w:val="18"/>
          <w:color w:val="auto"/>
        </w:rPr>
      </w:pPr>
      <w:r>
        <w:rPr>
          <w:rFonts w:ascii="Arial" w:cs="Arial" w:eastAsia="Arial" w:hAnsi="Arial"/>
          <w:sz w:val="18"/>
          <w:szCs w:val="18"/>
          <w:b w:val="1"/>
          <w:bCs w:val="1"/>
          <w:i w:val="1"/>
          <w:iCs w:val="1"/>
          <w:color w:val="auto"/>
        </w:rPr>
        <w:t>Diversified Customer Base</w:t>
      </w:r>
      <w:r>
        <w:rPr>
          <w:rFonts w:ascii="Arial" w:cs="Arial" w:eastAsia="Arial" w:hAnsi="Arial"/>
          <w:sz w:val="18"/>
          <w:szCs w:val="18"/>
          <w:color w:val="auto"/>
        </w:rPr>
        <w:t>. Over 2,600 companies use our platform to help sell into or compete in the healthcare ecosystem as of June 30,</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2021. No single customer made up more than 2% of our revenue for the six months ended June 30, 2021 or the year ended December 31, 2020.</w:t>
      </w:r>
    </w:p>
    <w:p>
      <w:pPr>
        <w:spacing w:after="0" w:line="89" w:lineRule="exact"/>
        <w:rPr>
          <w:rFonts w:ascii="Arial" w:cs="Arial" w:eastAsia="Arial" w:hAnsi="Arial"/>
          <w:sz w:val="18"/>
          <w:szCs w:val="18"/>
          <w:color w:val="auto"/>
        </w:rPr>
      </w:pPr>
    </w:p>
    <w:p>
      <w:pPr>
        <w:ind w:left="700" w:right="180" w:hanging="307"/>
        <w:spacing w:after="0" w:line="275" w:lineRule="auto"/>
        <w:tabs>
          <w:tab w:leader="none" w:pos="700" w:val="left"/>
        </w:tabs>
        <w:numPr>
          <w:ilvl w:val="0"/>
          <w:numId w:val="12"/>
        </w:numPr>
        <w:rPr>
          <w:rFonts w:ascii="Arial" w:cs="Arial" w:eastAsia="Arial" w:hAnsi="Arial"/>
          <w:sz w:val="17"/>
          <w:szCs w:val="17"/>
          <w:color w:val="auto"/>
        </w:rPr>
      </w:pPr>
      <w:r>
        <w:rPr>
          <w:rFonts w:ascii="Arial" w:cs="Arial" w:eastAsia="Arial" w:hAnsi="Arial"/>
          <w:sz w:val="17"/>
          <w:szCs w:val="17"/>
          <w:b w:val="1"/>
          <w:bCs w:val="1"/>
          <w:i w:val="1"/>
          <w:iCs w:val="1"/>
          <w:color w:val="auto"/>
        </w:rPr>
        <w:t>Strong Retention and Growth of Existing Customers</w:t>
      </w:r>
      <w:r>
        <w:rPr>
          <w:rFonts w:ascii="Arial" w:cs="Arial" w:eastAsia="Arial" w:hAnsi="Arial"/>
          <w:sz w:val="17"/>
          <w:szCs w:val="17"/>
          <w:color w:val="auto"/>
        </w:rPr>
        <w:t>. Our ability to retain and grow existing customer relationships is reflected in our</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growing number of Enterprise Customers, which we define as customers generating more than $100,000 in ARR (“Enterprise Customers”). For the year ended December 31, 2020, we had 292 Enterprise Customers, compared to 221 Enterprise Customers for the year ended December 31, 2019, with an average Net Dollar Retention Rate of 124%. For the trailing 12 months ended June 30, 2021, our NDR for our 349 Enterprise Customers was 125% and our NDR for all customers over $17,500 in ARR was 111%.</w:t>
      </w:r>
    </w:p>
    <w:p>
      <w:pPr>
        <w:spacing w:after="0" w:line="284" w:lineRule="exact"/>
        <w:rPr>
          <w:sz w:val="20"/>
          <w:szCs w:val="20"/>
          <w:color w:val="auto"/>
        </w:rPr>
      </w:pPr>
    </w:p>
    <w:p>
      <w:pPr>
        <w:jc w:val="center"/>
        <w:ind w:right="-55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0920"/>
          </w:cols>
          <w:pgMar w:left="320" w:top="459" w:right="65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299"/>
        <w:spacing w:after="0"/>
        <w:rPr>
          <w:sz w:val="20"/>
          <w:szCs w:val="20"/>
          <w:color w:val="auto"/>
        </w:rPr>
      </w:pPr>
      <w:r>
        <w:rPr>
          <w:rFonts w:ascii="Arial" w:cs="Arial" w:eastAsia="Arial" w:hAnsi="Arial"/>
          <w:sz w:val="18"/>
          <w:szCs w:val="18"/>
          <w:b w:val="1"/>
          <w:bCs w:val="1"/>
          <w:color w:val="auto"/>
        </w:rPr>
        <w:t>Confidential Treatment Requested by Definitive Healthcare Corp.</w:t>
      </w:r>
    </w:p>
    <w:p>
      <w:pPr>
        <w:spacing w:after="0" w:line="27" w:lineRule="exact"/>
        <w:rPr>
          <w:sz w:val="20"/>
          <w:szCs w:val="20"/>
          <w:color w:val="auto"/>
        </w:rPr>
      </w:pPr>
    </w:p>
    <w:p>
      <w:pPr>
        <w:jc w:val="center"/>
        <w:ind w:right="-299"/>
        <w:spacing w:after="0"/>
        <w:rPr>
          <w:sz w:val="20"/>
          <w:szCs w:val="20"/>
          <w:color w:val="auto"/>
        </w:rPr>
      </w:pPr>
      <w:r>
        <w:rPr>
          <w:rFonts w:ascii="Arial" w:cs="Arial" w:eastAsia="Arial" w:hAnsi="Arial"/>
          <w:sz w:val="18"/>
          <w:szCs w:val="18"/>
          <w:b w:val="1"/>
          <w:bCs w:val="1"/>
          <w:color w:val="auto"/>
        </w:rPr>
        <w:t>Pursuant to 17 C.F.R. Section 200.83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97790</wp:posOffset>
            </wp:positionV>
            <wp:extent cx="6998970" cy="574738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6998970" cy="5747385"/>
                    </a:xfrm>
                    <a:prstGeom prst="rect">
                      <a:avLst/>
                    </a:prstGeom>
                    <a:noFill/>
                  </pic:spPr>
                </pic:pic>
              </a:graphicData>
            </a:graphic>
          </wp:anchor>
        </w:drawing>
      </w:r>
    </w:p>
    <w:p>
      <w:pPr>
        <w:spacing w:after="0" w:line="312" w:lineRule="exact"/>
        <w:rPr>
          <w:sz w:val="20"/>
          <w:szCs w:val="20"/>
          <w:color w:val="auto"/>
        </w:rPr>
      </w:pPr>
    </w:p>
    <w:p>
      <w:pPr>
        <w:ind w:left="700" w:right="60" w:hanging="307"/>
        <w:spacing w:after="0" w:line="269" w:lineRule="auto"/>
        <w:tabs>
          <w:tab w:leader="none" w:pos="700" w:val="left"/>
        </w:tabs>
        <w:numPr>
          <w:ilvl w:val="0"/>
          <w:numId w:val="13"/>
        </w:numPr>
        <w:rPr>
          <w:rFonts w:ascii="Arial" w:cs="Arial" w:eastAsia="Arial" w:hAnsi="Arial"/>
          <w:sz w:val="17"/>
          <w:szCs w:val="17"/>
          <w:color w:val="auto"/>
        </w:rPr>
      </w:pPr>
      <w:r>
        <w:rPr>
          <w:rFonts w:ascii="Arial" w:cs="Arial" w:eastAsia="Arial" w:hAnsi="Arial"/>
          <w:sz w:val="17"/>
          <w:szCs w:val="17"/>
          <w:b w:val="1"/>
          <w:bCs w:val="1"/>
          <w:i w:val="1"/>
          <w:iCs w:val="1"/>
          <w:color w:val="auto"/>
        </w:rPr>
        <w:t>History of Strong Financial Performance</w:t>
      </w:r>
      <w:r>
        <w:rPr>
          <w:rFonts w:ascii="Arial" w:cs="Arial" w:eastAsia="Arial" w:hAnsi="Arial"/>
          <w:sz w:val="17"/>
          <w:szCs w:val="17"/>
          <w:color w:val="auto"/>
        </w:rPr>
        <w:t>. Our business model generates strong financial performance and cash flows. Our net loss was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$51.2 million for the year ended December 31, 2020 as compared to a net loss of $49.3 million for the period from July 16, 2019 to December 31, 2019 and net income of $12.9 million for the period from January 1, 2019 to July 15, 2019. Our net loss was $25.5 million and $25.3 million for the six months ended June 30, 2021 and 2020, respectively. For the year ended December 31, 2020, our Net Loss Margin was (43)% and our Gross Margin was 74%. For the six months ended June 30, 2021, our Net Loss Margin was (33)% and our Gross Margin was 75%. For the six months ended June 30, 2021 and the year ended December 31, 2020, our Adjusted Gross Margin was 88% and 91%, respectively, and our Adjusted EBITDA was $28.5 million and $53.5 million, respectively, reflecting Adjusted EBITDA Margins of 45% for 2020 and 37% for the six months ended June 30, 2021. This strong financial performance allows us to continue to invest for growth to scale the organization. See “Summary Historical and Pro Forma Consolidated Financial Information and Other Data” for additional information regarding our non-GAAP numbers and a reconciliation to the corresponding GAAP metric.</w:t>
      </w:r>
    </w:p>
    <w:p>
      <w:pPr>
        <w:spacing w:after="0" w:line="289"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Industry Background</w:t>
      </w:r>
    </w:p>
    <w:p>
      <w:pPr>
        <w:spacing w:after="0" w:line="121" w:lineRule="exact"/>
        <w:rPr>
          <w:sz w:val="20"/>
          <w:szCs w:val="20"/>
          <w:color w:val="auto"/>
        </w:rPr>
      </w:pPr>
    </w:p>
    <w:p>
      <w:pPr>
        <w:ind w:left="300" w:firstLine="426"/>
        <w:spacing w:after="0" w:line="293" w:lineRule="auto"/>
        <w:rPr>
          <w:sz w:val="20"/>
          <w:szCs w:val="20"/>
          <w:color w:val="auto"/>
        </w:rPr>
      </w:pPr>
      <w:r>
        <w:rPr>
          <w:rFonts w:ascii="Arial" w:cs="Arial" w:eastAsia="Arial" w:hAnsi="Arial"/>
          <w:sz w:val="16"/>
          <w:szCs w:val="16"/>
          <w:color w:val="auto"/>
        </w:rPr>
        <w:t>The healthcare sector is expected to represent over 18% of U.S. G.D.P. in 2021, currently represents over $4 trillion in annual spend, and is expected to grow at 6% annually, according to the Center for Medicare and Medicaid Services. Annual spend in the healthcare industry is estimated to include $194 billion on Research and Development and approximately $36 billion annually is spent on Sales and Marketing to help those products and services reach target providers and patients. Given the size and attractive dynamics, the healthcare sector represents an important end-market for a wide variety of companies, ranging from those that are healthcare focused, such as Life Sciences or HCIT companies, to a broad range of other diversified companies, such as commercial real estate, staffing and waste management.</w:t>
      </w:r>
    </w:p>
    <w:p>
      <w:pPr>
        <w:spacing w:after="0" w:line="272"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Commercializing and selling solutions in healthcare is difficult</w:t>
      </w:r>
    </w:p>
    <w:p>
      <w:pPr>
        <w:spacing w:after="0" w:line="117" w:lineRule="exact"/>
        <w:rPr>
          <w:sz w:val="20"/>
          <w:szCs w:val="20"/>
          <w:color w:val="auto"/>
        </w:rPr>
      </w:pPr>
    </w:p>
    <w:p>
      <w:pPr>
        <w:ind w:left="300" w:right="40" w:firstLine="426"/>
        <w:spacing w:after="0" w:line="277" w:lineRule="auto"/>
        <w:rPr>
          <w:sz w:val="20"/>
          <w:szCs w:val="20"/>
          <w:color w:val="auto"/>
        </w:rPr>
      </w:pPr>
      <w:r>
        <w:rPr>
          <w:rFonts w:ascii="Arial" w:cs="Arial" w:eastAsia="Arial" w:hAnsi="Arial"/>
          <w:sz w:val="18"/>
          <w:szCs w:val="18"/>
          <w:color w:val="auto"/>
        </w:rPr>
        <w:t>While healthcare presents a large opportunity, developing products for and selling into this industry is meaningfully more complex than other industries for a variety of reasons, including:</w:t>
      </w:r>
    </w:p>
    <w:p>
      <w:pPr>
        <w:spacing w:after="0" w:line="76" w:lineRule="exact"/>
        <w:rPr>
          <w:sz w:val="20"/>
          <w:szCs w:val="20"/>
          <w:color w:val="auto"/>
        </w:rPr>
      </w:pPr>
    </w:p>
    <w:p>
      <w:pPr>
        <w:jc w:val="both"/>
        <w:ind w:left="700" w:right="100" w:hanging="307"/>
        <w:spacing w:after="0" w:line="263" w:lineRule="auto"/>
        <w:tabs>
          <w:tab w:leader="none" w:pos="700" w:val="left"/>
        </w:tabs>
        <w:numPr>
          <w:ilvl w:val="0"/>
          <w:numId w:val="14"/>
        </w:numPr>
        <w:rPr>
          <w:rFonts w:ascii="Arial" w:cs="Arial" w:eastAsia="Arial" w:hAnsi="Arial"/>
          <w:sz w:val="18"/>
          <w:szCs w:val="18"/>
          <w:color w:val="auto"/>
        </w:rPr>
      </w:pPr>
      <w:r>
        <w:rPr>
          <w:rFonts w:ascii="Arial" w:cs="Arial" w:eastAsia="Arial" w:hAnsi="Arial"/>
          <w:sz w:val="18"/>
          <w:szCs w:val="18"/>
          <w:b w:val="1"/>
          <w:bCs w:val="1"/>
          <w:i w:val="1"/>
          <w:iCs w:val="1"/>
          <w:color w:val="auto"/>
        </w:rPr>
        <w:t>Companies are selling to an entire ecosystem, not a single company</w:t>
      </w:r>
      <w:r>
        <w:rPr>
          <w:rFonts w:ascii="Arial" w:cs="Arial" w:eastAsia="Arial" w:hAnsi="Arial"/>
          <w:sz w:val="18"/>
          <w:szCs w:val="18"/>
          <w:color w:val="auto"/>
        </w:rPr>
        <w:t>. There are a large number of stakeholders including providers, payers,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government agencies and regulators that are intermingled in meeting the needs of over 300 million potential patients in the U.S. as of May 1, 2021.</w:t>
      </w:r>
    </w:p>
    <w:p>
      <w:pPr>
        <w:spacing w:after="0" w:line="89" w:lineRule="exact"/>
        <w:rPr>
          <w:rFonts w:ascii="Arial" w:cs="Arial" w:eastAsia="Arial" w:hAnsi="Arial"/>
          <w:sz w:val="18"/>
          <w:szCs w:val="18"/>
          <w:color w:val="auto"/>
        </w:rPr>
      </w:pPr>
    </w:p>
    <w:p>
      <w:pPr>
        <w:ind w:left="700" w:right="80" w:hanging="307"/>
        <w:spacing w:after="0" w:line="277" w:lineRule="auto"/>
        <w:tabs>
          <w:tab w:leader="none" w:pos="700" w:val="left"/>
        </w:tabs>
        <w:numPr>
          <w:ilvl w:val="0"/>
          <w:numId w:val="14"/>
        </w:numPr>
        <w:rPr>
          <w:rFonts w:ascii="Arial" w:cs="Arial" w:eastAsia="Arial" w:hAnsi="Arial"/>
          <w:sz w:val="18"/>
          <w:szCs w:val="18"/>
          <w:color w:val="auto"/>
        </w:rPr>
      </w:pPr>
      <w:r>
        <w:rPr>
          <w:rFonts w:ascii="Arial" w:cs="Arial" w:eastAsia="Arial" w:hAnsi="Arial"/>
          <w:sz w:val="18"/>
          <w:szCs w:val="18"/>
          <w:b w:val="1"/>
          <w:bCs w:val="1"/>
          <w:i w:val="1"/>
          <w:iCs w:val="1"/>
          <w:color w:val="auto"/>
        </w:rPr>
        <w:t>It is challenging to identify the true decision maker</w:t>
      </w:r>
      <w:r>
        <w:rPr>
          <w:rFonts w:ascii="Arial" w:cs="Arial" w:eastAsia="Arial" w:hAnsi="Arial"/>
          <w:sz w:val="18"/>
          <w:szCs w:val="18"/>
          <w:color w:val="auto"/>
        </w:rPr>
        <w:t>. The healthcare ecosystem is highly interconnected and understanding how stakeholders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are affiliated and related is critical to properly identifying true decision makers.</w:t>
      </w:r>
    </w:p>
    <w:p>
      <w:pPr>
        <w:spacing w:after="0" w:line="75" w:lineRule="exact"/>
        <w:rPr>
          <w:rFonts w:ascii="Arial" w:cs="Arial" w:eastAsia="Arial" w:hAnsi="Arial"/>
          <w:sz w:val="18"/>
          <w:szCs w:val="18"/>
          <w:color w:val="auto"/>
        </w:rPr>
      </w:pPr>
    </w:p>
    <w:p>
      <w:pPr>
        <w:ind w:left="700" w:right="200" w:hanging="307"/>
        <w:spacing w:after="0" w:line="263" w:lineRule="auto"/>
        <w:tabs>
          <w:tab w:leader="none" w:pos="700" w:val="left"/>
        </w:tabs>
        <w:numPr>
          <w:ilvl w:val="0"/>
          <w:numId w:val="14"/>
        </w:numPr>
        <w:rPr>
          <w:rFonts w:ascii="Arial" w:cs="Arial" w:eastAsia="Arial" w:hAnsi="Arial"/>
          <w:sz w:val="18"/>
          <w:szCs w:val="18"/>
          <w:color w:val="auto"/>
        </w:rPr>
      </w:pPr>
      <w:r>
        <w:rPr>
          <w:rFonts w:ascii="Arial" w:cs="Arial" w:eastAsia="Arial" w:hAnsi="Arial"/>
          <w:sz w:val="18"/>
          <w:szCs w:val="18"/>
          <w:b w:val="1"/>
          <w:bCs w:val="1"/>
          <w:i w:val="1"/>
          <w:iCs w:val="1"/>
          <w:color w:val="auto"/>
        </w:rPr>
        <w:t>To differentiate, companies need to tailor their product or service to specific pain points</w:t>
      </w:r>
      <w:r>
        <w:rPr>
          <w:rFonts w:ascii="Arial" w:cs="Arial" w:eastAsia="Arial" w:hAnsi="Arial"/>
          <w:sz w:val="18"/>
          <w:szCs w:val="18"/>
          <w:color w:val="auto"/>
        </w:rPr>
        <w:t>. Healthcare providers have a wide variety of pain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points to address. Understanding these pain points can help companies selling into healthcare target these pain points and allow them to derive value from our platform.</w:t>
      </w:r>
    </w:p>
    <w:p>
      <w:pPr>
        <w:spacing w:after="0" w:line="89" w:lineRule="exact"/>
        <w:rPr>
          <w:rFonts w:ascii="Arial" w:cs="Arial" w:eastAsia="Arial" w:hAnsi="Arial"/>
          <w:sz w:val="18"/>
          <w:szCs w:val="18"/>
          <w:color w:val="auto"/>
        </w:rPr>
      </w:pPr>
    </w:p>
    <w:p>
      <w:pPr>
        <w:ind w:left="700" w:right="300" w:hanging="307"/>
        <w:spacing w:after="0" w:line="277" w:lineRule="auto"/>
        <w:tabs>
          <w:tab w:leader="none" w:pos="700" w:val="left"/>
        </w:tabs>
        <w:numPr>
          <w:ilvl w:val="0"/>
          <w:numId w:val="14"/>
        </w:numPr>
        <w:rPr>
          <w:rFonts w:ascii="Arial" w:cs="Arial" w:eastAsia="Arial" w:hAnsi="Arial"/>
          <w:sz w:val="18"/>
          <w:szCs w:val="18"/>
          <w:color w:val="auto"/>
        </w:rPr>
      </w:pPr>
      <w:r>
        <w:rPr>
          <w:rFonts w:ascii="Arial" w:cs="Arial" w:eastAsia="Arial" w:hAnsi="Arial"/>
          <w:sz w:val="18"/>
          <w:szCs w:val="18"/>
          <w:b w:val="1"/>
          <w:bCs w:val="1"/>
          <w:i w:val="1"/>
          <w:iCs w:val="1"/>
          <w:color w:val="auto"/>
        </w:rPr>
        <w:t>Constant change</w:t>
      </w:r>
      <w:r>
        <w:rPr>
          <w:rFonts w:ascii="Arial" w:cs="Arial" w:eastAsia="Arial" w:hAnsi="Arial"/>
          <w:sz w:val="18"/>
          <w:szCs w:val="18"/>
          <w:color w:val="auto"/>
        </w:rPr>
        <w:t>. The healthcare industry is in a constant state of change including changing regulations and adoption of new patient care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technologies.</w:t>
      </w:r>
    </w:p>
    <w:p>
      <w:pPr>
        <w:spacing w:after="0" w:line="75" w:lineRule="exact"/>
        <w:rPr>
          <w:rFonts w:ascii="Arial" w:cs="Arial" w:eastAsia="Arial" w:hAnsi="Arial"/>
          <w:sz w:val="18"/>
          <w:szCs w:val="18"/>
          <w:color w:val="auto"/>
        </w:rPr>
      </w:pPr>
    </w:p>
    <w:p>
      <w:pPr>
        <w:ind w:left="700" w:right="160" w:hanging="307"/>
        <w:spacing w:after="0" w:line="263" w:lineRule="auto"/>
        <w:tabs>
          <w:tab w:leader="none" w:pos="700" w:val="left"/>
        </w:tabs>
        <w:numPr>
          <w:ilvl w:val="0"/>
          <w:numId w:val="14"/>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Healthcare is a high-stakes industry where success is difficult to achieve. </w:t>
      </w:r>
      <w:r>
        <w:rPr>
          <w:rFonts w:ascii="Arial" w:cs="Arial" w:eastAsia="Arial" w:hAnsi="Arial"/>
          <w:sz w:val="18"/>
          <w:szCs w:val="18"/>
          <w:color w:val="auto"/>
        </w:rPr>
        <w:t>New therapeutics can require substantial investment and new</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technologies can be costly and difficult to roll-out in healthcare due to privacy and the complex health system network. Approximately 50% of drug launches underperform expectations.</w:t>
      </w:r>
    </w:p>
    <w:p>
      <w:pPr>
        <w:spacing w:after="0" w:line="373" w:lineRule="exact"/>
        <w:rPr>
          <w:sz w:val="20"/>
          <w:szCs w:val="20"/>
          <w:color w:val="auto"/>
        </w:rPr>
      </w:pPr>
    </w:p>
    <w:p>
      <w:pPr>
        <w:jc w:val="center"/>
        <w:ind w:right="-53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0940"/>
          </w:cols>
          <w:pgMar w:left="320" w:top="459" w:right="63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339"/>
        <w:spacing w:after="0"/>
        <w:rPr>
          <w:sz w:val="20"/>
          <w:szCs w:val="20"/>
          <w:color w:val="auto"/>
        </w:rPr>
      </w:pPr>
      <w:r>
        <w:rPr>
          <w:rFonts w:ascii="Arial" w:cs="Arial" w:eastAsia="Arial" w:hAnsi="Arial"/>
          <w:sz w:val="18"/>
          <w:szCs w:val="18"/>
          <w:b w:val="1"/>
          <w:bCs w:val="1"/>
          <w:color w:val="auto"/>
        </w:rPr>
        <w:t>Confidential Treatment Requested by Definitive Healthcare Corp.</w:t>
      </w:r>
    </w:p>
    <w:p>
      <w:pPr>
        <w:spacing w:after="0" w:line="27" w:lineRule="exact"/>
        <w:rPr>
          <w:sz w:val="20"/>
          <w:szCs w:val="20"/>
          <w:color w:val="auto"/>
        </w:rPr>
      </w:pPr>
    </w:p>
    <w:p>
      <w:pPr>
        <w:jc w:val="center"/>
        <w:ind w:right="-339"/>
        <w:spacing w:after="0"/>
        <w:rPr>
          <w:sz w:val="20"/>
          <w:szCs w:val="20"/>
          <w:color w:val="auto"/>
        </w:rPr>
      </w:pPr>
      <w:r>
        <w:rPr>
          <w:rFonts w:ascii="Arial" w:cs="Arial" w:eastAsia="Arial" w:hAnsi="Arial"/>
          <w:sz w:val="18"/>
          <w:szCs w:val="18"/>
          <w:b w:val="1"/>
          <w:bCs w:val="1"/>
          <w:color w:val="auto"/>
        </w:rPr>
        <w:t>Pursuant to 17 C.F.R. Section 200.83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97790</wp:posOffset>
            </wp:positionV>
            <wp:extent cx="6998970" cy="591058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6998970" cy="5910580"/>
                    </a:xfrm>
                    <a:prstGeom prst="rect">
                      <a:avLst/>
                    </a:prstGeom>
                    <a:noFill/>
                  </pic:spPr>
                </pic:pic>
              </a:graphicData>
            </a:graphic>
          </wp:anchor>
        </w:drawing>
      </w:r>
    </w:p>
    <w:p>
      <w:pPr>
        <w:spacing w:after="0" w:line="312"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Alternative solutions do not provide the intelligence customers most benefit from</w:t>
      </w:r>
    </w:p>
    <w:p>
      <w:pPr>
        <w:spacing w:after="0" w:line="117" w:lineRule="exact"/>
        <w:rPr>
          <w:sz w:val="20"/>
          <w:szCs w:val="20"/>
          <w:color w:val="auto"/>
        </w:rPr>
      </w:pPr>
    </w:p>
    <w:p>
      <w:pPr>
        <w:jc w:val="both"/>
        <w:ind w:left="300" w:firstLine="426"/>
        <w:spacing w:after="0" w:line="286" w:lineRule="auto"/>
        <w:rPr>
          <w:sz w:val="20"/>
          <w:szCs w:val="20"/>
          <w:color w:val="auto"/>
        </w:rPr>
      </w:pPr>
      <w:r>
        <w:rPr>
          <w:rFonts w:ascii="Arial" w:cs="Arial" w:eastAsia="Arial" w:hAnsi="Arial"/>
          <w:sz w:val="17"/>
          <w:szCs w:val="17"/>
          <w:color w:val="auto"/>
        </w:rPr>
        <w:t>Companies competing within or selling into the healthcare ecosystem benefit from accurate and up-to-date healthcare specific intelligence on the entire healthcare ecosystem including comprehensive information on providers and physicians, how they are affiliated and interconnected, how they refer patients to each other, the quality of care they provide, procedure and diagnosis volumes and much more.</w:t>
      </w:r>
    </w:p>
    <w:p>
      <w:pPr>
        <w:spacing w:after="0" w:line="165" w:lineRule="exact"/>
        <w:rPr>
          <w:sz w:val="20"/>
          <w:szCs w:val="20"/>
          <w:color w:val="auto"/>
        </w:rPr>
      </w:pPr>
    </w:p>
    <w:p>
      <w:pPr>
        <w:ind w:left="720"/>
        <w:spacing w:after="0"/>
        <w:rPr>
          <w:sz w:val="20"/>
          <w:szCs w:val="20"/>
          <w:color w:val="auto"/>
        </w:rPr>
      </w:pPr>
      <w:r>
        <w:rPr>
          <w:rFonts w:ascii="Arial" w:cs="Arial" w:eastAsia="Arial" w:hAnsi="Arial"/>
          <w:sz w:val="18"/>
          <w:szCs w:val="18"/>
          <w:color w:val="auto"/>
        </w:rPr>
        <w:t>Alternative solutions available today fall short in three ways:</w:t>
      </w:r>
    </w:p>
    <w:p>
      <w:pPr>
        <w:spacing w:after="0" w:line="127" w:lineRule="exact"/>
        <w:rPr>
          <w:sz w:val="20"/>
          <w:szCs w:val="20"/>
          <w:color w:val="auto"/>
        </w:rPr>
      </w:pPr>
    </w:p>
    <w:p>
      <w:pPr>
        <w:ind w:left="700" w:right="80" w:hanging="307"/>
        <w:spacing w:after="0" w:line="281" w:lineRule="auto"/>
        <w:tabs>
          <w:tab w:leader="none" w:pos="700" w:val="left"/>
        </w:tabs>
        <w:numPr>
          <w:ilvl w:val="0"/>
          <w:numId w:val="15"/>
        </w:numPr>
        <w:rPr>
          <w:rFonts w:ascii="Arial" w:cs="Arial" w:eastAsia="Arial" w:hAnsi="Arial"/>
          <w:sz w:val="17"/>
          <w:szCs w:val="17"/>
          <w:color w:val="auto"/>
        </w:rPr>
      </w:pPr>
      <w:r>
        <w:rPr>
          <w:rFonts w:ascii="Arial" w:cs="Arial" w:eastAsia="Arial" w:hAnsi="Arial"/>
          <w:sz w:val="17"/>
          <w:szCs w:val="17"/>
          <w:b w:val="1"/>
          <w:bCs w:val="1"/>
          <w:i w:val="1"/>
          <w:iCs w:val="1"/>
          <w:color w:val="auto"/>
        </w:rPr>
        <w:t>Lack of Healthcare Depth</w:t>
      </w:r>
      <w:r>
        <w:rPr>
          <w:rFonts w:ascii="Arial" w:cs="Arial" w:eastAsia="Arial" w:hAnsi="Arial"/>
          <w:sz w:val="17"/>
          <w:szCs w:val="17"/>
          <w:b w:val="1"/>
          <w:bCs w:val="1"/>
          <w:color w:val="auto"/>
        </w:rPr>
        <w: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Generalized Sales and Marketing intelligence providers do not provide the healthcare specific intelligence that is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critical to success in the healthcare industry. This healthcare specific intelligence is important for efficient market sizing and segmentation based on contextual information about providers including: referral patterns, patient flow, quality and cost analytics and diagnosis and procedure volumes in addition to financial performance and decision maker information.</w:t>
      </w:r>
    </w:p>
    <w:p>
      <w:pPr>
        <w:spacing w:after="0" w:line="70" w:lineRule="exact"/>
        <w:rPr>
          <w:rFonts w:ascii="Arial" w:cs="Arial" w:eastAsia="Arial" w:hAnsi="Arial"/>
          <w:sz w:val="17"/>
          <w:szCs w:val="17"/>
          <w:color w:val="auto"/>
        </w:rPr>
      </w:pPr>
    </w:p>
    <w:p>
      <w:pPr>
        <w:ind w:left="700" w:right="140" w:hanging="307"/>
        <w:spacing w:after="0" w:line="261" w:lineRule="auto"/>
        <w:tabs>
          <w:tab w:leader="none" w:pos="700" w:val="left"/>
        </w:tabs>
        <w:numPr>
          <w:ilvl w:val="0"/>
          <w:numId w:val="15"/>
        </w:numPr>
        <w:rPr>
          <w:rFonts w:ascii="Arial" w:cs="Arial" w:eastAsia="Arial" w:hAnsi="Arial"/>
          <w:sz w:val="18"/>
          <w:szCs w:val="18"/>
          <w:color w:val="auto"/>
        </w:rPr>
      </w:pPr>
      <w:r>
        <w:rPr>
          <w:rFonts w:ascii="Arial" w:cs="Arial" w:eastAsia="Arial" w:hAnsi="Arial"/>
          <w:sz w:val="18"/>
          <w:szCs w:val="18"/>
          <w:b w:val="1"/>
          <w:bCs w:val="1"/>
          <w:i w:val="1"/>
          <w:iCs w:val="1"/>
          <w:color w:val="auto"/>
        </w:rPr>
        <w:t>No Comprehensive and Integrated View of the Entire Healthcare Ecosystem</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Existing solutions typically provide only certain elements of</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 healthcare ecosystem—to achieve commercial success in healthcare it is beneficial to have a comprehensive view of facilities and physicians and how they are affiliated and interconnected. Our solution provides a comprehensive view of the entire healthcare ecosystem and how providers are related.</w:t>
      </w:r>
    </w:p>
    <w:p>
      <w:pPr>
        <w:spacing w:after="0" w:line="85" w:lineRule="exact"/>
        <w:rPr>
          <w:rFonts w:ascii="Arial" w:cs="Arial" w:eastAsia="Arial" w:hAnsi="Arial"/>
          <w:sz w:val="18"/>
          <w:szCs w:val="18"/>
          <w:color w:val="auto"/>
        </w:rPr>
      </w:pPr>
    </w:p>
    <w:p>
      <w:pPr>
        <w:ind w:left="700" w:hanging="307"/>
        <w:spacing w:after="0" w:line="258" w:lineRule="auto"/>
        <w:tabs>
          <w:tab w:leader="none" w:pos="700" w:val="left"/>
        </w:tabs>
        <w:numPr>
          <w:ilvl w:val="0"/>
          <w:numId w:val="15"/>
        </w:numPr>
        <w:rPr>
          <w:rFonts w:ascii="Arial" w:cs="Arial" w:eastAsia="Arial" w:hAnsi="Arial"/>
          <w:sz w:val="18"/>
          <w:szCs w:val="18"/>
          <w:color w:val="auto"/>
        </w:rPr>
      </w:pPr>
      <w:r>
        <w:rPr>
          <w:rFonts w:ascii="Arial" w:cs="Arial" w:eastAsia="Arial" w:hAnsi="Arial"/>
          <w:sz w:val="18"/>
          <w:szCs w:val="18"/>
          <w:b w:val="1"/>
          <w:bCs w:val="1"/>
          <w:i w:val="1"/>
          <w:iCs w:val="1"/>
          <w:color w:val="auto"/>
        </w:rPr>
        <w:t>Manual and Not Real-time</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Third party consultants are often used to pull together various data sources and compile a view of the healthcare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ecosystem to help companies make critical decisions. These efforts are often services-heavy, expensive and can result in end-products that are not easily updated as the healthcare ecosystem rapidly evolves. We have disrupted this market by creating a highly intuitive platform to allow customers access to a 360-degree view of the healthcare ecosystem that adapts in real-time to the changes taking place in the healthcare industry.</w:t>
      </w:r>
    </w:p>
    <w:p>
      <w:pPr>
        <w:spacing w:after="0" w:line="291"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The Definitive Healthcare Platform</w:t>
      </w:r>
    </w:p>
    <w:p>
      <w:pPr>
        <w:spacing w:after="0" w:line="121"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Industry Leading SaaS-based Healthcare Commercial Intelligence</w:t>
      </w:r>
    </w:p>
    <w:p>
      <w:pPr>
        <w:spacing w:after="0" w:line="117" w:lineRule="exact"/>
        <w:rPr>
          <w:sz w:val="20"/>
          <w:szCs w:val="20"/>
          <w:color w:val="auto"/>
        </w:rPr>
      </w:pPr>
    </w:p>
    <w:p>
      <w:pPr>
        <w:ind w:left="300" w:right="140" w:firstLine="426"/>
        <w:spacing w:after="0" w:line="301" w:lineRule="auto"/>
        <w:rPr>
          <w:sz w:val="20"/>
          <w:szCs w:val="20"/>
          <w:color w:val="auto"/>
        </w:rPr>
      </w:pPr>
      <w:r>
        <w:rPr>
          <w:rFonts w:ascii="Arial" w:cs="Arial" w:eastAsia="Arial" w:hAnsi="Arial"/>
          <w:sz w:val="16"/>
          <w:szCs w:val="16"/>
          <w:color w:val="auto"/>
        </w:rPr>
        <w:t>Our healthcare commercial intelligence platform provides comprehensive and accurate information on the healthcare ecosystem in the U.S. The platform is embedded with deep analytics and data science to help customers develop data-driven strategic decisions such as finding new markets to enter, building comprehensive go-to-market strategies, accessing tactical information to help target the right decision makers and improving win rates with detailed contextual information. All of this helps our customers succeed in this important but complicated industry.</w:t>
      </w:r>
    </w:p>
    <w:p>
      <w:pPr>
        <w:spacing w:after="0" w:line="157" w:lineRule="exact"/>
        <w:rPr>
          <w:sz w:val="20"/>
          <w:szCs w:val="20"/>
          <w:color w:val="auto"/>
        </w:rPr>
      </w:pPr>
    </w:p>
    <w:p>
      <w:pPr>
        <w:ind w:left="720"/>
        <w:spacing w:after="0"/>
        <w:rPr>
          <w:sz w:val="20"/>
          <w:szCs w:val="20"/>
          <w:color w:val="auto"/>
        </w:rPr>
      </w:pPr>
      <w:r>
        <w:rPr>
          <w:rFonts w:ascii="Arial" w:cs="Arial" w:eastAsia="Arial" w:hAnsi="Arial"/>
          <w:sz w:val="18"/>
          <w:szCs w:val="18"/>
          <w:color w:val="auto"/>
        </w:rPr>
        <w:t>Our platform provides the following benefits to customers:</w:t>
      </w:r>
    </w:p>
    <w:p>
      <w:pPr>
        <w:spacing w:after="0" w:line="131" w:lineRule="exact"/>
        <w:rPr>
          <w:sz w:val="20"/>
          <w:szCs w:val="20"/>
          <w:color w:val="auto"/>
        </w:rPr>
      </w:pPr>
    </w:p>
    <w:p>
      <w:pPr>
        <w:ind w:left="700" w:right="80" w:hanging="307"/>
        <w:spacing w:after="0" w:line="263" w:lineRule="auto"/>
        <w:tabs>
          <w:tab w:leader="none" w:pos="700" w:val="left"/>
        </w:tabs>
        <w:numPr>
          <w:ilvl w:val="0"/>
          <w:numId w:val="16"/>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A comprehensive view of the entire healthcare ecosystem </w:t>
      </w:r>
      <w:r>
        <w:rPr>
          <w:rFonts w:ascii="Arial" w:cs="Arial" w:eastAsia="Arial" w:hAnsi="Arial"/>
          <w:sz w:val="18"/>
          <w:szCs w:val="18"/>
          <w:color w:val="auto"/>
        </w:rPr>
        <w:t>including intelligence on hospitals, physicians, physician groups, clinics, imaging</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centers, long-term care facilities, ambulatory surgery centers, payers, virtual care providers, Group Purchasing Organizations (“GPOs”) and others.</w:t>
      </w:r>
    </w:p>
    <w:p>
      <w:pPr>
        <w:spacing w:after="0" w:line="89" w:lineRule="exact"/>
        <w:rPr>
          <w:rFonts w:ascii="Arial" w:cs="Arial" w:eastAsia="Arial" w:hAnsi="Arial"/>
          <w:sz w:val="18"/>
          <w:szCs w:val="18"/>
          <w:color w:val="auto"/>
        </w:rPr>
      </w:pPr>
    </w:p>
    <w:p>
      <w:pPr>
        <w:ind w:left="700" w:right="100" w:hanging="307"/>
        <w:spacing w:after="0" w:line="277" w:lineRule="auto"/>
        <w:tabs>
          <w:tab w:leader="none" w:pos="700" w:val="left"/>
        </w:tabs>
        <w:numPr>
          <w:ilvl w:val="0"/>
          <w:numId w:val="16"/>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Detailed analytics and insight on how these companies and physicians are interconnected </w:t>
      </w:r>
      <w:r>
        <w:rPr>
          <w:rFonts w:ascii="Arial" w:cs="Arial" w:eastAsia="Arial" w:hAnsi="Arial"/>
          <w:sz w:val="18"/>
          <w:szCs w:val="18"/>
          <w:color w:val="auto"/>
        </w:rPr>
        <w:t>through affiliations, referrals and shared patient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analytics all linked together through the proprietary Definitive ID.</w:t>
      </w:r>
    </w:p>
    <w:p>
      <w:pPr>
        <w:spacing w:after="0" w:line="75" w:lineRule="exact"/>
        <w:rPr>
          <w:rFonts w:ascii="Arial" w:cs="Arial" w:eastAsia="Arial" w:hAnsi="Arial"/>
          <w:sz w:val="18"/>
          <w:szCs w:val="18"/>
          <w:color w:val="auto"/>
        </w:rPr>
      </w:pPr>
    </w:p>
    <w:p>
      <w:pPr>
        <w:ind w:left="700" w:right="100" w:hanging="307"/>
        <w:spacing w:after="0" w:line="263" w:lineRule="auto"/>
        <w:tabs>
          <w:tab w:leader="none" w:pos="700" w:val="left"/>
        </w:tabs>
        <w:numPr>
          <w:ilvl w:val="0"/>
          <w:numId w:val="16"/>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Healthcare-specific intelligence </w:t>
      </w:r>
      <w:r>
        <w:rPr>
          <w:rFonts w:ascii="Arial" w:cs="Arial" w:eastAsia="Arial" w:hAnsi="Arial"/>
          <w:sz w:val="18"/>
          <w:szCs w:val="18"/>
          <w:color w:val="auto"/>
        </w:rPr>
        <w:t>including daily opportunities such as new patient starts and Request for Proposals (“RFPs”), procedure and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diagnosis volumes, patient leakage, quality of care analytics, financial metrics, technology infrastructure of providers and healthcare stakeholder intelligence with detailed contact information.</w:t>
      </w:r>
    </w:p>
    <w:p>
      <w:pPr>
        <w:spacing w:after="0" w:line="292" w:lineRule="exact"/>
        <w:rPr>
          <w:sz w:val="20"/>
          <w:szCs w:val="20"/>
          <w:color w:val="auto"/>
        </w:rPr>
      </w:pPr>
    </w:p>
    <w:p>
      <w:pPr>
        <w:jc w:val="center"/>
        <w:ind w:right="-57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0900"/>
          </w:cols>
          <w:pgMar w:left="320" w:top="459" w:right="67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319"/>
        <w:spacing w:after="0"/>
        <w:rPr>
          <w:sz w:val="20"/>
          <w:szCs w:val="20"/>
          <w:color w:val="auto"/>
        </w:rPr>
      </w:pPr>
      <w:r>
        <w:rPr>
          <w:rFonts w:ascii="Arial" w:cs="Arial" w:eastAsia="Arial" w:hAnsi="Arial"/>
          <w:sz w:val="18"/>
          <w:szCs w:val="18"/>
          <w:b w:val="1"/>
          <w:bCs w:val="1"/>
          <w:color w:val="auto"/>
        </w:rPr>
        <w:t>Confidential Treatment Requested by Definitive Healthcare Corp.</w:t>
      </w:r>
    </w:p>
    <w:p>
      <w:pPr>
        <w:spacing w:after="0" w:line="27" w:lineRule="exact"/>
        <w:rPr>
          <w:sz w:val="20"/>
          <w:szCs w:val="20"/>
          <w:color w:val="auto"/>
        </w:rPr>
      </w:pPr>
    </w:p>
    <w:p>
      <w:pPr>
        <w:jc w:val="center"/>
        <w:ind w:right="-319"/>
        <w:spacing w:after="0"/>
        <w:rPr>
          <w:sz w:val="20"/>
          <w:szCs w:val="20"/>
          <w:color w:val="auto"/>
        </w:rPr>
      </w:pPr>
      <w:r>
        <w:rPr>
          <w:rFonts w:ascii="Arial" w:cs="Arial" w:eastAsia="Arial" w:hAnsi="Arial"/>
          <w:sz w:val="18"/>
          <w:szCs w:val="18"/>
          <w:b w:val="1"/>
          <w:bCs w:val="1"/>
          <w:color w:val="auto"/>
        </w:rPr>
        <w:t>Pursuant to 17 C.F.R. Section 200.83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97790</wp:posOffset>
            </wp:positionV>
            <wp:extent cx="6998970" cy="573913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6998970" cy="5739130"/>
                    </a:xfrm>
                    <a:prstGeom prst="rect">
                      <a:avLst/>
                    </a:prstGeom>
                    <a:noFill/>
                  </pic:spPr>
                </pic:pic>
              </a:graphicData>
            </a:graphic>
          </wp:anchor>
        </w:drawing>
      </w:r>
    </w:p>
    <w:p>
      <w:pPr>
        <w:spacing w:after="0" w:line="312" w:lineRule="exact"/>
        <w:rPr>
          <w:sz w:val="20"/>
          <w:szCs w:val="20"/>
          <w:color w:val="auto"/>
        </w:rPr>
      </w:pPr>
    </w:p>
    <w:p>
      <w:pPr>
        <w:ind w:left="700" w:hanging="307"/>
        <w:spacing w:after="0"/>
        <w:tabs>
          <w:tab w:leader="none" w:pos="700" w:val="left"/>
        </w:tabs>
        <w:numPr>
          <w:ilvl w:val="0"/>
          <w:numId w:val="17"/>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Answers, not just raw data </w:t>
      </w:r>
      <w:r>
        <w:rPr>
          <w:rFonts w:ascii="Arial" w:cs="Arial" w:eastAsia="Arial" w:hAnsi="Arial"/>
          <w:sz w:val="16"/>
          <w:szCs w:val="16"/>
          <w:color w:val="auto"/>
        </w:rPr>
        <w:t>to ensure our customers spend their time developing and executing on their vision rather than analyzing data.</w:t>
      </w:r>
    </w:p>
    <w:p>
      <w:pPr>
        <w:spacing w:after="0" w:line="153" w:lineRule="exact"/>
        <w:rPr>
          <w:rFonts w:ascii="Arial" w:cs="Arial" w:eastAsia="Arial" w:hAnsi="Arial"/>
          <w:sz w:val="16"/>
          <w:szCs w:val="16"/>
          <w:color w:val="auto"/>
        </w:rPr>
      </w:pPr>
    </w:p>
    <w:p>
      <w:pPr>
        <w:ind w:left="700" w:right="580" w:hanging="307"/>
        <w:spacing w:after="0" w:line="277" w:lineRule="auto"/>
        <w:tabs>
          <w:tab w:leader="none" w:pos="700" w:val="left"/>
        </w:tabs>
        <w:numPr>
          <w:ilvl w:val="0"/>
          <w:numId w:val="17"/>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Delivered through an intelligent SaaS platform </w:t>
      </w:r>
      <w:r>
        <w:rPr>
          <w:rFonts w:ascii="Arial" w:cs="Arial" w:eastAsia="Arial" w:hAnsi="Arial"/>
          <w:sz w:val="18"/>
          <w:szCs w:val="18"/>
          <w:color w:val="auto"/>
        </w:rPr>
        <w:t>that combines our comprehensive intelligence with analytical capabilities to help our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customers uncover actionable insights and make better decisions, simplifying trend identification.</w:t>
      </w:r>
    </w:p>
    <w:p>
      <w:pPr>
        <w:spacing w:after="0" w:line="274"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Our Data Sources and Data Engine</w:t>
      </w:r>
    </w:p>
    <w:p>
      <w:pPr>
        <w:spacing w:after="0" w:line="121" w:lineRule="exact"/>
        <w:rPr>
          <w:sz w:val="20"/>
          <w:szCs w:val="20"/>
          <w:color w:val="auto"/>
        </w:rPr>
      </w:pPr>
    </w:p>
    <w:p>
      <w:pPr>
        <w:ind w:left="300" w:firstLine="426"/>
        <w:spacing w:after="0" w:line="255" w:lineRule="auto"/>
        <w:rPr>
          <w:sz w:val="20"/>
          <w:szCs w:val="20"/>
          <w:color w:val="auto"/>
        </w:rPr>
      </w:pPr>
      <w:r>
        <w:rPr>
          <w:rFonts w:ascii="Arial" w:cs="Arial" w:eastAsia="Arial" w:hAnsi="Arial"/>
          <w:sz w:val="18"/>
          <w:szCs w:val="18"/>
          <w:color w:val="auto"/>
        </w:rPr>
        <w:t>Our comprehensive, high-quality intelligence is made up of thousands of data sources and billions of data points that enrich and power our platform. We transform this data into intelligence through A.I. and Machine Learning (“M.L.”) algorithms that ingest, cleanse, link and analyze the data to create powerful new intelligence and analytics. Each new data source and each new algorithm created by our data science team makes our entire platform and the intelligence modules contained within more valuable to our customers. Built and enhanced over the last 11 years, our platform contains a full 360-degree, longitudinal view of the healthcare ecosystem and depicts how the ecosystem connects together, creating a true barrier to entry. Our sources of information include:</w:t>
      </w:r>
    </w:p>
    <w:p>
      <w:pPr>
        <w:spacing w:after="0" w:line="98" w:lineRule="exact"/>
        <w:rPr>
          <w:sz w:val="20"/>
          <w:szCs w:val="20"/>
          <w:color w:val="auto"/>
        </w:rPr>
      </w:pPr>
    </w:p>
    <w:p>
      <w:pPr>
        <w:ind w:left="700" w:hanging="307"/>
        <w:spacing w:after="0"/>
        <w:tabs>
          <w:tab w:leader="none" w:pos="700" w:val="left"/>
        </w:tabs>
        <w:numPr>
          <w:ilvl w:val="0"/>
          <w:numId w:val="18"/>
        </w:numPr>
        <w:rPr>
          <w:rFonts w:ascii="Arial" w:cs="Arial" w:eastAsia="Arial" w:hAnsi="Arial"/>
          <w:sz w:val="17"/>
          <w:szCs w:val="17"/>
          <w:color w:val="auto"/>
        </w:rPr>
      </w:pPr>
      <w:r>
        <w:rPr>
          <w:rFonts w:ascii="Arial" w:cs="Arial" w:eastAsia="Arial" w:hAnsi="Arial"/>
          <w:sz w:val="17"/>
          <w:szCs w:val="17"/>
          <w:b w:val="1"/>
          <w:bCs w:val="1"/>
          <w:i w:val="1"/>
          <w:iCs w:val="1"/>
          <w:color w:val="auto"/>
        </w:rPr>
        <w:t>First Party Research</w:t>
      </w:r>
      <w:r>
        <w:rPr>
          <w:rFonts w:ascii="Arial" w:cs="Arial" w:eastAsia="Arial" w:hAnsi="Arial"/>
          <w:sz w:val="17"/>
          <w:szCs w:val="17"/>
          <w:color w:val="auto"/>
        </w:rPr>
        <w:t>. Our team conducts primary research via 650,000 research calls and 3.7 million e-mail outreaches per year.</w:t>
      </w:r>
    </w:p>
    <w:p>
      <w:pPr>
        <w:spacing w:after="0" w:line="138" w:lineRule="exact"/>
        <w:rPr>
          <w:rFonts w:ascii="Arial" w:cs="Arial" w:eastAsia="Arial" w:hAnsi="Arial"/>
          <w:sz w:val="17"/>
          <w:szCs w:val="17"/>
          <w:color w:val="auto"/>
        </w:rPr>
      </w:pPr>
    </w:p>
    <w:p>
      <w:pPr>
        <w:ind w:left="700" w:right="260" w:hanging="307"/>
        <w:spacing w:after="0" w:line="282" w:lineRule="auto"/>
        <w:tabs>
          <w:tab w:leader="none" w:pos="700" w:val="left"/>
        </w:tabs>
        <w:numPr>
          <w:ilvl w:val="0"/>
          <w:numId w:val="18"/>
        </w:numPr>
        <w:rPr>
          <w:rFonts w:ascii="Arial" w:cs="Arial" w:eastAsia="Arial" w:hAnsi="Arial"/>
          <w:sz w:val="18"/>
          <w:szCs w:val="18"/>
          <w:color w:val="auto"/>
        </w:rPr>
      </w:pPr>
      <w:r>
        <w:rPr>
          <w:rFonts w:ascii="Arial" w:cs="Arial" w:eastAsia="Arial" w:hAnsi="Arial"/>
          <w:sz w:val="18"/>
          <w:szCs w:val="18"/>
          <w:b w:val="1"/>
          <w:bCs w:val="1"/>
          <w:i w:val="1"/>
          <w:iCs w:val="1"/>
          <w:color w:val="auto"/>
        </w:rPr>
        <w:t>Unstructured Public Information</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We have developed proprietary technologies to extract unstructured information found in over 250,000</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websites, journals, publications, news articles, job postings and other public information sources.</w:t>
      </w:r>
    </w:p>
    <w:p>
      <w:pPr>
        <w:spacing w:after="0" w:line="67" w:lineRule="exact"/>
        <w:rPr>
          <w:rFonts w:ascii="Arial" w:cs="Arial" w:eastAsia="Arial" w:hAnsi="Arial"/>
          <w:sz w:val="18"/>
          <w:szCs w:val="18"/>
          <w:color w:val="auto"/>
        </w:rPr>
      </w:pPr>
    </w:p>
    <w:p>
      <w:pPr>
        <w:ind w:left="700" w:right="280" w:hanging="307"/>
        <w:spacing w:after="0" w:line="282" w:lineRule="auto"/>
        <w:tabs>
          <w:tab w:leader="none" w:pos="700" w:val="left"/>
        </w:tabs>
        <w:numPr>
          <w:ilvl w:val="0"/>
          <w:numId w:val="18"/>
        </w:numPr>
        <w:rPr>
          <w:rFonts w:ascii="Arial" w:cs="Arial" w:eastAsia="Arial" w:hAnsi="Arial"/>
          <w:sz w:val="18"/>
          <w:szCs w:val="18"/>
          <w:color w:val="auto"/>
        </w:rPr>
      </w:pPr>
      <w:r>
        <w:rPr>
          <w:rFonts w:ascii="Arial" w:cs="Arial" w:eastAsia="Arial" w:hAnsi="Arial"/>
          <w:sz w:val="18"/>
          <w:szCs w:val="18"/>
          <w:b w:val="1"/>
          <w:bCs w:val="1"/>
          <w:i w:val="1"/>
          <w:iCs w:val="1"/>
          <w:color w:val="auto"/>
        </w:rPr>
        <w:t>Government and Regulatory Sources</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We have developed automated processes for ingesting, updating and linking information from over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20,000 sources, including the federal government, states, towns and municipalities across the U.S.</w:t>
      </w:r>
    </w:p>
    <w:p>
      <w:pPr>
        <w:spacing w:after="0" w:line="67" w:lineRule="exact"/>
        <w:rPr>
          <w:rFonts w:ascii="Arial" w:cs="Arial" w:eastAsia="Arial" w:hAnsi="Arial"/>
          <w:sz w:val="18"/>
          <w:szCs w:val="18"/>
          <w:color w:val="auto"/>
        </w:rPr>
      </w:pPr>
    </w:p>
    <w:p>
      <w:pPr>
        <w:ind w:left="700" w:right="40" w:hanging="307"/>
        <w:spacing w:after="0" w:line="282" w:lineRule="auto"/>
        <w:tabs>
          <w:tab w:leader="none" w:pos="700" w:val="left"/>
        </w:tabs>
        <w:numPr>
          <w:ilvl w:val="0"/>
          <w:numId w:val="18"/>
        </w:numPr>
        <w:rPr>
          <w:rFonts w:ascii="Arial" w:cs="Arial" w:eastAsia="Arial" w:hAnsi="Arial"/>
          <w:sz w:val="18"/>
          <w:szCs w:val="18"/>
          <w:color w:val="auto"/>
        </w:rPr>
      </w:pPr>
      <w:r>
        <w:rPr>
          <w:rFonts w:ascii="Arial" w:cs="Arial" w:eastAsia="Arial" w:hAnsi="Arial"/>
          <w:sz w:val="18"/>
          <w:szCs w:val="18"/>
          <w:b w:val="1"/>
          <w:bCs w:val="1"/>
          <w:i w:val="1"/>
          <w:iCs w:val="1"/>
          <w:color w:val="auto"/>
        </w:rPr>
        <w:t>Third-party Data</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We integrate, cleanse and link raw claims data and other information from third-party vendors, which provide us with over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17 billion claims covering over 250 million patients as of May 2021.</w:t>
      </w:r>
    </w:p>
    <w:p>
      <w:pPr>
        <w:spacing w:after="0" w:line="67" w:lineRule="exact"/>
        <w:rPr>
          <w:rFonts w:ascii="Arial" w:cs="Arial" w:eastAsia="Arial" w:hAnsi="Arial"/>
          <w:sz w:val="18"/>
          <w:szCs w:val="18"/>
          <w:color w:val="auto"/>
        </w:rPr>
      </w:pPr>
    </w:p>
    <w:p>
      <w:pPr>
        <w:ind w:left="700" w:right="540" w:hanging="307"/>
        <w:spacing w:after="0" w:line="282" w:lineRule="auto"/>
        <w:tabs>
          <w:tab w:leader="none" w:pos="700" w:val="left"/>
        </w:tabs>
        <w:numPr>
          <w:ilvl w:val="0"/>
          <w:numId w:val="18"/>
        </w:numPr>
        <w:rPr>
          <w:rFonts w:ascii="Arial" w:cs="Arial" w:eastAsia="Arial" w:hAnsi="Arial"/>
          <w:sz w:val="18"/>
          <w:szCs w:val="18"/>
          <w:color w:val="auto"/>
        </w:rPr>
      </w:pPr>
      <w:r>
        <w:rPr>
          <w:rFonts w:ascii="Arial" w:cs="Arial" w:eastAsia="Arial" w:hAnsi="Arial"/>
          <w:sz w:val="18"/>
          <w:szCs w:val="18"/>
          <w:b w:val="1"/>
          <w:bCs w:val="1"/>
          <w:i w:val="1"/>
          <w:iCs w:val="1"/>
          <w:color w:val="auto"/>
        </w:rPr>
        <w:t>Data Science</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We create new intelligence that is proprietary to us, which includes buyer intent, market extrapolations, cost and quality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analytics and other intelligence.</w:t>
      </w:r>
    </w:p>
    <w:p>
      <w:pPr>
        <w:spacing w:after="0" w:line="270"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Our Competitive Strengths</w:t>
      </w:r>
    </w:p>
    <w:p>
      <w:pPr>
        <w:spacing w:after="0" w:line="135" w:lineRule="exact"/>
        <w:rPr>
          <w:sz w:val="20"/>
          <w:szCs w:val="20"/>
          <w:color w:val="auto"/>
        </w:rPr>
      </w:pPr>
    </w:p>
    <w:p>
      <w:pPr>
        <w:ind w:left="700" w:right="300" w:hanging="307"/>
        <w:spacing w:after="0" w:line="263" w:lineRule="auto"/>
        <w:tabs>
          <w:tab w:leader="none" w:pos="700" w:val="left"/>
        </w:tabs>
        <w:numPr>
          <w:ilvl w:val="0"/>
          <w:numId w:val="19"/>
        </w:numPr>
        <w:rPr>
          <w:rFonts w:ascii="Arial" w:cs="Arial" w:eastAsia="Arial" w:hAnsi="Arial"/>
          <w:sz w:val="18"/>
          <w:szCs w:val="18"/>
          <w:color w:val="auto"/>
        </w:rPr>
      </w:pPr>
      <w:r>
        <w:rPr>
          <w:rFonts w:ascii="Arial" w:cs="Arial" w:eastAsia="Arial" w:hAnsi="Arial"/>
          <w:sz w:val="18"/>
          <w:szCs w:val="18"/>
          <w:b w:val="1"/>
          <w:bCs w:val="1"/>
          <w:i w:val="1"/>
          <w:iCs w:val="1"/>
          <w:color w:val="auto"/>
        </w:rPr>
        <w:t>Proprietary Healthcare-specific Intelligence</w:t>
      </w:r>
      <w:r>
        <w:rPr>
          <w:rFonts w:ascii="Arial" w:cs="Arial" w:eastAsia="Arial" w:hAnsi="Arial"/>
          <w:sz w:val="18"/>
          <w:szCs w:val="18"/>
          <w:color w:val="auto"/>
        </w:rPr>
        <w:t>. Over the last 11 years, we have built proprietary intelligence via first party research,</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aggregated, linked, cleansed and inferred information from thousands of data sources and tied billions of data points together into a single longitudinal view of the entire healthcare ecosystem.</w:t>
      </w:r>
    </w:p>
    <w:p>
      <w:pPr>
        <w:spacing w:after="0" w:line="85" w:lineRule="exact"/>
        <w:rPr>
          <w:rFonts w:ascii="Arial" w:cs="Arial" w:eastAsia="Arial" w:hAnsi="Arial"/>
          <w:sz w:val="18"/>
          <w:szCs w:val="18"/>
          <w:color w:val="auto"/>
        </w:rPr>
      </w:pPr>
    </w:p>
    <w:p>
      <w:pPr>
        <w:ind w:left="700" w:right="160" w:hanging="307"/>
        <w:spacing w:after="0" w:line="266" w:lineRule="auto"/>
        <w:tabs>
          <w:tab w:leader="none" w:pos="700" w:val="left"/>
        </w:tabs>
        <w:numPr>
          <w:ilvl w:val="0"/>
          <w:numId w:val="19"/>
        </w:numPr>
        <w:rPr>
          <w:rFonts w:ascii="Arial" w:cs="Arial" w:eastAsia="Arial" w:hAnsi="Arial"/>
          <w:sz w:val="18"/>
          <w:szCs w:val="18"/>
          <w:color w:val="auto"/>
        </w:rPr>
      </w:pPr>
      <w:r>
        <w:rPr>
          <w:rFonts w:ascii="Arial" w:cs="Arial" w:eastAsia="Arial" w:hAnsi="Arial"/>
          <w:sz w:val="18"/>
          <w:szCs w:val="18"/>
          <w:b w:val="1"/>
          <w:bCs w:val="1"/>
          <w:i w:val="1"/>
          <w:iCs w:val="1"/>
          <w:color w:val="auto"/>
        </w:rPr>
        <w:t>An Integrated Data and Technology Foundation that Creates a Flywheel of Innovation</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Our technology platform provides the foundation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for rapid product development and innovation by leveraging our existing data assets to produce new modules and features that solve a growing number of our customers’ business problems.</w:t>
      </w:r>
    </w:p>
    <w:p>
      <w:pPr>
        <w:spacing w:after="0" w:line="81" w:lineRule="exact"/>
        <w:rPr>
          <w:rFonts w:ascii="Arial" w:cs="Arial" w:eastAsia="Arial" w:hAnsi="Arial"/>
          <w:sz w:val="18"/>
          <w:szCs w:val="18"/>
          <w:color w:val="auto"/>
        </w:rPr>
      </w:pPr>
    </w:p>
    <w:p>
      <w:pPr>
        <w:ind w:left="700" w:right="360" w:hanging="307"/>
        <w:spacing w:after="0" w:line="266" w:lineRule="auto"/>
        <w:tabs>
          <w:tab w:leader="none" w:pos="700" w:val="left"/>
        </w:tabs>
        <w:numPr>
          <w:ilvl w:val="0"/>
          <w:numId w:val="19"/>
        </w:numPr>
        <w:rPr>
          <w:rFonts w:ascii="Arial" w:cs="Arial" w:eastAsia="Arial" w:hAnsi="Arial"/>
          <w:sz w:val="18"/>
          <w:szCs w:val="18"/>
          <w:color w:val="auto"/>
        </w:rPr>
      </w:pPr>
      <w:r>
        <w:rPr>
          <w:rFonts w:ascii="Arial" w:cs="Arial" w:eastAsia="Arial" w:hAnsi="Arial"/>
          <w:sz w:val="18"/>
          <w:szCs w:val="18"/>
          <w:b w:val="1"/>
          <w:bCs w:val="1"/>
          <w:i w:val="1"/>
          <w:iCs w:val="1"/>
          <w:color w:val="auto"/>
        </w:rPr>
        <w:t>Powerful Go-to-Market Engine</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We have a highly efficient and effective go-to-market engine that combines effective marketing with an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inside sales force comprised of highly trained, vertically focused sales executives (“SEs”). The efficiency of our model is demonstrated through our 2020 LTV to CAC ratio of over 10x.</w:t>
      </w:r>
    </w:p>
    <w:p>
      <w:pPr>
        <w:spacing w:after="0" w:line="81" w:lineRule="exact"/>
        <w:rPr>
          <w:rFonts w:ascii="Arial" w:cs="Arial" w:eastAsia="Arial" w:hAnsi="Arial"/>
          <w:sz w:val="18"/>
          <w:szCs w:val="18"/>
          <w:color w:val="auto"/>
        </w:rPr>
      </w:pPr>
    </w:p>
    <w:p>
      <w:pPr>
        <w:ind w:left="700" w:hanging="307"/>
        <w:spacing w:after="0" w:line="347" w:lineRule="auto"/>
        <w:tabs>
          <w:tab w:leader="none" w:pos="700" w:val="left"/>
        </w:tabs>
        <w:numPr>
          <w:ilvl w:val="0"/>
          <w:numId w:val="19"/>
        </w:numPr>
        <w:rPr>
          <w:rFonts w:ascii="Arial" w:cs="Arial" w:eastAsia="Arial" w:hAnsi="Arial"/>
          <w:sz w:val="16"/>
          <w:szCs w:val="16"/>
          <w:color w:val="auto"/>
        </w:rPr>
      </w:pPr>
      <w:r>
        <w:rPr>
          <w:rFonts w:ascii="Arial" w:cs="Arial" w:eastAsia="Arial" w:hAnsi="Arial"/>
          <w:sz w:val="16"/>
          <w:szCs w:val="16"/>
          <w:b w:val="1"/>
          <w:bCs w:val="1"/>
          <w:i w:val="1"/>
          <w:iCs w:val="1"/>
          <w:color w:val="auto"/>
        </w:rPr>
        <w:t>Visionary, Founder-Led Management Team with a Track Record of Execution</w:t>
      </w:r>
      <w:r>
        <w:rPr>
          <w:rFonts w:ascii="Arial" w:cs="Arial" w:eastAsia="Arial" w:hAnsi="Arial"/>
          <w:sz w:val="16"/>
          <w:szCs w:val="16"/>
          <w:b w:val="1"/>
          <w:bCs w:val="1"/>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Our founder-led management team has a strong track record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of exceptional financial performance and of building an award- winning culture to attract and retain highly talented individuals.</w:t>
      </w:r>
    </w:p>
    <w:p>
      <w:pPr>
        <w:spacing w:after="0" w:line="228" w:lineRule="exact"/>
        <w:rPr>
          <w:sz w:val="20"/>
          <w:szCs w:val="20"/>
          <w:color w:val="auto"/>
        </w:rPr>
      </w:pPr>
    </w:p>
    <w:p>
      <w:pPr>
        <w:jc w:val="center"/>
        <w:ind w:right="-55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0920"/>
          </w:cols>
          <w:pgMar w:left="320" w:top="459" w:right="65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379"/>
        <w:spacing w:after="0"/>
        <w:rPr>
          <w:sz w:val="20"/>
          <w:szCs w:val="20"/>
          <w:color w:val="auto"/>
        </w:rPr>
      </w:pPr>
      <w:r>
        <w:rPr>
          <w:rFonts w:ascii="Arial" w:cs="Arial" w:eastAsia="Arial" w:hAnsi="Arial"/>
          <w:sz w:val="18"/>
          <w:szCs w:val="18"/>
          <w:b w:val="1"/>
          <w:bCs w:val="1"/>
          <w:color w:val="auto"/>
        </w:rPr>
        <w:t>Confidential Treatment Requested by Definitive Healthcare Corp.</w:t>
      </w:r>
    </w:p>
    <w:p>
      <w:pPr>
        <w:spacing w:after="0" w:line="27" w:lineRule="exact"/>
        <w:rPr>
          <w:sz w:val="20"/>
          <w:szCs w:val="20"/>
          <w:color w:val="auto"/>
        </w:rPr>
      </w:pPr>
    </w:p>
    <w:p>
      <w:pPr>
        <w:jc w:val="center"/>
        <w:ind w:right="-379"/>
        <w:spacing w:after="0"/>
        <w:rPr>
          <w:sz w:val="20"/>
          <w:szCs w:val="20"/>
          <w:color w:val="auto"/>
        </w:rPr>
      </w:pPr>
      <w:r>
        <w:rPr>
          <w:rFonts w:ascii="Arial" w:cs="Arial" w:eastAsia="Arial" w:hAnsi="Arial"/>
          <w:sz w:val="18"/>
          <w:szCs w:val="18"/>
          <w:b w:val="1"/>
          <w:bCs w:val="1"/>
          <w:color w:val="auto"/>
        </w:rPr>
        <w:t>Pursuant to 17 C.F.R. Section 200.83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97790</wp:posOffset>
            </wp:positionV>
            <wp:extent cx="6998970" cy="644207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6998970" cy="6442075"/>
                    </a:xfrm>
                    <a:prstGeom prst="rect">
                      <a:avLst/>
                    </a:prstGeom>
                    <a:noFill/>
                  </pic:spPr>
                </pic:pic>
              </a:graphicData>
            </a:graphic>
          </wp:anchor>
        </w:drawing>
      </w:r>
    </w:p>
    <w:p>
      <w:pPr>
        <w:spacing w:after="0" w:line="308"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Our Market Opportunity</w:t>
      </w:r>
    </w:p>
    <w:p>
      <w:pPr>
        <w:spacing w:after="0" w:line="121" w:lineRule="exact"/>
        <w:rPr>
          <w:sz w:val="20"/>
          <w:szCs w:val="20"/>
          <w:color w:val="auto"/>
        </w:rPr>
      </w:pPr>
    </w:p>
    <w:p>
      <w:pPr>
        <w:ind w:left="300" w:firstLine="426"/>
        <w:spacing w:after="0" w:line="271" w:lineRule="auto"/>
        <w:rPr>
          <w:sz w:val="20"/>
          <w:szCs w:val="20"/>
          <w:color w:val="auto"/>
        </w:rPr>
      </w:pPr>
      <w:r>
        <w:rPr>
          <w:rFonts w:ascii="Arial" w:cs="Arial" w:eastAsia="Arial" w:hAnsi="Arial"/>
          <w:sz w:val="17"/>
          <w:szCs w:val="17"/>
          <w:color w:val="auto"/>
        </w:rPr>
        <w:t>We estimate our TAM today to be over $10 billion and growing, much of which remains underpenetrated. We calculate our TAM by estimating the total number of potential customers (including current customers with whom we can expand our relationships) across Life Sciences, Healthcare IT, Healthcare Providers and other companies such as financial institutions, staffing firms and consultants selling into the healthcare ecosystem and then applying an ARR figure to each segment based on internal company data on existing customer spend. For companies in the Life Sciences segment, who we believe have the potential for the broadest use of our platform, we have applied the average ARR of our top quartile of existing customers in that segment. For companies in the HCIT and Healthcare Providers segments, we have applied the average ARR of the top half, and for companies in the Other segment, we have applied an average ARR, in each case based on spend for existing customers in each respective segment for the six month period ending June 30, 2021.</w:t>
      </w:r>
    </w:p>
    <w:p>
      <w:pPr>
        <w:spacing w:after="0" w:line="282"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Our Growth Strategies</w:t>
      </w:r>
    </w:p>
    <w:p>
      <w:pPr>
        <w:spacing w:after="0" w:line="121" w:lineRule="exact"/>
        <w:rPr>
          <w:sz w:val="20"/>
          <w:szCs w:val="20"/>
          <w:color w:val="auto"/>
        </w:rPr>
      </w:pPr>
    </w:p>
    <w:p>
      <w:pPr>
        <w:ind w:left="720"/>
        <w:spacing w:after="0"/>
        <w:rPr>
          <w:sz w:val="20"/>
          <w:szCs w:val="20"/>
          <w:color w:val="auto"/>
        </w:rPr>
      </w:pPr>
      <w:r>
        <w:rPr>
          <w:rFonts w:ascii="Arial" w:cs="Arial" w:eastAsia="Arial" w:hAnsi="Arial"/>
          <w:sz w:val="18"/>
          <w:szCs w:val="18"/>
          <w:color w:val="auto"/>
        </w:rPr>
        <w:t>We intend to drive growth through the following strategies:</w:t>
      </w:r>
    </w:p>
    <w:p>
      <w:pPr>
        <w:spacing w:after="0" w:line="131" w:lineRule="exact"/>
        <w:rPr>
          <w:sz w:val="20"/>
          <w:szCs w:val="20"/>
          <w:color w:val="auto"/>
        </w:rPr>
      </w:pPr>
    </w:p>
    <w:p>
      <w:pPr>
        <w:ind w:left="700" w:hanging="307"/>
        <w:spacing w:after="0"/>
        <w:tabs>
          <w:tab w:leader="none" w:pos="7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Acquire New Customers.</w:t>
      </w:r>
    </w:p>
    <w:p>
      <w:pPr>
        <w:spacing w:after="0" w:line="130" w:lineRule="exact"/>
        <w:rPr>
          <w:rFonts w:ascii="Arial" w:cs="Arial" w:eastAsia="Arial" w:hAnsi="Arial"/>
          <w:sz w:val="18"/>
          <w:szCs w:val="18"/>
          <w:color w:val="auto"/>
        </w:rPr>
      </w:pPr>
    </w:p>
    <w:p>
      <w:pPr>
        <w:ind w:left="700" w:hanging="307"/>
        <w:spacing w:after="0"/>
        <w:tabs>
          <w:tab w:leader="none" w:pos="7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Expand our Relationships with Existing Customers.</w:t>
      </w:r>
    </w:p>
    <w:p>
      <w:pPr>
        <w:spacing w:after="0" w:line="130" w:lineRule="exact"/>
        <w:rPr>
          <w:rFonts w:ascii="Arial" w:cs="Arial" w:eastAsia="Arial" w:hAnsi="Arial"/>
          <w:sz w:val="18"/>
          <w:szCs w:val="18"/>
          <w:color w:val="auto"/>
        </w:rPr>
      </w:pPr>
    </w:p>
    <w:p>
      <w:pPr>
        <w:ind w:left="700" w:hanging="307"/>
        <w:spacing w:after="0"/>
        <w:tabs>
          <w:tab w:leader="none" w:pos="7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Continue to Innovate to Strengthen our Platform and Market Leadership Position.</w:t>
      </w:r>
    </w:p>
    <w:p>
      <w:pPr>
        <w:spacing w:after="0" w:line="130" w:lineRule="exact"/>
        <w:rPr>
          <w:rFonts w:ascii="Arial" w:cs="Arial" w:eastAsia="Arial" w:hAnsi="Arial"/>
          <w:sz w:val="18"/>
          <w:szCs w:val="18"/>
          <w:color w:val="auto"/>
        </w:rPr>
      </w:pPr>
    </w:p>
    <w:p>
      <w:pPr>
        <w:ind w:left="700" w:hanging="307"/>
        <w:spacing w:after="0"/>
        <w:tabs>
          <w:tab w:leader="none" w:pos="7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Make Selective Strategic Acquisitions.</w:t>
      </w:r>
    </w:p>
    <w:p>
      <w:pPr>
        <w:spacing w:after="0" w:line="329"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Summary of Risk Factors</w:t>
      </w:r>
    </w:p>
    <w:p>
      <w:pPr>
        <w:spacing w:after="0" w:line="121" w:lineRule="exact"/>
        <w:rPr>
          <w:sz w:val="20"/>
          <w:szCs w:val="20"/>
          <w:color w:val="auto"/>
        </w:rPr>
      </w:pPr>
    </w:p>
    <w:p>
      <w:pPr>
        <w:ind w:left="300" w:right="40" w:firstLine="426"/>
        <w:spacing w:after="0" w:line="257" w:lineRule="auto"/>
        <w:rPr>
          <w:sz w:val="20"/>
          <w:szCs w:val="20"/>
          <w:color w:val="auto"/>
        </w:rPr>
      </w:pPr>
      <w:r>
        <w:rPr>
          <w:rFonts w:ascii="Arial" w:cs="Arial" w:eastAsia="Arial" w:hAnsi="Arial"/>
          <w:sz w:val="18"/>
          <w:szCs w:val="18"/>
          <w:color w:val="auto"/>
        </w:rPr>
        <w:t>Investing in our Class A common stock involves a number of risks. These risks represent challenges to the successful implementation of our strategy and the growth of our business. The occurrence of one or more of the events or circumstances described in the section entitled “Risk Factors,” alone or in combination with other events or circumstances, could have a material adverse effect on our business, financial condition and results of operations. In that event, the trading price of our Class A common stock could decline, and you could lose all or part of your investment. Some of these risks are:</w:t>
      </w:r>
    </w:p>
    <w:p>
      <w:pPr>
        <w:spacing w:after="0" w:line="93" w:lineRule="exact"/>
        <w:rPr>
          <w:sz w:val="20"/>
          <w:szCs w:val="20"/>
          <w:color w:val="auto"/>
        </w:rPr>
      </w:pPr>
    </w:p>
    <w:p>
      <w:pPr>
        <w:ind w:left="700" w:right="20" w:hanging="307"/>
        <w:spacing w:after="0" w:line="342" w:lineRule="auto"/>
        <w:tabs>
          <w:tab w:leader="none" w:pos="700" w:val="left"/>
        </w:tabs>
        <w:numPr>
          <w:ilvl w:val="0"/>
          <w:numId w:val="21"/>
        </w:numPr>
        <w:rPr>
          <w:rFonts w:ascii="Arial" w:cs="Arial" w:eastAsia="Arial" w:hAnsi="Arial"/>
          <w:sz w:val="16"/>
          <w:szCs w:val="16"/>
          <w:color w:val="auto"/>
        </w:rPr>
      </w:pPr>
      <w:r>
        <w:rPr>
          <w:rFonts w:ascii="Arial" w:cs="Arial" w:eastAsia="Arial" w:hAnsi="Arial"/>
          <w:sz w:val="16"/>
          <w:szCs w:val="16"/>
          <w:color w:val="auto"/>
        </w:rPr>
        <w:t>the inability to generate substantially all of our revenue and cash flows from sales of subscriptions to our platform and any decline in demand for our platform and the data we offer could have a material adverse effect on our business, financial condition and results of operations;</w:t>
      </w:r>
    </w:p>
    <w:p>
      <w:pPr>
        <w:spacing w:after="0" w:line="29" w:lineRule="exact"/>
        <w:rPr>
          <w:rFonts w:ascii="Arial" w:cs="Arial" w:eastAsia="Arial" w:hAnsi="Arial"/>
          <w:sz w:val="16"/>
          <w:szCs w:val="16"/>
          <w:color w:val="auto"/>
        </w:rPr>
      </w:pPr>
    </w:p>
    <w:p>
      <w:pPr>
        <w:ind w:left="700" w:right="120" w:hanging="307"/>
        <w:spacing w:after="0" w:line="277" w:lineRule="auto"/>
        <w:tabs>
          <w:tab w:leader="none" w:pos="7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competitiveness of the market in which we operate, such that if we do not compete effectively, it could have a material adverse effect on our business, financial condition and results of operations;</w:t>
      </w:r>
    </w:p>
    <w:p>
      <w:pPr>
        <w:spacing w:after="0" w:line="75" w:lineRule="exact"/>
        <w:rPr>
          <w:rFonts w:ascii="Arial" w:cs="Arial" w:eastAsia="Arial" w:hAnsi="Arial"/>
          <w:sz w:val="18"/>
          <w:szCs w:val="18"/>
          <w:color w:val="auto"/>
        </w:rPr>
      </w:pPr>
    </w:p>
    <w:p>
      <w:pPr>
        <w:ind w:left="700" w:right="520" w:hanging="307"/>
        <w:spacing w:after="0" w:line="277" w:lineRule="auto"/>
        <w:tabs>
          <w:tab w:leader="none" w:pos="7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failure to maintain and improve our platform, or develop new modules or insights for healthcare commercial intelligence, whereby competitors could surpass the depth, breadth or accuracy of our platform;</w:t>
      </w:r>
    </w:p>
    <w:p>
      <w:pPr>
        <w:spacing w:after="0" w:line="75" w:lineRule="exact"/>
        <w:rPr>
          <w:rFonts w:ascii="Arial" w:cs="Arial" w:eastAsia="Arial" w:hAnsi="Arial"/>
          <w:sz w:val="18"/>
          <w:szCs w:val="18"/>
          <w:color w:val="auto"/>
        </w:rPr>
      </w:pPr>
    </w:p>
    <w:p>
      <w:pPr>
        <w:ind w:left="700" w:hanging="307"/>
        <w:spacing w:after="0"/>
        <w:tabs>
          <w:tab w:leader="none" w:pos="7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inability to obtain and maintain accurate, comprehensive or reliable data, could result in reduced demand for our platform;</w:t>
      </w:r>
    </w:p>
    <w:p>
      <w:pPr>
        <w:spacing w:after="0" w:line="130" w:lineRule="exact"/>
        <w:rPr>
          <w:rFonts w:ascii="Arial" w:cs="Arial" w:eastAsia="Arial" w:hAnsi="Arial"/>
          <w:sz w:val="18"/>
          <w:szCs w:val="18"/>
          <w:color w:val="auto"/>
        </w:rPr>
      </w:pPr>
    </w:p>
    <w:p>
      <w:pPr>
        <w:ind w:left="700" w:hanging="307"/>
        <w:spacing w:after="0"/>
        <w:tabs>
          <w:tab w:leader="none" w:pos="7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risk that our recent growth rates may not be indicative of our future growth;</w:t>
      </w:r>
    </w:p>
    <w:p>
      <w:pPr>
        <w:spacing w:after="0" w:line="130" w:lineRule="exact"/>
        <w:rPr>
          <w:rFonts w:ascii="Arial" w:cs="Arial" w:eastAsia="Arial" w:hAnsi="Arial"/>
          <w:sz w:val="18"/>
          <w:szCs w:val="18"/>
          <w:color w:val="auto"/>
        </w:rPr>
      </w:pPr>
    </w:p>
    <w:p>
      <w:pPr>
        <w:ind w:left="700" w:hanging="307"/>
        <w:spacing w:after="0"/>
        <w:tabs>
          <w:tab w:leader="none" w:pos="700" w:val="left"/>
        </w:tabs>
        <w:numPr>
          <w:ilvl w:val="0"/>
          <w:numId w:val="21"/>
        </w:numPr>
        <w:rPr>
          <w:rFonts w:ascii="Arial" w:cs="Arial" w:eastAsia="Arial" w:hAnsi="Arial"/>
          <w:sz w:val="17"/>
          <w:szCs w:val="17"/>
          <w:color w:val="auto"/>
        </w:rPr>
      </w:pPr>
      <w:r>
        <w:rPr>
          <w:rFonts w:ascii="Arial" w:cs="Arial" w:eastAsia="Arial" w:hAnsi="Arial"/>
          <w:sz w:val="17"/>
          <w:szCs w:val="17"/>
          <w:color w:val="auto"/>
        </w:rPr>
        <w:t>the inability to achieve or sustain profitability in the future compared to historical levels as we increase investments in our business;</w:t>
      </w:r>
    </w:p>
    <w:p>
      <w:pPr>
        <w:spacing w:after="0" w:line="142" w:lineRule="exact"/>
        <w:rPr>
          <w:rFonts w:ascii="Arial" w:cs="Arial" w:eastAsia="Arial" w:hAnsi="Arial"/>
          <w:sz w:val="17"/>
          <w:szCs w:val="17"/>
          <w:color w:val="auto"/>
        </w:rPr>
      </w:pPr>
    </w:p>
    <w:p>
      <w:pPr>
        <w:ind w:left="700" w:right="420" w:hanging="307"/>
        <w:spacing w:after="0" w:line="277" w:lineRule="auto"/>
        <w:tabs>
          <w:tab w:leader="none" w:pos="7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loss of our access to our data providers, which could negatively impact our platform and could have a material adverse effect on our business, financial condition and results of operations;</w:t>
      </w:r>
    </w:p>
    <w:p>
      <w:pPr>
        <w:spacing w:after="0" w:line="75" w:lineRule="exact"/>
        <w:rPr>
          <w:rFonts w:ascii="Arial" w:cs="Arial" w:eastAsia="Arial" w:hAnsi="Arial"/>
          <w:sz w:val="18"/>
          <w:szCs w:val="18"/>
          <w:color w:val="auto"/>
        </w:rPr>
      </w:pPr>
    </w:p>
    <w:p>
      <w:pPr>
        <w:ind w:left="700" w:right="20" w:hanging="307"/>
        <w:spacing w:after="0" w:line="277" w:lineRule="auto"/>
        <w:tabs>
          <w:tab w:leader="none" w:pos="7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failure to respond to advances in healthcare commercial intelligence could result in competitors surpassing the depth, breadth or accuracy of our platform;</w:t>
      </w:r>
    </w:p>
    <w:p>
      <w:pPr>
        <w:spacing w:after="0" w:line="278" w:lineRule="exact"/>
        <w:rPr>
          <w:sz w:val="20"/>
          <w:szCs w:val="20"/>
          <w:color w:val="auto"/>
        </w:rPr>
      </w:pPr>
    </w:p>
    <w:p>
      <w:pPr>
        <w:ind w:left="5700"/>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0880"/>
          </w:cols>
          <w:pgMar w:left="320" w:top="459" w:right="69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319"/>
        <w:spacing w:after="0"/>
        <w:rPr>
          <w:sz w:val="20"/>
          <w:szCs w:val="20"/>
          <w:color w:val="auto"/>
        </w:rPr>
      </w:pPr>
      <w:r>
        <w:rPr>
          <w:rFonts w:ascii="Arial" w:cs="Arial" w:eastAsia="Arial" w:hAnsi="Arial"/>
          <w:sz w:val="18"/>
          <w:szCs w:val="18"/>
          <w:b w:val="1"/>
          <w:bCs w:val="1"/>
          <w:color w:val="auto"/>
        </w:rPr>
        <w:t>Confidential Treatment Requested by Definitive Healthcare Corp.</w:t>
      </w:r>
    </w:p>
    <w:p>
      <w:pPr>
        <w:spacing w:after="0" w:line="27" w:lineRule="exact"/>
        <w:rPr>
          <w:sz w:val="20"/>
          <w:szCs w:val="20"/>
          <w:color w:val="auto"/>
        </w:rPr>
      </w:pPr>
    </w:p>
    <w:p>
      <w:pPr>
        <w:jc w:val="center"/>
        <w:ind w:right="-319"/>
        <w:spacing w:after="0"/>
        <w:rPr>
          <w:sz w:val="20"/>
          <w:szCs w:val="20"/>
          <w:color w:val="auto"/>
        </w:rPr>
      </w:pPr>
      <w:r>
        <w:rPr>
          <w:rFonts w:ascii="Arial" w:cs="Arial" w:eastAsia="Arial" w:hAnsi="Arial"/>
          <w:sz w:val="18"/>
          <w:szCs w:val="18"/>
          <w:b w:val="1"/>
          <w:bCs w:val="1"/>
          <w:color w:val="auto"/>
        </w:rPr>
        <w:t>Pursuant to 17 C.F.R. Section 200.83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97790</wp:posOffset>
            </wp:positionV>
            <wp:extent cx="6998970" cy="367284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6998970" cy="3672840"/>
                    </a:xfrm>
                    <a:prstGeom prst="rect">
                      <a:avLst/>
                    </a:prstGeom>
                    <a:noFill/>
                  </pic:spPr>
                </pic:pic>
              </a:graphicData>
            </a:graphic>
          </wp:anchor>
        </w:drawing>
      </w:r>
    </w:p>
    <w:p>
      <w:pPr>
        <w:spacing w:after="0" w:line="312" w:lineRule="exact"/>
        <w:rPr>
          <w:sz w:val="20"/>
          <w:szCs w:val="20"/>
          <w:color w:val="auto"/>
        </w:rPr>
      </w:pPr>
    </w:p>
    <w:p>
      <w:pPr>
        <w:ind w:left="700" w:right="160" w:hanging="307"/>
        <w:spacing w:after="0" w:line="277" w:lineRule="auto"/>
        <w:tabs>
          <w:tab w:leader="none" w:pos="7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an inability to attract new customers and expand subscriptions of current customers, whereby our revenue growth and financial performance will be negatively impacted;</w:t>
      </w:r>
    </w:p>
    <w:p>
      <w:pPr>
        <w:spacing w:after="0" w:line="75" w:lineRule="exact"/>
        <w:rPr>
          <w:rFonts w:ascii="Arial" w:cs="Arial" w:eastAsia="Arial" w:hAnsi="Arial"/>
          <w:sz w:val="18"/>
          <w:szCs w:val="18"/>
          <w:color w:val="auto"/>
        </w:rPr>
      </w:pPr>
    </w:p>
    <w:p>
      <w:pPr>
        <w:ind w:left="700" w:right="160" w:hanging="307"/>
        <w:spacing w:after="0" w:line="277" w:lineRule="auto"/>
        <w:tabs>
          <w:tab w:leader="none" w:pos="7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risk of cyber-attacks and security vulnerabilities could have a material adverse effect on our reputation, business, financial condition and results of operations;</w:t>
      </w:r>
    </w:p>
    <w:p>
      <w:pPr>
        <w:spacing w:after="0" w:line="75" w:lineRule="exact"/>
        <w:rPr>
          <w:rFonts w:ascii="Arial" w:cs="Arial" w:eastAsia="Arial" w:hAnsi="Arial"/>
          <w:sz w:val="18"/>
          <w:szCs w:val="18"/>
          <w:color w:val="auto"/>
        </w:rPr>
      </w:pPr>
    </w:p>
    <w:p>
      <w:pPr>
        <w:ind w:left="700" w:hanging="307"/>
        <w:spacing w:after="0" w:line="277" w:lineRule="auto"/>
        <w:tabs>
          <w:tab w:leader="none" w:pos="7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if our security measures are breached or unauthorized access to data is otherwise obtained, our platform may be perceived as not being secure, customers may reduce the use of or stop using our platform, and we may incur significant liabilities; and</w:t>
      </w:r>
    </w:p>
    <w:p>
      <w:pPr>
        <w:spacing w:after="0" w:line="75" w:lineRule="exact"/>
        <w:rPr>
          <w:rFonts w:ascii="Arial" w:cs="Arial" w:eastAsia="Arial" w:hAnsi="Arial"/>
          <w:sz w:val="18"/>
          <w:szCs w:val="18"/>
          <w:color w:val="auto"/>
        </w:rPr>
      </w:pPr>
    </w:p>
    <w:p>
      <w:pPr>
        <w:ind w:left="700" w:hanging="307"/>
        <w:spacing w:after="0"/>
        <w:tabs>
          <w:tab w:leader="none" w:pos="7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other factors set forth under “Risk Factors.”</w:t>
      </w:r>
    </w:p>
    <w:p>
      <w:pPr>
        <w:spacing w:after="0" w:line="225" w:lineRule="exact"/>
        <w:rPr>
          <w:sz w:val="20"/>
          <w:szCs w:val="20"/>
          <w:color w:val="auto"/>
        </w:rPr>
      </w:pPr>
    </w:p>
    <w:p>
      <w:pPr>
        <w:ind w:left="300" w:right="400" w:firstLine="426"/>
        <w:spacing w:after="0" w:line="277" w:lineRule="auto"/>
        <w:rPr>
          <w:sz w:val="20"/>
          <w:szCs w:val="20"/>
          <w:color w:val="auto"/>
        </w:rPr>
      </w:pPr>
      <w:r>
        <w:rPr>
          <w:rFonts w:ascii="Arial" w:cs="Arial" w:eastAsia="Arial" w:hAnsi="Arial"/>
          <w:sz w:val="18"/>
          <w:szCs w:val="18"/>
          <w:color w:val="auto"/>
        </w:rPr>
        <w:t>For a discussion of these and other risks you should consider before making an investment in our Class A common stock, see the section entitled “Risk Factors.”</w:t>
      </w:r>
    </w:p>
    <w:p>
      <w:pPr>
        <w:spacing w:after="0" w:line="274"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Initial Public Offering</w:t>
      </w:r>
    </w:p>
    <w:p>
      <w:pPr>
        <w:spacing w:after="0" w:line="121" w:lineRule="exact"/>
        <w:rPr>
          <w:sz w:val="20"/>
          <w:szCs w:val="20"/>
          <w:color w:val="auto"/>
        </w:rPr>
      </w:pPr>
    </w:p>
    <w:p>
      <w:pPr>
        <w:ind w:left="300" w:right="80" w:firstLine="426"/>
        <w:spacing w:after="0" w:line="269" w:lineRule="auto"/>
        <w:rPr>
          <w:sz w:val="20"/>
          <w:szCs w:val="20"/>
          <w:color w:val="auto"/>
        </w:rPr>
      </w:pPr>
      <w:r>
        <w:rPr>
          <w:rFonts w:ascii="Arial" w:cs="Arial" w:eastAsia="Arial" w:hAnsi="Arial"/>
          <w:sz w:val="17"/>
          <w:szCs w:val="17"/>
          <w:color w:val="auto"/>
        </w:rPr>
        <w:t>On September 17, 2021, we completed our IPO, in which we sold 17,888,888 shares of our Class A common stock (including the exercise in full of the underwriters’ 30-day option to purchase an additional 2,333,333 shares of Class A common stock from us) at a price to the public of $27.00 per share and received net proceeds of approximately $452.8 million after deducting the underwriting discounts and offering expenses payable by us. We used the net proceeds from the IPO to (i) acquire 14,222,222 newly issued LLC Units from Definitive OpCo, (ii) acquire 1,169,378 LLC Units from certain Unitholders and (iii) repurchase 2,497,288 shares of Class A common stock received by certain of the Blocker Companies’ Former Owners (as defined herein) at a purchase price per LLC Unit and share of Class A common stock, in each case, equal to the IPO price of our Class A common stock, after deducting the underwriting discounts. We caused Definitive OpCo to use the proceeds from the issuance of the LLC Units to Definitive Healthcare Corp. to (i) pay fees and expenses of approximately $10.1 million in connection with the IPO and the Reorganization Transactions and to (ii) repay $195.4 million of the outstanding borrowings under our Senior Credit Facilities, with the remainder used for general corporate purposes.</w:t>
      </w:r>
    </w:p>
    <w:p>
      <w:pPr>
        <w:spacing w:after="0" w:line="374" w:lineRule="exact"/>
        <w:rPr>
          <w:sz w:val="20"/>
          <w:szCs w:val="20"/>
          <w:color w:val="auto"/>
        </w:rPr>
      </w:pPr>
    </w:p>
    <w:p>
      <w:pPr>
        <w:jc w:val="center"/>
        <w:ind w:right="-53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0940"/>
          </w:cols>
          <w:pgMar w:left="320" w:top="459" w:right="63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Confidential Treatment Requested by Definitive Healthcare Corp.</w:t>
      </w:r>
    </w:p>
    <w:p>
      <w:pPr>
        <w:spacing w:after="0" w:line="27"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Pursuant to 17 C.F.R. Section 200.83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97790</wp:posOffset>
            </wp:positionV>
            <wp:extent cx="6998970" cy="602170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6998970" cy="6021705"/>
                    </a:xfrm>
                    <a:prstGeom prst="rect">
                      <a:avLst/>
                    </a:prstGeom>
                    <a:noFill/>
                  </pic:spPr>
                </pic:pic>
              </a:graphicData>
            </a:graphic>
          </wp:anchor>
        </w:drawing>
      </w:r>
    </w:p>
    <w:p>
      <w:pPr>
        <w:spacing w:after="0" w:line="308"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ORGANIZATIONAL STRUCTURE</w:t>
      </w:r>
    </w:p>
    <w:p>
      <w:pPr>
        <w:spacing w:after="0" w:line="229" w:lineRule="exact"/>
        <w:rPr>
          <w:sz w:val="20"/>
          <w:szCs w:val="20"/>
          <w:color w:val="auto"/>
        </w:rPr>
      </w:pPr>
    </w:p>
    <w:p>
      <w:pPr>
        <w:ind w:left="300" w:right="600" w:firstLine="426"/>
        <w:spacing w:after="0" w:line="277" w:lineRule="auto"/>
        <w:rPr>
          <w:sz w:val="20"/>
          <w:szCs w:val="20"/>
          <w:color w:val="auto"/>
        </w:rPr>
      </w:pPr>
      <w:r>
        <w:rPr>
          <w:rFonts w:ascii="Arial" w:cs="Arial" w:eastAsia="Arial" w:hAnsi="Arial"/>
          <w:sz w:val="18"/>
          <w:szCs w:val="18"/>
          <w:color w:val="auto"/>
        </w:rPr>
        <w:t>Definitive Healthcare Corp. is a holding company and its sole material asset is an ownership interest in Definitive OpCo. We refer to the holders who hold their ownership in Definitive OpCo in the form of LLC Units as “Unitholders.”</w:t>
      </w:r>
    </w:p>
    <w:p>
      <w:pPr>
        <w:spacing w:after="0" w:line="76" w:lineRule="exact"/>
        <w:rPr>
          <w:sz w:val="20"/>
          <w:szCs w:val="20"/>
          <w:color w:val="auto"/>
        </w:rPr>
      </w:pPr>
    </w:p>
    <w:p>
      <w:pPr>
        <w:ind w:left="700" w:right="220" w:hanging="307"/>
        <w:spacing w:after="0" w:line="269" w:lineRule="auto"/>
        <w:tabs>
          <w:tab w:leader="none" w:pos="700" w:val="left"/>
        </w:tabs>
        <w:numPr>
          <w:ilvl w:val="0"/>
          <w:numId w:val="23"/>
        </w:numPr>
        <w:rPr>
          <w:rFonts w:ascii="Arial" w:cs="Arial" w:eastAsia="Arial" w:hAnsi="Arial"/>
          <w:sz w:val="17"/>
          <w:szCs w:val="17"/>
          <w:color w:val="auto"/>
        </w:rPr>
      </w:pPr>
      <w:r>
        <w:rPr>
          <w:rFonts w:ascii="Arial" w:cs="Arial" w:eastAsia="Arial" w:hAnsi="Arial"/>
          <w:sz w:val="17"/>
          <w:szCs w:val="17"/>
          <w:color w:val="auto"/>
        </w:rPr>
        <w:t>In connection with our IPO, certain entities treated as corporations for U.S. tax purposes that held LLC Units (individually, a “Blocker Company” and together, the “Blocker Companies”) merged into Definitive Healthcare Corp. (the “Mergers”). The former owners of the Blocker Companies (“Blocker Companies’ Former Owners”) received a number of shares of Class A common stock in the Mergers and do not hold interests directly in Definitive OpCo. After the Mergers and the consummation of our IPO, the Blocker Companies’ Former Owners collectively held 70,374,445 shares of our Class A common stock. AIDH Management Holdings, LLC is a special purpose investment vehicle through which certain persons, primarily employees and certain legacy investors, indirectly hold interests in Definitive OpCo. Certain profits interests held through Definitive OpCo, which correspond on a one-for-one basis to Class B Units issued to AIDH Management Holdings, LLC by Definitive OpCo only have value to the extent there is appreciation of Definitive OpCo above a certain floor. Class B Units that were issued to AIDH Management Holdings, LLC by Definitive OpCo were converted and reclassified into LLC Units and subject to the vesting terms described in Executive and Director Compensation—Equity Compensation (the above series of transactions are collectively referred to herein as the “Reorganization Transactions”).</w:t>
      </w:r>
    </w:p>
    <w:p>
      <w:pPr>
        <w:spacing w:after="0" w:line="87" w:lineRule="exact"/>
        <w:rPr>
          <w:rFonts w:ascii="Arial" w:cs="Arial" w:eastAsia="Arial" w:hAnsi="Arial"/>
          <w:sz w:val="17"/>
          <w:szCs w:val="17"/>
          <w:color w:val="auto"/>
        </w:rPr>
      </w:pPr>
    </w:p>
    <w:p>
      <w:pPr>
        <w:ind w:left="700" w:right="200" w:hanging="307"/>
        <w:spacing w:after="0" w:line="270" w:lineRule="auto"/>
        <w:tabs>
          <w:tab w:leader="none" w:pos="700" w:val="left"/>
        </w:tabs>
        <w:numPr>
          <w:ilvl w:val="0"/>
          <w:numId w:val="23"/>
        </w:numPr>
        <w:rPr>
          <w:rFonts w:ascii="Arial" w:cs="Arial" w:eastAsia="Arial" w:hAnsi="Arial"/>
          <w:sz w:val="17"/>
          <w:szCs w:val="17"/>
          <w:color w:val="auto"/>
        </w:rPr>
      </w:pPr>
      <w:r>
        <w:rPr>
          <w:rFonts w:ascii="Arial" w:cs="Arial" w:eastAsia="Arial" w:hAnsi="Arial"/>
          <w:sz w:val="17"/>
          <w:szCs w:val="17"/>
          <w:color w:val="auto"/>
        </w:rPr>
        <w:t>In connection with our IPO we entered into an amended LLC agreement (the “Amended LLC Agreement”), pursuant to which the Unitholders have the right, from and after the completion of this offering (subject to the terms of the Amended LLC Agreement), to require Definitive OpCo to exchange all or a portion of their LLC Units for newly issued shares of Class A common stock, which may consist of unregistered shares, on a one-for-one basis (subject to customary adjustments, including for stock splits, stock dividends and reclassifications) in accordance with the terms of the Amended LLC Agreement. Shares of Class B common stock will be cancelled on a one-for-one basis if we, following an exchange request from a holder of LLC Units, exchange LLC Units of such holder pursuant to the terms of the Amended LLC Agreement. See “Certain Relationships and Related Party Transactions—Amended Definitive OpCo Agreement.” Except for transfers to us or to certain permitted transferees pursuant to the Amended LLC Agreement, the LLC Units and corresponding shares of Class B common stock may not be sold, transferred or otherwise disposed of.</w:t>
      </w:r>
    </w:p>
    <w:p>
      <w:pPr>
        <w:spacing w:after="0" w:line="86" w:lineRule="exact"/>
        <w:rPr>
          <w:rFonts w:ascii="Arial" w:cs="Arial" w:eastAsia="Arial" w:hAnsi="Arial"/>
          <w:sz w:val="17"/>
          <w:szCs w:val="17"/>
          <w:color w:val="auto"/>
        </w:rPr>
      </w:pPr>
    </w:p>
    <w:p>
      <w:pPr>
        <w:ind w:left="700" w:right="220" w:hanging="307"/>
        <w:spacing w:after="0" w:line="254" w:lineRule="auto"/>
        <w:tabs>
          <w:tab w:leader="none" w:pos="7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As described below under “Certain Relationships and Related Party Transactions—Tax Receivable Agreement,” in connection with our IPO, we entered into a Tax Receivable Agreement that obligates us to make payments to the Unitholders, the Blocker Companies’ Former Owners, and any future party to the Tax Receivable Agreement (collectively, the “TRA Parties”) in the aggregate generally equal to 85% of the applicable cash savings that we actually realize, or in certain circumstances are deemed to realize, as a result of (i) certain favorable tax attributes we acquired from the Blocker Companies, (ii) tax basis adjustments resulting from (a) acquisitions by us of LLC Units from certain Unitholders, including in connection with this offering and (b) future exchanges of LLC Units by Unitholders for Class A common stock or other consideration and (iii) certain payments made under the Tax Receivable Agreement. We retain the benefit of the remaining 15% of these tax savings.</w:t>
      </w:r>
    </w:p>
    <w:p>
      <w:pPr>
        <w:spacing w:after="0" w:line="192" w:lineRule="exact"/>
        <w:rPr>
          <w:sz w:val="20"/>
          <w:szCs w:val="20"/>
          <w:color w:val="auto"/>
        </w:rPr>
      </w:pPr>
    </w:p>
    <w:p>
      <w:pPr>
        <w:ind w:left="720"/>
        <w:spacing w:after="0"/>
        <w:rPr>
          <w:sz w:val="20"/>
          <w:szCs w:val="20"/>
          <w:color w:val="auto"/>
        </w:rPr>
      </w:pPr>
      <w:r>
        <w:rPr>
          <w:rFonts w:ascii="Arial" w:cs="Arial" w:eastAsia="Arial" w:hAnsi="Arial"/>
          <w:sz w:val="18"/>
          <w:szCs w:val="18"/>
          <w:color w:val="auto"/>
        </w:rPr>
        <w:t>In connection with the offering, we will enter into the following transactions.</w:t>
      </w:r>
    </w:p>
    <w:p>
      <w:pPr>
        <w:sectPr>
          <w:pgSz w:w="11900" w:h="16838" w:orient="portrait"/>
          <w:cols w:equalWidth="0" w:num="1">
            <w:col w:w="11140"/>
          </w:cols>
          <w:pgMar w:left="320" w:top="459" w:right="439" w:bottom="1440" w:gutter="0" w:footer="0" w:header="0"/>
        </w:sectPr>
      </w:pPr>
    </w:p>
    <w:p>
      <w:pPr>
        <w:spacing w:after="0" w:line="131" w:lineRule="exact"/>
        <w:rPr>
          <w:sz w:val="20"/>
          <w:szCs w:val="20"/>
          <w:color w:val="auto"/>
        </w:rPr>
      </w:pPr>
    </w:p>
    <w:p>
      <w:pPr>
        <w:ind w:left="400"/>
        <w:spacing w:after="0"/>
        <w:rPr>
          <w:sz w:val="20"/>
          <w:szCs w:val="20"/>
          <w:color w:val="auto"/>
        </w:rPr>
      </w:pPr>
      <w:r>
        <w:rPr>
          <w:rFonts w:ascii="Arial" w:cs="Arial" w:eastAsia="Arial" w:hAnsi="Arial"/>
          <w:sz w:val="17"/>
          <w:szCs w:val="17"/>
          <w:color w:val="auto"/>
        </w:rPr>
        <w:t>•</w:t>
      </w:r>
    </w:p>
    <w:p>
      <w:pPr>
        <w:spacing w:after="0" w:line="20" w:lineRule="exact"/>
        <w:rPr>
          <w:sz w:val="20"/>
          <w:szCs w:val="20"/>
          <w:color w:val="auto"/>
        </w:rPr>
      </w:pPr>
      <w:r>
        <w:rPr>
          <w:sz w:val="20"/>
          <w:szCs w:val="20"/>
          <w:color w:val="auto"/>
        </w:rPr>
        <w:br w:type="column"/>
      </w:r>
    </w:p>
    <w:p>
      <w:pPr>
        <w:spacing w:after="0" w:line="111" w:lineRule="exact"/>
        <w:rPr>
          <w:sz w:val="20"/>
          <w:szCs w:val="20"/>
          <w:color w:val="auto"/>
        </w:rPr>
      </w:pPr>
    </w:p>
    <w:p>
      <w:pPr>
        <w:spacing w:after="0" w:line="342" w:lineRule="auto"/>
        <w:rPr>
          <w:sz w:val="20"/>
          <w:szCs w:val="20"/>
          <w:color w:val="auto"/>
        </w:rPr>
      </w:pPr>
      <w:r>
        <w:rPr>
          <w:rFonts w:ascii="Arial" w:cs="Arial" w:eastAsia="Arial" w:hAnsi="Arial"/>
          <w:sz w:val="16"/>
          <w:szCs w:val="16"/>
          <w:color w:val="auto"/>
        </w:rPr>
        <w:t>We will issue shares of Class A common stock pursuant to this offering (or exercise their option to purchase additional shares of Class A common stock in full).</w:t>
      </w:r>
    </w:p>
    <w:p>
      <w:pPr>
        <w:spacing w:after="0" w:line="20" w:lineRule="exact"/>
        <w:rPr>
          <w:sz w:val="20"/>
          <w:szCs w:val="20"/>
          <w:color w:val="auto"/>
        </w:rPr>
      </w:pPr>
      <w:r>
        <w:rPr>
          <w:sz w:val="20"/>
          <w:szCs w:val="20"/>
          <w:color w:val="auto"/>
        </w:rPr>
        <w:br w:type="column"/>
      </w:r>
    </w:p>
    <w:p>
      <w:pPr>
        <w:spacing w:after="0" w:line="111" w:lineRule="exact"/>
        <w:rPr>
          <w:sz w:val="20"/>
          <w:szCs w:val="20"/>
          <w:color w:val="auto"/>
        </w:rPr>
      </w:pPr>
    </w:p>
    <w:p>
      <w:pPr>
        <w:spacing w:after="0"/>
        <w:rPr>
          <w:sz w:val="20"/>
          <w:szCs w:val="20"/>
          <w:color w:val="auto"/>
        </w:rPr>
      </w:pPr>
      <w:r>
        <w:rPr>
          <w:rFonts w:ascii="Arial" w:cs="Arial" w:eastAsia="Arial" w:hAnsi="Arial"/>
          <w:sz w:val="16"/>
          <w:szCs w:val="16"/>
          <w:color w:val="auto"/>
        </w:rPr>
        <w:t>shares of Class A common stock if the underwriters</w:t>
      </w:r>
    </w:p>
    <w:p>
      <w:pPr>
        <w:spacing w:after="0" w:line="369" w:lineRule="exact"/>
        <w:rPr>
          <w:sz w:val="20"/>
          <w:szCs w:val="20"/>
          <w:color w:val="auto"/>
        </w:rPr>
      </w:pPr>
    </w:p>
    <w:p>
      <w:pPr>
        <w:sectPr>
          <w:pgSz w:w="11900" w:h="16838" w:orient="portrait"/>
          <w:cols w:equalWidth="0" w:num="3">
            <w:col w:w="460" w:space="240"/>
            <w:col w:w="6060" w:space="380"/>
            <w:col w:w="4000"/>
          </w:cols>
          <w:pgMar w:left="320" w:top="459" w:right="439" w:bottom="1440" w:gutter="0" w:footer="0" w:header="0"/>
          <w:type w:val="continuous"/>
        </w:sectPr>
      </w:pPr>
    </w:p>
    <w:p>
      <w:pPr>
        <w:ind w:left="700" w:hanging="307"/>
        <w:spacing w:after="0"/>
        <w:tabs>
          <w:tab w:leader="none" w:pos="700" w:val="left"/>
        </w:tabs>
        <w:numPr>
          <w:ilvl w:val="0"/>
          <w:numId w:val="24"/>
        </w:numPr>
        <w:rPr>
          <w:rFonts w:ascii="Arial" w:cs="Arial" w:eastAsia="Arial" w:hAnsi="Arial"/>
          <w:sz w:val="17"/>
          <w:szCs w:val="17"/>
          <w:color w:val="auto"/>
        </w:rPr>
      </w:pPr>
      <w:r>
        <w:rPr>
          <w:rFonts w:ascii="Arial" w:cs="Arial" w:eastAsia="Arial" w:hAnsi="Arial"/>
          <w:sz w:val="17"/>
          <w:szCs w:val="17"/>
          <w:color w:val="auto"/>
        </w:rPr>
        <w:t>We will use all of the net proceeds from this offering (including net proceeds received if the underwriters exercise their option to purchase</w:t>
      </w:r>
    </w:p>
    <w:p>
      <w:pPr>
        <w:spacing w:after="0" w:line="30" w:lineRule="exact"/>
        <w:rPr>
          <w:sz w:val="20"/>
          <w:szCs w:val="20"/>
          <w:color w:val="auto"/>
        </w:rPr>
      </w:pPr>
    </w:p>
    <w:tbl>
      <w:tblPr>
        <w:tblLayout w:type="fixed"/>
        <w:tblInd w:w="120" w:type="dxa"/>
        <w:tblCellMar>
          <w:top w:w="0" w:type="dxa"/>
          <w:left w:w="0" w:type="dxa"/>
          <w:bottom w:w="0" w:type="dxa"/>
          <w:right w:w="0" w:type="dxa"/>
        </w:tblCellMar>
      </w:tblPr>
      <w:tr>
        <w:trPr>
          <w:trHeight w:val="207"/>
        </w:trPr>
        <w:tc>
          <w:tcPr>
            <w:tcW w:w="10040" w:type="dxa"/>
            <w:vAlign w:val="bottom"/>
          </w:tcPr>
          <w:p>
            <w:pPr>
              <w:ind w:left="580"/>
              <w:spacing w:after="0"/>
              <w:rPr>
                <w:sz w:val="20"/>
                <w:szCs w:val="20"/>
                <w:color w:val="auto"/>
              </w:rPr>
            </w:pPr>
            <w:r>
              <w:rPr>
                <w:rFonts w:ascii="Arial" w:cs="Arial" w:eastAsia="Arial" w:hAnsi="Arial"/>
                <w:sz w:val="18"/>
                <w:szCs w:val="18"/>
                <w:color w:val="auto"/>
                <w:w w:val="95"/>
              </w:rPr>
              <w:t>additional shares of Class A common stock in full) to (i) purchase newly issued LLC Units from Definitive OpCo, (ii) purchase</w:t>
            </w:r>
          </w:p>
        </w:tc>
        <w:tc>
          <w:tcPr>
            <w:tcW w:w="980" w:type="dxa"/>
            <w:vAlign w:val="bottom"/>
          </w:tcPr>
          <w:p>
            <w:pPr>
              <w:ind w:left="280"/>
              <w:spacing w:after="0"/>
              <w:rPr>
                <w:sz w:val="20"/>
                <w:szCs w:val="20"/>
                <w:color w:val="auto"/>
              </w:rPr>
            </w:pPr>
            <w:r>
              <w:rPr>
                <w:rFonts w:ascii="Arial" w:cs="Arial" w:eastAsia="Arial" w:hAnsi="Arial"/>
                <w:sz w:val="18"/>
                <w:szCs w:val="18"/>
                <w:color w:val="auto"/>
              </w:rPr>
              <w:t>LLC</w:t>
            </w:r>
          </w:p>
        </w:tc>
      </w:tr>
      <w:tr>
        <w:trPr>
          <w:trHeight w:val="230"/>
        </w:trPr>
        <w:tc>
          <w:tcPr>
            <w:tcW w:w="10040" w:type="dxa"/>
            <w:vAlign w:val="bottom"/>
          </w:tcPr>
          <w:p>
            <w:pPr>
              <w:ind w:left="580"/>
              <w:spacing w:after="0"/>
              <w:rPr>
                <w:sz w:val="20"/>
                <w:szCs w:val="20"/>
                <w:color w:val="auto"/>
              </w:rPr>
            </w:pPr>
            <w:r>
              <w:rPr>
                <w:rFonts w:ascii="Arial" w:cs="Arial" w:eastAsia="Arial" w:hAnsi="Arial"/>
                <w:sz w:val="18"/>
                <w:szCs w:val="18"/>
                <w:color w:val="auto"/>
              </w:rPr>
              <w:t>Units from certain Unitholders, and</w:t>
            </w:r>
          </w:p>
        </w:tc>
        <w:tc>
          <w:tcPr>
            <w:tcW w:w="980" w:type="dxa"/>
            <w:vAlign w:val="bottom"/>
          </w:tcPr>
          <w:p>
            <w:pPr>
              <w:spacing w:after="0"/>
              <w:rPr>
                <w:sz w:val="20"/>
                <w:szCs w:val="20"/>
                <w:color w:val="auto"/>
              </w:rPr>
            </w:pPr>
          </w:p>
        </w:tc>
      </w:tr>
      <w:tr>
        <w:trPr>
          <w:trHeight w:val="240"/>
        </w:trPr>
        <w:tc>
          <w:tcPr>
            <w:tcW w:w="1004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spacing w:after="0"/>
              <w:rPr>
                <w:sz w:val="20"/>
                <w:szCs w:val="20"/>
                <w:color w:val="auto"/>
              </w:rPr>
            </w:pPr>
          </w:p>
        </w:tc>
      </w:tr>
      <w:tr>
        <w:trPr>
          <w:trHeight w:val="361"/>
        </w:trPr>
        <w:tc>
          <w:tcPr>
            <w:tcW w:w="10040" w:type="dxa"/>
            <w:vAlign w:val="bottom"/>
          </w:tcPr>
          <w:p>
            <w:pPr>
              <w:jc w:val="right"/>
              <w:ind w:right="4290"/>
              <w:spacing w:after="0"/>
              <w:rPr>
                <w:sz w:val="20"/>
                <w:szCs w:val="20"/>
                <w:color w:val="auto"/>
              </w:rPr>
            </w:pPr>
            <w:r>
              <w:rPr>
                <w:rFonts w:ascii="Arial" w:cs="Arial" w:eastAsia="Arial" w:hAnsi="Arial"/>
                <w:sz w:val="18"/>
                <w:szCs w:val="18"/>
                <w:color w:val="auto"/>
              </w:rPr>
              <w:t>8</w:t>
            </w:r>
          </w:p>
        </w:tc>
        <w:tc>
          <w:tcPr>
            <w:tcW w:w="980" w:type="dxa"/>
            <w:vAlign w:val="bottom"/>
          </w:tcPr>
          <w:p>
            <w:pPr>
              <w:spacing w:after="0"/>
              <w:rPr>
                <w:sz w:val="24"/>
                <w:szCs w:val="24"/>
                <w:color w:val="auto"/>
              </w:rPr>
            </w:pPr>
          </w:p>
        </w:tc>
      </w:tr>
    </w:tbl>
    <w:p>
      <w:pPr>
        <w:sectPr>
          <w:pgSz w:w="11900" w:h="16838" w:orient="portrait"/>
          <w:cols w:equalWidth="0" w:num="1">
            <w:col w:w="11140"/>
          </w:cols>
          <w:pgMar w:left="320" w:top="459" w:right="439" w:bottom="1440" w:gutter="0" w:footer="0" w:header="0"/>
          <w:type w:val="continuous"/>
        </w:sectPr>
      </w:pPr>
    </w:p>
    <w:bookmarkStart w:id="15" w:name="page16"/>
    <w:bookmarkEnd w:id="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339"/>
        <w:spacing w:after="0"/>
        <w:rPr>
          <w:sz w:val="20"/>
          <w:szCs w:val="20"/>
          <w:color w:val="auto"/>
        </w:rPr>
      </w:pPr>
      <w:r>
        <w:rPr>
          <w:rFonts w:ascii="Arial" w:cs="Arial" w:eastAsia="Arial" w:hAnsi="Arial"/>
          <w:sz w:val="18"/>
          <w:szCs w:val="18"/>
          <w:b w:val="1"/>
          <w:bCs w:val="1"/>
          <w:color w:val="auto"/>
        </w:rPr>
        <w:t>Confidential Treatment Requested by Definitive Healthcare Corp.</w:t>
      </w:r>
    </w:p>
    <w:p>
      <w:pPr>
        <w:spacing w:after="0" w:line="27" w:lineRule="exact"/>
        <w:rPr>
          <w:sz w:val="20"/>
          <w:szCs w:val="20"/>
          <w:color w:val="auto"/>
        </w:rPr>
      </w:pPr>
    </w:p>
    <w:p>
      <w:pPr>
        <w:jc w:val="center"/>
        <w:ind w:right="-339"/>
        <w:spacing w:after="0"/>
        <w:rPr>
          <w:sz w:val="20"/>
          <w:szCs w:val="20"/>
          <w:color w:val="auto"/>
        </w:rPr>
      </w:pPr>
      <w:r>
        <w:rPr>
          <w:rFonts w:ascii="Arial" w:cs="Arial" w:eastAsia="Arial" w:hAnsi="Arial"/>
          <w:sz w:val="18"/>
          <w:szCs w:val="18"/>
          <w:b w:val="1"/>
          <w:bCs w:val="1"/>
          <w:color w:val="auto"/>
        </w:rPr>
        <w:t>Pursuant to 17 C.F.R. Section 200.83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97790</wp:posOffset>
            </wp:positionV>
            <wp:extent cx="6998970" cy="669925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6998970" cy="6699250"/>
                    </a:xfrm>
                    <a:prstGeom prst="rect">
                      <a:avLst/>
                    </a:prstGeom>
                    <a:noFill/>
                  </pic:spPr>
                </pic:pic>
              </a:graphicData>
            </a:graphic>
          </wp:anchor>
        </w:drawing>
      </w:r>
    </w:p>
    <w:p>
      <w:pPr>
        <w:spacing w:after="0" w:line="312" w:lineRule="exact"/>
        <w:rPr>
          <w:sz w:val="20"/>
          <w:szCs w:val="20"/>
          <w:color w:val="auto"/>
        </w:rPr>
      </w:pPr>
    </w:p>
    <w:p>
      <w:pPr>
        <w:ind w:left="720" w:hanging="3"/>
        <w:spacing w:after="0" w:line="291" w:lineRule="auto"/>
        <w:tabs>
          <w:tab w:leader="none" w:pos="1035" w:val="left"/>
        </w:tabs>
        <w:numPr>
          <w:ilvl w:val="0"/>
          <w:numId w:val="25"/>
        </w:numPr>
        <w:rPr>
          <w:rFonts w:ascii="Arial" w:cs="Arial" w:eastAsia="Arial" w:hAnsi="Arial"/>
          <w:sz w:val="16"/>
          <w:szCs w:val="16"/>
          <w:color w:val="auto"/>
        </w:rPr>
      </w:pPr>
      <w:r>
        <w:rPr>
          <w:rFonts w:ascii="Arial" w:cs="Arial" w:eastAsia="Arial" w:hAnsi="Arial"/>
          <w:sz w:val="16"/>
          <w:szCs w:val="16"/>
          <w:color w:val="auto"/>
        </w:rPr>
        <w:t>repurchase a portion of our Class A common stock from certain of the Blocker Companies’ Former Owners, in each case, equal to the public offering price of Class A common stock, after deducting the underwriting discounts. The LLC Units acquired from certain Unitholders</w:t>
      </w:r>
    </w:p>
    <w:p>
      <w:pPr>
        <w:ind w:left="720" w:right="40"/>
        <w:spacing w:after="0" w:line="290" w:lineRule="auto"/>
        <w:rPr>
          <w:sz w:val="20"/>
          <w:szCs w:val="20"/>
          <w:color w:val="auto"/>
        </w:rPr>
      </w:pPr>
      <w:r>
        <w:rPr>
          <w:rFonts w:ascii="Arial" w:cs="Arial" w:eastAsia="Arial" w:hAnsi="Arial"/>
          <w:sz w:val="17"/>
          <w:szCs w:val="17"/>
          <w:color w:val="auto"/>
        </w:rPr>
        <w:t>and the shares of Class A common stock being acquired by us in this offering represent an aggregate of % of economic interests in us after this offering (or % if the underwriters exercise their option to purchase additional shares of Class A common stock in full).</w:t>
      </w:r>
    </w:p>
    <w:p>
      <w:pPr>
        <w:spacing w:after="0" w:line="67" w:lineRule="exact"/>
        <w:rPr>
          <w:sz w:val="20"/>
          <w:szCs w:val="20"/>
          <w:color w:val="auto"/>
        </w:rPr>
      </w:pPr>
    </w:p>
    <w:p>
      <w:pPr>
        <w:ind w:left="700" w:hanging="307"/>
        <w:spacing w:after="0"/>
        <w:tabs>
          <w:tab w:leader="none" w:pos="700" w:val="left"/>
        </w:tabs>
        <w:numPr>
          <w:ilvl w:val="0"/>
          <w:numId w:val="26"/>
        </w:numPr>
        <w:rPr>
          <w:rFonts w:ascii="Arial" w:cs="Arial" w:eastAsia="Arial" w:hAnsi="Arial"/>
          <w:sz w:val="16"/>
          <w:szCs w:val="16"/>
          <w:color w:val="auto"/>
        </w:rPr>
      </w:pPr>
      <w:r>
        <w:rPr>
          <w:rFonts w:ascii="Arial" w:cs="Arial" w:eastAsia="Arial" w:hAnsi="Arial"/>
          <w:sz w:val="16"/>
          <w:szCs w:val="16"/>
          <w:color w:val="auto"/>
        </w:rPr>
        <w:t>We will cause Definitive OpCo to use the proceeds from the issuance of LLC Units to us (i) as set forth in “Use of Proceeds” and (ii) to pay</w:t>
      </w:r>
    </w:p>
    <w:p>
      <w:pPr>
        <w:spacing w:after="0" w:line="46" w:lineRule="exact"/>
        <w:rPr>
          <w:sz w:val="20"/>
          <w:szCs w:val="20"/>
          <w:color w:val="auto"/>
        </w:rPr>
      </w:pPr>
    </w:p>
    <w:p>
      <w:pPr>
        <w:ind w:left="700"/>
        <w:spacing w:after="0"/>
        <w:tabs>
          <w:tab w:leader="none" w:pos="3780" w:val="left"/>
        </w:tabs>
        <w:rPr>
          <w:sz w:val="20"/>
          <w:szCs w:val="20"/>
          <w:color w:val="auto"/>
        </w:rPr>
      </w:pPr>
      <w:r>
        <w:rPr>
          <w:rFonts w:ascii="Arial" w:cs="Arial" w:eastAsia="Arial" w:hAnsi="Arial"/>
          <w:sz w:val="18"/>
          <w:szCs w:val="18"/>
          <w:color w:val="auto"/>
        </w:rPr>
        <w:t>fees and expenses of approximately $</w:t>
      </w:r>
      <w:r>
        <w:rPr>
          <w:sz w:val="20"/>
          <w:szCs w:val="20"/>
          <w:color w:val="auto"/>
        </w:rPr>
        <w:tab/>
      </w:r>
      <w:r>
        <w:rPr>
          <w:rFonts w:ascii="Arial" w:cs="Arial" w:eastAsia="Arial" w:hAnsi="Arial"/>
          <w:sz w:val="17"/>
          <w:szCs w:val="17"/>
          <w:color w:val="auto"/>
        </w:rPr>
        <w:t>million in connection with this offering.</w:t>
      </w:r>
    </w:p>
    <w:p>
      <w:pPr>
        <w:spacing w:after="0" w:line="211" w:lineRule="exact"/>
        <w:rPr>
          <w:sz w:val="20"/>
          <w:szCs w:val="20"/>
          <w:color w:val="auto"/>
        </w:rPr>
      </w:pPr>
    </w:p>
    <w:p>
      <w:pPr>
        <w:ind w:left="300" w:right="80" w:firstLine="426"/>
        <w:spacing w:after="0" w:line="277" w:lineRule="auto"/>
        <w:rPr>
          <w:sz w:val="20"/>
          <w:szCs w:val="20"/>
          <w:color w:val="auto"/>
        </w:rPr>
      </w:pPr>
      <w:r>
        <w:rPr>
          <w:rFonts w:ascii="Arial" w:cs="Arial" w:eastAsia="Arial" w:hAnsi="Arial"/>
          <w:sz w:val="18"/>
          <w:szCs w:val="18"/>
          <w:color w:val="auto"/>
        </w:rPr>
        <w:t>The following diagram depicts our organizational structure after giving effect to this offering. This chart is provided for illustrative purposes only and does not purport to represent all legal entities within our organizational structure.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ind w:left="720" w:hanging="422"/>
        <w:spacing w:after="0"/>
        <w:tabs>
          <w:tab w:leader="none" w:pos="720" w:val="left"/>
        </w:tabs>
        <w:numPr>
          <w:ilvl w:val="0"/>
          <w:numId w:val="27"/>
        </w:numPr>
        <w:rPr>
          <w:rFonts w:ascii="Arial" w:cs="Arial" w:eastAsia="Arial" w:hAnsi="Arial"/>
          <w:sz w:val="14"/>
          <w:szCs w:val="14"/>
          <w:color w:val="auto"/>
        </w:rPr>
      </w:pPr>
      <w:r>
        <w:rPr>
          <w:rFonts w:ascii="Arial" w:cs="Arial" w:eastAsia="Arial" w:hAnsi="Arial"/>
          <w:sz w:val="14"/>
          <w:szCs w:val="14"/>
          <w:color w:val="auto"/>
        </w:rPr>
        <w:t>Includes LLC Units and Class B common stock held by Jason Krantz, our CEO.</w:t>
      </w:r>
    </w:p>
    <w:p>
      <w:pPr>
        <w:ind w:left="720" w:hanging="422"/>
        <w:spacing w:after="0"/>
        <w:tabs>
          <w:tab w:leader="none" w:pos="720" w:val="left"/>
        </w:tabs>
        <w:numPr>
          <w:ilvl w:val="0"/>
          <w:numId w:val="27"/>
        </w:numPr>
        <w:rPr>
          <w:rFonts w:ascii="Arial" w:cs="Arial" w:eastAsia="Arial" w:hAnsi="Arial"/>
          <w:sz w:val="14"/>
          <w:szCs w:val="14"/>
          <w:color w:val="auto"/>
        </w:rPr>
      </w:pPr>
      <w:r>
        <w:rPr>
          <w:rFonts w:ascii="Arial" w:cs="Arial" w:eastAsia="Arial" w:hAnsi="Arial"/>
          <w:sz w:val="14"/>
          <w:szCs w:val="14"/>
          <w:color w:val="auto"/>
        </w:rPr>
        <w:t>Does not include Jason Krantz.</w:t>
      </w:r>
    </w:p>
    <w:p>
      <w:pPr>
        <w:spacing w:after="0" w:line="385" w:lineRule="exact"/>
        <w:rPr>
          <w:sz w:val="20"/>
          <w:szCs w:val="20"/>
          <w:color w:val="auto"/>
        </w:rPr>
      </w:pPr>
    </w:p>
    <w:p>
      <w:pPr>
        <w:jc w:val="center"/>
        <w:ind w:right="-57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0900"/>
          </w:cols>
          <w:pgMar w:left="320" w:top="459" w:right="67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319"/>
        <w:spacing w:after="0"/>
        <w:rPr>
          <w:sz w:val="20"/>
          <w:szCs w:val="20"/>
          <w:color w:val="auto"/>
        </w:rPr>
      </w:pPr>
      <w:r>
        <w:rPr>
          <w:rFonts w:ascii="Arial" w:cs="Arial" w:eastAsia="Arial" w:hAnsi="Arial"/>
          <w:sz w:val="18"/>
          <w:szCs w:val="18"/>
          <w:b w:val="1"/>
          <w:bCs w:val="1"/>
          <w:color w:val="auto"/>
        </w:rPr>
        <w:t>Confidential Treatment Requested by Definitive Healthcare Corp.</w:t>
      </w:r>
    </w:p>
    <w:p>
      <w:pPr>
        <w:spacing w:after="0" w:line="27" w:lineRule="exact"/>
        <w:rPr>
          <w:sz w:val="20"/>
          <w:szCs w:val="20"/>
          <w:color w:val="auto"/>
        </w:rPr>
      </w:pPr>
    </w:p>
    <w:p>
      <w:pPr>
        <w:jc w:val="center"/>
        <w:ind w:right="-319"/>
        <w:spacing w:after="0"/>
        <w:rPr>
          <w:sz w:val="20"/>
          <w:szCs w:val="20"/>
          <w:color w:val="auto"/>
        </w:rPr>
      </w:pPr>
      <w:r>
        <w:rPr>
          <w:rFonts w:ascii="Arial" w:cs="Arial" w:eastAsia="Arial" w:hAnsi="Arial"/>
          <w:sz w:val="18"/>
          <w:szCs w:val="18"/>
          <w:b w:val="1"/>
          <w:bCs w:val="1"/>
          <w:color w:val="auto"/>
        </w:rPr>
        <w:t>Pursuant to 17 C.F.R. Section 200.83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97790</wp:posOffset>
            </wp:positionV>
            <wp:extent cx="6998970" cy="595312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6998970" cy="5953125"/>
                    </a:xfrm>
                    <a:prstGeom prst="rect">
                      <a:avLst/>
                    </a:prstGeom>
                    <a:noFill/>
                  </pic:spPr>
                </pic:pic>
              </a:graphicData>
            </a:graphic>
          </wp:anchor>
        </w:drawing>
      </w:r>
    </w:p>
    <w:p>
      <w:pPr>
        <w:spacing w:after="0" w:line="312" w:lineRule="exact"/>
        <w:rPr>
          <w:sz w:val="20"/>
          <w:szCs w:val="20"/>
          <w:color w:val="auto"/>
        </w:rPr>
      </w:pPr>
    </w:p>
    <w:p>
      <w:pPr>
        <w:ind w:left="300" w:firstLine="426"/>
        <w:spacing w:after="0" w:line="290" w:lineRule="auto"/>
        <w:rPr>
          <w:sz w:val="20"/>
          <w:szCs w:val="20"/>
          <w:color w:val="auto"/>
        </w:rPr>
      </w:pPr>
      <w:r>
        <w:rPr>
          <w:rFonts w:ascii="Arial" w:cs="Arial" w:eastAsia="Arial" w:hAnsi="Arial"/>
          <w:sz w:val="16"/>
          <w:szCs w:val="16"/>
          <w:color w:val="auto"/>
        </w:rPr>
        <w:t>Our corporate structure is commonly referred to as an “Up-C” structure, which is commonly used by partnerships and limited liability companies when they undertake an initial public offering of their business. Our Up-C structure allows the Unitholders to continue to realize tax benefits associated with owning interests in an entity that is treated as a partnership, or “pass-through” entity, for U.S. federal and applicable state and local income tax purposes. One of these benefits is that taxable income of Definitive OpCo that is allocated to such owners will be taxed on a flow-through basis and, therefore, will generally not be subject to U.S. federal and applicable state and local income taxes at the entity level. Additionally, because the LLC Units that the Unitholders hold are exchangeable for newly issued shares of Class A common stock on a one-for-one basis in accordance with the terms of the Amended LLC Agreement, our “Up-C” structure also provides the Unitholders with potential liquidity that holders of nonpublicly traded limited liability companies are not typically afforded. See “Description of Capital Stock.”</w:t>
      </w:r>
    </w:p>
    <w:p>
      <w:pPr>
        <w:spacing w:after="0" w:line="165" w:lineRule="exact"/>
        <w:rPr>
          <w:sz w:val="20"/>
          <w:szCs w:val="20"/>
          <w:color w:val="auto"/>
        </w:rPr>
      </w:pPr>
    </w:p>
    <w:p>
      <w:pPr>
        <w:ind w:left="300" w:right="160" w:firstLine="426"/>
        <w:spacing w:after="0" w:line="272" w:lineRule="auto"/>
        <w:rPr>
          <w:sz w:val="20"/>
          <w:szCs w:val="20"/>
          <w:color w:val="auto"/>
        </w:rPr>
      </w:pPr>
      <w:r>
        <w:rPr>
          <w:rFonts w:ascii="Arial" w:cs="Arial" w:eastAsia="Arial" w:hAnsi="Arial"/>
          <w:sz w:val="17"/>
          <w:szCs w:val="17"/>
          <w:color w:val="auto"/>
        </w:rPr>
        <w:t>We hold LLC Units, and therefore receive the same benefits as the Unitholders with respect to our ownership in an entity treated as a partnership, or “pass-through” entity, for U.S. federal and applicable state and local income tax purposes which result in favorable tax attributes allocated to us. These tax attributes would not be available to us in the absence of those transactions and are expected to reduce the amount of tax that we would otherwise be required to pay in the future. We entered into a Tax Receivable Agreement that will obligate us to make payments to the TRA Parties in the aggregate generally equal to 85% of the applicable cash savings that we actually realize, or in certain circumstances are deemed to realize, as a result of these tax attributes and tax attributes resulting from certain payments made under the Tax Receivable Agreement. We retain the benefit of the remaining 15% of these tax savings.</w:t>
      </w:r>
    </w:p>
    <w:p>
      <w:pPr>
        <w:spacing w:after="0" w:line="177" w:lineRule="exact"/>
        <w:rPr>
          <w:sz w:val="20"/>
          <w:szCs w:val="20"/>
          <w:color w:val="auto"/>
        </w:rPr>
      </w:pPr>
    </w:p>
    <w:p>
      <w:pPr>
        <w:ind w:left="300" w:firstLine="426"/>
        <w:spacing w:after="0" w:line="257" w:lineRule="auto"/>
        <w:rPr>
          <w:sz w:val="20"/>
          <w:szCs w:val="20"/>
          <w:color w:val="auto"/>
        </w:rPr>
      </w:pPr>
      <w:r>
        <w:rPr>
          <w:rFonts w:ascii="Arial" w:cs="Arial" w:eastAsia="Arial" w:hAnsi="Arial"/>
          <w:sz w:val="18"/>
          <w:szCs w:val="18"/>
          <w:color w:val="auto"/>
        </w:rPr>
        <w:t>Under the Amended LLC Agreement, we will receive a pro rata share of any distributions, including tax distributions, made by Definitive OpCo to its members. Such tax distributions will be calculated based upon an assumed tax rate, which, under certain circumstances, may cause Definitive OpCo to make tax distributions that, in the aggregate, exceed the amount of taxes that Definitive OpCo would have paid if it were a similarly situated corporate taxpayer. Funds used by Definitive OpCo to satisfy its tax distribution obligations will not be available for reinvestment in our business. See “Risk Factors—Risks Related to our Organizational Structure.”</w:t>
      </w:r>
    </w:p>
    <w:p>
      <w:pPr>
        <w:spacing w:after="0" w:line="188" w:lineRule="exact"/>
        <w:rPr>
          <w:sz w:val="20"/>
          <w:szCs w:val="20"/>
          <w:color w:val="auto"/>
        </w:rPr>
      </w:pPr>
    </w:p>
    <w:p>
      <w:pPr>
        <w:ind w:left="720"/>
        <w:spacing w:after="0"/>
        <w:rPr>
          <w:sz w:val="20"/>
          <w:szCs w:val="20"/>
          <w:color w:val="auto"/>
        </w:rPr>
      </w:pPr>
      <w:r>
        <w:rPr>
          <w:rFonts w:ascii="Arial" w:cs="Arial" w:eastAsia="Arial" w:hAnsi="Arial"/>
          <w:sz w:val="18"/>
          <w:szCs w:val="18"/>
          <w:color w:val="auto"/>
        </w:rPr>
        <w:t>Upon completion of the transactions described above, this offering and the application of our net proceeds from this offering:</w:t>
      </w:r>
    </w:p>
    <w:p>
      <w:pPr>
        <w:spacing w:after="0" w:line="131" w:lineRule="exact"/>
        <w:rPr>
          <w:sz w:val="20"/>
          <w:szCs w:val="20"/>
          <w:color w:val="auto"/>
        </w:rPr>
      </w:pPr>
    </w:p>
    <w:tbl>
      <w:tblPr>
        <w:tblLayout w:type="fixed"/>
        <w:tblInd w:w="400" w:type="dxa"/>
        <w:tblCellMar>
          <w:top w:w="0" w:type="dxa"/>
          <w:left w:w="0" w:type="dxa"/>
          <w:bottom w:w="0" w:type="dxa"/>
          <w:right w:w="0" w:type="dxa"/>
        </w:tblCellMar>
      </w:tblPr>
      <w:tr>
        <w:trPr>
          <w:trHeight w:val="216"/>
        </w:trPr>
        <w:tc>
          <w:tcPr>
            <w:tcW w:w="180" w:type="dxa"/>
            <w:vAlign w:val="bottom"/>
          </w:tcPr>
          <w:p>
            <w:pPr>
              <w:spacing w:after="0"/>
              <w:rPr>
                <w:sz w:val="20"/>
                <w:szCs w:val="20"/>
                <w:color w:val="auto"/>
              </w:rPr>
            </w:pPr>
            <w:r>
              <w:rPr>
                <w:rFonts w:ascii="Arial" w:cs="Arial" w:eastAsia="Arial" w:hAnsi="Arial"/>
                <w:sz w:val="18"/>
                <w:szCs w:val="18"/>
                <w:color w:val="auto"/>
              </w:rPr>
              <w:t>•</w:t>
            </w:r>
          </w:p>
        </w:tc>
        <w:tc>
          <w:tcPr>
            <w:tcW w:w="8220" w:type="dxa"/>
            <w:vAlign w:val="bottom"/>
            <w:gridSpan w:val="5"/>
          </w:tcPr>
          <w:p>
            <w:pPr>
              <w:ind w:left="120"/>
              <w:spacing w:after="0"/>
              <w:rPr>
                <w:sz w:val="20"/>
                <w:szCs w:val="20"/>
                <w:color w:val="auto"/>
              </w:rPr>
            </w:pPr>
            <w:r>
              <w:rPr>
                <w:rFonts w:ascii="Arial" w:cs="Arial" w:eastAsia="Arial" w:hAnsi="Arial"/>
                <w:sz w:val="18"/>
                <w:szCs w:val="18"/>
                <w:color w:val="auto"/>
                <w:w w:val="95"/>
              </w:rPr>
              <w:t>Definitive Healthcare Corp. is the sole managing member of Definitive OpCo and after this offering will hold</w:t>
            </w:r>
          </w:p>
        </w:tc>
        <w:tc>
          <w:tcPr>
            <w:tcW w:w="2040" w:type="dxa"/>
            <w:vAlign w:val="bottom"/>
          </w:tcPr>
          <w:p>
            <w:pPr>
              <w:jc w:val="right"/>
              <w:ind w:right="50"/>
              <w:spacing w:after="0"/>
              <w:rPr>
                <w:sz w:val="20"/>
                <w:szCs w:val="20"/>
                <w:color w:val="auto"/>
              </w:rPr>
            </w:pPr>
            <w:r>
              <w:rPr>
                <w:rFonts w:ascii="Arial" w:cs="Arial" w:eastAsia="Arial" w:hAnsi="Arial"/>
                <w:sz w:val="18"/>
                <w:szCs w:val="18"/>
                <w:color w:val="auto"/>
              </w:rPr>
              <w:t>LLC Units, constituting</w:t>
            </w:r>
          </w:p>
        </w:tc>
      </w:tr>
      <w:tr>
        <w:trPr>
          <w:trHeight w:val="216"/>
        </w:trPr>
        <w:tc>
          <w:tcPr>
            <w:tcW w:w="180" w:type="dxa"/>
            <w:vAlign w:val="bottom"/>
          </w:tcPr>
          <w:p>
            <w:pPr>
              <w:spacing w:after="0"/>
              <w:rPr>
                <w:sz w:val="18"/>
                <w:szCs w:val="18"/>
                <w:color w:val="auto"/>
              </w:rPr>
            </w:pPr>
          </w:p>
        </w:tc>
        <w:tc>
          <w:tcPr>
            <w:tcW w:w="10260" w:type="dxa"/>
            <w:vAlign w:val="bottom"/>
            <w:gridSpan w:val="6"/>
          </w:tcPr>
          <w:p>
            <w:pPr>
              <w:jc w:val="right"/>
              <w:spacing w:after="0"/>
              <w:rPr>
                <w:sz w:val="20"/>
                <w:szCs w:val="20"/>
                <w:color w:val="auto"/>
              </w:rPr>
            </w:pPr>
            <w:r>
              <w:rPr>
                <w:rFonts w:ascii="Arial" w:cs="Arial" w:eastAsia="Arial" w:hAnsi="Arial"/>
                <w:sz w:val="18"/>
                <w:szCs w:val="18"/>
                <w:color w:val="auto"/>
                <w:w w:val="95"/>
              </w:rPr>
              <w:t>% of the outstanding economic interests in Definitive OpCo (or units, constituting   % of the outstanding economic interests in Definitive</w:t>
            </w:r>
          </w:p>
        </w:tc>
      </w:tr>
      <w:tr>
        <w:trPr>
          <w:trHeight w:val="230"/>
        </w:trPr>
        <w:tc>
          <w:tcPr>
            <w:tcW w:w="180" w:type="dxa"/>
            <w:vAlign w:val="bottom"/>
          </w:tcPr>
          <w:p>
            <w:pPr>
              <w:spacing w:after="0"/>
              <w:rPr>
                <w:sz w:val="20"/>
                <w:szCs w:val="20"/>
                <w:color w:val="auto"/>
              </w:rPr>
            </w:pPr>
          </w:p>
        </w:tc>
        <w:tc>
          <w:tcPr>
            <w:tcW w:w="8220" w:type="dxa"/>
            <w:vAlign w:val="bottom"/>
            <w:gridSpan w:val="5"/>
          </w:tcPr>
          <w:p>
            <w:pPr>
              <w:ind w:left="120"/>
              <w:spacing w:after="0"/>
              <w:rPr>
                <w:sz w:val="20"/>
                <w:szCs w:val="20"/>
                <w:color w:val="auto"/>
              </w:rPr>
            </w:pPr>
            <w:r>
              <w:rPr>
                <w:rFonts w:ascii="Arial" w:cs="Arial" w:eastAsia="Arial" w:hAnsi="Arial"/>
                <w:sz w:val="18"/>
                <w:szCs w:val="18"/>
                <w:color w:val="auto"/>
                <w:w w:val="93"/>
              </w:rPr>
              <w:t>OpCo if the underwriters exercise their option to purchase additional shares of Class A common stock in full).</w:t>
            </w:r>
          </w:p>
        </w:tc>
        <w:tc>
          <w:tcPr>
            <w:tcW w:w="2040" w:type="dxa"/>
            <w:vAlign w:val="bottom"/>
          </w:tcPr>
          <w:p>
            <w:pPr>
              <w:spacing w:after="0"/>
              <w:rPr>
                <w:sz w:val="20"/>
                <w:szCs w:val="20"/>
                <w:color w:val="auto"/>
              </w:rPr>
            </w:pPr>
          </w:p>
        </w:tc>
      </w:tr>
      <w:tr>
        <w:trPr>
          <w:trHeight w:val="323"/>
        </w:trPr>
        <w:tc>
          <w:tcPr>
            <w:tcW w:w="180" w:type="dxa"/>
            <w:vAlign w:val="bottom"/>
          </w:tcPr>
          <w:p>
            <w:pPr>
              <w:spacing w:after="0"/>
              <w:rPr>
                <w:sz w:val="20"/>
                <w:szCs w:val="20"/>
                <w:color w:val="auto"/>
              </w:rPr>
            </w:pPr>
            <w:r>
              <w:rPr>
                <w:rFonts w:ascii="Arial" w:cs="Arial" w:eastAsia="Arial" w:hAnsi="Arial"/>
                <w:sz w:val="18"/>
                <w:szCs w:val="18"/>
                <w:color w:val="auto"/>
              </w:rPr>
              <w:t>•</w:t>
            </w:r>
          </w:p>
        </w:tc>
        <w:tc>
          <w:tcPr>
            <w:tcW w:w="1580" w:type="dxa"/>
            <w:vAlign w:val="bottom"/>
          </w:tcPr>
          <w:p>
            <w:pPr>
              <w:ind w:left="120"/>
              <w:spacing w:after="0"/>
              <w:rPr>
                <w:sz w:val="20"/>
                <w:szCs w:val="20"/>
                <w:color w:val="auto"/>
              </w:rPr>
            </w:pPr>
            <w:r>
              <w:rPr>
                <w:rFonts w:ascii="Arial" w:cs="Arial" w:eastAsia="Arial" w:hAnsi="Arial"/>
                <w:sz w:val="18"/>
                <w:szCs w:val="18"/>
                <w:color w:val="auto"/>
              </w:rPr>
              <w:t>We will have</w:t>
            </w:r>
          </w:p>
        </w:tc>
        <w:tc>
          <w:tcPr>
            <w:tcW w:w="8680" w:type="dxa"/>
            <w:vAlign w:val="bottom"/>
            <w:gridSpan w:val="5"/>
          </w:tcPr>
          <w:p>
            <w:pPr>
              <w:jc w:val="right"/>
              <w:ind w:right="470"/>
              <w:spacing w:after="0"/>
              <w:rPr>
                <w:sz w:val="20"/>
                <w:szCs w:val="20"/>
                <w:color w:val="auto"/>
              </w:rPr>
            </w:pPr>
            <w:r>
              <w:rPr>
                <w:rFonts w:ascii="Arial" w:cs="Arial" w:eastAsia="Arial" w:hAnsi="Arial"/>
                <w:sz w:val="18"/>
                <w:szCs w:val="18"/>
                <w:color w:val="auto"/>
                <w:w w:val="91"/>
              </w:rPr>
              <w:t>shares of Class A common stock issued and outstanding, representing   % of the combined voting power of our</w:t>
            </w:r>
          </w:p>
        </w:tc>
      </w:tr>
      <w:tr>
        <w:trPr>
          <w:trHeight w:val="216"/>
        </w:trPr>
        <w:tc>
          <w:tcPr>
            <w:tcW w:w="180" w:type="dxa"/>
            <w:vAlign w:val="bottom"/>
          </w:tcPr>
          <w:p>
            <w:pPr>
              <w:spacing w:after="0"/>
              <w:rPr>
                <w:sz w:val="18"/>
                <w:szCs w:val="18"/>
                <w:color w:val="auto"/>
              </w:rPr>
            </w:pPr>
          </w:p>
        </w:tc>
        <w:tc>
          <w:tcPr>
            <w:tcW w:w="1580" w:type="dxa"/>
            <w:vAlign w:val="bottom"/>
          </w:tcPr>
          <w:p>
            <w:pPr>
              <w:ind w:left="120"/>
              <w:spacing w:after="0"/>
              <w:rPr>
                <w:sz w:val="20"/>
                <w:szCs w:val="20"/>
                <w:color w:val="auto"/>
              </w:rPr>
            </w:pPr>
            <w:r>
              <w:rPr>
                <w:rFonts w:ascii="Arial" w:cs="Arial" w:eastAsia="Arial" w:hAnsi="Arial"/>
                <w:sz w:val="18"/>
                <w:szCs w:val="18"/>
                <w:color w:val="auto"/>
              </w:rPr>
              <w:t>common stock (or</w:t>
            </w:r>
          </w:p>
        </w:tc>
        <w:tc>
          <w:tcPr>
            <w:tcW w:w="1340" w:type="dxa"/>
            <w:vAlign w:val="bottom"/>
          </w:tcPr>
          <w:p>
            <w:pPr>
              <w:ind w:left="420"/>
              <w:spacing w:after="0"/>
              <w:rPr>
                <w:sz w:val="20"/>
                <w:szCs w:val="20"/>
                <w:color w:val="auto"/>
              </w:rPr>
            </w:pPr>
            <w:r>
              <w:rPr>
                <w:rFonts w:ascii="Arial" w:cs="Arial" w:eastAsia="Arial" w:hAnsi="Arial"/>
                <w:sz w:val="18"/>
                <w:szCs w:val="18"/>
                <w:color w:val="auto"/>
              </w:rPr>
              <w:t>shares and</w:t>
            </w:r>
          </w:p>
        </w:tc>
        <w:tc>
          <w:tcPr>
            <w:tcW w:w="7340" w:type="dxa"/>
            <w:vAlign w:val="bottom"/>
            <w:gridSpan w:val="4"/>
          </w:tcPr>
          <w:p>
            <w:pPr>
              <w:jc w:val="right"/>
              <w:ind w:right="230"/>
              <w:spacing w:after="0"/>
              <w:rPr>
                <w:sz w:val="20"/>
                <w:szCs w:val="20"/>
                <w:color w:val="auto"/>
              </w:rPr>
            </w:pPr>
            <w:r>
              <w:rPr>
                <w:rFonts w:ascii="Arial" w:cs="Arial" w:eastAsia="Arial" w:hAnsi="Arial"/>
                <w:sz w:val="18"/>
                <w:szCs w:val="18"/>
                <w:color w:val="auto"/>
                <w:w w:val="91"/>
              </w:rPr>
              <w:t>%, respectively, if the underwriters exercise their option to purchase additional shares of Class A</w:t>
            </w:r>
          </w:p>
        </w:tc>
      </w:tr>
      <w:tr>
        <w:trPr>
          <w:trHeight w:val="216"/>
        </w:trPr>
        <w:tc>
          <w:tcPr>
            <w:tcW w:w="180" w:type="dxa"/>
            <w:vAlign w:val="bottom"/>
          </w:tcPr>
          <w:p>
            <w:pPr>
              <w:spacing w:after="0"/>
              <w:rPr>
                <w:sz w:val="18"/>
                <w:szCs w:val="18"/>
                <w:color w:val="auto"/>
              </w:rPr>
            </w:pPr>
          </w:p>
        </w:tc>
        <w:tc>
          <w:tcPr>
            <w:tcW w:w="10260" w:type="dxa"/>
            <w:vAlign w:val="bottom"/>
            <w:gridSpan w:val="6"/>
          </w:tcPr>
          <w:p>
            <w:pPr>
              <w:ind w:left="120"/>
              <w:spacing w:after="0"/>
              <w:rPr>
                <w:sz w:val="20"/>
                <w:szCs w:val="20"/>
                <w:color w:val="auto"/>
              </w:rPr>
            </w:pPr>
            <w:r>
              <w:rPr>
                <w:rFonts w:ascii="Arial" w:cs="Arial" w:eastAsia="Arial" w:hAnsi="Arial"/>
                <w:sz w:val="18"/>
                <w:szCs w:val="18"/>
                <w:color w:val="auto"/>
                <w:w w:val="93"/>
              </w:rPr>
              <w:t>common stock in full and the holders of our Class A common stock, through our direct and indirect ownership of LLC Units, indirectly will</w:t>
            </w:r>
          </w:p>
        </w:tc>
      </w:tr>
      <w:tr>
        <w:trPr>
          <w:trHeight w:val="216"/>
        </w:trPr>
        <w:tc>
          <w:tcPr>
            <w:tcW w:w="180" w:type="dxa"/>
            <w:vAlign w:val="bottom"/>
          </w:tcPr>
          <w:p>
            <w:pPr>
              <w:spacing w:after="0"/>
              <w:rPr>
                <w:sz w:val="18"/>
                <w:szCs w:val="18"/>
                <w:color w:val="auto"/>
              </w:rPr>
            </w:pPr>
          </w:p>
        </w:tc>
        <w:tc>
          <w:tcPr>
            <w:tcW w:w="1580" w:type="dxa"/>
            <w:vAlign w:val="bottom"/>
          </w:tcPr>
          <w:p>
            <w:pPr>
              <w:ind w:left="120"/>
              <w:spacing w:after="0"/>
              <w:rPr>
                <w:sz w:val="20"/>
                <w:szCs w:val="20"/>
                <w:color w:val="auto"/>
              </w:rPr>
            </w:pPr>
            <w:r>
              <w:rPr>
                <w:rFonts w:ascii="Arial" w:cs="Arial" w:eastAsia="Arial" w:hAnsi="Arial"/>
                <w:sz w:val="18"/>
                <w:szCs w:val="18"/>
                <w:color w:val="auto"/>
                <w:w w:val="95"/>
              </w:rPr>
              <w:t>hold approximately</w:t>
            </w:r>
          </w:p>
        </w:tc>
        <w:tc>
          <w:tcPr>
            <w:tcW w:w="3960" w:type="dxa"/>
            <w:vAlign w:val="bottom"/>
            <w:gridSpan w:val="3"/>
          </w:tcPr>
          <w:p>
            <w:pPr>
              <w:ind w:left="160"/>
              <w:spacing w:after="0"/>
              <w:rPr>
                <w:sz w:val="20"/>
                <w:szCs w:val="20"/>
                <w:color w:val="auto"/>
              </w:rPr>
            </w:pPr>
            <w:r>
              <w:rPr>
                <w:rFonts w:ascii="Arial" w:cs="Arial" w:eastAsia="Arial" w:hAnsi="Arial"/>
                <w:sz w:val="18"/>
                <w:szCs w:val="18"/>
                <w:color w:val="auto"/>
                <w:w w:val="97"/>
              </w:rPr>
              <w:t>% of the economic interest in Definitive OpCo (or</w:t>
            </w:r>
          </w:p>
        </w:tc>
        <w:tc>
          <w:tcPr>
            <w:tcW w:w="4720" w:type="dxa"/>
            <w:vAlign w:val="bottom"/>
            <w:gridSpan w:val="2"/>
          </w:tcPr>
          <w:p>
            <w:pPr>
              <w:jc w:val="right"/>
              <w:spacing w:after="0"/>
              <w:rPr>
                <w:sz w:val="20"/>
                <w:szCs w:val="20"/>
                <w:color w:val="auto"/>
              </w:rPr>
            </w:pPr>
            <w:r>
              <w:rPr>
                <w:rFonts w:ascii="Arial" w:cs="Arial" w:eastAsia="Arial" w:hAnsi="Arial"/>
                <w:sz w:val="18"/>
                <w:szCs w:val="18"/>
                <w:color w:val="auto"/>
                <w:w w:val="91"/>
              </w:rPr>
              <w:t>% if the underwriters exercise their option to purchase additional</w:t>
            </w:r>
          </w:p>
        </w:tc>
      </w:tr>
      <w:tr>
        <w:trPr>
          <w:trHeight w:val="230"/>
        </w:trPr>
        <w:tc>
          <w:tcPr>
            <w:tcW w:w="180" w:type="dxa"/>
            <w:vAlign w:val="bottom"/>
          </w:tcPr>
          <w:p>
            <w:pPr>
              <w:spacing w:after="0"/>
              <w:rPr>
                <w:sz w:val="20"/>
                <w:szCs w:val="20"/>
                <w:color w:val="auto"/>
              </w:rPr>
            </w:pPr>
          </w:p>
        </w:tc>
        <w:tc>
          <w:tcPr>
            <w:tcW w:w="3920" w:type="dxa"/>
            <w:vAlign w:val="bottom"/>
            <w:gridSpan w:val="3"/>
          </w:tcPr>
          <w:p>
            <w:pPr>
              <w:ind w:left="120"/>
              <w:spacing w:after="0"/>
              <w:rPr>
                <w:sz w:val="20"/>
                <w:szCs w:val="20"/>
                <w:color w:val="auto"/>
              </w:rPr>
            </w:pPr>
            <w:r>
              <w:rPr>
                <w:rFonts w:ascii="Arial" w:cs="Arial" w:eastAsia="Arial" w:hAnsi="Arial"/>
                <w:sz w:val="18"/>
                <w:szCs w:val="18"/>
                <w:color w:val="auto"/>
              </w:rPr>
              <w:t>shares of Class A common stock in full).</w:t>
            </w:r>
          </w:p>
        </w:tc>
        <w:tc>
          <w:tcPr>
            <w:tcW w:w="1620" w:type="dxa"/>
            <w:vAlign w:val="bottom"/>
          </w:tcPr>
          <w:p>
            <w:pPr>
              <w:spacing w:after="0"/>
              <w:rPr>
                <w:sz w:val="20"/>
                <w:szCs w:val="20"/>
                <w:color w:val="auto"/>
              </w:rPr>
            </w:pPr>
          </w:p>
        </w:tc>
        <w:tc>
          <w:tcPr>
            <w:tcW w:w="2680" w:type="dxa"/>
            <w:vAlign w:val="bottom"/>
          </w:tcPr>
          <w:p>
            <w:pPr>
              <w:spacing w:after="0"/>
              <w:rPr>
                <w:sz w:val="20"/>
                <w:szCs w:val="20"/>
                <w:color w:val="auto"/>
              </w:rPr>
            </w:pPr>
          </w:p>
        </w:tc>
        <w:tc>
          <w:tcPr>
            <w:tcW w:w="2040" w:type="dxa"/>
            <w:vAlign w:val="bottom"/>
          </w:tcPr>
          <w:p>
            <w:pPr>
              <w:spacing w:after="0"/>
              <w:rPr>
                <w:sz w:val="20"/>
                <w:szCs w:val="20"/>
                <w:color w:val="auto"/>
              </w:rPr>
            </w:pPr>
          </w:p>
        </w:tc>
      </w:tr>
      <w:tr>
        <w:trPr>
          <w:trHeight w:val="323"/>
        </w:trPr>
        <w:tc>
          <w:tcPr>
            <w:tcW w:w="180" w:type="dxa"/>
            <w:vAlign w:val="bottom"/>
          </w:tcPr>
          <w:p>
            <w:pPr>
              <w:spacing w:after="0"/>
              <w:rPr>
                <w:sz w:val="20"/>
                <w:szCs w:val="20"/>
                <w:color w:val="auto"/>
              </w:rPr>
            </w:pPr>
            <w:r>
              <w:rPr>
                <w:rFonts w:ascii="Arial" w:cs="Arial" w:eastAsia="Arial" w:hAnsi="Arial"/>
                <w:sz w:val="18"/>
                <w:szCs w:val="18"/>
                <w:color w:val="auto"/>
              </w:rPr>
              <w:t>•</w:t>
            </w:r>
          </w:p>
        </w:tc>
        <w:tc>
          <w:tcPr>
            <w:tcW w:w="2920" w:type="dxa"/>
            <w:vAlign w:val="bottom"/>
            <w:gridSpan w:val="2"/>
          </w:tcPr>
          <w:p>
            <w:pPr>
              <w:ind w:left="120"/>
              <w:spacing w:after="0"/>
              <w:rPr>
                <w:sz w:val="20"/>
                <w:szCs w:val="20"/>
                <w:color w:val="auto"/>
              </w:rPr>
            </w:pPr>
            <w:r>
              <w:rPr>
                <w:rFonts w:ascii="Arial" w:cs="Arial" w:eastAsia="Arial" w:hAnsi="Arial"/>
                <w:sz w:val="18"/>
                <w:szCs w:val="18"/>
                <w:color w:val="auto"/>
                <w:w w:val="96"/>
              </w:rPr>
              <w:t>The Unitholders will collectively hold</w:t>
            </w:r>
          </w:p>
        </w:tc>
        <w:tc>
          <w:tcPr>
            <w:tcW w:w="7340" w:type="dxa"/>
            <w:vAlign w:val="bottom"/>
            <w:gridSpan w:val="4"/>
          </w:tcPr>
          <w:p>
            <w:pPr>
              <w:jc w:val="right"/>
              <w:spacing w:after="0"/>
              <w:rPr>
                <w:sz w:val="20"/>
                <w:szCs w:val="20"/>
                <w:color w:val="auto"/>
              </w:rPr>
            </w:pPr>
            <w:r>
              <w:rPr>
                <w:rFonts w:ascii="Arial" w:cs="Arial" w:eastAsia="Arial" w:hAnsi="Arial"/>
                <w:sz w:val="18"/>
                <w:szCs w:val="18"/>
                <w:color w:val="auto"/>
                <w:w w:val="98"/>
              </w:rPr>
              <w:t>LLC Units, which together directly and indirectly represent approximately   % of the economic</w:t>
            </w:r>
          </w:p>
        </w:tc>
      </w:tr>
      <w:tr>
        <w:trPr>
          <w:trHeight w:val="216"/>
        </w:trPr>
        <w:tc>
          <w:tcPr>
            <w:tcW w:w="180" w:type="dxa"/>
            <w:vAlign w:val="bottom"/>
          </w:tcPr>
          <w:p>
            <w:pPr>
              <w:spacing w:after="0"/>
              <w:rPr>
                <w:sz w:val="18"/>
                <w:szCs w:val="18"/>
                <w:color w:val="auto"/>
              </w:rPr>
            </w:pPr>
          </w:p>
        </w:tc>
        <w:tc>
          <w:tcPr>
            <w:tcW w:w="10260" w:type="dxa"/>
            <w:vAlign w:val="bottom"/>
            <w:gridSpan w:val="6"/>
          </w:tcPr>
          <w:p>
            <w:pPr>
              <w:ind w:left="120"/>
              <w:spacing w:after="0"/>
              <w:rPr>
                <w:sz w:val="20"/>
                <w:szCs w:val="20"/>
                <w:color w:val="auto"/>
              </w:rPr>
            </w:pPr>
            <w:r>
              <w:rPr>
                <w:rFonts w:ascii="Arial" w:cs="Arial" w:eastAsia="Arial" w:hAnsi="Arial"/>
                <w:sz w:val="18"/>
                <w:szCs w:val="18"/>
                <w:color w:val="auto"/>
                <w:w w:val="93"/>
              </w:rPr>
              <w:t>interest in Definitive OpCo (or   % if the underwriters exercise their option to purchase additional shares of Class A common stock in full)</w:t>
            </w:r>
          </w:p>
        </w:tc>
      </w:tr>
      <w:tr>
        <w:trPr>
          <w:trHeight w:val="216"/>
        </w:trPr>
        <w:tc>
          <w:tcPr>
            <w:tcW w:w="180" w:type="dxa"/>
            <w:vAlign w:val="bottom"/>
          </w:tcPr>
          <w:p>
            <w:pPr>
              <w:spacing w:after="0"/>
              <w:rPr>
                <w:sz w:val="18"/>
                <w:szCs w:val="18"/>
                <w:color w:val="auto"/>
              </w:rPr>
            </w:pPr>
          </w:p>
        </w:tc>
        <w:tc>
          <w:tcPr>
            <w:tcW w:w="3920" w:type="dxa"/>
            <w:vAlign w:val="bottom"/>
            <w:gridSpan w:val="3"/>
          </w:tcPr>
          <w:p>
            <w:pPr>
              <w:ind w:left="120"/>
              <w:spacing w:after="0"/>
              <w:rPr>
                <w:sz w:val="20"/>
                <w:szCs w:val="20"/>
                <w:color w:val="auto"/>
              </w:rPr>
            </w:pPr>
            <w:r>
              <w:rPr>
                <w:rFonts w:ascii="Arial" w:cs="Arial" w:eastAsia="Arial" w:hAnsi="Arial"/>
                <w:sz w:val="18"/>
                <w:szCs w:val="18"/>
                <w:color w:val="auto"/>
              </w:rPr>
              <w:t>and (ii) through their collective ownership of</w:t>
            </w:r>
          </w:p>
        </w:tc>
        <w:tc>
          <w:tcPr>
            <w:tcW w:w="1620" w:type="dxa"/>
            <w:vAlign w:val="bottom"/>
          </w:tcPr>
          <w:p>
            <w:pPr>
              <w:ind w:left="20"/>
              <w:spacing w:after="0"/>
              <w:rPr>
                <w:sz w:val="20"/>
                <w:szCs w:val="20"/>
                <w:color w:val="auto"/>
              </w:rPr>
            </w:pPr>
            <w:r>
              <w:rPr>
                <w:rFonts w:ascii="Arial" w:cs="Arial" w:eastAsia="Arial" w:hAnsi="Arial"/>
                <w:sz w:val="18"/>
                <w:szCs w:val="18"/>
                <w:color w:val="auto"/>
                <w:w w:val="89"/>
              </w:rPr>
              <w:t>shares of Class A and</w:t>
            </w:r>
          </w:p>
        </w:tc>
        <w:tc>
          <w:tcPr>
            <w:tcW w:w="4720" w:type="dxa"/>
            <w:vAlign w:val="bottom"/>
            <w:gridSpan w:val="2"/>
          </w:tcPr>
          <w:p>
            <w:pPr>
              <w:jc w:val="right"/>
              <w:ind w:right="70"/>
              <w:spacing w:after="0"/>
              <w:rPr>
                <w:sz w:val="20"/>
                <w:szCs w:val="20"/>
                <w:color w:val="auto"/>
              </w:rPr>
            </w:pPr>
            <w:r>
              <w:rPr>
                <w:rFonts w:ascii="Arial" w:cs="Arial" w:eastAsia="Arial" w:hAnsi="Arial"/>
                <w:sz w:val="18"/>
                <w:szCs w:val="18"/>
                <w:color w:val="auto"/>
              </w:rPr>
              <w:t>shares of Class B common stock, approximately   % of</w:t>
            </w:r>
          </w:p>
        </w:tc>
      </w:tr>
      <w:tr>
        <w:trPr>
          <w:trHeight w:val="216"/>
        </w:trPr>
        <w:tc>
          <w:tcPr>
            <w:tcW w:w="180" w:type="dxa"/>
            <w:vAlign w:val="bottom"/>
          </w:tcPr>
          <w:p>
            <w:pPr>
              <w:spacing w:after="0"/>
              <w:rPr>
                <w:sz w:val="18"/>
                <w:szCs w:val="18"/>
                <w:color w:val="auto"/>
              </w:rPr>
            </w:pPr>
          </w:p>
        </w:tc>
        <w:tc>
          <w:tcPr>
            <w:tcW w:w="3920" w:type="dxa"/>
            <w:vAlign w:val="bottom"/>
            <w:gridSpan w:val="3"/>
          </w:tcPr>
          <w:p>
            <w:pPr>
              <w:ind w:left="120"/>
              <w:spacing w:after="0"/>
              <w:rPr>
                <w:sz w:val="20"/>
                <w:szCs w:val="20"/>
                <w:color w:val="auto"/>
              </w:rPr>
            </w:pPr>
            <w:r>
              <w:rPr>
                <w:rFonts w:ascii="Arial" w:cs="Arial" w:eastAsia="Arial" w:hAnsi="Arial"/>
                <w:sz w:val="18"/>
                <w:szCs w:val="18"/>
                <w:color w:val="auto"/>
                <w:w w:val="91"/>
              </w:rPr>
              <w:t>the combined voting power of our common stock (or</w:t>
            </w:r>
          </w:p>
        </w:tc>
        <w:tc>
          <w:tcPr>
            <w:tcW w:w="6340" w:type="dxa"/>
            <w:vAlign w:val="bottom"/>
            <w:gridSpan w:val="3"/>
          </w:tcPr>
          <w:p>
            <w:pPr>
              <w:jc w:val="right"/>
              <w:ind w:right="70"/>
              <w:spacing w:after="0"/>
              <w:rPr>
                <w:sz w:val="20"/>
                <w:szCs w:val="20"/>
                <w:color w:val="auto"/>
              </w:rPr>
            </w:pPr>
            <w:r>
              <w:rPr>
                <w:rFonts w:ascii="Arial" w:cs="Arial" w:eastAsia="Arial" w:hAnsi="Arial"/>
                <w:sz w:val="18"/>
                <w:szCs w:val="18"/>
                <w:color w:val="auto"/>
                <w:w w:val="93"/>
              </w:rPr>
              <w:t>% if the underwriters exercise their option to purchase additional shares of Class A</w:t>
            </w:r>
          </w:p>
        </w:tc>
      </w:tr>
      <w:tr>
        <w:trPr>
          <w:trHeight w:val="230"/>
        </w:trPr>
        <w:tc>
          <w:tcPr>
            <w:tcW w:w="180" w:type="dxa"/>
            <w:vAlign w:val="bottom"/>
          </w:tcPr>
          <w:p>
            <w:pPr>
              <w:spacing w:after="0"/>
              <w:rPr>
                <w:sz w:val="20"/>
                <w:szCs w:val="20"/>
                <w:color w:val="auto"/>
              </w:rPr>
            </w:pPr>
          </w:p>
        </w:tc>
        <w:tc>
          <w:tcPr>
            <w:tcW w:w="2920" w:type="dxa"/>
            <w:vAlign w:val="bottom"/>
            <w:gridSpan w:val="2"/>
          </w:tcPr>
          <w:p>
            <w:pPr>
              <w:ind w:left="120"/>
              <w:spacing w:after="0"/>
              <w:rPr>
                <w:sz w:val="20"/>
                <w:szCs w:val="20"/>
                <w:color w:val="auto"/>
              </w:rPr>
            </w:pPr>
            <w:r>
              <w:rPr>
                <w:rFonts w:ascii="Arial" w:cs="Arial" w:eastAsia="Arial" w:hAnsi="Arial"/>
                <w:sz w:val="18"/>
                <w:szCs w:val="18"/>
                <w:color w:val="auto"/>
              </w:rPr>
              <w:t>common stock in full).</w:t>
            </w:r>
          </w:p>
        </w:tc>
        <w:tc>
          <w:tcPr>
            <w:tcW w:w="1000" w:type="dxa"/>
            <w:vAlign w:val="bottom"/>
          </w:tcPr>
          <w:p>
            <w:pPr>
              <w:spacing w:after="0"/>
              <w:rPr>
                <w:sz w:val="20"/>
                <w:szCs w:val="20"/>
                <w:color w:val="auto"/>
              </w:rPr>
            </w:pPr>
          </w:p>
        </w:tc>
        <w:tc>
          <w:tcPr>
            <w:tcW w:w="1620" w:type="dxa"/>
            <w:vAlign w:val="bottom"/>
          </w:tcPr>
          <w:p>
            <w:pPr>
              <w:spacing w:after="0"/>
              <w:rPr>
                <w:sz w:val="20"/>
                <w:szCs w:val="20"/>
                <w:color w:val="auto"/>
              </w:rPr>
            </w:pPr>
          </w:p>
        </w:tc>
        <w:tc>
          <w:tcPr>
            <w:tcW w:w="2680" w:type="dxa"/>
            <w:vAlign w:val="bottom"/>
          </w:tcPr>
          <w:p>
            <w:pPr>
              <w:spacing w:after="0"/>
              <w:rPr>
                <w:sz w:val="20"/>
                <w:szCs w:val="20"/>
                <w:color w:val="auto"/>
              </w:rPr>
            </w:pPr>
          </w:p>
        </w:tc>
        <w:tc>
          <w:tcPr>
            <w:tcW w:w="2040" w:type="dxa"/>
            <w:vAlign w:val="bottom"/>
          </w:tcPr>
          <w:p>
            <w:pPr>
              <w:spacing w:after="0"/>
              <w:rPr>
                <w:sz w:val="20"/>
                <w:szCs w:val="20"/>
                <w:color w:val="auto"/>
              </w:rPr>
            </w:pPr>
          </w:p>
        </w:tc>
      </w:tr>
    </w:tbl>
    <w:p>
      <w:pPr>
        <w:spacing w:after="0" w:line="202" w:lineRule="exact"/>
        <w:rPr>
          <w:sz w:val="20"/>
          <w:szCs w:val="20"/>
          <w:color w:val="auto"/>
        </w:rPr>
      </w:pPr>
    </w:p>
    <w:p>
      <w:pPr>
        <w:ind w:left="300" w:right="60" w:firstLine="426"/>
        <w:spacing w:after="0" w:line="277" w:lineRule="auto"/>
        <w:rPr>
          <w:sz w:val="20"/>
          <w:szCs w:val="20"/>
          <w:color w:val="auto"/>
        </w:rPr>
      </w:pPr>
      <w:r>
        <w:rPr>
          <w:rFonts w:ascii="Arial" w:cs="Arial" w:eastAsia="Arial" w:hAnsi="Arial"/>
          <w:sz w:val="18"/>
          <w:szCs w:val="18"/>
          <w:color w:val="auto"/>
        </w:rPr>
        <w:t>See “Certain Relationships and Related Party Transactions” and “Description of Capital Stock” for more information on the rights associated with our common stock and the LLC Units.</w:t>
      </w:r>
    </w:p>
    <w:p>
      <w:pPr>
        <w:spacing w:after="0" w:line="278" w:lineRule="exact"/>
        <w:rPr>
          <w:sz w:val="20"/>
          <w:szCs w:val="20"/>
          <w:color w:val="auto"/>
        </w:rPr>
      </w:pPr>
    </w:p>
    <w:p>
      <w:pPr>
        <w:jc w:val="center"/>
        <w:ind w:right="-53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0940"/>
          </w:cols>
          <w:pgMar w:left="320" w:top="459" w:right="63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319"/>
        <w:spacing w:after="0"/>
        <w:rPr>
          <w:sz w:val="20"/>
          <w:szCs w:val="20"/>
          <w:color w:val="auto"/>
        </w:rPr>
      </w:pPr>
      <w:r>
        <w:rPr>
          <w:rFonts w:ascii="Arial" w:cs="Arial" w:eastAsia="Arial" w:hAnsi="Arial"/>
          <w:sz w:val="18"/>
          <w:szCs w:val="18"/>
          <w:b w:val="1"/>
          <w:bCs w:val="1"/>
          <w:color w:val="auto"/>
        </w:rPr>
        <w:t>Confidential Treatment Requested by Definitive Healthcare Corp.</w:t>
      </w:r>
    </w:p>
    <w:p>
      <w:pPr>
        <w:spacing w:after="0" w:line="27" w:lineRule="exact"/>
        <w:rPr>
          <w:sz w:val="20"/>
          <w:szCs w:val="20"/>
          <w:color w:val="auto"/>
        </w:rPr>
      </w:pPr>
    </w:p>
    <w:p>
      <w:pPr>
        <w:jc w:val="center"/>
        <w:ind w:right="-319"/>
        <w:spacing w:after="0"/>
        <w:rPr>
          <w:sz w:val="20"/>
          <w:szCs w:val="20"/>
          <w:color w:val="auto"/>
        </w:rPr>
      </w:pPr>
      <w:r>
        <w:rPr>
          <w:rFonts w:ascii="Arial" w:cs="Arial" w:eastAsia="Arial" w:hAnsi="Arial"/>
          <w:sz w:val="18"/>
          <w:szCs w:val="18"/>
          <w:b w:val="1"/>
          <w:bCs w:val="1"/>
          <w:color w:val="auto"/>
        </w:rPr>
        <w:t>Pursuant to 17 C.F.R. Section 200.83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97790</wp:posOffset>
            </wp:positionV>
            <wp:extent cx="6998970" cy="433324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6998970" cy="4333240"/>
                    </a:xfrm>
                    <a:prstGeom prst="rect">
                      <a:avLst/>
                    </a:prstGeom>
                    <a:noFill/>
                  </pic:spPr>
                </pic:pic>
              </a:graphicData>
            </a:graphic>
          </wp:anchor>
        </w:drawing>
      </w:r>
    </w:p>
    <w:p>
      <w:pPr>
        <w:spacing w:after="0" w:line="312" w:lineRule="exact"/>
        <w:rPr>
          <w:sz w:val="20"/>
          <w:szCs w:val="20"/>
          <w:color w:val="auto"/>
        </w:rPr>
      </w:pPr>
    </w:p>
    <w:p>
      <w:pPr>
        <w:ind w:left="300" w:right="380" w:firstLine="426"/>
        <w:spacing w:after="0" w:line="277" w:lineRule="auto"/>
        <w:rPr>
          <w:sz w:val="20"/>
          <w:szCs w:val="20"/>
          <w:color w:val="auto"/>
        </w:rPr>
      </w:pPr>
      <w:r>
        <w:rPr>
          <w:rFonts w:ascii="Arial" w:cs="Arial" w:eastAsia="Arial" w:hAnsi="Arial"/>
          <w:sz w:val="18"/>
          <w:szCs w:val="18"/>
          <w:color w:val="auto"/>
        </w:rPr>
        <w:t>The following table presents the holdings of outstanding common stock and LLC Units, after giving effect to this offering and the use of proceeds therefrom:</w:t>
      </w:r>
    </w:p>
    <w:p>
      <w:pPr>
        <w:spacing w:after="0" w:line="189" w:lineRule="exact"/>
        <w:rPr>
          <w:sz w:val="20"/>
          <w:szCs w:val="20"/>
          <w:color w:val="auto"/>
        </w:rPr>
      </w:pPr>
    </w:p>
    <w:tbl>
      <w:tblPr>
        <w:tblLayout w:type="fixed"/>
        <w:tblInd w:w="7620" w:type="dxa"/>
        <w:tblCellMar>
          <w:top w:w="0" w:type="dxa"/>
          <w:left w:w="0" w:type="dxa"/>
          <w:bottom w:w="0" w:type="dxa"/>
          <w:right w:w="0" w:type="dxa"/>
        </w:tblCellMar>
      </w:tblPr>
      <w:tr>
        <w:trPr>
          <w:trHeight w:val="171"/>
        </w:trPr>
        <w:tc>
          <w:tcPr>
            <w:tcW w:w="60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Common Stock</w:t>
            </w:r>
            <w:r>
              <w:rPr>
                <w:rFonts w:ascii="Arial" w:cs="Arial" w:eastAsia="Arial" w:hAnsi="Arial"/>
                <w:sz w:val="12"/>
                <w:szCs w:val="12"/>
                <w:b w:val="1"/>
                <w:bCs w:val="1"/>
                <w:color w:val="auto"/>
                <w:w w:val="91"/>
              </w:rPr>
              <w:t>(1)</w:t>
            </w:r>
          </w:p>
        </w:tc>
        <w:tc>
          <w:tcPr>
            <w:tcW w:w="56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7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Units</w:t>
            </w:r>
          </w:p>
        </w:tc>
      </w:tr>
      <w:tr>
        <w:trPr>
          <w:trHeight w:val="144"/>
        </w:trPr>
        <w:tc>
          <w:tcPr>
            <w:tcW w:w="600" w:type="dxa"/>
            <w:vAlign w:val="bottom"/>
          </w:tcPr>
          <w:p>
            <w:pPr>
              <w:ind w:left="100"/>
              <w:spacing w:after="0" w:line="144" w:lineRule="exact"/>
              <w:rPr>
                <w:sz w:val="20"/>
                <w:szCs w:val="20"/>
                <w:color w:val="auto"/>
              </w:rPr>
            </w:pPr>
            <w:r>
              <w:rPr>
                <w:rFonts w:ascii="Arial" w:cs="Arial" w:eastAsia="Arial" w:hAnsi="Arial"/>
                <w:sz w:val="14"/>
                <w:szCs w:val="14"/>
                <w:b w:val="1"/>
                <w:bCs w:val="1"/>
                <w:color w:val="auto"/>
                <w:w w:val="93"/>
              </w:rPr>
              <w:t>Class A</w:t>
            </w:r>
          </w:p>
        </w:tc>
        <w:tc>
          <w:tcPr>
            <w:tcW w:w="1160" w:type="dxa"/>
            <w:vAlign w:val="bottom"/>
          </w:tcPr>
          <w:p>
            <w:pPr>
              <w:jc w:val="center"/>
              <w:spacing w:after="0" w:line="144" w:lineRule="exact"/>
              <w:rPr>
                <w:sz w:val="20"/>
                <w:szCs w:val="20"/>
                <w:color w:val="auto"/>
              </w:rPr>
            </w:pPr>
            <w:r>
              <w:rPr>
                <w:rFonts w:ascii="Arial" w:cs="Arial" w:eastAsia="Arial" w:hAnsi="Arial"/>
                <w:sz w:val="14"/>
                <w:szCs w:val="14"/>
                <w:b w:val="1"/>
                <w:bCs w:val="1"/>
                <w:color w:val="auto"/>
                <w:w w:val="89"/>
              </w:rPr>
              <w:t>Class B</w:t>
            </w:r>
          </w:p>
        </w:tc>
        <w:tc>
          <w:tcPr>
            <w:tcW w:w="560" w:type="dxa"/>
            <w:vAlign w:val="bottom"/>
          </w:tcPr>
          <w:p>
            <w:pPr>
              <w:ind w:left="60"/>
              <w:spacing w:after="0" w:line="144" w:lineRule="exact"/>
              <w:rPr>
                <w:sz w:val="20"/>
                <w:szCs w:val="20"/>
                <w:color w:val="auto"/>
              </w:rPr>
            </w:pPr>
            <w:r>
              <w:rPr>
                <w:rFonts w:ascii="Arial" w:cs="Arial" w:eastAsia="Arial" w:hAnsi="Arial"/>
                <w:sz w:val="14"/>
                <w:szCs w:val="14"/>
                <w:b w:val="1"/>
                <w:bCs w:val="1"/>
                <w:color w:val="auto"/>
              </w:rPr>
              <w:t>Total</w:t>
            </w:r>
          </w:p>
        </w:tc>
        <w:tc>
          <w:tcPr>
            <w:tcW w:w="160" w:type="dxa"/>
            <w:vAlign w:val="bottom"/>
          </w:tcPr>
          <w:p>
            <w:pPr>
              <w:spacing w:after="0"/>
              <w:rPr>
                <w:sz w:val="12"/>
                <w:szCs w:val="12"/>
                <w:color w:val="auto"/>
              </w:rPr>
            </w:pPr>
          </w:p>
        </w:tc>
        <w:tc>
          <w:tcPr>
            <w:tcW w:w="780" w:type="dxa"/>
            <w:vAlign w:val="bottom"/>
          </w:tcPr>
          <w:p>
            <w:pPr>
              <w:jc w:val="center"/>
              <w:spacing w:after="0" w:line="144" w:lineRule="exact"/>
              <w:rPr>
                <w:sz w:val="20"/>
                <w:szCs w:val="20"/>
                <w:color w:val="auto"/>
              </w:rPr>
            </w:pPr>
            <w:r>
              <w:rPr>
                <w:rFonts w:ascii="Arial" w:cs="Arial" w:eastAsia="Arial" w:hAnsi="Arial"/>
                <w:sz w:val="14"/>
                <w:szCs w:val="14"/>
                <w:b w:val="1"/>
                <w:bCs w:val="1"/>
                <w:color w:val="auto"/>
                <w:w w:val="99"/>
              </w:rPr>
              <w:t>LLC Units</w:t>
            </w:r>
          </w:p>
        </w:tc>
      </w:tr>
    </w:tbl>
    <w:p>
      <w:pPr>
        <w:ind w:left="660"/>
        <w:spacing w:after="0"/>
        <w:rPr>
          <w:sz w:val="20"/>
          <w:szCs w:val="20"/>
          <w:color w:val="auto"/>
        </w:rPr>
      </w:pPr>
      <w:r>
        <w:rPr>
          <w:rFonts w:ascii="Arial" w:cs="Arial" w:eastAsia="Arial" w:hAnsi="Arial"/>
          <w:sz w:val="18"/>
          <w:szCs w:val="18"/>
          <w:color w:val="auto"/>
        </w:rPr>
        <w:t>Public Stockholders</w:t>
      </w:r>
    </w:p>
    <w:p>
      <w:pPr>
        <w:spacing w:after="0" w:line="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Advent</w:t>
      </w:r>
    </w:p>
    <w:p>
      <w:pPr>
        <w:spacing w:after="0" w:line="2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Spectrum Equity</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22C Capital.</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Jason Krantz</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Members of AIDH Management Holdings, LLC</w:t>
      </w:r>
    </w:p>
    <w:p>
      <w:pPr>
        <w:spacing w:after="0" w:line="2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Other LLC Unitholders</w:t>
      </w:r>
    </w:p>
    <w:p>
      <w:pPr>
        <w:spacing w:after="0" w:line="32"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Total outstanding</w:t>
      </w:r>
    </w:p>
    <w:p>
      <w:pPr>
        <w:spacing w:after="0" w:line="67" w:lineRule="exact"/>
        <w:rPr>
          <w:sz w:val="20"/>
          <w:szCs w:val="20"/>
          <w:color w:val="auto"/>
        </w:rPr>
      </w:pPr>
    </w:p>
    <w:p>
      <w:pPr>
        <w:ind w:left="840" w:right="3680" w:hanging="179"/>
        <w:spacing w:after="0" w:line="263" w:lineRule="auto"/>
        <w:rPr>
          <w:sz w:val="20"/>
          <w:szCs w:val="20"/>
          <w:color w:val="auto"/>
        </w:rPr>
      </w:pPr>
      <w:r>
        <w:rPr>
          <w:rFonts w:ascii="Arial" w:cs="Arial" w:eastAsia="Arial" w:hAnsi="Arial"/>
          <w:sz w:val="18"/>
          <w:szCs w:val="18"/>
          <w:color w:val="auto"/>
        </w:rPr>
        <w:t>Total, after giving effect to the exchange of LLC Units (other than unvested LLC Units) for newly issued shares of Class A Common Stock and the retirement of the corresponding shares of Class B Common Stock on a one-for-one basis.</w:t>
      </w:r>
    </w:p>
    <w:p>
      <w:pPr>
        <w:spacing w:after="0" w:line="22" w:lineRule="exact"/>
        <w:rPr>
          <w:sz w:val="20"/>
          <w:szCs w:val="20"/>
          <w:color w:val="auto"/>
        </w:rPr>
      </w:pPr>
    </w:p>
    <w:p>
      <w:pPr>
        <w:ind w:left="840" w:right="3800" w:hanging="179"/>
        <w:spacing w:after="0" w:line="277" w:lineRule="auto"/>
        <w:rPr>
          <w:sz w:val="20"/>
          <w:szCs w:val="20"/>
          <w:color w:val="auto"/>
        </w:rPr>
      </w:pPr>
      <w:r>
        <w:rPr>
          <w:rFonts w:ascii="Arial" w:cs="Arial" w:eastAsia="Arial" w:hAnsi="Arial"/>
          <w:sz w:val="18"/>
          <w:szCs w:val="18"/>
          <w:color w:val="auto"/>
        </w:rPr>
        <w:t>Total, after giving further effect to the vesting of employee and executive leadership team equity grants under our 2021 Equity Incentive Plan</w:t>
      </w:r>
      <w:r>
        <w:rPr>
          <w:rFonts w:ascii="Arial" w:cs="Arial" w:eastAsia="Arial" w:hAnsi="Arial"/>
          <w:sz w:val="15"/>
          <w:szCs w:val="15"/>
          <w:color w:val="auto"/>
        </w:rPr>
        <w:t>(2)(3)</w:t>
      </w:r>
    </w:p>
    <w:p>
      <w:pPr>
        <w:spacing w:after="0" w:line="197" w:lineRule="exact"/>
        <w:rPr>
          <w:sz w:val="20"/>
          <w:szCs w:val="20"/>
          <w:color w:val="auto"/>
        </w:rPr>
      </w:pPr>
    </w:p>
    <w:p>
      <w:pPr>
        <w:ind w:left="720" w:hanging="422"/>
        <w:spacing w:after="0" w:line="287" w:lineRule="auto"/>
        <w:tabs>
          <w:tab w:leader="none" w:pos="720" w:val="left"/>
        </w:tabs>
        <w:numPr>
          <w:ilvl w:val="0"/>
          <w:numId w:val="28"/>
        </w:numPr>
        <w:rPr>
          <w:rFonts w:ascii="Arial" w:cs="Arial" w:eastAsia="Arial" w:hAnsi="Arial"/>
          <w:sz w:val="16"/>
          <w:szCs w:val="16"/>
          <w:color w:val="auto"/>
        </w:rPr>
      </w:pPr>
      <w:r>
        <w:rPr>
          <w:rFonts w:ascii="Arial" w:cs="Arial" w:eastAsia="Arial" w:hAnsi="Arial"/>
          <w:sz w:val="16"/>
          <w:szCs w:val="16"/>
          <w:color w:val="auto"/>
        </w:rPr>
        <w:t>Reflects the number of shares of our Class A and Class B common stock, respectively, outstanding, after giving effect to the issuance and sale of shares of Class A common stock offered hereby. If the underwriters exercise in full their option to purchase additional shares of our Class A common stock, the number of shares of Class A common stock owned by public stockholders in the table above would be shares of</w:t>
      </w:r>
    </w:p>
    <w:tbl>
      <w:tblPr>
        <w:tblLayout w:type="fixed"/>
        <w:tblInd w:w="300" w:type="dxa"/>
        <w:tblCellMar>
          <w:top w:w="0" w:type="dxa"/>
          <w:left w:w="0" w:type="dxa"/>
          <w:bottom w:w="0" w:type="dxa"/>
          <w:right w:w="0" w:type="dxa"/>
        </w:tblCellMar>
      </w:tblPr>
      <w:tr>
        <w:trPr>
          <w:trHeight w:val="204"/>
        </w:trPr>
        <w:tc>
          <w:tcPr>
            <w:tcW w:w="320" w:type="dxa"/>
            <w:vAlign w:val="bottom"/>
          </w:tcPr>
          <w:p>
            <w:pPr>
              <w:spacing w:after="0"/>
              <w:rPr>
                <w:sz w:val="17"/>
                <w:szCs w:val="17"/>
                <w:color w:val="auto"/>
              </w:rPr>
            </w:pPr>
          </w:p>
        </w:tc>
        <w:tc>
          <w:tcPr>
            <w:tcW w:w="3500" w:type="dxa"/>
            <w:vAlign w:val="bottom"/>
            <w:gridSpan w:val="2"/>
          </w:tcPr>
          <w:p>
            <w:pPr>
              <w:ind w:left="100"/>
              <w:spacing w:after="0" w:line="204" w:lineRule="exact"/>
              <w:rPr>
                <w:sz w:val="20"/>
                <w:szCs w:val="20"/>
                <w:color w:val="auto"/>
              </w:rPr>
            </w:pPr>
            <w:r>
              <w:rPr>
                <w:rFonts w:ascii="Arial" w:cs="Arial" w:eastAsia="Arial" w:hAnsi="Arial"/>
                <w:sz w:val="18"/>
                <w:szCs w:val="18"/>
                <w:color w:val="auto"/>
              </w:rPr>
              <w:t>Class A common stock.</w:t>
            </w:r>
          </w:p>
        </w:tc>
        <w:tc>
          <w:tcPr>
            <w:tcW w:w="6540" w:type="dxa"/>
            <w:vAlign w:val="bottom"/>
          </w:tcPr>
          <w:p>
            <w:pPr>
              <w:spacing w:after="0"/>
              <w:rPr>
                <w:sz w:val="17"/>
                <w:szCs w:val="17"/>
                <w:color w:val="auto"/>
              </w:rPr>
            </w:pPr>
          </w:p>
        </w:tc>
      </w:tr>
      <w:tr>
        <w:trPr>
          <w:trHeight w:val="216"/>
        </w:trPr>
        <w:tc>
          <w:tcPr>
            <w:tcW w:w="320" w:type="dxa"/>
            <w:vAlign w:val="bottom"/>
          </w:tcPr>
          <w:p>
            <w:pPr>
              <w:jc w:val="right"/>
              <w:ind w:right="30"/>
              <w:spacing w:after="0"/>
              <w:rPr>
                <w:sz w:val="20"/>
                <w:szCs w:val="20"/>
                <w:color w:val="auto"/>
              </w:rPr>
            </w:pPr>
            <w:r>
              <w:rPr>
                <w:rFonts w:ascii="Arial" w:cs="Arial" w:eastAsia="Arial" w:hAnsi="Arial"/>
                <w:sz w:val="18"/>
                <w:szCs w:val="18"/>
                <w:color w:val="auto"/>
                <w:w w:val="81"/>
              </w:rPr>
              <w:t>(2)</w:t>
            </w:r>
          </w:p>
        </w:tc>
        <w:tc>
          <w:tcPr>
            <w:tcW w:w="1280" w:type="dxa"/>
            <w:vAlign w:val="bottom"/>
          </w:tcPr>
          <w:p>
            <w:pPr>
              <w:ind w:left="100"/>
              <w:spacing w:after="0"/>
              <w:rPr>
                <w:sz w:val="20"/>
                <w:szCs w:val="20"/>
                <w:color w:val="auto"/>
              </w:rPr>
            </w:pPr>
            <w:r>
              <w:rPr>
                <w:rFonts w:ascii="Arial" w:cs="Arial" w:eastAsia="Arial" w:hAnsi="Arial"/>
                <w:sz w:val="18"/>
                <w:szCs w:val="18"/>
                <w:color w:val="auto"/>
              </w:rPr>
              <w:t>Includes the</w:t>
            </w:r>
          </w:p>
        </w:tc>
        <w:tc>
          <w:tcPr>
            <w:tcW w:w="8760" w:type="dxa"/>
            <w:vAlign w:val="bottom"/>
            <w:gridSpan w:val="2"/>
          </w:tcPr>
          <w:p>
            <w:pPr>
              <w:ind w:left="320"/>
              <w:spacing w:after="0"/>
              <w:rPr>
                <w:sz w:val="20"/>
                <w:szCs w:val="20"/>
                <w:color w:val="auto"/>
              </w:rPr>
            </w:pPr>
            <w:r>
              <w:rPr>
                <w:rFonts w:ascii="Arial" w:cs="Arial" w:eastAsia="Arial" w:hAnsi="Arial"/>
                <w:sz w:val="18"/>
                <w:szCs w:val="18"/>
                <w:color w:val="auto"/>
              </w:rPr>
              <w:t>LLC Units held by members of AIDH Management Holdings, LLC that are subject to time-based vesting.</w:t>
            </w:r>
          </w:p>
        </w:tc>
      </w:tr>
      <w:tr>
        <w:trPr>
          <w:trHeight w:val="230"/>
        </w:trPr>
        <w:tc>
          <w:tcPr>
            <w:tcW w:w="320" w:type="dxa"/>
            <w:vAlign w:val="bottom"/>
          </w:tcPr>
          <w:p>
            <w:pPr>
              <w:jc w:val="right"/>
              <w:ind w:right="30"/>
              <w:spacing w:after="0"/>
              <w:rPr>
                <w:sz w:val="20"/>
                <w:szCs w:val="20"/>
                <w:color w:val="auto"/>
              </w:rPr>
            </w:pPr>
            <w:r>
              <w:rPr>
                <w:rFonts w:ascii="Arial" w:cs="Arial" w:eastAsia="Arial" w:hAnsi="Arial"/>
                <w:sz w:val="18"/>
                <w:szCs w:val="18"/>
                <w:color w:val="auto"/>
                <w:w w:val="81"/>
              </w:rPr>
              <w:t>(3)</w:t>
            </w:r>
          </w:p>
        </w:tc>
        <w:tc>
          <w:tcPr>
            <w:tcW w:w="3500" w:type="dxa"/>
            <w:vAlign w:val="bottom"/>
            <w:gridSpan w:val="2"/>
          </w:tcPr>
          <w:p>
            <w:pPr>
              <w:ind w:left="100"/>
              <w:spacing w:after="0"/>
              <w:rPr>
                <w:sz w:val="20"/>
                <w:szCs w:val="20"/>
                <w:color w:val="auto"/>
              </w:rPr>
            </w:pPr>
            <w:r>
              <w:rPr>
                <w:rFonts w:ascii="Arial" w:cs="Arial" w:eastAsia="Arial" w:hAnsi="Arial"/>
                <w:sz w:val="18"/>
                <w:szCs w:val="18"/>
                <w:color w:val="auto"/>
              </w:rPr>
              <w:t>Includes, (i) restricted stock unit awards of</w:t>
            </w:r>
          </w:p>
        </w:tc>
        <w:tc>
          <w:tcPr>
            <w:tcW w:w="6540" w:type="dxa"/>
            <w:vAlign w:val="bottom"/>
          </w:tcPr>
          <w:p>
            <w:pPr>
              <w:ind w:left="300"/>
              <w:spacing w:after="0"/>
              <w:rPr>
                <w:sz w:val="20"/>
                <w:szCs w:val="20"/>
                <w:color w:val="auto"/>
              </w:rPr>
            </w:pPr>
            <w:r>
              <w:rPr>
                <w:rFonts w:ascii="Arial" w:cs="Arial" w:eastAsia="Arial" w:hAnsi="Arial"/>
                <w:sz w:val="18"/>
                <w:szCs w:val="18"/>
                <w:color w:val="auto"/>
                <w:w w:val="89"/>
              </w:rPr>
              <w:t>of shares of Class A common stock granted to our executive leadership team and other</w:t>
            </w:r>
          </w:p>
        </w:tc>
      </w:tr>
    </w:tbl>
    <w:p>
      <w:pPr>
        <w:ind w:left="720" w:right="160"/>
        <w:spacing w:after="0" w:line="253" w:lineRule="auto"/>
        <w:rPr>
          <w:sz w:val="20"/>
          <w:szCs w:val="20"/>
          <w:color w:val="auto"/>
        </w:rPr>
      </w:pPr>
      <w:r>
        <w:rPr>
          <w:rFonts w:ascii="Arial" w:cs="Arial" w:eastAsia="Arial" w:hAnsi="Arial"/>
          <w:sz w:val="18"/>
          <w:szCs w:val="18"/>
          <w:color w:val="auto"/>
        </w:rPr>
        <w:t>employees, (ii) restricted stock unit award 650,000 shares of Class A common stock granted to our President and member of the board, Robert Musslewhite, in connection with his appointment as President, subject to vesting and (iii) restricted stock unit award of 6,737 shares of Class A common stock granted to Kathleen Winters, our newly appointed member of the board, in connection with her appointment. See “Executive Compensation—2021 Plan Reserves.”</w:t>
      </w:r>
    </w:p>
    <w:p>
      <w:pPr>
        <w:spacing w:after="0" w:line="382" w:lineRule="exact"/>
        <w:rPr>
          <w:sz w:val="20"/>
          <w:szCs w:val="20"/>
          <w:color w:val="auto"/>
        </w:rPr>
      </w:pPr>
    </w:p>
    <w:p>
      <w:pPr>
        <w:jc w:val="center"/>
        <w:ind w:right="-55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0920"/>
          </w:cols>
          <w:pgMar w:left="320" w:top="459" w:right="65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299"/>
        <w:spacing w:after="0"/>
        <w:rPr>
          <w:sz w:val="20"/>
          <w:szCs w:val="20"/>
          <w:color w:val="auto"/>
        </w:rPr>
      </w:pPr>
      <w:r>
        <w:rPr>
          <w:rFonts w:ascii="Arial" w:cs="Arial" w:eastAsia="Arial" w:hAnsi="Arial"/>
          <w:sz w:val="18"/>
          <w:szCs w:val="18"/>
          <w:b w:val="1"/>
          <w:bCs w:val="1"/>
          <w:color w:val="auto"/>
        </w:rPr>
        <w:t>Confidential Treatment Requested by Definitive Healthcare Corp.</w:t>
      </w:r>
    </w:p>
    <w:p>
      <w:pPr>
        <w:spacing w:after="0" w:line="27" w:lineRule="exact"/>
        <w:rPr>
          <w:sz w:val="20"/>
          <w:szCs w:val="20"/>
          <w:color w:val="auto"/>
        </w:rPr>
      </w:pPr>
    </w:p>
    <w:p>
      <w:pPr>
        <w:jc w:val="center"/>
        <w:ind w:right="-299"/>
        <w:spacing w:after="0"/>
        <w:rPr>
          <w:sz w:val="20"/>
          <w:szCs w:val="20"/>
          <w:color w:val="auto"/>
        </w:rPr>
      </w:pPr>
      <w:r>
        <w:rPr>
          <w:rFonts w:ascii="Arial" w:cs="Arial" w:eastAsia="Arial" w:hAnsi="Arial"/>
          <w:sz w:val="18"/>
          <w:szCs w:val="18"/>
          <w:b w:val="1"/>
          <w:bCs w:val="1"/>
          <w:color w:val="auto"/>
        </w:rPr>
        <w:t>Pursuant to 17 C.F.R. Section 200.83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97790</wp:posOffset>
            </wp:positionV>
            <wp:extent cx="6998970" cy="603059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6998970" cy="6030595"/>
                    </a:xfrm>
                    <a:prstGeom prst="rect">
                      <a:avLst/>
                    </a:prstGeom>
                    <a:noFill/>
                  </pic:spPr>
                </pic:pic>
              </a:graphicData>
            </a:graphic>
          </wp:anchor>
        </w:drawing>
      </w:r>
    </w:p>
    <w:p>
      <w:pPr>
        <w:spacing w:after="0" w:line="312" w:lineRule="exact"/>
        <w:rPr>
          <w:sz w:val="20"/>
          <w:szCs w:val="20"/>
          <w:color w:val="auto"/>
        </w:rPr>
      </w:pPr>
    </w:p>
    <w:p>
      <w:pPr>
        <w:ind w:left="300" w:right="140" w:firstLine="426"/>
        <w:spacing w:after="0" w:line="263" w:lineRule="auto"/>
        <w:rPr>
          <w:sz w:val="20"/>
          <w:szCs w:val="20"/>
          <w:color w:val="auto"/>
        </w:rPr>
      </w:pPr>
      <w:r>
        <w:rPr>
          <w:rFonts w:ascii="Arial" w:cs="Arial" w:eastAsia="Arial" w:hAnsi="Arial"/>
          <w:sz w:val="18"/>
          <w:szCs w:val="18"/>
          <w:color w:val="auto"/>
        </w:rPr>
        <w:t>The following table presents the economic interests and combined voting power in Definitive Healthcare Corp. held by the public stockholders, each of the Sponsors, Jason Krantz, members of AIDH Management Holdings, LLC, and other LLC Unitholders (after giving effect to this offering and the use of proceeds therefrom):</w:t>
      </w:r>
    </w:p>
    <w:p>
      <w:pPr>
        <w:spacing w:after="0" w:line="202" w:lineRule="exact"/>
        <w:rPr>
          <w:sz w:val="20"/>
          <w:szCs w:val="20"/>
          <w:color w:val="auto"/>
        </w:rPr>
      </w:pPr>
    </w:p>
    <w:tbl>
      <w:tblPr>
        <w:tblLayout w:type="fixed"/>
        <w:tblInd w:w="300" w:type="dxa"/>
        <w:tblCellMar>
          <w:top w:w="0" w:type="dxa"/>
          <w:left w:w="0" w:type="dxa"/>
          <w:bottom w:w="0" w:type="dxa"/>
          <w:right w:w="0" w:type="dxa"/>
        </w:tblCellMar>
      </w:tblPr>
      <w:tr>
        <w:trPr>
          <w:trHeight w:val="171"/>
        </w:trPr>
        <w:tc>
          <w:tcPr>
            <w:tcW w:w="1160" w:type="dxa"/>
            <w:vAlign w:val="bottom"/>
          </w:tcPr>
          <w:p>
            <w:pPr>
              <w:spacing w:after="0"/>
              <w:rPr>
                <w:sz w:val="14"/>
                <w:szCs w:val="14"/>
                <w:color w:val="auto"/>
              </w:rPr>
            </w:pPr>
          </w:p>
        </w:tc>
        <w:tc>
          <w:tcPr>
            <w:tcW w:w="5840" w:type="dxa"/>
            <w:vAlign w:val="bottom"/>
          </w:tcPr>
          <w:p>
            <w:pPr>
              <w:spacing w:after="0"/>
              <w:rPr>
                <w:sz w:val="14"/>
                <w:szCs w:val="14"/>
                <w:color w:val="auto"/>
              </w:rPr>
            </w:pPr>
          </w:p>
        </w:tc>
        <w:tc>
          <w:tcPr>
            <w:tcW w:w="1680" w:type="dxa"/>
            <w:vAlign w:val="bottom"/>
            <w:gridSpan w:val="3"/>
          </w:tcPr>
          <w:p>
            <w:pPr>
              <w:jc w:val="right"/>
              <w:ind w:right="40"/>
              <w:spacing w:after="0"/>
              <w:rPr>
                <w:sz w:val="20"/>
                <w:szCs w:val="20"/>
                <w:color w:val="auto"/>
              </w:rPr>
            </w:pPr>
            <w:r>
              <w:rPr>
                <w:rFonts w:ascii="Arial" w:cs="Arial" w:eastAsia="Arial" w:hAnsi="Arial"/>
                <w:sz w:val="14"/>
                <w:szCs w:val="14"/>
                <w:b w:val="1"/>
                <w:bCs w:val="1"/>
                <w:color w:val="auto"/>
                <w:w w:val="96"/>
              </w:rPr>
              <w:t>Common Stock Owned</w:t>
            </w:r>
            <w:r>
              <w:rPr>
                <w:rFonts w:ascii="Arial" w:cs="Arial" w:eastAsia="Arial" w:hAnsi="Arial"/>
                <w:sz w:val="12"/>
                <w:szCs w:val="12"/>
                <w:b w:val="1"/>
                <w:bCs w:val="1"/>
                <w:color w:val="auto"/>
                <w:w w:val="96"/>
              </w:rPr>
              <w:t>(1)</w:t>
            </w:r>
          </w:p>
        </w:tc>
        <w:tc>
          <w:tcPr>
            <w:tcW w:w="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400" w:type="dxa"/>
            <w:vAlign w:val="bottom"/>
            <w:gridSpan w:val="4"/>
          </w:tcPr>
          <w:p>
            <w:pPr>
              <w:ind w:left="100"/>
              <w:spacing w:after="0"/>
              <w:rPr>
                <w:sz w:val="20"/>
                <w:szCs w:val="20"/>
                <w:color w:val="auto"/>
              </w:rPr>
            </w:pPr>
            <w:r>
              <w:rPr>
                <w:rFonts w:ascii="Arial" w:cs="Arial" w:eastAsia="Arial" w:hAnsi="Arial"/>
                <w:sz w:val="14"/>
                <w:szCs w:val="14"/>
                <w:b w:val="1"/>
                <w:bCs w:val="1"/>
                <w:color w:val="auto"/>
              </w:rPr>
              <w:t>Voting Power</w:t>
            </w:r>
            <w:r>
              <w:rPr>
                <w:rFonts w:ascii="Arial" w:cs="Arial" w:eastAsia="Arial" w:hAnsi="Arial"/>
                <w:sz w:val="12"/>
                <w:szCs w:val="12"/>
                <w:b w:val="1"/>
                <w:bCs w:val="1"/>
                <w:color w:val="auto"/>
              </w:rPr>
              <w:t>(2)</w:t>
            </w:r>
          </w:p>
        </w:tc>
      </w:tr>
      <w:tr>
        <w:trPr>
          <w:trHeight w:val="142"/>
        </w:trPr>
        <w:tc>
          <w:tcPr>
            <w:tcW w:w="1160" w:type="dxa"/>
            <w:vAlign w:val="bottom"/>
          </w:tcPr>
          <w:p>
            <w:pPr>
              <w:spacing w:after="0"/>
              <w:rPr>
                <w:sz w:val="12"/>
                <w:szCs w:val="12"/>
                <w:color w:val="auto"/>
              </w:rPr>
            </w:pPr>
          </w:p>
        </w:tc>
        <w:tc>
          <w:tcPr>
            <w:tcW w:w="5840" w:type="dxa"/>
            <w:vAlign w:val="bottom"/>
          </w:tcPr>
          <w:p>
            <w:pPr>
              <w:spacing w:after="0"/>
              <w:rPr>
                <w:sz w:val="12"/>
                <w:szCs w:val="12"/>
                <w:color w:val="auto"/>
              </w:rPr>
            </w:pPr>
          </w:p>
        </w:tc>
        <w:tc>
          <w:tcPr>
            <w:tcW w:w="940" w:type="dxa"/>
            <w:vAlign w:val="bottom"/>
            <w:tcBorders>
              <w:top w:val="single" w:sz="8" w:color="auto"/>
            </w:tcBorders>
          </w:tcPr>
          <w:p>
            <w:pPr>
              <w:ind w:left="260"/>
              <w:spacing w:after="0" w:line="142" w:lineRule="exact"/>
              <w:rPr>
                <w:sz w:val="20"/>
                <w:szCs w:val="20"/>
                <w:color w:val="auto"/>
              </w:rPr>
            </w:pPr>
            <w:r>
              <w:rPr>
                <w:rFonts w:ascii="Arial" w:cs="Arial" w:eastAsia="Arial" w:hAnsi="Arial"/>
                <w:sz w:val="14"/>
                <w:szCs w:val="14"/>
                <w:b w:val="1"/>
                <w:bCs w:val="1"/>
                <w:color w:val="auto"/>
              </w:rPr>
              <w:t>Shares</w:t>
            </w:r>
          </w:p>
        </w:tc>
        <w:tc>
          <w:tcPr>
            <w:tcW w:w="740" w:type="dxa"/>
            <w:vAlign w:val="bottom"/>
            <w:tcBorders>
              <w:top w:val="single" w:sz="8" w:color="auto"/>
            </w:tcBorders>
            <w:gridSpan w:val="2"/>
          </w:tcPr>
          <w:p>
            <w:pPr>
              <w:jc w:val="right"/>
              <w:ind w:right="100"/>
              <w:spacing w:after="0" w:line="142" w:lineRule="exact"/>
              <w:rPr>
                <w:sz w:val="20"/>
                <w:szCs w:val="20"/>
                <w:color w:val="auto"/>
              </w:rPr>
            </w:pPr>
            <w:r>
              <w:rPr>
                <w:rFonts w:ascii="Arial" w:cs="Arial" w:eastAsia="Arial" w:hAnsi="Arial"/>
                <w:sz w:val="14"/>
                <w:szCs w:val="14"/>
                <w:b w:val="1"/>
                <w:bCs w:val="1"/>
                <w:color w:val="auto"/>
              </w:rPr>
              <w:t>%</w:t>
            </w:r>
          </w:p>
        </w:tc>
        <w:tc>
          <w:tcPr>
            <w:tcW w:w="40" w:type="dxa"/>
            <w:vAlign w:val="bottom"/>
            <w:tcBorders>
              <w:top w:val="single" w:sz="8" w:color="auto"/>
            </w:tcBorders>
          </w:tcPr>
          <w:p>
            <w:pPr>
              <w:spacing w:after="0"/>
              <w:rPr>
                <w:sz w:val="12"/>
                <w:szCs w:val="12"/>
                <w:color w:val="auto"/>
              </w:rPr>
            </w:pPr>
          </w:p>
        </w:tc>
        <w:tc>
          <w:tcPr>
            <w:tcW w:w="520" w:type="dxa"/>
            <w:vAlign w:val="bottom"/>
          </w:tcPr>
          <w:p>
            <w:pPr>
              <w:spacing w:after="0"/>
              <w:rPr>
                <w:sz w:val="12"/>
                <w:szCs w:val="12"/>
                <w:color w:val="auto"/>
              </w:rPr>
            </w:pPr>
          </w:p>
        </w:tc>
        <w:tc>
          <w:tcPr>
            <w:tcW w:w="600" w:type="dxa"/>
            <w:vAlign w:val="bottom"/>
            <w:tcBorders>
              <w:top w:val="single" w:sz="8" w:color="auto"/>
            </w:tcBorders>
          </w:tcPr>
          <w:p>
            <w:pPr>
              <w:ind w:left="140"/>
              <w:spacing w:after="0" w:line="142" w:lineRule="exact"/>
              <w:rPr>
                <w:sz w:val="20"/>
                <w:szCs w:val="20"/>
                <w:color w:val="auto"/>
              </w:rPr>
            </w:pPr>
            <w:r>
              <w:rPr>
                <w:rFonts w:ascii="Arial" w:cs="Arial" w:eastAsia="Arial" w:hAnsi="Arial"/>
                <w:sz w:val="14"/>
                <w:szCs w:val="14"/>
                <w:b w:val="1"/>
                <w:bCs w:val="1"/>
                <w:color w:val="auto"/>
              </w:rPr>
              <w:t>Votes</w:t>
            </w:r>
          </w:p>
        </w:tc>
        <w:tc>
          <w:tcPr>
            <w:tcW w:w="580" w:type="dxa"/>
            <w:vAlign w:val="bottom"/>
            <w:tcBorders>
              <w:top w:val="single" w:sz="8" w:color="auto"/>
            </w:tcBorders>
            <w:gridSpan w:val="2"/>
          </w:tcPr>
          <w:p>
            <w:pPr>
              <w:jc w:val="right"/>
              <w:ind w:right="60"/>
              <w:spacing w:after="0" w:line="142" w:lineRule="exact"/>
              <w:rPr>
                <w:sz w:val="20"/>
                <w:szCs w:val="20"/>
                <w:color w:val="auto"/>
              </w:rPr>
            </w:pPr>
            <w:r>
              <w:rPr>
                <w:rFonts w:ascii="Arial" w:cs="Arial" w:eastAsia="Arial" w:hAnsi="Arial"/>
                <w:sz w:val="14"/>
                <w:szCs w:val="14"/>
                <w:b w:val="1"/>
                <w:bCs w:val="1"/>
                <w:color w:val="auto"/>
              </w:rPr>
              <w:t>%</w:t>
            </w:r>
          </w:p>
        </w:tc>
        <w:tc>
          <w:tcPr>
            <w:tcW w:w="220" w:type="dxa"/>
            <w:vAlign w:val="bottom"/>
          </w:tcPr>
          <w:p>
            <w:pPr>
              <w:spacing w:after="0"/>
              <w:rPr>
                <w:sz w:val="12"/>
                <w:szCs w:val="12"/>
                <w:color w:val="auto"/>
              </w:rPr>
            </w:pPr>
          </w:p>
        </w:tc>
      </w:tr>
      <w:tr>
        <w:trPr>
          <w:trHeight w:val="210"/>
        </w:trPr>
        <w:tc>
          <w:tcPr>
            <w:tcW w:w="7000" w:type="dxa"/>
            <w:vAlign w:val="bottom"/>
            <w:tcBorders>
              <w:top w:val="single" w:sz="8" w:color="CCEEFF"/>
            </w:tcBorders>
            <w:gridSpan w:val="2"/>
            <w:shd w:val="clear" w:color="auto" w:fill="CCEEFF"/>
          </w:tcPr>
          <w:p>
            <w:pPr>
              <w:ind w:left="360"/>
              <w:spacing w:after="0"/>
              <w:rPr>
                <w:sz w:val="20"/>
                <w:szCs w:val="20"/>
                <w:color w:val="auto"/>
              </w:rPr>
            </w:pPr>
            <w:r>
              <w:rPr>
                <w:rFonts w:ascii="Arial" w:cs="Arial" w:eastAsia="Arial" w:hAnsi="Arial"/>
                <w:sz w:val="18"/>
                <w:szCs w:val="18"/>
                <w:color w:val="auto"/>
              </w:rPr>
              <w:t>Public Stockholders</w:t>
            </w:r>
          </w:p>
        </w:tc>
        <w:tc>
          <w:tcPr>
            <w:tcW w:w="940" w:type="dxa"/>
            <w:vAlign w:val="bottom"/>
            <w:tcBorders>
              <w:top w:val="single" w:sz="8" w:color="auto"/>
            </w:tcBorders>
            <w:shd w:val="clear" w:color="auto" w:fill="CCEEFF"/>
          </w:tcPr>
          <w:p>
            <w:pPr>
              <w:spacing w:after="0"/>
              <w:rPr>
                <w:sz w:val="18"/>
                <w:szCs w:val="18"/>
                <w:color w:val="auto"/>
              </w:rPr>
            </w:pPr>
          </w:p>
        </w:tc>
        <w:tc>
          <w:tcPr>
            <w:tcW w:w="36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spacing w:after="0"/>
              <w:rPr>
                <w:sz w:val="18"/>
                <w:szCs w:val="18"/>
                <w:color w:val="auto"/>
              </w:rPr>
            </w:pPr>
          </w:p>
        </w:tc>
        <w:tc>
          <w:tcPr>
            <w:tcW w:w="40" w:type="dxa"/>
            <w:vAlign w:val="bottom"/>
            <w:tcBorders>
              <w:top w:val="single" w:sz="8" w:color="auto"/>
            </w:tcBorders>
            <w:shd w:val="clear" w:color="auto" w:fill="CCEEFF"/>
          </w:tcPr>
          <w:p>
            <w:pPr>
              <w:spacing w:after="0"/>
              <w:rPr>
                <w:sz w:val="18"/>
                <w:szCs w:val="18"/>
                <w:color w:val="auto"/>
              </w:rPr>
            </w:pPr>
          </w:p>
        </w:tc>
        <w:tc>
          <w:tcPr>
            <w:tcW w:w="5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w:t>
            </w:r>
          </w:p>
        </w:tc>
        <w:tc>
          <w:tcPr>
            <w:tcW w:w="600" w:type="dxa"/>
            <w:vAlign w:val="bottom"/>
            <w:tcBorders>
              <w:top w:val="single" w:sz="8" w:color="auto"/>
            </w:tcBorders>
            <w:shd w:val="clear" w:color="auto" w:fill="CCEEFF"/>
          </w:tcPr>
          <w:p>
            <w:pPr>
              <w:spacing w:after="0"/>
              <w:rPr>
                <w:sz w:val="18"/>
                <w:szCs w:val="18"/>
                <w:color w:val="auto"/>
              </w:rPr>
            </w:pPr>
          </w:p>
        </w:tc>
        <w:tc>
          <w:tcPr>
            <w:tcW w:w="34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w:t>
            </w:r>
          </w:p>
        </w:tc>
      </w:tr>
      <w:tr>
        <w:trPr>
          <w:trHeight w:val="216"/>
        </w:trPr>
        <w:tc>
          <w:tcPr>
            <w:tcW w:w="7940" w:type="dxa"/>
            <w:vAlign w:val="bottom"/>
            <w:gridSpan w:val="3"/>
          </w:tcPr>
          <w:p>
            <w:pPr>
              <w:ind w:left="360"/>
              <w:spacing w:after="0"/>
              <w:rPr>
                <w:sz w:val="20"/>
                <w:szCs w:val="20"/>
                <w:color w:val="auto"/>
              </w:rPr>
            </w:pPr>
            <w:r>
              <w:rPr>
                <w:rFonts w:ascii="Arial" w:cs="Arial" w:eastAsia="Arial" w:hAnsi="Arial"/>
                <w:sz w:val="18"/>
                <w:szCs w:val="18"/>
                <w:color w:val="auto"/>
              </w:rPr>
              <w:t>Advent</w:t>
            </w:r>
          </w:p>
        </w:tc>
        <w:tc>
          <w:tcPr>
            <w:tcW w:w="3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560" w:type="dxa"/>
            <w:vAlign w:val="bottom"/>
            <w:gridSpan w:val="2"/>
          </w:tcPr>
          <w:p>
            <w:pPr>
              <w:ind w:left="40"/>
              <w:spacing w:after="0"/>
              <w:rPr>
                <w:sz w:val="20"/>
                <w:szCs w:val="20"/>
                <w:color w:val="auto"/>
              </w:rPr>
            </w:pPr>
            <w:r>
              <w:rPr>
                <w:rFonts w:ascii="Arial" w:cs="Arial" w:eastAsia="Arial" w:hAnsi="Arial"/>
                <w:sz w:val="18"/>
                <w:szCs w:val="18"/>
                <w:color w:val="auto"/>
              </w:rPr>
              <w:t>%</w:t>
            </w:r>
          </w:p>
        </w:tc>
        <w:tc>
          <w:tcPr>
            <w:tcW w:w="600" w:type="dxa"/>
            <w:vAlign w:val="bottom"/>
          </w:tcPr>
          <w:p>
            <w:pPr>
              <w:spacing w:after="0"/>
              <w:rPr>
                <w:sz w:val="18"/>
                <w:szCs w:val="18"/>
                <w:color w:val="auto"/>
              </w:rPr>
            </w:pPr>
          </w:p>
        </w:tc>
        <w:tc>
          <w:tcPr>
            <w:tcW w:w="800" w:type="dxa"/>
            <w:vAlign w:val="bottom"/>
            <w:gridSpan w:val="3"/>
          </w:tcPr>
          <w:p>
            <w:pPr>
              <w:ind w:left="580"/>
              <w:spacing w:after="0"/>
              <w:rPr>
                <w:sz w:val="20"/>
                <w:szCs w:val="20"/>
                <w:color w:val="auto"/>
              </w:rPr>
            </w:pPr>
            <w:r>
              <w:rPr>
                <w:rFonts w:ascii="Arial" w:cs="Arial" w:eastAsia="Arial" w:hAnsi="Arial"/>
                <w:sz w:val="18"/>
                <w:szCs w:val="18"/>
                <w:color w:val="auto"/>
              </w:rPr>
              <w:t>%</w:t>
            </w:r>
          </w:p>
        </w:tc>
      </w:tr>
      <w:tr>
        <w:trPr>
          <w:trHeight w:val="216"/>
        </w:trPr>
        <w:tc>
          <w:tcPr>
            <w:tcW w:w="7940" w:type="dxa"/>
            <w:vAlign w:val="bottom"/>
            <w:gridSpan w:val="3"/>
            <w:shd w:val="clear" w:color="auto" w:fill="CCEEFF"/>
          </w:tcPr>
          <w:p>
            <w:pPr>
              <w:ind w:left="360"/>
              <w:spacing w:after="0"/>
              <w:rPr>
                <w:sz w:val="20"/>
                <w:szCs w:val="20"/>
                <w:color w:val="auto"/>
              </w:rPr>
            </w:pPr>
            <w:r>
              <w:rPr>
                <w:rFonts w:ascii="Arial" w:cs="Arial" w:eastAsia="Arial" w:hAnsi="Arial"/>
                <w:sz w:val="18"/>
                <w:szCs w:val="18"/>
                <w:color w:val="auto"/>
              </w:rPr>
              <w:t>Spectrum Equity</w:t>
            </w:r>
          </w:p>
        </w:tc>
        <w:tc>
          <w:tcPr>
            <w:tcW w:w="3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56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spacing w:after="0"/>
              <w:rPr>
                <w:sz w:val="18"/>
                <w:szCs w:val="18"/>
                <w:color w:val="auto"/>
              </w:rPr>
            </w:pPr>
          </w:p>
        </w:tc>
        <w:tc>
          <w:tcPr>
            <w:tcW w:w="800" w:type="dxa"/>
            <w:vAlign w:val="bottom"/>
            <w:gridSpan w:val="3"/>
            <w:shd w:val="clear" w:color="auto" w:fill="CCEEFF"/>
          </w:tcPr>
          <w:p>
            <w:pPr>
              <w:ind w:left="580"/>
              <w:spacing w:after="0"/>
              <w:rPr>
                <w:sz w:val="20"/>
                <w:szCs w:val="20"/>
                <w:color w:val="auto"/>
              </w:rPr>
            </w:pPr>
            <w:r>
              <w:rPr>
                <w:rFonts w:ascii="Arial" w:cs="Arial" w:eastAsia="Arial" w:hAnsi="Arial"/>
                <w:sz w:val="18"/>
                <w:szCs w:val="18"/>
                <w:color w:val="auto"/>
              </w:rPr>
              <w:t>%</w:t>
            </w:r>
          </w:p>
        </w:tc>
      </w:tr>
      <w:tr>
        <w:trPr>
          <w:trHeight w:val="216"/>
        </w:trPr>
        <w:tc>
          <w:tcPr>
            <w:tcW w:w="7940" w:type="dxa"/>
            <w:vAlign w:val="bottom"/>
            <w:gridSpan w:val="3"/>
          </w:tcPr>
          <w:p>
            <w:pPr>
              <w:ind w:left="360"/>
              <w:spacing w:after="0"/>
              <w:rPr>
                <w:sz w:val="20"/>
                <w:szCs w:val="20"/>
                <w:color w:val="auto"/>
              </w:rPr>
            </w:pPr>
            <w:r>
              <w:rPr>
                <w:rFonts w:ascii="Arial" w:cs="Arial" w:eastAsia="Arial" w:hAnsi="Arial"/>
                <w:sz w:val="18"/>
                <w:szCs w:val="18"/>
                <w:color w:val="auto"/>
              </w:rPr>
              <w:t>22C Capital</w:t>
            </w:r>
          </w:p>
        </w:tc>
        <w:tc>
          <w:tcPr>
            <w:tcW w:w="3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560" w:type="dxa"/>
            <w:vAlign w:val="bottom"/>
            <w:gridSpan w:val="2"/>
          </w:tcPr>
          <w:p>
            <w:pPr>
              <w:ind w:left="40"/>
              <w:spacing w:after="0"/>
              <w:rPr>
                <w:sz w:val="20"/>
                <w:szCs w:val="20"/>
                <w:color w:val="auto"/>
              </w:rPr>
            </w:pPr>
            <w:r>
              <w:rPr>
                <w:rFonts w:ascii="Arial" w:cs="Arial" w:eastAsia="Arial" w:hAnsi="Arial"/>
                <w:sz w:val="18"/>
                <w:szCs w:val="18"/>
                <w:color w:val="auto"/>
              </w:rPr>
              <w:t>%</w:t>
            </w:r>
          </w:p>
        </w:tc>
        <w:tc>
          <w:tcPr>
            <w:tcW w:w="600" w:type="dxa"/>
            <w:vAlign w:val="bottom"/>
          </w:tcPr>
          <w:p>
            <w:pPr>
              <w:spacing w:after="0"/>
              <w:rPr>
                <w:sz w:val="18"/>
                <w:szCs w:val="18"/>
                <w:color w:val="auto"/>
              </w:rPr>
            </w:pPr>
          </w:p>
        </w:tc>
        <w:tc>
          <w:tcPr>
            <w:tcW w:w="800" w:type="dxa"/>
            <w:vAlign w:val="bottom"/>
            <w:gridSpan w:val="3"/>
          </w:tcPr>
          <w:p>
            <w:pPr>
              <w:ind w:left="580"/>
              <w:spacing w:after="0"/>
              <w:rPr>
                <w:sz w:val="20"/>
                <w:szCs w:val="20"/>
                <w:color w:val="auto"/>
              </w:rPr>
            </w:pPr>
            <w:r>
              <w:rPr>
                <w:rFonts w:ascii="Arial" w:cs="Arial" w:eastAsia="Arial" w:hAnsi="Arial"/>
                <w:sz w:val="18"/>
                <w:szCs w:val="18"/>
                <w:color w:val="auto"/>
              </w:rPr>
              <w:t>%</w:t>
            </w:r>
          </w:p>
        </w:tc>
      </w:tr>
      <w:tr>
        <w:trPr>
          <w:trHeight w:val="216"/>
        </w:trPr>
        <w:tc>
          <w:tcPr>
            <w:tcW w:w="7940" w:type="dxa"/>
            <w:vAlign w:val="bottom"/>
            <w:gridSpan w:val="3"/>
            <w:shd w:val="clear" w:color="auto" w:fill="CCEEFF"/>
          </w:tcPr>
          <w:p>
            <w:pPr>
              <w:ind w:left="360"/>
              <w:spacing w:after="0"/>
              <w:rPr>
                <w:sz w:val="20"/>
                <w:szCs w:val="20"/>
                <w:color w:val="auto"/>
              </w:rPr>
            </w:pPr>
            <w:r>
              <w:rPr>
                <w:rFonts w:ascii="Arial" w:cs="Arial" w:eastAsia="Arial" w:hAnsi="Arial"/>
                <w:sz w:val="18"/>
                <w:szCs w:val="18"/>
                <w:color w:val="auto"/>
              </w:rPr>
              <w:t>Jason Krantz</w:t>
            </w:r>
          </w:p>
        </w:tc>
        <w:tc>
          <w:tcPr>
            <w:tcW w:w="3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56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spacing w:after="0"/>
              <w:rPr>
                <w:sz w:val="18"/>
                <w:szCs w:val="18"/>
                <w:color w:val="auto"/>
              </w:rPr>
            </w:pPr>
          </w:p>
        </w:tc>
        <w:tc>
          <w:tcPr>
            <w:tcW w:w="800" w:type="dxa"/>
            <w:vAlign w:val="bottom"/>
            <w:gridSpan w:val="3"/>
            <w:shd w:val="clear" w:color="auto" w:fill="CCEEFF"/>
          </w:tcPr>
          <w:p>
            <w:pPr>
              <w:ind w:left="580"/>
              <w:spacing w:after="0"/>
              <w:rPr>
                <w:sz w:val="20"/>
                <w:szCs w:val="20"/>
                <w:color w:val="auto"/>
              </w:rPr>
            </w:pPr>
            <w:r>
              <w:rPr>
                <w:rFonts w:ascii="Arial" w:cs="Arial" w:eastAsia="Arial" w:hAnsi="Arial"/>
                <w:sz w:val="18"/>
                <w:szCs w:val="18"/>
                <w:color w:val="auto"/>
              </w:rPr>
              <w:t>%</w:t>
            </w:r>
          </w:p>
        </w:tc>
      </w:tr>
      <w:tr>
        <w:trPr>
          <w:trHeight w:val="216"/>
        </w:trPr>
        <w:tc>
          <w:tcPr>
            <w:tcW w:w="7940" w:type="dxa"/>
            <w:vAlign w:val="bottom"/>
            <w:gridSpan w:val="3"/>
          </w:tcPr>
          <w:p>
            <w:pPr>
              <w:ind w:left="360"/>
              <w:spacing w:after="0"/>
              <w:rPr>
                <w:sz w:val="20"/>
                <w:szCs w:val="20"/>
                <w:color w:val="auto"/>
              </w:rPr>
            </w:pPr>
            <w:r>
              <w:rPr>
                <w:rFonts w:ascii="Arial" w:cs="Arial" w:eastAsia="Arial" w:hAnsi="Arial"/>
                <w:sz w:val="18"/>
                <w:szCs w:val="18"/>
                <w:color w:val="auto"/>
              </w:rPr>
              <w:t>Members of AIDH Management Holdings, LLC</w:t>
            </w:r>
            <w:r>
              <w:rPr>
                <w:rFonts w:ascii="Arial" w:cs="Arial" w:eastAsia="Arial" w:hAnsi="Arial"/>
                <w:sz w:val="15"/>
                <w:szCs w:val="15"/>
                <w:color w:val="auto"/>
              </w:rPr>
              <w:t>(3)(4)</w:t>
            </w:r>
          </w:p>
        </w:tc>
        <w:tc>
          <w:tcPr>
            <w:tcW w:w="3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560" w:type="dxa"/>
            <w:vAlign w:val="bottom"/>
            <w:gridSpan w:val="2"/>
          </w:tcPr>
          <w:p>
            <w:pPr>
              <w:ind w:left="40"/>
              <w:spacing w:after="0"/>
              <w:rPr>
                <w:sz w:val="20"/>
                <w:szCs w:val="20"/>
                <w:color w:val="auto"/>
              </w:rPr>
            </w:pPr>
            <w:r>
              <w:rPr>
                <w:rFonts w:ascii="Arial" w:cs="Arial" w:eastAsia="Arial" w:hAnsi="Arial"/>
                <w:sz w:val="18"/>
                <w:szCs w:val="18"/>
                <w:color w:val="auto"/>
              </w:rPr>
              <w:t>%</w:t>
            </w:r>
          </w:p>
        </w:tc>
        <w:tc>
          <w:tcPr>
            <w:tcW w:w="600" w:type="dxa"/>
            <w:vAlign w:val="bottom"/>
          </w:tcPr>
          <w:p>
            <w:pPr>
              <w:spacing w:after="0"/>
              <w:rPr>
                <w:sz w:val="18"/>
                <w:szCs w:val="18"/>
                <w:color w:val="auto"/>
              </w:rPr>
            </w:pPr>
          </w:p>
        </w:tc>
        <w:tc>
          <w:tcPr>
            <w:tcW w:w="800" w:type="dxa"/>
            <w:vAlign w:val="bottom"/>
            <w:gridSpan w:val="3"/>
          </w:tcPr>
          <w:p>
            <w:pPr>
              <w:ind w:left="580"/>
              <w:spacing w:after="0"/>
              <w:rPr>
                <w:sz w:val="20"/>
                <w:szCs w:val="20"/>
                <w:color w:val="auto"/>
              </w:rPr>
            </w:pPr>
            <w:r>
              <w:rPr>
                <w:rFonts w:ascii="Arial" w:cs="Arial" w:eastAsia="Arial" w:hAnsi="Arial"/>
                <w:sz w:val="18"/>
                <w:szCs w:val="18"/>
                <w:color w:val="auto"/>
              </w:rPr>
              <w:t>%</w:t>
            </w:r>
          </w:p>
        </w:tc>
      </w:tr>
      <w:tr>
        <w:trPr>
          <w:trHeight w:val="216"/>
        </w:trPr>
        <w:tc>
          <w:tcPr>
            <w:tcW w:w="7940" w:type="dxa"/>
            <w:vAlign w:val="bottom"/>
            <w:gridSpan w:val="3"/>
            <w:shd w:val="clear" w:color="auto" w:fill="CCEEFF"/>
          </w:tcPr>
          <w:p>
            <w:pPr>
              <w:ind w:left="360"/>
              <w:spacing w:after="0"/>
              <w:rPr>
                <w:sz w:val="20"/>
                <w:szCs w:val="20"/>
                <w:color w:val="auto"/>
              </w:rPr>
            </w:pPr>
            <w:r>
              <w:rPr>
                <w:rFonts w:ascii="Arial" w:cs="Arial" w:eastAsia="Arial" w:hAnsi="Arial"/>
                <w:sz w:val="18"/>
                <w:szCs w:val="18"/>
                <w:color w:val="auto"/>
              </w:rPr>
              <w:t>Other LLC Unitholders</w:t>
            </w:r>
          </w:p>
        </w:tc>
        <w:tc>
          <w:tcPr>
            <w:tcW w:w="3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56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spacing w:after="0"/>
              <w:rPr>
                <w:sz w:val="18"/>
                <w:szCs w:val="18"/>
                <w:color w:val="auto"/>
              </w:rPr>
            </w:pPr>
          </w:p>
        </w:tc>
        <w:tc>
          <w:tcPr>
            <w:tcW w:w="800" w:type="dxa"/>
            <w:vAlign w:val="bottom"/>
            <w:gridSpan w:val="3"/>
            <w:shd w:val="clear" w:color="auto" w:fill="CCEEFF"/>
          </w:tcPr>
          <w:p>
            <w:pPr>
              <w:ind w:left="580"/>
              <w:spacing w:after="0"/>
              <w:rPr>
                <w:sz w:val="20"/>
                <w:szCs w:val="20"/>
                <w:color w:val="auto"/>
              </w:rPr>
            </w:pPr>
            <w:r>
              <w:rPr>
                <w:rFonts w:ascii="Arial" w:cs="Arial" w:eastAsia="Arial" w:hAnsi="Arial"/>
                <w:sz w:val="18"/>
                <w:szCs w:val="18"/>
                <w:color w:val="auto"/>
              </w:rPr>
              <w:t>%</w:t>
            </w:r>
          </w:p>
        </w:tc>
      </w:tr>
      <w:tr>
        <w:trPr>
          <w:trHeight w:val="223"/>
        </w:trPr>
        <w:tc>
          <w:tcPr>
            <w:tcW w:w="7000" w:type="dxa"/>
            <w:vAlign w:val="bottom"/>
            <w:gridSpan w:val="2"/>
          </w:tcPr>
          <w:p>
            <w:pPr>
              <w:ind w:left="360"/>
              <w:spacing w:after="0"/>
              <w:rPr>
                <w:sz w:val="20"/>
                <w:szCs w:val="20"/>
                <w:color w:val="auto"/>
              </w:rPr>
            </w:pPr>
            <w:r>
              <w:rPr>
                <w:rFonts w:ascii="Arial" w:cs="Arial" w:eastAsia="Arial" w:hAnsi="Arial"/>
                <w:sz w:val="18"/>
                <w:szCs w:val="18"/>
                <w:b w:val="1"/>
                <w:bCs w:val="1"/>
                <w:color w:val="auto"/>
              </w:rPr>
              <w:t>Total</w:t>
            </w:r>
          </w:p>
        </w:tc>
        <w:tc>
          <w:tcPr>
            <w:tcW w:w="940" w:type="dxa"/>
            <w:vAlign w:val="bottom"/>
            <w:tcBorders>
              <w:top w:val="single" w:sz="8" w:color="auto"/>
              <w:bottom w:val="single" w:sz="8" w:color="auto"/>
            </w:tcBorders>
          </w:tcPr>
          <w:p>
            <w:pPr>
              <w:spacing w:after="0"/>
              <w:rPr>
                <w:sz w:val="19"/>
                <w:szCs w:val="19"/>
                <w:color w:val="auto"/>
              </w:rPr>
            </w:pPr>
          </w:p>
        </w:tc>
        <w:tc>
          <w:tcPr>
            <w:tcW w:w="360" w:type="dxa"/>
            <w:vAlign w:val="bottom"/>
          </w:tcPr>
          <w:p>
            <w:pPr>
              <w:spacing w:after="0"/>
              <w:rPr>
                <w:sz w:val="19"/>
                <w:szCs w:val="19"/>
                <w:color w:val="auto"/>
              </w:rPr>
            </w:pPr>
          </w:p>
        </w:tc>
        <w:tc>
          <w:tcPr>
            <w:tcW w:w="380" w:type="dxa"/>
            <w:vAlign w:val="bottom"/>
            <w:tcBorders>
              <w:top w:val="single" w:sz="8" w:color="auto"/>
              <w:bottom w:val="single" w:sz="8" w:color="auto"/>
            </w:tcBorders>
          </w:tcPr>
          <w:p>
            <w:pPr>
              <w:spacing w:after="0"/>
              <w:rPr>
                <w:sz w:val="19"/>
                <w:szCs w:val="19"/>
                <w:color w:val="auto"/>
              </w:rPr>
            </w:pPr>
          </w:p>
        </w:tc>
        <w:tc>
          <w:tcPr>
            <w:tcW w:w="40" w:type="dxa"/>
            <w:vAlign w:val="bottom"/>
            <w:tcBorders>
              <w:top w:val="single" w:sz="8" w:color="auto"/>
              <w:bottom w:val="single" w:sz="8" w:color="auto"/>
            </w:tcBorders>
          </w:tcPr>
          <w:p>
            <w:pPr>
              <w:spacing w:after="0"/>
              <w:rPr>
                <w:sz w:val="19"/>
                <w:szCs w:val="19"/>
                <w:color w:val="auto"/>
              </w:rPr>
            </w:pPr>
          </w:p>
        </w:tc>
        <w:tc>
          <w:tcPr>
            <w:tcW w:w="520" w:type="dxa"/>
            <w:vAlign w:val="bottom"/>
          </w:tcPr>
          <w:p>
            <w:pPr>
              <w:spacing w:after="0"/>
              <w:rPr>
                <w:sz w:val="20"/>
                <w:szCs w:val="20"/>
                <w:color w:val="auto"/>
              </w:rPr>
            </w:pPr>
            <w:r>
              <w:rPr>
                <w:rFonts w:ascii="Arial" w:cs="Arial" w:eastAsia="Arial" w:hAnsi="Arial"/>
                <w:sz w:val="18"/>
                <w:szCs w:val="18"/>
                <w:b w:val="1"/>
                <w:bCs w:val="1"/>
                <w:color w:val="auto"/>
              </w:rPr>
              <w:t>%</w:t>
            </w:r>
          </w:p>
        </w:tc>
        <w:tc>
          <w:tcPr>
            <w:tcW w:w="600" w:type="dxa"/>
            <w:vAlign w:val="bottom"/>
            <w:tcBorders>
              <w:top w:val="single" w:sz="8" w:color="auto"/>
              <w:bottom w:val="single" w:sz="8" w:color="auto"/>
            </w:tcBorders>
          </w:tcPr>
          <w:p>
            <w:pPr>
              <w:spacing w:after="0"/>
              <w:rPr>
                <w:sz w:val="19"/>
                <w:szCs w:val="19"/>
                <w:color w:val="auto"/>
              </w:rPr>
            </w:pPr>
          </w:p>
        </w:tc>
        <w:tc>
          <w:tcPr>
            <w:tcW w:w="340" w:type="dxa"/>
            <w:vAlign w:val="bottom"/>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220" w:type="dxa"/>
            <w:vAlign w:val="bottom"/>
          </w:tcPr>
          <w:p>
            <w:pPr>
              <w:spacing w:after="0"/>
              <w:rPr>
                <w:sz w:val="20"/>
                <w:szCs w:val="20"/>
                <w:color w:val="auto"/>
              </w:rPr>
            </w:pPr>
            <w:r>
              <w:rPr>
                <w:rFonts w:ascii="Arial" w:cs="Arial" w:eastAsia="Arial" w:hAnsi="Arial"/>
                <w:sz w:val="18"/>
                <w:szCs w:val="18"/>
                <w:b w:val="1"/>
                <w:bCs w:val="1"/>
                <w:color w:val="auto"/>
              </w:rPr>
              <w:t>%</w:t>
            </w:r>
          </w:p>
        </w:tc>
      </w:tr>
      <w:tr>
        <w:trPr>
          <w:trHeight w:val="20"/>
        </w:trPr>
        <w:tc>
          <w:tcPr>
            <w:tcW w:w="1160" w:type="dxa"/>
            <w:vAlign w:val="bottom"/>
          </w:tcPr>
          <w:p>
            <w:pPr>
              <w:spacing w:after="0" w:line="20" w:lineRule="exact"/>
              <w:rPr>
                <w:sz w:val="1"/>
                <w:szCs w:val="1"/>
                <w:color w:val="auto"/>
              </w:rPr>
            </w:pPr>
          </w:p>
        </w:tc>
        <w:tc>
          <w:tcPr>
            <w:tcW w:w="584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r>
        <w:trPr>
          <w:trHeight w:val="129"/>
        </w:trPr>
        <w:tc>
          <w:tcPr>
            <w:tcW w:w="1160" w:type="dxa"/>
            <w:vAlign w:val="bottom"/>
            <w:tcBorders>
              <w:bottom w:val="single" w:sz="8" w:color="auto"/>
            </w:tcBorders>
          </w:tcPr>
          <w:p>
            <w:pPr>
              <w:spacing w:after="0"/>
              <w:rPr>
                <w:sz w:val="11"/>
                <w:szCs w:val="11"/>
                <w:color w:val="auto"/>
              </w:rPr>
            </w:pPr>
          </w:p>
        </w:tc>
        <w:tc>
          <w:tcPr>
            <w:tcW w:w="58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20" w:type="dxa"/>
            <w:vAlign w:val="bottom"/>
          </w:tcPr>
          <w:p>
            <w:pPr>
              <w:spacing w:after="0"/>
              <w:rPr>
                <w:sz w:val="11"/>
                <w:szCs w:val="11"/>
                <w:color w:val="auto"/>
              </w:rPr>
            </w:pPr>
          </w:p>
        </w:tc>
      </w:tr>
    </w:tbl>
    <w:p>
      <w:pPr>
        <w:spacing w:after="0" w:line="26" w:lineRule="exact"/>
        <w:rPr>
          <w:sz w:val="20"/>
          <w:szCs w:val="20"/>
          <w:color w:val="auto"/>
        </w:rPr>
      </w:pPr>
    </w:p>
    <w:p>
      <w:pPr>
        <w:ind w:left="720" w:hanging="422"/>
        <w:spacing w:after="0"/>
        <w:tabs>
          <w:tab w:leader="none" w:pos="720" w:val="left"/>
        </w:tabs>
        <w:numPr>
          <w:ilvl w:val="0"/>
          <w:numId w:val="29"/>
        </w:numPr>
        <w:rPr>
          <w:rFonts w:ascii="Arial" w:cs="Arial" w:eastAsia="Arial" w:hAnsi="Arial"/>
          <w:sz w:val="16"/>
          <w:szCs w:val="16"/>
          <w:color w:val="auto"/>
        </w:rPr>
      </w:pPr>
      <w:r>
        <w:rPr>
          <w:rFonts w:ascii="Arial" w:cs="Arial" w:eastAsia="Arial" w:hAnsi="Arial"/>
          <w:sz w:val="16"/>
          <w:szCs w:val="16"/>
          <w:color w:val="auto"/>
        </w:rPr>
        <w:t>Reflects the sum of the shares of our Class A common stock and Class B common stock then outstanding, after giving effect to the issuance</w:t>
      </w:r>
    </w:p>
    <w:p>
      <w:pPr>
        <w:spacing w:after="0" w:line="46" w:lineRule="exact"/>
        <w:rPr>
          <w:sz w:val="20"/>
          <w:szCs w:val="20"/>
          <w:color w:val="auto"/>
        </w:rPr>
      </w:pPr>
    </w:p>
    <w:p>
      <w:pPr>
        <w:ind w:left="720" w:right="380"/>
        <w:spacing w:after="0" w:line="281" w:lineRule="auto"/>
        <w:rPr>
          <w:sz w:val="20"/>
          <w:szCs w:val="20"/>
          <w:color w:val="auto"/>
        </w:rPr>
      </w:pPr>
      <w:r>
        <w:rPr>
          <w:rFonts w:ascii="Arial" w:cs="Arial" w:eastAsia="Arial" w:hAnsi="Arial"/>
          <w:sz w:val="16"/>
          <w:szCs w:val="16"/>
          <w:color w:val="auto"/>
        </w:rPr>
        <w:t>and sale of shares of Class A common stock offered hereby. If the underwriters exercise in full their option to purchase additional shares of our Class A common stock, the number of shares of Class A common stock owned by, and the voting power held by public</w:t>
      </w:r>
    </w:p>
    <w:p>
      <w:pPr>
        <w:spacing w:after="0" w:line="1" w:lineRule="exact"/>
        <w:rPr>
          <w:sz w:val="20"/>
          <w:szCs w:val="20"/>
          <w:color w:val="auto"/>
        </w:rPr>
      </w:pPr>
    </w:p>
    <w:p>
      <w:pPr>
        <w:ind w:left="720"/>
        <w:spacing w:after="0"/>
        <w:tabs>
          <w:tab w:leader="none" w:pos="4260" w:val="left"/>
          <w:tab w:leader="none" w:pos="7020" w:val="left"/>
        </w:tabs>
        <w:rPr>
          <w:sz w:val="20"/>
          <w:szCs w:val="20"/>
          <w:color w:val="auto"/>
        </w:rPr>
      </w:pPr>
      <w:r>
        <w:rPr>
          <w:rFonts w:ascii="Arial" w:cs="Arial" w:eastAsia="Arial" w:hAnsi="Arial"/>
          <w:sz w:val="18"/>
          <w:szCs w:val="18"/>
          <w:color w:val="auto"/>
        </w:rPr>
        <w:t>stockholders in the table above, would be</w:t>
      </w:r>
      <w:r>
        <w:rPr>
          <w:sz w:val="20"/>
          <w:szCs w:val="20"/>
          <w:color w:val="auto"/>
        </w:rPr>
        <w:tab/>
      </w:r>
      <w:r>
        <w:rPr>
          <w:rFonts w:ascii="Arial" w:cs="Arial" w:eastAsia="Arial" w:hAnsi="Arial"/>
          <w:sz w:val="18"/>
          <w:szCs w:val="18"/>
          <w:color w:val="auto"/>
        </w:rPr>
        <w:t>shares of Class A common stock or</w:t>
      </w:r>
      <w:r>
        <w:rPr>
          <w:sz w:val="20"/>
          <w:szCs w:val="20"/>
          <w:color w:val="auto"/>
        </w:rPr>
        <w:tab/>
      </w:r>
      <w:r>
        <w:rPr>
          <w:rFonts w:ascii="Arial" w:cs="Arial" w:eastAsia="Arial" w:hAnsi="Arial"/>
          <w:sz w:val="16"/>
          <w:szCs w:val="16"/>
          <w:color w:val="auto"/>
        </w:rPr>
        <w:t>% of the voting power.</w:t>
      </w:r>
    </w:p>
    <w:p>
      <w:pPr>
        <w:spacing w:after="0" w:line="9" w:lineRule="exact"/>
        <w:rPr>
          <w:sz w:val="20"/>
          <w:szCs w:val="20"/>
          <w:color w:val="auto"/>
        </w:rPr>
      </w:pPr>
    </w:p>
    <w:p>
      <w:pPr>
        <w:ind w:left="720" w:right="40" w:hanging="422"/>
        <w:spacing w:after="0" w:line="250" w:lineRule="auto"/>
        <w:tabs>
          <w:tab w:leader="none" w:pos="720" w:val="left"/>
        </w:tabs>
        <w:numPr>
          <w:ilvl w:val="0"/>
          <w:numId w:val="30"/>
        </w:numPr>
        <w:rPr>
          <w:rFonts w:ascii="Arial" w:cs="Arial" w:eastAsia="Arial" w:hAnsi="Arial"/>
          <w:sz w:val="18"/>
          <w:szCs w:val="18"/>
          <w:color w:val="auto"/>
        </w:rPr>
      </w:pPr>
      <w:r>
        <w:rPr>
          <w:rFonts w:ascii="Arial" w:cs="Arial" w:eastAsia="Arial" w:hAnsi="Arial"/>
          <w:sz w:val="18"/>
          <w:szCs w:val="18"/>
          <w:color w:val="auto"/>
        </w:rPr>
        <w:t>Reflects one vote per share of Class A common stock and one vote per share of Class B common stock outstanding other than shares of Class B Common Stock issued with respect to unvested LLC Units held by members of AIDH Management Holdings, LLC. See “Principal and Selling Stockholders” for additional information.</w:t>
      </w:r>
    </w:p>
    <w:tbl>
      <w:tblPr>
        <w:tblLayout w:type="fixed"/>
        <w:tblInd w:w="300" w:type="dxa"/>
        <w:tblCellMar>
          <w:top w:w="0" w:type="dxa"/>
          <w:left w:w="0" w:type="dxa"/>
          <w:bottom w:w="0" w:type="dxa"/>
          <w:right w:w="0" w:type="dxa"/>
        </w:tblCellMar>
      </w:tblPr>
      <w:tr>
        <w:trPr>
          <w:trHeight w:val="203"/>
        </w:trPr>
        <w:tc>
          <w:tcPr>
            <w:tcW w:w="320" w:type="dxa"/>
            <w:vAlign w:val="bottom"/>
          </w:tcPr>
          <w:p>
            <w:pPr>
              <w:jc w:val="right"/>
              <w:ind w:right="30"/>
              <w:spacing w:after="0" w:line="203" w:lineRule="exact"/>
              <w:rPr>
                <w:sz w:val="20"/>
                <w:szCs w:val="20"/>
                <w:color w:val="auto"/>
              </w:rPr>
            </w:pPr>
            <w:r>
              <w:rPr>
                <w:rFonts w:ascii="Arial" w:cs="Arial" w:eastAsia="Arial" w:hAnsi="Arial"/>
                <w:sz w:val="18"/>
                <w:szCs w:val="18"/>
                <w:color w:val="auto"/>
                <w:w w:val="81"/>
              </w:rPr>
              <w:t>(3)</w:t>
            </w:r>
          </w:p>
        </w:tc>
        <w:tc>
          <w:tcPr>
            <w:tcW w:w="1280" w:type="dxa"/>
            <w:vAlign w:val="bottom"/>
          </w:tcPr>
          <w:p>
            <w:pPr>
              <w:ind w:left="100"/>
              <w:spacing w:after="0" w:line="203" w:lineRule="exact"/>
              <w:rPr>
                <w:sz w:val="20"/>
                <w:szCs w:val="20"/>
                <w:color w:val="auto"/>
              </w:rPr>
            </w:pPr>
            <w:r>
              <w:rPr>
                <w:rFonts w:ascii="Arial" w:cs="Arial" w:eastAsia="Arial" w:hAnsi="Arial"/>
                <w:sz w:val="18"/>
                <w:szCs w:val="18"/>
                <w:color w:val="auto"/>
              </w:rPr>
              <w:t>Includes the</w:t>
            </w:r>
          </w:p>
        </w:tc>
        <w:tc>
          <w:tcPr>
            <w:tcW w:w="8780" w:type="dxa"/>
            <w:vAlign w:val="bottom"/>
            <w:gridSpan w:val="2"/>
          </w:tcPr>
          <w:p>
            <w:pPr>
              <w:ind w:left="320"/>
              <w:spacing w:after="0" w:line="203" w:lineRule="exact"/>
              <w:rPr>
                <w:sz w:val="20"/>
                <w:szCs w:val="20"/>
                <w:color w:val="auto"/>
              </w:rPr>
            </w:pPr>
            <w:r>
              <w:rPr>
                <w:rFonts w:ascii="Arial" w:cs="Arial" w:eastAsia="Arial" w:hAnsi="Arial"/>
                <w:sz w:val="18"/>
                <w:szCs w:val="18"/>
                <w:color w:val="auto"/>
              </w:rPr>
              <w:t>LLC Units held by members of AIDH Management Holdings, LLC that are subject to time-based vesting.</w:t>
            </w:r>
          </w:p>
        </w:tc>
      </w:tr>
      <w:tr>
        <w:trPr>
          <w:trHeight w:val="230"/>
        </w:trPr>
        <w:tc>
          <w:tcPr>
            <w:tcW w:w="320" w:type="dxa"/>
            <w:vAlign w:val="bottom"/>
          </w:tcPr>
          <w:p>
            <w:pPr>
              <w:jc w:val="right"/>
              <w:ind w:right="30"/>
              <w:spacing w:after="0"/>
              <w:rPr>
                <w:sz w:val="20"/>
                <w:szCs w:val="20"/>
                <w:color w:val="auto"/>
              </w:rPr>
            </w:pPr>
            <w:r>
              <w:rPr>
                <w:rFonts w:ascii="Arial" w:cs="Arial" w:eastAsia="Arial" w:hAnsi="Arial"/>
                <w:sz w:val="18"/>
                <w:szCs w:val="18"/>
                <w:color w:val="auto"/>
                <w:w w:val="81"/>
              </w:rPr>
              <w:t>(4)</w:t>
            </w:r>
          </w:p>
        </w:tc>
        <w:tc>
          <w:tcPr>
            <w:tcW w:w="4240" w:type="dxa"/>
            <w:vAlign w:val="bottom"/>
            <w:gridSpan w:val="2"/>
          </w:tcPr>
          <w:p>
            <w:pPr>
              <w:ind w:left="100"/>
              <w:spacing w:after="0"/>
              <w:rPr>
                <w:sz w:val="20"/>
                <w:szCs w:val="20"/>
                <w:color w:val="auto"/>
              </w:rPr>
            </w:pPr>
            <w:r>
              <w:rPr>
                <w:rFonts w:ascii="Arial" w:cs="Arial" w:eastAsia="Arial" w:hAnsi="Arial"/>
                <w:sz w:val="18"/>
                <w:szCs w:val="18"/>
                <w:color w:val="auto"/>
                <w:w w:val="98"/>
              </w:rPr>
              <w:t>Does not include (i) restricted stock unit to awards of</w:t>
            </w:r>
          </w:p>
        </w:tc>
        <w:tc>
          <w:tcPr>
            <w:tcW w:w="5820" w:type="dxa"/>
            <w:vAlign w:val="bottom"/>
          </w:tcPr>
          <w:p>
            <w:pPr>
              <w:ind w:left="320"/>
              <w:spacing w:after="0"/>
              <w:rPr>
                <w:sz w:val="20"/>
                <w:szCs w:val="20"/>
                <w:color w:val="auto"/>
              </w:rPr>
            </w:pPr>
            <w:r>
              <w:rPr>
                <w:rFonts w:ascii="Arial" w:cs="Arial" w:eastAsia="Arial" w:hAnsi="Arial"/>
                <w:sz w:val="18"/>
                <w:szCs w:val="18"/>
                <w:color w:val="auto"/>
                <w:w w:val="89"/>
              </w:rPr>
              <w:t>of shares of Class A common stock granted to our executive leadership team</w:t>
            </w:r>
          </w:p>
        </w:tc>
      </w:tr>
    </w:tbl>
    <w:p>
      <w:pPr>
        <w:ind w:left="720" w:right="100"/>
        <w:spacing w:after="0" w:line="253" w:lineRule="auto"/>
        <w:rPr>
          <w:sz w:val="20"/>
          <w:szCs w:val="20"/>
          <w:color w:val="auto"/>
        </w:rPr>
      </w:pPr>
      <w:r>
        <w:rPr>
          <w:rFonts w:ascii="Arial" w:cs="Arial" w:eastAsia="Arial" w:hAnsi="Arial"/>
          <w:sz w:val="18"/>
          <w:szCs w:val="18"/>
          <w:color w:val="auto"/>
        </w:rPr>
        <w:t>and other employees, (ii) restricted stock unit award of 650,000 shares of Class A common stock granted to our President and member of the board, Robert Musslewhite, in connection with his appointment as President, subject to vesting and (iii) restricted stock unit award of 6,737 shares of Class A common stock granted to Kathleen Winters, our newly appointed member of the board, in connection with her appointment. See “Executive Compensation—2021 Plan Reserves.”</w:t>
      </w:r>
    </w:p>
    <w:p>
      <w:pPr>
        <w:spacing w:after="0" w:line="297"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Holding Company Structure and the Tax Receivable Agreement</w:t>
      </w:r>
    </w:p>
    <w:p>
      <w:pPr>
        <w:spacing w:after="0" w:line="121" w:lineRule="exact"/>
        <w:rPr>
          <w:sz w:val="20"/>
          <w:szCs w:val="20"/>
          <w:color w:val="auto"/>
        </w:rPr>
      </w:pPr>
    </w:p>
    <w:p>
      <w:pPr>
        <w:ind w:left="300" w:right="180" w:firstLine="426"/>
        <w:spacing w:after="0" w:line="257" w:lineRule="auto"/>
        <w:rPr>
          <w:sz w:val="20"/>
          <w:szCs w:val="20"/>
          <w:color w:val="auto"/>
        </w:rPr>
      </w:pPr>
      <w:r>
        <w:rPr>
          <w:rFonts w:ascii="Arial" w:cs="Arial" w:eastAsia="Arial" w:hAnsi="Arial"/>
          <w:sz w:val="18"/>
          <w:szCs w:val="18"/>
          <w:color w:val="auto"/>
        </w:rPr>
        <w:t>We are a holding company, and our sole material asset is our ownership interest in Definitive OpCo. The number of LLC Units that we will own directly and indirectly in the aggregate at any time will equal the aggregate number of outstanding shares of our Class A common stock. The economic interest represented by each LLC Unit that we own directly and indirectly will correspond to one share of our Class A common stock, and the total number of LLC Units owned directly and indirectly by us and the other Unitholders at any given time will equal the sum of the outstanding shares of all classes of our common stock.</w:t>
      </w:r>
    </w:p>
    <w:p>
      <w:pPr>
        <w:spacing w:after="0" w:line="188" w:lineRule="exact"/>
        <w:rPr>
          <w:sz w:val="20"/>
          <w:szCs w:val="20"/>
          <w:color w:val="auto"/>
        </w:rPr>
      </w:pPr>
    </w:p>
    <w:p>
      <w:pPr>
        <w:ind w:left="720"/>
        <w:spacing w:after="0"/>
        <w:rPr>
          <w:sz w:val="20"/>
          <w:szCs w:val="20"/>
          <w:color w:val="auto"/>
        </w:rPr>
      </w:pPr>
      <w:r>
        <w:rPr>
          <w:rFonts w:ascii="Arial" w:cs="Arial" w:eastAsia="Arial" w:hAnsi="Arial"/>
          <w:sz w:val="18"/>
          <w:szCs w:val="18"/>
          <w:color w:val="auto"/>
        </w:rPr>
        <w:t>Our Class B common stock is not listed on any stock exchange.</w:t>
      </w:r>
    </w:p>
    <w:p>
      <w:pPr>
        <w:spacing w:after="0" w:line="225" w:lineRule="exact"/>
        <w:rPr>
          <w:sz w:val="20"/>
          <w:szCs w:val="20"/>
          <w:color w:val="auto"/>
        </w:rPr>
      </w:pPr>
    </w:p>
    <w:p>
      <w:pPr>
        <w:ind w:left="300" w:right="300" w:firstLine="426"/>
        <w:spacing w:after="0" w:line="263" w:lineRule="auto"/>
        <w:rPr>
          <w:sz w:val="20"/>
          <w:szCs w:val="20"/>
          <w:color w:val="auto"/>
        </w:rPr>
      </w:pPr>
      <w:r>
        <w:rPr>
          <w:rFonts w:ascii="Arial" w:cs="Arial" w:eastAsia="Arial" w:hAnsi="Arial"/>
          <w:sz w:val="18"/>
          <w:szCs w:val="18"/>
          <w:color w:val="auto"/>
        </w:rPr>
        <w:t>We acquired certain favorable tax attributes from the Blocker Companies in the Reorganization Transactions and certain tax basis adjustments resulting from the acquisition of LLC Units from Unitholders in connection with the IPO. In addition, the acquisition of LLC Units from certain Unitholders in connection with</w:t>
      </w:r>
    </w:p>
    <w:p>
      <w:pPr>
        <w:spacing w:after="0" w:line="373" w:lineRule="exact"/>
        <w:rPr>
          <w:sz w:val="20"/>
          <w:szCs w:val="20"/>
          <w:color w:val="auto"/>
        </w:rPr>
      </w:pPr>
    </w:p>
    <w:p>
      <w:pPr>
        <w:jc w:val="center"/>
        <w:ind w:right="-53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0940"/>
          </w:cols>
          <w:pgMar w:left="320" w:top="459" w:right="63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299"/>
        <w:spacing w:after="0"/>
        <w:rPr>
          <w:sz w:val="20"/>
          <w:szCs w:val="20"/>
          <w:color w:val="auto"/>
        </w:rPr>
      </w:pPr>
      <w:r>
        <w:rPr>
          <w:rFonts w:ascii="Arial" w:cs="Arial" w:eastAsia="Arial" w:hAnsi="Arial"/>
          <w:sz w:val="18"/>
          <w:szCs w:val="18"/>
          <w:b w:val="1"/>
          <w:bCs w:val="1"/>
          <w:color w:val="auto"/>
        </w:rPr>
        <w:t>Confidential Treatment Requested by Definitive Healthcare Corp.</w:t>
      </w:r>
    </w:p>
    <w:p>
      <w:pPr>
        <w:spacing w:after="0" w:line="27" w:lineRule="exact"/>
        <w:rPr>
          <w:sz w:val="20"/>
          <w:szCs w:val="20"/>
          <w:color w:val="auto"/>
        </w:rPr>
      </w:pPr>
    </w:p>
    <w:p>
      <w:pPr>
        <w:jc w:val="center"/>
        <w:ind w:right="-299"/>
        <w:spacing w:after="0"/>
        <w:rPr>
          <w:sz w:val="20"/>
          <w:szCs w:val="20"/>
          <w:color w:val="auto"/>
        </w:rPr>
      </w:pPr>
      <w:r>
        <w:rPr>
          <w:rFonts w:ascii="Arial" w:cs="Arial" w:eastAsia="Arial" w:hAnsi="Arial"/>
          <w:sz w:val="18"/>
          <w:szCs w:val="18"/>
          <w:b w:val="1"/>
          <w:bCs w:val="1"/>
          <w:color w:val="auto"/>
        </w:rPr>
        <w:t>Pursuant to 17 C.F.R. Section 200.83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97790</wp:posOffset>
            </wp:positionV>
            <wp:extent cx="6998970" cy="597916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6998970" cy="5979160"/>
                    </a:xfrm>
                    <a:prstGeom prst="rect">
                      <a:avLst/>
                    </a:prstGeom>
                    <a:noFill/>
                  </pic:spPr>
                </pic:pic>
              </a:graphicData>
            </a:graphic>
          </wp:anchor>
        </w:drawing>
      </w:r>
    </w:p>
    <w:p>
      <w:pPr>
        <w:spacing w:after="0" w:line="312" w:lineRule="exact"/>
        <w:rPr>
          <w:sz w:val="20"/>
          <w:szCs w:val="20"/>
          <w:color w:val="auto"/>
        </w:rPr>
      </w:pPr>
    </w:p>
    <w:p>
      <w:pPr>
        <w:jc w:val="both"/>
        <w:ind w:left="300" w:right="240"/>
        <w:spacing w:after="0" w:line="259" w:lineRule="auto"/>
        <w:rPr>
          <w:sz w:val="20"/>
          <w:szCs w:val="20"/>
          <w:color w:val="auto"/>
        </w:rPr>
      </w:pPr>
      <w:r>
        <w:rPr>
          <w:rFonts w:ascii="Arial" w:cs="Arial" w:eastAsia="Arial" w:hAnsi="Arial"/>
          <w:sz w:val="18"/>
          <w:szCs w:val="18"/>
          <w:color w:val="auto"/>
        </w:rPr>
        <w:t>this offering and acquisitions by us of LLC Units from certain Unitholders in connection with future exchanges by the same Unitholders of LLC Units for shares of our Class A common stock or other consideration are expected to result in favorable tax attributes that will be allocated to us. These tax attributes would not be available to us in the absence of those transactions and are expected to reduce the amount of tax that we would otherwise be required to pay in the future.</w:t>
      </w:r>
    </w:p>
    <w:p>
      <w:pPr>
        <w:spacing w:after="0" w:line="187" w:lineRule="exact"/>
        <w:rPr>
          <w:sz w:val="20"/>
          <w:szCs w:val="20"/>
          <w:color w:val="auto"/>
        </w:rPr>
      </w:pPr>
    </w:p>
    <w:p>
      <w:pPr>
        <w:ind w:left="300" w:right="20" w:firstLine="426"/>
        <w:spacing w:after="0" w:line="255" w:lineRule="auto"/>
        <w:rPr>
          <w:sz w:val="20"/>
          <w:szCs w:val="20"/>
          <w:color w:val="auto"/>
        </w:rPr>
      </w:pPr>
      <w:r>
        <w:rPr>
          <w:rFonts w:ascii="Arial" w:cs="Arial" w:eastAsia="Arial" w:hAnsi="Arial"/>
          <w:sz w:val="18"/>
          <w:szCs w:val="18"/>
          <w:color w:val="auto"/>
        </w:rPr>
        <w:t>In connection with the IPO, we entered into a Tax Receivable Agreement with the TRA Parties. Under the Tax Receivable Agreement, we generally are required to pay to the TRA Parties, in the aggregate, 85% of the amount of cash savings, if any, in U.S. federal, state and local income tax that we actually realize, or in certain circumstances are deemed to realize, as a result of (i) certain favorable tax attributes we acquired from the Blocker Companies, (ii) tax basis adjustments resulting from (a) acquisitions by us of LLC Units from certain Unitholders, including in connection with this offering and (b) future exchanges of LLC Units by Unitholders for Class A common stock or other consideration and (iii) certain payments made under the Tax Receivable Agreement.</w:t>
      </w:r>
    </w:p>
    <w:p>
      <w:pPr>
        <w:spacing w:after="0" w:line="192" w:lineRule="exact"/>
        <w:rPr>
          <w:sz w:val="20"/>
          <w:szCs w:val="20"/>
          <w:color w:val="auto"/>
        </w:rPr>
      </w:pPr>
    </w:p>
    <w:p>
      <w:pPr>
        <w:ind w:left="300" w:firstLine="426"/>
        <w:spacing w:after="0" w:line="270" w:lineRule="auto"/>
        <w:rPr>
          <w:sz w:val="20"/>
          <w:szCs w:val="20"/>
          <w:color w:val="auto"/>
        </w:rPr>
      </w:pPr>
      <w:r>
        <w:rPr>
          <w:rFonts w:ascii="Arial" w:cs="Arial" w:eastAsia="Arial" w:hAnsi="Arial"/>
          <w:sz w:val="17"/>
          <w:szCs w:val="17"/>
          <w:color w:val="auto"/>
        </w:rPr>
        <w:t>Payments under the Tax Receivable Agreement are based on the tax reporting positions we determine, and the IRS or another taxing authority may challenge all or part of the deductions, tax basis increases, net operating losses or other tax attributes subject to the Tax Receivable Agreement, and a court could sustain such challenge. Further, the TRA Parties will not reimburse us for any payments previously made if such tax benefits are subsequently challenged by a taxing authority and are ultimately disallowed, except that any excess payments made to a TRA Party will be netted against future payments otherwise to be made to such TRA Party under the Tax Receivable Agreement, if any, after our determination of such excess. As a result, in such circumstances we could make future payments under the Tax Receivable Agreement that are greater than our actual cash tax savings and may not be able to recoup those payments, which could negatively impact our liquidity. See “Risk Factors—Risks Related to Our Organizational Structure—We will not be reimbursed for any payments made to the TRA Parties under the Tax Receivable Agreement in the event that any tax benefits are disallowed.”</w:t>
      </w:r>
    </w:p>
    <w:p>
      <w:pPr>
        <w:spacing w:after="0" w:line="181" w:lineRule="exact"/>
        <w:rPr>
          <w:sz w:val="20"/>
          <w:szCs w:val="20"/>
          <w:color w:val="auto"/>
        </w:rPr>
      </w:pPr>
    </w:p>
    <w:p>
      <w:pPr>
        <w:ind w:left="300" w:right="240" w:firstLine="426"/>
        <w:spacing w:after="0" w:line="277" w:lineRule="auto"/>
        <w:rPr>
          <w:sz w:val="20"/>
          <w:szCs w:val="20"/>
          <w:color w:val="auto"/>
        </w:rPr>
      </w:pPr>
      <w:r>
        <w:rPr>
          <w:rFonts w:ascii="Arial" w:cs="Arial" w:eastAsia="Arial" w:hAnsi="Arial"/>
          <w:sz w:val="18"/>
          <w:szCs w:val="18"/>
          <w:color w:val="auto"/>
        </w:rPr>
        <w:t>Our obligations under the Tax Receivable Agreement also apply with respect to any person who is issued LLC Units in the future and who becomes a party to the Tax Receivable Agreement.</w:t>
      </w:r>
    </w:p>
    <w:p>
      <w:pPr>
        <w:spacing w:after="0" w:line="170" w:lineRule="exact"/>
        <w:rPr>
          <w:sz w:val="20"/>
          <w:szCs w:val="20"/>
          <w:color w:val="auto"/>
        </w:rPr>
      </w:pPr>
    </w:p>
    <w:p>
      <w:pPr>
        <w:ind w:left="300" w:right="20" w:firstLine="426"/>
        <w:spacing w:after="0" w:line="272" w:lineRule="auto"/>
        <w:rPr>
          <w:sz w:val="20"/>
          <w:szCs w:val="20"/>
          <w:color w:val="auto"/>
        </w:rPr>
      </w:pPr>
      <w:r>
        <w:rPr>
          <w:rFonts w:ascii="Arial" w:cs="Arial" w:eastAsia="Arial" w:hAnsi="Arial"/>
          <w:sz w:val="17"/>
          <w:szCs w:val="17"/>
          <w:color w:val="auto"/>
        </w:rPr>
        <w:t>We are a holding company with no operations of our own and our ability to make payments under the Tax Receivable Agreement will depend on the ability of Definitive OpCo to make distributions to us. Deterioration in the financial condition, earnings, or cash flow of Definitive OpCo and its subsidiaries for any reason could limit or impair their ability to pay such distributions. To the extent that we are unable to make payments under the Tax Receivable Agreement for any reason, such payments generally will be deferred and will accrue interest until paid; provided, however, that nonpayment for a specified period may constitute a breach of a material obligation under the Tax Receivable Agreement and therefore accelerate payments due under the Tax Receivable Agreement, which could negatively impact our results of operations and could also affect our liquidity in periods in which such payments are made.</w:t>
      </w:r>
    </w:p>
    <w:p>
      <w:pPr>
        <w:spacing w:after="0" w:line="281"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Our Sponsors</w:t>
      </w:r>
    </w:p>
    <w:p>
      <w:pPr>
        <w:spacing w:after="0" w:line="121"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Advent</w:t>
      </w:r>
    </w:p>
    <w:p>
      <w:pPr>
        <w:spacing w:after="0" w:line="117" w:lineRule="exact"/>
        <w:rPr>
          <w:sz w:val="20"/>
          <w:szCs w:val="20"/>
          <w:color w:val="auto"/>
        </w:rPr>
      </w:pPr>
    </w:p>
    <w:p>
      <w:pPr>
        <w:ind w:left="300" w:firstLine="426"/>
        <w:spacing w:after="0" w:line="257" w:lineRule="auto"/>
        <w:rPr>
          <w:sz w:val="20"/>
          <w:szCs w:val="20"/>
          <w:color w:val="auto"/>
        </w:rPr>
      </w:pPr>
      <w:r>
        <w:rPr>
          <w:rFonts w:ascii="Arial" w:cs="Arial" w:eastAsia="Arial" w:hAnsi="Arial"/>
          <w:sz w:val="18"/>
          <w:szCs w:val="18"/>
          <w:color w:val="auto"/>
        </w:rPr>
        <w:t>Advent is one of the largest and most experienced global private equity investors. The firm has invested in over 380 private equity transactions in 42 countries, and as of June 30, 2021, had $80.6 billion in assets under management. With 15 offices in 12 countries, Advent has established a globally integrated team of 245 investment professionals across North America, Europe, Latin America and Asia. The firm focuses on investments in five core sectors, including business and financial services; health care; industrial; retail, consumer and leisure; and technology. Advent has a long history of growth investments dating back to its</w:t>
      </w:r>
    </w:p>
    <w:p>
      <w:pPr>
        <w:spacing w:after="0" w:line="377" w:lineRule="exact"/>
        <w:rPr>
          <w:sz w:val="20"/>
          <w:szCs w:val="20"/>
          <w:color w:val="auto"/>
        </w:rPr>
      </w:pPr>
    </w:p>
    <w:p>
      <w:pPr>
        <w:jc w:val="center"/>
        <w:ind w:right="-53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0940"/>
          </w:cols>
          <w:pgMar w:left="320" w:top="459" w:right="63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299"/>
        <w:spacing w:after="0"/>
        <w:rPr>
          <w:sz w:val="20"/>
          <w:szCs w:val="20"/>
          <w:color w:val="auto"/>
        </w:rPr>
      </w:pPr>
      <w:r>
        <w:rPr>
          <w:rFonts w:ascii="Arial" w:cs="Arial" w:eastAsia="Arial" w:hAnsi="Arial"/>
          <w:sz w:val="18"/>
          <w:szCs w:val="18"/>
          <w:b w:val="1"/>
          <w:bCs w:val="1"/>
          <w:color w:val="auto"/>
        </w:rPr>
        <w:t>Confidential Treatment Requested by Definitive Healthcare Corp.</w:t>
      </w:r>
    </w:p>
    <w:p>
      <w:pPr>
        <w:spacing w:after="0" w:line="27" w:lineRule="exact"/>
        <w:rPr>
          <w:sz w:val="20"/>
          <w:szCs w:val="20"/>
          <w:color w:val="auto"/>
        </w:rPr>
      </w:pPr>
    </w:p>
    <w:p>
      <w:pPr>
        <w:jc w:val="center"/>
        <w:ind w:right="-299"/>
        <w:spacing w:after="0"/>
        <w:rPr>
          <w:sz w:val="20"/>
          <w:szCs w:val="20"/>
          <w:color w:val="auto"/>
        </w:rPr>
      </w:pPr>
      <w:r>
        <w:rPr>
          <w:rFonts w:ascii="Arial" w:cs="Arial" w:eastAsia="Arial" w:hAnsi="Arial"/>
          <w:sz w:val="18"/>
          <w:szCs w:val="18"/>
          <w:b w:val="1"/>
          <w:bCs w:val="1"/>
          <w:color w:val="auto"/>
        </w:rPr>
        <w:t>Pursuant to 17 C.F.R. Section 200.83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97790</wp:posOffset>
            </wp:positionV>
            <wp:extent cx="6998970" cy="591058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6998970" cy="5910580"/>
                    </a:xfrm>
                    <a:prstGeom prst="rect">
                      <a:avLst/>
                    </a:prstGeom>
                    <a:noFill/>
                  </pic:spPr>
                </pic:pic>
              </a:graphicData>
            </a:graphic>
          </wp:anchor>
        </w:drawing>
      </w:r>
    </w:p>
    <w:p>
      <w:pPr>
        <w:spacing w:after="0" w:line="312" w:lineRule="exact"/>
        <w:rPr>
          <w:sz w:val="20"/>
          <w:szCs w:val="20"/>
          <w:color w:val="auto"/>
        </w:rPr>
      </w:pPr>
    </w:p>
    <w:p>
      <w:pPr>
        <w:ind w:left="300" w:right="80"/>
        <w:spacing w:after="0" w:line="263" w:lineRule="auto"/>
        <w:rPr>
          <w:sz w:val="20"/>
          <w:szCs w:val="20"/>
          <w:color w:val="auto"/>
        </w:rPr>
      </w:pPr>
      <w:r>
        <w:rPr>
          <w:rFonts w:ascii="Arial" w:cs="Arial" w:eastAsia="Arial" w:hAnsi="Arial"/>
          <w:sz w:val="18"/>
          <w:szCs w:val="18"/>
          <w:color w:val="auto"/>
        </w:rPr>
        <w:t>founding in 1984, and in 2019 launched Advent Tech, a dedicated technology-focused fund focused on growth investments and buyouts of leading technology companies globally. After 35 years dedicated to international investing, Advent remains committed to partnering with management teams to deliver sustained revenue and earnings growth for its portfolio companies.</w:t>
      </w:r>
    </w:p>
    <w:p>
      <w:pPr>
        <w:spacing w:after="0" w:line="292"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Spectrum Equity</w:t>
      </w:r>
    </w:p>
    <w:p>
      <w:pPr>
        <w:spacing w:after="0" w:line="117" w:lineRule="exact"/>
        <w:rPr>
          <w:sz w:val="20"/>
          <w:szCs w:val="20"/>
          <w:color w:val="auto"/>
        </w:rPr>
      </w:pPr>
    </w:p>
    <w:p>
      <w:pPr>
        <w:jc w:val="both"/>
        <w:ind w:left="300" w:right="120" w:firstLine="426"/>
        <w:spacing w:after="0" w:line="263" w:lineRule="auto"/>
        <w:rPr>
          <w:sz w:val="20"/>
          <w:szCs w:val="20"/>
          <w:color w:val="auto"/>
        </w:rPr>
      </w:pPr>
      <w:r>
        <w:rPr>
          <w:rFonts w:ascii="Arial" w:cs="Arial" w:eastAsia="Arial" w:hAnsi="Arial"/>
          <w:sz w:val="18"/>
          <w:szCs w:val="18"/>
          <w:color w:val="auto"/>
        </w:rPr>
        <w:t>Founded in 1994 with offices in Boston and San Francisco, Spectrum Equity is a leading growth equity firm providing capital and strategic support to innovative Internet, software and information service companies. As of June 30, 2021, the firm has invested in over 160 companies and is currently investing its ninth fund with $1.5 billion in limited partner commitments.</w:t>
      </w:r>
    </w:p>
    <w:p>
      <w:pPr>
        <w:spacing w:after="0" w:line="184" w:lineRule="exact"/>
        <w:rPr>
          <w:sz w:val="20"/>
          <w:szCs w:val="20"/>
          <w:color w:val="auto"/>
        </w:rPr>
      </w:pPr>
    </w:p>
    <w:p>
      <w:pPr>
        <w:ind w:left="300" w:right="300" w:firstLine="426"/>
        <w:spacing w:after="0" w:line="263" w:lineRule="auto"/>
        <w:rPr>
          <w:sz w:val="20"/>
          <w:szCs w:val="20"/>
          <w:color w:val="auto"/>
        </w:rPr>
      </w:pPr>
      <w:r>
        <w:rPr>
          <w:rFonts w:ascii="Arial" w:cs="Arial" w:eastAsia="Arial" w:hAnsi="Arial"/>
          <w:sz w:val="18"/>
          <w:szCs w:val="18"/>
          <w:color w:val="auto"/>
        </w:rPr>
        <w:t>Spectrum Equity seeks to invest in companies which have defensible and sustainable business models with strong recurring revenue, significant operating leverage and structural competitive advantages. Spectrum Equity plays a prominent role in helping its portfolio companies scale their business through active engagement in partnership with management.</w:t>
      </w:r>
    </w:p>
    <w:p>
      <w:pPr>
        <w:spacing w:after="0" w:line="292"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22C Capital</w:t>
      </w:r>
    </w:p>
    <w:p>
      <w:pPr>
        <w:spacing w:after="0" w:line="117" w:lineRule="exact"/>
        <w:rPr>
          <w:sz w:val="20"/>
          <w:szCs w:val="20"/>
          <w:color w:val="auto"/>
        </w:rPr>
      </w:pPr>
    </w:p>
    <w:p>
      <w:pPr>
        <w:ind w:left="300" w:right="220" w:firstLine="426"/>
        <w:spacing w:after="0" w:line="293" w:lineRule="auto"/>
        <w:rPr>
          <w:sz w:val="20"/>
          <w:szCs w:val="20"/>
          <w:color w:val="auto"/>
        </w:rPr>
      </w:pPr>
      <w:r>
        <w:rPr>
          <w:rFonts w:ascii="Arial" w:cs="Arial" w:eastAsia="Arial" w:hAnsi="Arial"/>
          <w:sz w:val="16"/>
          <w:szCs w:val="16"/>
          <w:color w:val="auto"/>
        </w:rPr>
        <w:t>22C Capital is a private investment firm committed to delivering capital and critical resources to companies operating at the intersection of technology enablement and data analytics adoption. 22C Capital has a dedicated focus on the business services, healthcare and financial services sectors. 22C Capital seeks to partner with experienced management teams to build companies that are leaders in their respective markets. 22C Capital’s operational and technology resources, including its affiliated data science organization, strive to deliver practical, real-world support to help convert these businesses’ challenges into opportunities and unlock their full potential. 22C Capital executives have cross disciplinary experience building and running market leading data analytics companies, including co-founding and leading Capital IQ.</w:t>
      </w:r>
    </w:p>
    <w:p>
      <w:pPr>
        <w:spacing w:after="0" w:line="268"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Debt Refinancing</w:t>
      </w:r>
    </w:p>
    <w:p>
      <w:pPr>
        <w:spacing w:after="0" w:line="121" w:lineRule="exact"/>
        <w:rPr>
          <w:sz w:val="20"/>
          <w:szCs w:val="20"/>
          <w:color w:val="auto"/>
        </w:rPr>
      </w:pPr>
    </w:p>
    <w:p>
      <w:pPr>
        <w:ind w:left="300" w:right="140" w:firstLine="426"/>
        <w:spacing w:after="0" w:line="273" w:lineRule="auto"/>
        <w:rPr>
          <w:sz w:val="20"/>
          <w:szCs w:val="20"/>
          <w:color w:val="auto"/>
        </w:rPr>
      </w:pPr>
      <w:r>
        <w:rPr>
          <w:rFonts w:ascii="Arial" w:cs="Arial" w:eastAsia="Arial" w:hAnsi="Arial"/>
          <w:sz w:val="17"/>
          <w:szCs w:val="17"/>
          <w:color w:val="auto"/>
        </w:rPr>
        <w:t>On September 17, 2021, DH Holdings entered into a credit agreement (the “Credit Agreement”) with Bank of America, N.A., as administrative agent, the lenders party thereto and the other parties specified therein. The Credit Agreement provides for (i) a $275 million term loan A facility (the “Term Facility”) and (ii) a $75 million revolving credit facility (the “Revolving Credit Facility” and, together with the Term Facility, the “Senior Credit Facilities”), the proceeds of which were used to repay the remaining portion of the indebtedness outstanding under the credit agreement, dated as of July 16, 2019, by and among DH Holdings, the lenders party thereto and Owl Rock Capital Corporation, as administrative agent (the “2019 Credit Agreement”), and to pay related fees and expenses.</w:t>
      </w:r>
    </w:p>
    <w:p>
      <w:pPr>
        <w:spacing w:after="0" w:line="178" w:lineRule="exact"/>
        <w:rPr>
          <w:sz w:val="20"/>
          <w:szCs w:val="20"/>
          <w:color w:val="auto"/>
        </w:rPr>
      </w:pPr>
    </w:p>
    <w:p>
      <w:pPr>
        <w:ind w:left="300" w:firstLine="426"/>
        <w:spacing w:after="0" w:line="279" w:lineRule="auto"/>
        <w:rPr>
          <w:sz w:val="20"/>
          <w:szCs w:val="20"/>
          <w:color w:val="auto"/>
        </w:rPr>
      </w:pPr>
      <w:r>
        <w:rPr>
          <w:rFonts w:ascii="Arial" w:cs="Arial" w:eastAsia="Arial" w:hAnsi="Arial"/>
          <w:sz w:val="17"/>
          <w:szCs w:val="17"/>
          <w:color w:val="auto"/>
        </w:rPr>
        <w:t>The loans under the Senior Credit Facilities mature on September 17, 2026. The Senior Credit Facilities are guaranteed by all of DH Holdings’s wholly-owned domestic restricted subsidiaries and AIDH Buyer, LLC, a Delaware limited liability company (“Holdings”) and the direct parent company of DH Holdings, in each case, subject to customary exceptions and are secured by a lien on substantially all of the assets of DH Holdings and the guarantors, including a pledge of the equity of DH Holdings, in each case, subject to customary exceptions.</w:t>
      </w:r>
    </w:p>
    <w:p>
      <w:pPr>
        <w:spacing w:after="0" w:line="171" w:lineRule="exact"/>
        <w:rPr>
          <w:sz w:val="20"/>
          <w:szCs w:val="20"/>
          <w:color w:val="auto"/>
        </w:rPr>
      </w:pPr>
    </w:p>
    <w:p>
      <w:pPr>
        <w:ind w:left="300" w:right="260" w:firstLine="426"/>
        <w:spacing w:after="0" w:line="301" w:lineRule="auto"/>
        <w:rPr>
          <w:sz w:val="20"/>
          <w:szCs w:val="20"/>
          <w:color w:val="auto"/>
        </w:rPr>
      </w:pPr>
      <w:r>
        <w:rPr>
          <w:rFonts w:ascii="Arial" w:cs="Arial" w:eastAsia="Arial" w:hAnsi="Arial"/>
          <w:sz w:val="16"/>
          <w:szCs w:val="16"/>
          <w:color w:val="auto"/>
        </w:rPr>
        <w:t>See “Description of Material Indebtedness—Senior Credit Facilities” and “Management’s Discussion and Analysis of Financial Condition and Results of Operations—Interest Expense” and “Management’s Discussion and Analysis of Financial Condition and Results of Operations— Liquidity and Capital Resources—Debt Obligations.” No assurance can be given that we will be able to complete the debt refinancing on these terms or at all. For an additional description of our Senior Credit Facilities, please see “Description of Material Indebtedness.”</w:t>
      </w:r>
    </w:p>
    <w:p>
      <w:pPr>
        <w:spacing w:after="0" w:line="346" w:lineRule="exact"/>
        <w:rPr>
          <w:sz w:val="20"/>
          <w:szCs w:val="20"/>
          <w:color w:val="auto"/>
        </w:rPr>
      </w:pPr>
    </w:p>
    <w:p>
      <w:pPr>
        <w:jc w:val="center"/>
        <w:ind w:right="-51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0940"/>
          </w:cols>
          <w:pgMar w:left="320" w:top="459" w:right="63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339"/>
        <w:spacing w:after="0"/>
        <w:rPr>
          <w:sz w:val="20"/>
          <w:szCs w:val="20"/>
          <w:color w:val="auto"/>
        </w:rPr>
      </w:pPr>
      <w:r>
        <w:rPr>
          <w:rFonts w:ascii="Arial" w:cs="Arial" w:eastAsia="Arial" w:hAnsi="Arial"/>
          <w:sz w:val="18"/>
          <w:szCs w:val="18"/>
          <w:b w:val="1"/>
          <w:bCs w:val="1"/>
          <w:color w:val="auto"/>
        </w:rPr>
        <w:t>Confidential Treatment Requested by Definitive Healthcare Corp.</w:t>
      </w:r>
    </w:p>
    <w:p>
      <w:pPr>
        <w:spacing w:after="0" w:line="27" w:lineRule="exact"/>
        <w:rPr>
          <w:sz w:val="20"/>
          <w:szCs w:val="20"/>
          <w:color w:val="auto"/>
        </w:rPr>
      </w:pPr>
    </w:p>
    <w:p>
      <w:pPr>
        <w:jc w:val="center"/>
        <w:ind w:right="-339"/>
        <w:spacing w:after="0"/>
        <w:rPr>
          <w:sz w:val="20"/>
          <w:szCs w:val="20"/>
          <w:color w:val="auto"/>
        </w:rPr>
      </w:pPr>
      <w:r>
        <w:rPr>
          <w:rFonts w:ascii="Arial" w:cs="Arial" w:eastAsia="Arial" w:hAnsi="Arial"/>
          <w:sz w:val="18"/>
          <w:szCs w:val="18"/>
          <w:b w:val="1"/>
          <w:bCs w:val="1"/>
          <w:color w:val="auto"/>
        </w:rPr>
        <w:t>Pursuant to 17 C.F.R. Section 200.83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97790</wp:posOffset>
            </wp:positionV>
            <wp:extent cx="6998970" cy="59188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6998970" cy="5918835"/>
                    </a:xfrm>
                    <a:prstGeom prst="rect">
                      <a:avLst/>
                    </a:prstGeom>
                    <a:noFill/>
                  </pic:spPr>
                </pic:pic>
              </a:graphicData>
            </a:graphic>
          </wp:anchor>
        </w:drawing>
      </w:r>
    </w:p>
    <w:p>
      <w:pPr>
        <w:spacing w:after="0" w:line="308"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Corporate Information</w:t>
      </w:r>
    </w:p>
    <w:p>
      <w:pPr>
        <w:spacing w:after="0" w:line="121" w:lineRule="exact"/>
        <w:rPr>
          <w:sz w:val="20"/>
          <w:szCs w:val="20"/>
          <w:color w:val="auto"/>
        </w:rPr>
      </w:pPr>
    </w:p>
    <w:p>
      <w:pPr>
        <w:ind w:left="300" w:firstLine="426"/>
        <w:spacing w:after="0" w:line="257" w:lineRule="auto"/>
        <w:rPr>
          <w:sz w:val="20"/>
          <w:szCs w:val="20"/>
          <w:color w:val="auto"/>
        </w:rPr>
      </w:pPr>
      <w:r>
        <w:rPr>
          <w:rFonts w:ascii="Arial" w:cs="Arial" w:eastAsia="Arial" w:hAnsi="Arial"/>
          <w:sz w:val="18"/>
          <w:szCs w:val="18"/>
          <w:color w:val="auto"/>
        </w:rPr>
        <w:t>Definitive Healthcare Corp. was incorporated in Delaware on May 5, 2021. Our principal executive offices are located at 550 Cochituate Rd, Framingham, Massachusetts 01701, and our telephone number is (508) 720-4224. Our corporate website address is www.definitivehc.com. Our website and the information contained on, or that can be accessed through, this website is not deemed to be incorporated by reference in, and is not considered part of, this prospectus. You should not rely on any such information in making your decision whether to purchase our Class A common stock.</w:t>
      </w:r>
    </w:p>
    <w:p>
      <w:pPr>
        <w:spacing w:after="0" w:line="292"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Implications of Being an Emerging Growth Company</w:t>
      </w:r>
    </w:p>
    <w:p>
      <w:pPr>
        <w:spacing w:after="0" w:line="121" w:lineRule="exact"/>
        <w:rPr>
          <w:sz w:val="20"/>
          <w:szCs w:val="20"/>
          <w:color w:val="auto"/>
        </w:rPr>
      </w:pPr>
    </w:p>
    <w:p>
      <w:pPr>
        <w:ind w:left="300" w:right="360" w:firstLine="426"/>
        <w:spacing w:after="0" w:line="259" w:lineRule="auto"/>
        <w:rPr>
          <w:sz w:val="20"/>
          <w:szCs w:val="20"/>
          <w:color w:val="auto"/>
        </w:rPr>
      </w:pPr>
      <w:r>
        <w:rPr>
          <w:rFonts w:ascii="Arial" w:cs="Arial" w:eastAsia="Arial" w:hAnsi="Arial"/>
          <w:sz w:val="18"/>
          <w:szCs w:val="18"/>
          <w:color w:val="auto"/>
        </w:rPr>
        <w:t>As a company with less than $1.07 billion in gross revenue during our last fiscal year, we qualify as an “emerging growth company” as defined in the Jumpstart Our Business Startups Act of 2012 (the “JOBS Act”). An emerging growth company may take advantage of specified reduced reporting and other regulatory requirements for up to five years that are otherwise applicable generally to public companies. These provisions include, among other matters:</w:t>
      </w:r>
    </w:p>
    <w:p>
      <w:pPr>
        <w:spacing w:after="0" w:line="92" w:lineRule="exact"/>
        <w:rPr>
          <w:sz w:val="20"/>
          <w:szCs w:val="20"/>
          <w:color w:val="auto"/>
        </w:rPr>
      </w:pPr>
    </w:p>
    <w:p>
      <w:pPr>
        <w:ind w:left="700" w:hanging="307"/>
        <w:spacing w:after="0"/>
        <w:tabs>
          <w:tab w:leader="none" w:pos="7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requirement to present only two years of audited financial statements and only two years of related</w:t>
      </w:r>
    </w:p>
    <w:p>
      <w:pPr>
        <w:spacing w:after="0" w:line="130" w:lineRule="exact"/>
        <w:rPr>
          <w:rFonts w:ascii="Arial" w:cs="Arial" w:eastAsia="Arial" w:hAnsi="Arial"/>
          <w:sz w:val="18"/>
          <w:szCs w:val="18"/>
          <w:color w:val="auto"/>
        </w:rPr>
      </w:pPr>
    </w:p>
    <w:p>
      <w:pPr>
        <w:ind w:left="700" w:hanging="307"/>
        <w:spacing w:after="0"/>
        <w:tabs>
          <w:tab w:leader="none" w:pos="7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Management’s Discussion and Analysis of Financial Condition and Results of Operations;</w:t>
      </w:r>
    </w:p>
    <w:p>
      <w:pPr>
        <w:spacing w:after="0" w:line="130" w:lineRule="exact"/>
        <w:rPr>
          <w:rFonts w:ascii="Arial" w:cs="Arial" w:eastAsia="Arial" w:hAnsi="Arial"/>
          <w:sz w:val="18"/>
          <w:szCs w:val="18"/>
          <w:color w:val="auto"/>
        </w:rPr>
      </w:pPr>
    </w:p>
    <w:p>
      <w:pPr>
        <w:ind w:left="700" w:right="100" w:hanging="307"/>
        <w:spacing w:after="0" w:line="277" w:lineRule="auto"/>
        <w:tabs>
          <w:tab w:leader="none" w:pos="7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exemption from the auditor attestation requirement on the effectiveness of our system of internal control over financial reporting pursuant to the Sarbanes-Oxley Act of 2002, as amended (the “Sarbanes-Oxley Act”);</w:t>
      </w:r>
    </w:p>
    <w:p>
      <w:pPr>
        <w:spacing w:after="0" w:line="75" w:lineRule="exact"/>
        <w:rPr>
          <w:rFonts w:ascii="Arial" w:cs="Arial" w:eastAsia="Arial" w:hAnsi="Arial"/>
          <w:sz w:val="18"/>
          <w:szCs w:val="18"/>
          <w:color w:val="auto"/>
        </w:rPr>
      </w:pPr>
    </w:p>
    <w:p>
      <w:pPr>
        <w:ind w:left="700" w:hanging="307"/>
        <w:spacing w:after="0"/>
        <w:tabs>
          <w:tab w:leader="none" w:pos="7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exemption from the adoption of new or revised financial accounting standards until they would apply to private companies;</w:t>
      </w:r>
    </w:p>
    <w:p>
      <w:pPr>
        <w:spacing w:after="0" w:line="130" w:lineRule="exact"/>
        <w:rPr>
          <w:rFonts w:ascii="Arial" w:cs="Arial" w:eastAsia="Arial" w:hAnsi="Arial"/>
          <w:sz w:val="18"/>
          <w:szCs w:val="18"/>
          <w:color w:val="auto"/>
        </w:rPr>
      </w:pPr>
    </w:p>
    <w:p>
      <w:pPr>
        <w:ind w:left="700" w:right="100" w:hanging="307"/>
        <w:spacing w:after="0" w:line="263" w:lineRule="auto"/>
        <w:tabs>
          <w:tab w:leader="none" w:pos="7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exemption from compliance with any new requirements adopted by the Public Company Accounting Oversight Board requiring mandatory audit firm rotation or a supplement to the auditor’s report in which the auditor would be required to provide additional information about the audit and the financial statements of the issuer;</w:t>
      </w:r>
    </w:p>
    <w:p>
      <w:pPr>
        <w:spacing w:after="0" w:line="89" w:lineRule="exact"/>
        <w:rPr>
          <w:rFonts w:ascii="Arial" w:cs="Arial" w:eastAsia="Arial" w:hAnsi="Arial"/>
          <w:sz w:val="18"/>
          <w:szCs w:val="18"/>
          <w:color w:val="auto"/>
        </w:rPr>
      </w:pPr>
    </w:p>
    <w:p>
      <w:pPr>
        <w:ind w:left="700" w:hanging="307"/>
        <w:spacing w:after="0"/>
        <w:tabs>
          <w:tab w:leader="none" w:pos="700" w:val="left"/>
        </w:tabs>
        <w:numPr>
          <w:ilvl w:val="0"/>
          <w:numId w:val="31"/>
        </w:numPr>
        <w:rPr>
          <w:rFonts w:ascii="Arial" w:cs="Arial" w:eastAsia="Arial" w:hAnsi="Arial"/>
          <w:sz w:val="16"/>
          <w:szCs w:val="16"/>
          <w:color w:val="auto"/>
        </w:rPr>
      </w:pPr>
      <w:r>
        <w:rPr>
          <w:rFonts w:ascii="Arial" w:cs="Arial" w:eastAsia="Arial" w:hAnsi="Arial"/>
          <w:sz w:val="16"/>
          <w:szCs w:val="16"/>
          <w:color w:val="auto"/>
        </w:rPr>
        <w:t>an exemption from the requirement to seek non-binding advisory votes on executive compensation and golden parachute arrangements; and</w:t>
      </w:r>
    </w:p>
    <w:p>
      <w:pPr>
        <w:spacing w:after="0" w:line="153" w:lineRule="exact"/>
        <w:rPr>
          <w:rFonts w:ascii="Arial" w:cs="Arial" w:eastAsia="Arial" w:hAnsi="Arial"/>
          <w:sz w:val="16"/>
          <w:szCs w:val="16"/>
          <w:color w:val="auto"/>
        </w:rPr>
      </w:pPr>
    </w:p>
    <w:p>
      <w:pPr>
        <w:ind w:left="700" w:hanging="307"/>
        <w:spacing w:after="0"/>
        <w:tabs>
          <w:tab w:leader="none" w:pos="7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reduced disclosure about executive compensation arrangements.</w:t>
      </w:r>
    </w:p>
    <w:p>
      <w:pPr>
        <w:spacing w:after="0" w:line="225" w:lineRule="exact"/>
        <w:rPr>
          <w:sz w:val="20"/>
          <w:szCs w:val="20"/>
          <w:color w:val="auto"/>
        </w:rPr>
      </w:pPr>
    </w:p>
    <w:p>
      <w:pPr>
        <w:ind w:left="300" w:right="20" w:firstLine="426"/>
        <w:spacing w:after="0" w:line="290" w:lineRule="auto"/>
        <w:rPr>
          <w:sz w:val="20"/>
          <w:szCs w:val="20"/>
          <w:color w:val="auto"/>
        </w:rPr>
      </w:pPr>
      <w:r>
        <w:rPr>
          <w:rFonts w:ascii="Arial" w:cs="Arial" w:eastAsia="Arial" w:hAnsi="Arial"/>
          <w:sz w:val="16"/>
          <w:szCs w:val="16"/>
          <w:color w:val="auto"/>
        </w:rPr>
        <w:t>We will remain an emerging growth company until the last day of the fiscal year following the fifth anniversary of the completion of our IPO unless, prior to that time, we have more than $1.07 billion in annual gross revenue, have a market value for our common stock held by non-affiliates of more than $700 million as of the last day of our second fiscal quarter of the fiscal year and a determination is made that we are deemed to be a “large accelerated filer,” as defined in Rule 12b-2 promulgated under the Securities Exchange Act of 1934, as amended (the “Exchange Act”), or issue more than $1.0 billion of non-convertible debt over a three-year period, whether or not issued in a registered offering. We have availed ourselves of the reduced reporting obligations with respect to audited financial statements and related “Management’s Discussion and Analysis of Financial Condition and Results of Operations” and executive compensation disclosure in this prospectus and expect to continue to avail ourselves of the reduced reporting obligations available to emerging growth companies in future filings.</w:t>
      </w:r>
    </w:p>
    <w:p>
      <w:pPr>
        <w:spacing w:after="0" w:line="165" w:lineRule="exact"/>
        <w:rPr>
          <w:sz w:val="20"/>
          <w:szCs w:val="20"/>
          <w:color w:val="auto"/>
        </w:rPr>
      </w:pPr>
    </w:p>
    <w:p>
      <w:pPr>
        <w:ind w:left="300" w:right="40" w:firstLine="426"/>
        <w:spacing w:after="0" w:line="259" w:lineRule="auto"/>
        <w:rPr>
          <w:sz w:val="20"/>
          <w:szCs w:val="20"/>
          <w:color w:val="auto"/>
        </w:rPr>
      </w:pPr>
      <w:r>
        <w:rPr>
          <w:rFonts w:ascii="Arial" w:cs="Arial" w:eastAsia="Arial" w:hAnsi="Arial"/>
          <w:sz w:val="18"/>
          <w:szCs w:val="18"/>
          <w:color w:val="auto"/>
        </w:rPr>
        <w:t>In addition, Section 107 of the JOBS Act also provides that an emerging growth company can take advantage of the extended transition period provided in Section 7(a)(2)(B) of the Securities Act of 1933, as amended (the “Securities Act”) for complying with new or revised accounting standards. An emerging growth company can, therefore, delay the adoption of certain accounting standards until those standards would otherwise</w:t>
      </w:r>
    </w:p>
    <w:p>
      <w:pPr>
        <w:spacing w:after="0" w:line="295" w:lineRule="exact"/>
        <w:rPr>
          <w:sz w:val="20"/>
          <w:szCs w:val="20"/>
          <w:color w:val="auto"/>
        </w:rPr>
      </w:pPr>
    </w:p>
    <w:p>
      <w:pPr>
        <w:jc w:val="center"/>
        <w:ind w:right="-55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0900"/>
          </w:cols>
          <w:pgMar w:left="320" w:top="459" w:right="67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299"/>
        <w:spacing w:after="0"/>
        <w:rPr>
          <w:sz w:val="20"/>
          <w:szCs w:val="20"/>
          <w:color w:val="auto"/>
        </w:rPr>
      </w:pPr>
      <w:r>
        <w:rPr>
          <w:rFonts w:ascii="Arial" w:cs="Arial" w:eastAsia="Arial" w:hAnsi="Arial"/>
          <w:sz w:val="18"/>
          <w:szCs w:val="18"/>
          <w:b w:val="1"/>
          <w:bCs w:val="1"/>
          <w:color w:val="auto"/>
        </w:rPr>
        <w:t>Confidential Treatment Requested by Definitive Healthcare Corp.</w:t>
      </w:r>
    </w:p>
    <w:p>
      <w:pPr>
        <w:spacing w:after="0" w:line="27" w:lineRule="exact"/>
        <w:rPr>
          <w:sz w:val="20"/>
          <w:szCs w:val="20"/>
          <w:color w:val="auto"/>
        </w:rPr>
      </w:pPr>
    </w:p>
    <w:p>
      <w:pPr>
        <w:jc w:val="center"/>
        <w:ind w:right="-319"/>
        <w:spacing w:after="0"/>
        <w:rPr>
          <w:sz w:val="20"/>
          <w:szCs w:val="20"/>
          <w:color w:val="auto"/>
        </w:rPr>
      </w:pPr>
      <w:r>
        <w:rPr>
          <w:rFonts w:ascii="Arial" w:cs="Arial" w:eastAsia="Arial" w:hAnsi="Arial"/>
          <w:sz w:val="18"/>
          <w:szCs w:val="18"/>
          <w:b w:val="1"/>
          <w:bCs w:val="1"/>
          <w:color w:val="auto"/>
        </w:rPr>
        <w:t>Pursuant to 17 C.F.R. Section 200.83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97790</wp:posOffset>
            </wp:positionV>
            <wp:extent cx="6998970" cy="147002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6998970" cy="1470025"/>
                    </a:xfrm>
                    <a:prstGeom prst="rect">
                      <a:avLst/>
                    </a:prstGeom>
                    <a:noFill/>
                  </pic:spPr>
                </pic:pic>
              </a:graphicData>
            </a:graphic>
          </wp:anchor>
        </w:drawing>
      </w:r>
    </w:p>
    <w:p>
      <w:pPr>
        <w:spacing w:after="0" w:line="312" w:lineRule="exact"/>
        <w:rPr>
          <w:sz w:val="20"/>
          <w:szCs w:val="20"/>
          <w:color w:val="auto"/>
        </w:rPr>
      </w:pPr>
    </w:p>
    <w:p>
      <w:pPr>
        <w:ind w:left="300"/>
        <w:spacing w:after="0" w:line="291" w:lineRule="auto"/>
        <w:rPr>
          <w:sz w:val="20"/>
          <w:szCs w:val="20"/>
          <w:color w:val="auto"/>
        </w:rPr>
      </w:pPr>
      <w:r>
        <w:rPr>
          <w:rFonts w:ascii="Arial" w:cs="Arial" w:eastAsia="Arial" w:hAnsi="Arial"/>
          <w:sz w:val="16"/>
          <w:szCs w:val="16"/>
          <w:color w:val="auto"/>
        </w:rPr>
        <w:t>apply to private companies. An emerging growth company can also choose to “opt out” of that extended transition period and comply with new and revised accounting standards on the relevant dates on which adoption of those standards is required for non-emerging growth companies.</w:t>
      </w:r>
    </w:p>
    <w:p>
      <w:pPr>
        <w:ind w:left="300" w:right="320"/>
        <w:spacing w:after="0" w:line="260" w:lineRule="auto"/>
        <w:rPr>
          <w:sz w:val="20"/>
          <w:szCs w:val="20"/>
          <w:color w:val="auto"/>
        </w:rPr>
      </w:pPr>
      <w:r>
        <w:rPr>
          <w:rFonts w:ascii="Arial" w:cs="Arial" w:eastAsia="Arial" w:hAnsi="Arial"/>
          <w:sz w:val="18"/>
          <w:szCs w:val="18"/>
          <w:color w:val="auto"/>
        </w:rPr>
        <w:t>Section 107 of the JOBS Act provides that a decision to opt out of the extended transition period for complying with new or revised accounting standards is irrevocable.</w:t>
      </w:r>
    </w:p>
    <w:p>
      <w:pPr>
        <w:spacing w:after="0" w:line="185" w:lineRule="exact"/>
        <w:rPr>
          <w:sz w:val="20"/>
          <w:szCs w:val="20"/>
          <w:color w:val="auto"/>
        </w:rPr>
      </w:pPr>
    </w:p>
    <w:p>
      <w:pPr>
        <w:ind w:left="300" w:right="60" w:firstLine="426"/>
        <w:spacing w:after="0" w:line="259" w:lineRule="auto"/>
        <w:rPr>
          <w:sz w:val="20"/>
          <w:szCs w:val="20"/>
          <w:color w:val="auto"/>
        </w:rPr>
      </w:pPr>
      <w:r>
        <w:rPr>
          <w:rFonts w:ascii="Arial" w:cs="Arial" w:eastAsia="Arial" w:hAnsi="Arial"/>
          <w:sz w:val="18"/>
          <w:szCs w:val="18"/>
          <w:color w:val="auto"/>
        </w:rPr>
        <w:t>As a result of our decision to avail ourselves of certain provisions of the JOBS Act, the information that we provide may be different than what you may receive from other public companies in which you hold an equity interest. In addition, it is possible that some investors will find our Class A common stock less attractive as a result of our elections, which may cause a less active trading market for our Class A common stock and more volatility in our stock price.</w:t>
      </w:r>
    </w:p>
    <w:p>
      <w:pPr>
        <w:spacing w:after="0" w:line="295" w:lineRule="exact"/>
        <w:rPr>
          <w:sz w:val="20"/>
          <w:szCs w:val="20"/>
          <w:color w:val="auto"/>
        </w:rPr>
      </w:pPr>
    </w:p>
    <w:p>
      <w:pPr>
        <w:jc w:val="center"/>
        <w:ind w:right="-53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0940"/>
          </w:cols>
          <w:pgMar w:left="320" w:top="459" w:right="639"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Confidential Treatment Requested by Definitive Healthcare Corp.</w:t>
      </w:r>
    </w:p>
    <w:p>
      <w:pPr>
        <w:spacing w:after="0" w:line="27"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Pursuant to 17 C.F.R. Section 200.83</w:t>
      </w:r>
    </w:p>
    <w:p>
      <w:pPr>
        <w:spacing w:after="0" w:line="134" w:lineRule="exact"/>
        <w:rPr>
          <w:sz w:val="20"/>
          <w:szCs w:val="20"/>
          <w:color w:val="auto"/>
        </w:rPr>
      </w:pPr>
    </w:p>
    <w:tbl>
      <w:tblPr>
        <w:tblLayout w:type="fixed"/>
        <w:tblInd w:w="130" w:type="dxa"/>
        <w:tblCellMar>
          <w:top w:w="0" w:type="dxa"/>
          <w:left w:w="0" w:type="dxa"/>
          <w:bottom w:w="0" w:type="dxa"/>
          <w:right w:w="0" w:type="dxa"/>
        </w:tblCellMar>
      </w:tblPr>
      <w:tr>
        <w:trPr>
          <w:trHeight w:val="408"/>
        </w:trPr>
        <w:tc>
          <w:tcPr>
            <w:tcW w:w="4520" w:type="dxa"/>
            <w:vAlign w:val="bottom"/>
            <w:tcBorders>
              <w:top w:val="single" w:sz="8" w:color="auto"/>
              <w:left w:val="single" w:sz="8" w:color="auto"/>
            </w:tcBorders>
          </w:tcPr>
          <w:p>
            <w:pPr>
              <w:spacing w:after="0"/>
              <w:rPr>
                <w:sz w:val="24"/>
                <w:szCs w:val="24"/>
                <w:color w:val="auto"/>
              </w:rPr>
            </w:pPr>
          </w:p>
        </w:tc>
        <w:tc>
          <w:tcPr>
            <w:tcW w:w="2380" w:type="dxa"/>
            <w:vAlign w:val="bottom"/>
            <w:tcBorders>
              <w:top w:val="single" w:sz="8" w:color="auto"/>
            </w:tcBorders>
          </w:tcPr>
          <w:p>
            <w:pPr>
              <w:ind w:left="300"/>
              <w:spacing w:after="0"/>
              <w:rPr>
                <w:sz w:val="20"/>
                <w:szCs w:val="20"/>
                <w:color w:val="auto"/>
              </w:rPr>
            </w:pPr>
            <w:r>
              <w:rPr>
                <w:rFonts w:ascii="Arial" w:cs="Arial" w:eastAsia="Arial" w:hAnsi="Arial"/>
                <w:sz w:val="18"/>
                <w:szCs w:val="18"/>
                <w:b w:val="1"/>
                <w:bCs w:val="1"/>
                <w:color w:val="auto"/>
              </w:rPr>
              <w:t>THE OFFERING</w:t>
            </w:r>
          </w:p>
        </w:tc>
        <w:tc>
          <w:tcPr>
            <w:tcW w:w="1220" w:type="dxa"/>
            <w:vAlign w:val="bottom"/>
            <w:tcBorders>
              <w:top w:val="single" w:sz="8" w:color="auto"/>
            </w:tcBorders>
          </w:tcPr>
          <w:p>
            <w:pPr>
              <w:spacing w:after="0"/>
              <w:rPr>
                <w:sz w:val="24"/>
                <w:szCs w:val="24"/>
                <w:color w:val="auto"/>
              </w:rPr>
            </w:pPr>
          </w:p>
        </w:tc>
        <w:tc>
          <w:tcPr>
            <w:tcW w:w="1280" w:type="dxa"/>
            <w:vAlign w:val="bottom"/>
            <w:tcBorders>
              <w:top w:val="single" w:sz="8" w:color="auto"/>
            </w:tcBorders>
          </w:tcPr>
          <w:p>
            <w:pPr>
              <w:spacing w:after="0"/>
              <w:rPr>
                <w:sz w:val="24"/>
                <w:szCs w:val="24"/>
                <w:color w:val="auto"/>
              </w:rPr>
            </w:pPr>
          </w:p>
        </w:tc>
        <w:tc>
          <w:tcPr>
            <w:tcW w:w="1620" w:type="dxa"/>
            <w:vAlign w:val="bottom"/>
            <w:tcBorders>
              <w:top w:val="single" w:sz="8" w:color="auto"/>
              <w:right w:val="single" w:sz="8" w:color="auto"/>
            </w:tcBorders>
          </w:tcPr>
          <w:p>
            <w:pPr>
              <w:spacing w:after="0"/>
              <w:rPr>
                <w:sz w:val="24"/>
                <w:szCs w:val="24"/>
                <w:color w:val="auto"/>
              </w:rPr>
            </w:pPr>
          </w:p>
        </w:tc>
      </w:tr>
      <w:tr>
        <w:trPr>
          <w:trHeight w:val="459"/>
        </w:trPr>
        <w:tc>
          <w:tcPr>
            <w:tcW w:w="4520" w:type="dxa"/>
            <w:vAlign w:val="bottom"/>
            <w:tcBorders>
              <w:left w:val="single" w:sz="8" w:color="auto"/>
            </w:tcBorders>
          </w:tcPr>
          <w:p>
            <w:pPr>
              <w:ind w:left="180"/>
              <w:spacing w:after="0"/>
              <w:rPr>
                <w:sz w:val="20"/>
                <w:szCs w:val="20"/>
                <w:color w:val="auto"/>
              </w:rPr>
            </w:pPr>
            <w:r>
              <w:rPr>
                <w:rFonts w:ascii="Arial" w:cs="Arial" w:eastAsia="Arial" w:hAnsi="Arial"/>
                <w:sz w:val="18"/>
                <w:szCs w:val="18"/>
                <w:color w:val="auto"/>
              </w:rPr>
              <w:t>Issuer</w:t>
            </w:r>
          </w:p>
        </w:tc>
        <w:tc>
          <w:tcPr>
            <w:tcW w:w="2380" w:type="dxa"/>
            <w:vAlign w:val="bottom"/>
          </w:tcPr>
          <w:p>
            <w:pPr>
              <w:ind w:left="120"/>
              <w:spacing w:after="0"/>
              <w:rPr>
                <w:sz w:val="20"/>
                <w:szCs w:val="20"/>
                <w:color w:val="auto"/>
              </w:rPr>
            </w:pPr>
            <w:r>
              <w:rPr>
                <w:rFonts w:ascii="Arial" w:cs="Arial" w:eastAsia="Arial" w:hAnsi="Arial"/>
                <w:sz w:val="18"/>
                <w:szCs w:val="18"/>
                <w:color w:val="auto"/>
              </w:rPr>
              <w:t>Definitive Healthcare Corp.</w:t>
            </w:r>
          </w:p>
        </w:tc>
        <w:tc>
          <w:tcPr>
            <w:tcW w:w="12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620" w:type="dxa"/>
            <w:vAlign w:val="bottom"/>
            <w:tcBorders>
              <w:right w:val="single" w:sz="8" w:color="auto"/>
            </w:tcBorders>
          </w:tcPr>
          <w:p>
            <w:pPr>
              <w:spacing w:after="0"/>
              <w:rPr>
                <w:sz w:val="24"/>
                <w:szCs w:val="24"/>
                <w:color w:val="auto"/>
              </w:rPr>
            </w:pPr>
          </w:p>
        </w:tc>
      </w:tr>
      <w:tr>
        <w:trPr>
          <w:trHeight w:val="458"/>
        </w:trPr>
        <w:tc>
          <w:tcPr>
            <w:tcW w:w="4520" w:type="dxa"/>
            <w:vAlign w:val="bottom"/>
            <w:tcBorders>
              <w:left w:val="single" w:sz="8" w:color="auto"/>
            </w:tcBorders>
          </w:tcPr>
          <w:p>
            <w:pPr>
              <w:ind w:left="180"/>
              <w:spacing w:after="0"/>
              <w:rPr>
                <w:sz w:val="20"/>
                <w:szCs w:val="20"/>
                <w:color w:val="auto"/>
              </w:rPr>
            </w:pPr>
            <w:r>
              <w:rPr>
                <w:rFonts w:ascii="Arial" w:cs="Arial" w:eastAsia="Arial" w:hAnsi="Arial"/>
                <w:sz w:val="18"/>
                <w:szCs w:val="18"/>
                <w:color w:val="auto"/>
              </w:rPr>
              <w:t>Class A common stock offered by us</w:t>
            </w:r>
          </w:p>
        </w:tc>
        <w:tc>
          <w:tcPr>
            <w:tcW w:w="3600" w:type="dxa"/>
            <w:vAlign w:val="bottom"/>
            <w:gridSpan w:val="2"/>
          </w:tcPr>
          <w:p>
            <w:pPr>
              <w:ind w:left="840"/>
              <w:spacing w:after="0"/>
              <w:rPr>
                <w:sz w:val="20"/>
                <w:szCs w:val="20"/>
                <w:color w:val="auto"/>
              </w:rPr>
            </w:pPr>
            <w:r>
              <w:rPr>
                <w:rFonts w:ascii="Arial" w:cs="Arial" w:eastAsia="Arial" w:hAnsi="Arial"/>
                <w:sz w:val="18"/>
                <w:szCs w:val="18"/>
                <w:color w:val="auto"/>
              </w:rPr>
              <w:t>shares of Class A common stock (</w:t>
            </w:r>
          </w:p>
        </w:tc>
        <w:tc>
          <w:tcPr>
            <w:tcW w:w="2900" w:type="dxa"/>
            <w:vAlign w:val="bottom"/>
            <w:tcBorders>
              <w:right w:val="single" w:sz="8" w:color="auto"/>
            </w:tcBorders>
            <w:gridSpan w:val="2"/>
          </w:tcPr>
          <w:p>
            <w:pPr>
              <w:ind w:left="440"/>
              <w:spacing w:after="0"/>
              <w:rPr>
                <w:sz w:val="20"/>
                <w:szCs w:val="20"/>
                <w:color w:val="auto"/>
              </w:rPr>
            </w:pPr>
            <w:r>
              <w:rPr>
                <w:rFonts w:ascii="Arial" w:cs="Arial" w:eastAsia="Arial" w:hAnsi="Arial"/>
                <w:sz w:val="18"/>
                <w:szCs w:val="18"/>
                <w:color w:val="auto"/>
              </w:rPr>
              <w:t>shares if the underwriters</w:t>
            </w:r>
          </w:p>
        </w:tc>
      </w:tr>
      <w:tr>
        <w:trPr>
          <w:trHeight w:val="230"/>
        </w:trPr>
        <w:tc>
          <w:tcPr>
            <w:tcW w:w="4520" w:type="dxa"/>
            <w:vAlign w:val="bottom"/>
            <w:tcBorders>
              <w:left w:val="single" w:sz="8" w:color="auto"/>
            </w:tcBorders>
          </w:tcPr>
          <w:p>
            <w:pPr>
              <w:spacing w:after="0"/>
              <w:rPr>
                <w:sz w:val="20"/>
                <w:szCs w:val="20"/>
                <w:color w:val="auto"/>
              </w:rPr>
            </w:pPr>
          </w:p>
        </w:tc>
        <w:tc>
          <w:tcPr>
            <w:tcW w:w="4880" w:type="dxa"/>
            <w:vAlign w:val="bottom"/>
            <w:gridSpan w:val="3"/>
          </w:tcPr>
          <w:p>
            <w:pPr>
              <w:ind w:left="120"/>
              <w:spacing w:after="0"/>
              <w:rPr>
                <w:sz w:val="20"/>
                <w:szCs w:val="20"/>
                <w:color w:val="auto"/>
              </w:rPr>
            </w:pPr>
            <w:r>
              <w:rPr>
                <w:rFonts w:ascii="Arial" w:cs="Arial" w:eastAsia="Arial" w:hAnsi="Arial"/>
                <w:sz w:val="18"/>
                <w:szCs w:val="18"/>
                <w:color w:val="auto"/>
              </w:rPr>
              <w:t>exercise their option to purchase additional shares in full).</w:t>
            </w:r>
          </w:p>
        </w:tc>
        <w:tc>
          <w:tcPr>
            <w:tcW w:w="1620" w:type="dxa"/>
            <w:vAlign w:val="bottom"/>
            <w:tcBorders>
              <w:right w:val="single" w:sz="8" w:color="auto"/>
            </w:tcBorders>
          </w:tcPr>
          <w:p>
            <w:pPr>
              <w:spacing w:after="0"/>
              <w:rPr>
                <w:sz w:val="20"/>
                <w:szCs w:val="20"/>
                <w:color w:val="auto"/>
              </w:rPr>
            </w:pPr>
          </w:p>
        </w:tc>
      </w:tr>
      <w:tr>
        <w:trPr>
          <w:trHeight w:val="445"/>
        </w:trPr>
        <w:tc>
          <w:tcPr>
            <w:tcW w:w="4520" w:type="dxa"/>
            <w:vAlign w:val="bottom"/>
            <w:tcBorders>
              <w:left w:val="single" w:sz="8" w:color="auto"/>
            </w:tcBorders>
          </w:tcPr>
          <w:p>
            <w:pPr>
              <w:ind w:left="180"/>
              <w:spacing w:after="0"/>
              <w:rPr>
                <w:sz w:val="20"/>
                <w:szCs w:val="20"/>
                <w:color w:val="auto"/>
              </w:rPr>
            </w:pPr>
            <w:r>
              <w:rPr>
                <w:rFonts w:ascii="Arial" w:cs="Arial" w:eastAsia="Arial" w:hAnsi="Arial"/>
                <w:sz w:val="18"/>
                <w:szCs w:val="18"/>
                <w:color w:val="auto"/>
                <w:w w:val="95"/>
              </w:rPr>
              <w:t>Option to purchase additional shares of Class A common</w:t>
            </w:r>
          </w:p>
        </w:tc>
        <w:tc>
          <w:tcPr>
            <w:tcW w:w="4880" w:type="dxa"/>
            <w:vAlign w:val="bottom"/>
            <w:gridSpan w:val="3"/>
          </w:tcPr>
          <w:p>
            <w:pPr>
              <w:ind w:left="120"/>
              <w:spacing w:after="0"/>
              <w:rPr>
                <w:sz w:val="20"/>
                <w:szCs w:val="20"/>
                <w:color w:val="auto"/>
              </w:rPr>
            </w:pPr>
            <w:r>
              <w:rPr>
                <w:rFonts w:ascii="Arial" w:cs="Arial" w:eastAsia="Arial" w:hAnsi="Arial"/>
                <w:sz w:val="18"/>
                <w:szCs w:val="18"/>
                <w:color w:val="auto"/>
              </w:rPr>
              <w:t>The underwriters have an option to purchase an additional</w:t>
            </w:r>
          </w:p>
        </w:tc>
        <w:tc>
          <w:tcPr>
            <w:tcW w:w="1620" w:type="dxa"/>
            <w:vAlign w:val="bottom"/>
            <w:tcBorders>
              <w:right w:val="single" w:sz="8" w:color="auto"/>
            </w:tcBorders>
          </w:tcPr>
          <w:p>
            <w:pPr>
              <w:ind w:left="180"/>
              <w:spacing w:after="0"/>
              <w:rPr>
                <w:sz w:val="20"/>
                <w:szCs w:val="20"/>
                <w:color w:val="auto"/>
              </w:rPr>
            </w:pPr>
            <w:r>
              <w:rPr>
                <w:rFonts w:ascii="Arial" w:cs="Arial" w:eastAsia="Arial" w:hAnsi="Arial"/>
                <w:sz w:val="18"/>
                <w:szCs w:val="18"/>
                <w:color w:val="auto"/>
              </w:rPr>
              <w:t>shares of</w:t>
            </w:r>
          </w:p>
        </w:tc>
      </w:tr>
      <w:tr>
        <w:trPr>
          <w:trHeight w:val="216"/>
        </w:trPr>
        <w:tc>
          <w:tcPr>
            <w:tcW w:w="4520" w:type="dxa"/>
            <w:vAlign w:val="bottom"/>
            <w:tcBorders>
              <w:left w:val="single" w:sz="8" w:color="auto"/>
            </w:tcBorders>
          </w:tcPr>
          <w:p>
            <w:pPr>
              <w:ind w:left="260"/>
              <w:spacing w:after="0"/>
              <w:rPr>
                <w:sz w:val="20"/>
                <w:szCs w:val="20"/>
                <w:color w:val="auto"/>
              </w:rPr>
            </w:pPr>
            <w:r>
              <w:rPr>
                <w:rFonts w:ascii="Arial" w:cs="Arial" w:eastAsia="Arial" w:hAnsi="Arial"/>
                <w:sz w:val="18"/>
                <w:szCs w:val="18"/>
                <w:color w:val="auto"/>
              </w:rPr>
              <w:t>stock</w:t>
            </w:r>
          </w:p>
        </w:tc>
        <w:tc>
          <w:tcPr>
            <w:tcW w:w="6500" w:type="dxa"/>
            <w:vAlign w:val="bottom"/>
            <w:tcBorders>
              <w:right w:val="single" w:sz="8" w:color="auto"/>
            </w:tcBorders>
            <w:gridSpan w:val="4"/>
          </w:tcPr>
          <w:p>
            <w:pPr>
              <w:ind w:left="120"/>
              <w:spacing w:after="0"/>
              <w:rPr>
                <w:sz w:val="20"/>
                <w:szCs w:val="20"/>
                <w:color w:val="auto"/>
              </w:rPr>
            </w:pPr>
            <w:r>
              <w:rPr>
                <w:rFonts w:ascii="Arial" w:cs="Arial" w:eastAsia="Arial" w:hAnsi="Arial"/>
                <w:sz w:val="18"/>
                <w:szCs w:val="18"/>
                <w:color w:val="auto"/>
                <w:w w:val="93"/>
              </w:rPr>
              <w:t>Class A common stock from us. The underwriters can exercise this option at any time</w:t>
            </w:r>
          </w:p>
        </w:tc>
      </w:tr>
      <w:tr>
        <w:trPr>
          <w:trHeight w:val="230"/>
        </w:trPr>
        <w:tc>
          <w:tcPr>
            <w:tcW w:w="4520" w:type="dxa"/>
            <w:vAlign w:val="bottom"/>
            <w:tcBorders>
              <w:left w:val="single" w:sz="8" w:color="auto"/>
            </w:tcBorders>
          </w:tcPr>
          <w:p>
            <w:pPr>
              <w:spacing w:after="0"/>
              <w:rPr>
                <w:sz w:val="20"/>
                <w:szCs w:val="20"/>
                <w:color w:val="auto"/>
              </w:rPr>
            </w:pPr>
          </w:p>
        </w:tc>
        <w:tc>
          <w:tcPr>
            <w:tcW w:w="3600" w:type="dxa"/>
            <w:vAlign w:val="bottom"/>
            <w:gridSpan w:val="2"/>
          </w:tcPr>
          <w:p>
            <w:pPr>
              <w:ind w:left="120"/>
              <w:spacing w:after="0"/>
              <w:rPr>
                <w:sz w:val="20"/>
                <w:szCs w:val="20"/>
                <w:color w:val="auto"/>
              </w:rPr>
            </w:pPr>
            <w:r>
              <w:rPr>
                <w:rFonts w:ascii="Arial" w:cs="Arial" w:eastAsia="Arial" w:hAnsi="Arial"/>
                <w:sz w:val="18"/>
                <w:szCs w:val="18"/>
                <w:color w:val="auto"/>
                <w:w w:val="91"/>
              </w:rPr>
              <w:t>within 30 days from the date of this prospectus.</w:t>
            </w:r>
          </w:p>
        </w:tc>
        <w:tc>
          <w:tcPr>
            <w:tcW w:w="1280" w:type="dxa"/>
            <w:vAlign w:val="bottom"/>
          </w:tcPr>
          <w:p>
            <w:pPr>
              <w:spacing w:after="0"/>
              <w:rPr>
                <w:sz w:val="20"/>
                <w:szCs w:val="20"/>
                <w:color w:val="auto"/>
              </w:rPr>
            </w:pPr>
          </w:p>
        </w:tc>
        <w:tc>
          <w:tcPr>
            <w:tcW w:w="1620" w:type="dxa"/>
            <w:vAlign w:val="bottom"/>
            <w:tcBorders>
              <w:right w:val="single" w:sz="8" w:color="auto"/>
            </w:tcBorders>
          </w:tcPr>
          <w:p>
            <w:pPr>
              <w:spacing w:after="0"/>
              <w:rPr>
                <w:sz w:val="20"/>
                <w:szCs w:val="20"/>
                <w:color w:val="auto"/>
              </w:rPr>
            </w:pPr>
          </w:p>
        </w:tc>
      </w:tr>
      <w:tr>
        <w:trPr>
          <w:trHeight w:val="445"/>
        </w:trPr>
        <w:tc>
          <w:tcPr>
            <w:tcW w:w="4520" w:type="dxa"/>
            <w:vAlign w:val="bottom"/>
            <w:tcBorders>
              <w:left w:val="single" w:sz="8" w:color="auto"/>
            </w:tcBorders>
          </w:tcPr>
          <w:p>
            <w:pPr>
              <w:ind w:left="180"/>
              <w:spacing w:after="0"/>
              <w:rPr>
                <w:sz w:val="20"/>
                <w:szCs w:val="20"/>
                <w:color w:val="auto"/>
              </w:rPr>
            </w:pPr>
            <w:r>
              <w:rPr>
                <w:rFonts w:ascii="Arial" w:cs="Arial" w:eastAsia="Arial" w:hAnsi="Arial"/>
                <w:sz w:val="18"/>
                <w:szCs w:val="18"/>
                <w:color w:val="auto"/>
                <w:w w:val="92"/>
              </w:rPr>
              <w:t>Class A common stock to be outstanding after this offering</w:t>
            </w:r>
          </w:p>
        </w:tc>
        <w:tc>
          <w:tcPr>
            <w:tcW w:w="3600" w:type="dxa"/>
            <w:vAlign w:val="bottom"/>
            <w:gridSpan w:val="2"/>
          </w:tcPr>
          <w:p>
            <w:pPr>
              <w:ind w:left="840"/>
              <w:spacing w:after="0"/>
              <w:rPr>
                <w:sz w:val="20"/>
                <w:szCs w:val="20"/>
                <w:color w:val="auto"/>
              </w:rPr>
            </w:pPr>
            <w:r>
              <w:rPr>
                <w:rFonts w:ascii="Arial" w:cs="Arial" w:eastAsia="Arial" w:hAnsi="Arial"/>
                <w:sz w:val="18"/>
                <w:szCs w:val="18"/>
                <w:color w:val="auto"/>
              </w:rPr>
              <w:t>shares of Class A common stock (</w:t>
            </w:r>
          </w:p>
        </w:tc>
        <w:tc>
          <w:tcPr>
            <w:tcW w:w="2900" w:type="dxa"/>
            <w:vAlign w:val="bottom"/>
            <w:tcBorders>
              <w:right w:val="single" w:sz="8" w:color="auto"/>
            </w:tcBorders>
            <w:gridSpan w:val="2"/>
          </w:tcPr>
          <w:p>
            <w:pPr>
              <w:ind w:left="440"/>
              <w:spacing w:after="0"/>
              <w:rPr>
                <w:sz w:val="20"/>
                <w:szCs w:val="20"/>
                <w:color w:val="auto"/>
              </w:rPr>
            </w:pPr>
            <w:r>
              <w:rPr>
                <w:rFonts w:ascii="Arial" w:cs="Arial" w:eastAsia="Arial" w:hAnsi="Arial"/>
                <w:sz w:val="18"/>
                <w:szCs w:val="18"/>
                <w:color w:val="auto"/>
              </w:rPr>
              <w:t>shares if the underwriters</w:t>
            </w:r>
          </w:p>
        </w:tc>
      </w:tr>
      <w:tr>
        <w:trPr>
          <w:trHeight w:val="216"/>
        </w:trPr>
        <w:tc>
          <w:tcPr>
            <w:tcW w:w="4520" w:type="dxa"/>
            <w:vAlign w:val="bottom"/>
            <w:tcBorders>
              <w:left w:val="single" w:sz="8" w:color="auto"/>
            </w:tcBorders>
          </w:tcPr>
          <w:p>
            <w:pPr>
              <w:spacing w:after="0"/>
              <w:rPr>
                <w:sz w:val="18"/>
                <w:szCs w:val="18"/>
                <w:color w:val="auto"/>
              </w:rPr>
            </w:pPr>
          </w:p>
        </w:tc>
        <w:tc>
          <w:tcPr>
            <w:tcW w:w="4880" w:type="dxa"/>
            <w:vAlign w:val="bottom"/>
            <w:gridSpan w:val="3"/>
          </w:tcPr>
          <w:p>
            <w:pPr>
              <w:ind w:left="120"/>
              <w:spacing w:after="0"/>
              <w:rPr>
                <w:sz w:val="20"/>
                <w:szCs w:val="20"/>
                <w:color w:val="auto"/>
              </w:rPr>
            </w:pPr>
            <w:r>
              <w:rPr>
                <w:rFonts w:ascii="Arial" w:cs="Arial" w:eastAsia="Arial" w:hAnsi="Arial"/>
                <w:sz w:val="18"/>
                <w:szCs w:val="18"/>
                <w:color w:val="auto"/>
                <w:w w:val="99"/>
              </w:rPr>
              <w:t>exercise their option to purchase additional shares in full) or</w:t>
            </w:r>
          </w:p>
        </w:tc>
        <w:tc>
          <w:tcPr>
            <w:tcW w:w="1620" w:type="dxa"/>
            <w:vAlign w:val="bottom"/>
            <w:tcBorders>
              <w:right w:val="single" w:sz="8" w:color="auto"/>
            </w:tcBorders>
          </w:tcPr>
          <w:p>
            <w:pPr>
              <w:ind w:left="340"/>
              <w:spacing w:after="0"/>
              <w:rPr>
                <w:sz w:val="20"/>
                <w:szCs w:val="20"/>
                <w:color w:val="auto"/>
              </w:rPr>
            </w:pPr>
            <w:r>
              <w:rPr>
                <w:rFonts w:ascii="Arial" w:cs="Arial" w:eastAsia="Arial" w:hAnsi="Arial"/>
                <w:sz w:val="18"/>
                <w:szCs w:val="18"/>
                <w:color w:val="auto"/>
              </w:rPr>
              <w:t>shares of</w:t>
            </w:r>
          </w:p>
        </w:tc>
      </w:tr>
      <w:tr>
        <w:trPr>
          <w:trHeight w:val="216"/>
        </w:trPr>
        <w:tc>
          <w:tcPr>
            <w:tcW w:w="4520" w:type="dxa"/>
            <w:vAlign w:val="bottom"/>
            <w:tcBorders>
              <w:left w:val="single" w:sz="8" w:color="auto"/>
            </w:tcBorders>
          </w:tcPr>
          <w:p>
            <w:pPr>
              <w:spacing w:after="0"/>
              <w:rPr>
                <w:sz w:val="18"/>
                <w:szCs w:val="18"/>
                <w:color w:val="auto"/>
              </w:rPr>
            </w:pPr>
          </w:p>
        </w:tc>
        <w:tc>
          <w:tcPr>
            <w:tcW w:w="2380" w:type="dxa"/>
            <w:vAlign w:val="bottom"/>
          </w:tcPr>
          <w:p>
            <w:pPr>
              <w:ind w:left="120"/>
              <w:spacing w:after="0"/>
              <w:rPr>
                <w:sz w:val="20"/>
                <w:szCs w:val="20"/>
                <w:color w:val="auto"/>
              </w:rPr>
            </w:pPr>
            <w:r>
              <w:rPr>
                <w:rFonts w:ascii="Arial" w:cs="Arial" w:eastAsia="Arial" w:hAnsi="Arial"/>
                <w:sz w:val="18"/>
                <w:szCs w:val="18"/>
                <w:color w:val="auto"/>
              </w:rPr>
              <w:t>Class A common stock (</w:t>
            </w:r>
          </w:p>
        </w:tc>
        <w:tc>
          <w:tcPr>
            <w:tcW w:w="4120" w:type="dxa"/>
            <w:vAlign w:val="bottom"/>
            <w:tcBorders>
              <w:right w:val="single" w:sz="8" w:color="auto"/>
            </w:tcBorders>
            <w:gridSpan w:val="3"/>
          </w:tcPr>
          <w:p>
            <w:pPr>
              <w:ind w:left="260"/>
              <w:spacing w:after="0"/>
              <w:rPr>
                <w:sz w:val="20"/>
                <w:szCs w:val="20"/>
                <w:color w:val="auto"/>
              </w:rPr>
            </w:pPr>
            <w:r>
              <w:rPr>
                <w:rFonts w:ascii="Arial" w:cs="Arial" w:eastAsia="Arial" w:hAnsi="Arial"/>
                <w:sz w:val="18"/>
                <w:szCs w:val="18"/>
                <w:color w:val="auto"/>
                <w:w w:val="98"/>
              </w:rPr>
              <w:t>shares if the underwriters exercise their option to</w:t>
            </w:r>
          </w:p>
        </w:tc>
      </w:tr>
      <w:tr>
        <w:trPr>
          <w:trHeight w:val="216"/>
        </w:trPr>
        <w:tc>
          <w:tcPr>
            <w:tcW w:w="4520" w:type="dxa"/>
            <w:vAlign w:val="bottom"/>
            <w:tcBorders>
              <w:left w:val="single" w:sz="8" w:color="auto"/>
            </w:tcBorders>
          </w:tcPr>
          <w:p>
            <w:pPr>
              <w:spacing w:after="0"/>
              <w:rPr>
                <w:sz w:val="18"/>
                <w:szCs w:val="18"/>
                <w:color w:val="auto"/>
              </w:rPr>
            </w:pPr>
          </w:p>
        </w:tc>
        <w:tc>
          <w:tcPr>
            <w:tcW w:w="6500" w:type="dxa"/>
            <w:vAlign w:val="bottom"/>
            <w:tcBorders>
              <w:right w:val="single" w:sz="8" w:color="auto"/>
            </w:tcBorders>
            <w:gridSpan w:val="4"/>
          </w:tcPr>
          <w:p>
            <w:pPr>
              <w:ind w:left="120"/>
              <w:spacing w:after="0"/>
              <w:rPr>
                <w:sz w:val="20"/>
                <w:szCs w:val="20"/>
                <w:color w:val="auto"/>
              </w:rPr>
            </w:pPr>
            <w:r>
              <w:rPr>
                <w:rFonts w:ascii="Arial" w:cs="Arial" w:eastAsia="Arial" w:hAnsi="Arial"/>
                <w:sz w:val="18"/>
                <w:szCs w:val="18"/>
                <w:color w:val="auto"/>
                <w:w w:val="97"/>
              </w:rPr>
              <w:t>purchase additional shares of Class A common stock in full) if all outstanding LLC</w:t>
            </w:r>
          </w:p>
        </w:tc>
      </w:tr>
      <w:tr>
        <w:trPr>
          <w:trHeight w:val="216"/>
        </w:trPr>
        <w:tc>
          <w:tcPr>
            <w:tcW w:w="4520" w:type="dxa"/>
            <w:vAlign w:val="bottom"/>
            <w:tcBorders>
              <w:left w:val="single" w:sz="8" w:color="auto"/>
            </w:tcBorders>
          </w:tcPr>
          <w:p>
            <w:pPr>
              <w:spacing w:after="0"/>
              <w:rPr>
                <w:sz w:val="18"/>
                <w:szCs w:val="18"/>
                <w:color w:val="auto"/>
              </w:rPr>
            </w:pPr>
          </w:p>
        </w:tc>
        <w:tc>
          <w:tcPr>
            <w:tcW w:w="6500" w:type="dxa"/>
            <w:vAlign w:val="bottom"/>
            <w:tcBorders>
              <w:right w:val="single" w:sz="8" w:color="auto"/>
            </w:tcBorders>
            <w:gridSpan w:val="4"/>
          </w:tcPr>
          <w:p>
            <w:pPr>
              <w:ind w:left="120"/>
              <w:spacing w:after="0"/>
              <w:rPr>
                <w:sz w:val="20"/>
                <w:szCs w:val="20"/>
                <w:color w:val="auto"/>
              </w:rPr>
            </w:pPr>
            <w:r>
              <w:rPr>
                <w:rFonts w:ascii="Arial" w:cs="Arial" w:eastAsia="Arial" w:hAnsi="Arial"/>
                <w:sz w:val="18"/>
                <w:szCs w:val="18"/>
                <w:color w:val="auto"/>
              </w:rPr>
              <w:t>Units held by the Unitholders and AIDH Management Holdings, LLC were</w:t>
            </w:r>
          </w:p>
        </w:tc>
      </w:tr>
      <w:tr>
        <w:trPr>
          <w:trHeight w:val="216"/>
        </w:trPr>
        <w:tc>
          <w:tcPr>
            <w:tcW w:w="4520" w:type="dxa"/>
            <w:vAlign w:val="bottom"/>
            <w:tcBorders>
              <w:left w:val="single" w:sz="8" w:color="auto"/>
            </w:tcBorders>
          </w:tcPr>
          <w:p>
            <w:pPr>
              <w:spacing w:after="0"/>
              <w:rPr>
                <w:sz w:val="18"/>
                <w:szCs w:val="18"/>
                <w:color w:val="auto"/>
              </w:rPr>
            </w:pPr>
          </w:p>
        </w:tc>
        <w:tc>
          <w:tcPr>
            <w:tcW w:w="6500" w:type="dxa"/>
            <w:vAlign w:val="bottom"/>
            <w:tcBorders>
              <w:right w:val="single" w:sz="8" w:color="auto"/>
            </w:tcBorders>
            <w:gridSpan w:val="4"/>
          </w:tcPr>
          <w:p>
            <w:pPr>
              <w:ind w:left="120"/>
              <w:spacing w:after="0"/>
              <w:rPr>
                <w:sz w:val="20"/>
                <w:szCs w:val="20"/>
                <w:color w:val="auto"/>
              </w:rPr>
            </w:pPr>
            <w:r>
              <w:rPr>
                <w:rFonts w:ascii="Arial" w:cs="Arial" w:eastAsia="Arial" w:hAnsi="Arial"/>
                <w:sz w:val="18"/>
                <w:szCs w:val="18"/>
                <w:color w:val="auto"/>
              </w:rPr>
              <w:t>redeemed or exchanged for a corresponding number of newly issued shares of</w:t>
            </w:r>
          </w:p>
        </w:tc>
      </w:tr>
      <w:tr>
        <w:trPr>
          <w:trHeight w:val="230"/>
        </w:trPr>
        <w:tc>
          <w:tcPr>
            <w:tcW w:w="4520" w:type="dxa"/>
            <w:vAlign w:val="bottom"/>
            <w:tcBorders>
              <w:left w:val="single" w:sz="8" w:color="auto"/>
            </w:tcBorders>
          </w:tcPr>
          <w:p>
            <w:pPr>
              <w:spacing w:after="0"/>
              <w:rPr>
                <w:sz w:val="20"/>
                <w:szCs w:val="20"/>
                <w:color w:val="auto"/>
              </w:rPr>
            </w:pPr>
          </w:p>
        </w:tc>
        <w:tc>
          <w:tcPr>
            <w:tcW w:w="2380" w:type="dxa"/>
            <w:vAlign w:val="bottom"/>
          </w:tcPr>
          <w:p>
            <w:pPr>
              <w:ind w:left="120"/>
              <w:spacing w:after="0"/>
              <w:rPr>
                <w:sz w:val="20"/>
                <w:szCs w:val="20"/>
                <w:color w:val="auto"/>
              </w:rPr>
            </w:pPr>
            <w:r>
              <w:rPr>
                <w:rFonts w:ascii="Arial" w:cs="Arial" w:eastAsia="Arial" w:hAnsi="Arial"/>
                <w:sz w:val="18"/>
                <w:szCs w:val="18"/>
                <w:color w:val="auto"/>
              </w:rPr>
              <w:t>Class A common stock.</w:t>
            </w:r>
          </w:p>
        </w:tc>
        <w:tc>
          <w:tcPr>
            <w:tcW w:w="122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1620" w:type="dxa"/>
            <w:vAlign w:val="bottom"/>
            <w:tcBorders>
              <w:right w:val="single" w:sz="8" w:color="auto"/>
            </w:tcBorders>
          </w:tcPr>
          <w:p>
            <w:pPr>
              <w:spacing w:after="0"/>
              <w:rPr>
                <w:sz w:val="20"/>
                <w:szCs w:val="20"/>
                <w:color w:val="auto"/>
              </w:rPr>
            </w:pPr>
          </w:p>
        </w:tc>
      </w:tr>
      <w:tr>
        <w:trPr>
          <w:trHeight w:val="445"/>
        </w:trPr>
        <w:tc>
          <w:tcPr>
            <w:tcW w:w="4520" w:type="dxa"/>
            <w:vAlign w:val="bottom"/>
            <w:tcBorders>
              <w:left w:val="single" w:sz="8" w:color="auto"/>
            </w:tcBorders>
          </w:tcPr>
          <w:p>
            <w:pPr>
              <w:ind w:left="180"/>
              <w:spacing w:after="0"/>
              <w:rPr>
                <w:sz w:val="20"/>
                <w:szCs w:val="20"/>
                <w:color w:val="auto"/>
              </w:rPr>
            </w:pPr>
            <w:r>
              <w:rPr>
                <w:rFonts w:ascii="Arial" w:cs="Arial" w:eastAsia="Arial" w:hAnsi="Arial"/>
                <w:sz w:val="18"/>
                <w:szCs w:val="18"/>
                <w:color w:val="auto"/>
                <w:w w:val="92"/>
              </w:rPr>
              <w:t>Class B common stock to be outstanding after this offering</w:t>
            </w:r>
          </w:p>
        </w:tc>
        <w:tc>
          <w:tcPr>
            <w:tcW w:w="3600" w:type="dxa"/>
            <w:vAlign w:val="bottom"/>
            <w:gridSpan w:val="2"/>
          </w:tcPr>
          <w:p>
            <w:pPr>
              <w:ind w:left="840"/>
              <w:spacing w:after="0"/>
              <w:rPr>
                <w:sz w:val="20"/>
                <w:szCs w:val="20"/>
                <w:color w:val="auto"/>
              </w:rPr>
            </w:pPr>
            <w:r>
              <w:rPr>
                <w:rFonts w:ascii="Arial" w:cs="Arial" w:eastAsia="Arial" w:hAnsi="Arial"/>
                <w:sz w:val="18"/>
                <w:szCs w:val="18"/>
                <w:color w:val="auto"/>
              </w:rPr>
              <w:t>shares of Class B common stock (</w:t>
            </w:r>
          </w:p>
        </w:tc>
        <w:tc>
          <w:tcPr>
            <w:tcW w:w="2900" w:type="dxa"/>
            <w:vAlign w:val="bottom"/>
            <w:tcBorders>
              <w:right w:val="single" w:sz="8" w:color="auto"/>
            </w:tcBorders>
            <w:gridSpan w:val="2"/>
          </w:tcPr>
          <w:p>
            <w:pPr>
              <w:ind w:left="440"/>
              <w:spacing w:after="0"/>
              <w:rPr>
                <w:sz w:val="20"/>
                <w:szCs w:val="20"/>
                <w:color w:val="auto"/>
              </w:rPr>
            </w:pPr>
            <w:r>
              <w:rPr>
                <w:rFonts w:ascii="Arial" w:cs="Arial" w:eastAsia="Arial" w:hAnsi="Arial"/>
                <w:sz w:val="18"/>
                <w:szCs w:val="18"/>
                <w:color w:val="auto"/>
              </w:rPr>
              <w:t>shares if the underwriters</w:t>
            </w:r>
          </w:p>
        </w:tc>
      </w:tr>
      <w:tr>
        <w:trPr>
          <w:trHeight w:val="216"/>
        </w:trPr>
        <w:tc>
          <w:tcPr>
            <w:tcW w:w="4520" w:type="dxa"/>
            <w:vAlign w:val="bottom"/>
            <w:tcBorders>
              <w:left w:val="single" w:sz="8" w:color="auto"/>
            </w:tcBorders>
          </w:tcPr>
          <w:p>
            <w:pPr>
              <w:spacing w:after="0"/>
              <w:rPr>
                <w:sz w:val="18"/>
                <w:szCs w:val="18"/>
                <w:color w:val="auto"/>
              </w:rPr>
            </w:pPr>
          </w:p>
        </w:tc>
        <w:tc>
          <w:tcPr>
            <w:tcW w:w="6500" w:type="dxa"/>
            <w:vAlign w:val="bottom"/>
            <w:tcBorders>
              <w:right w:val="single" w:sz="8" w:color="auto"/>
            </w:tcBorders>
            <w:gridSpan w:val="4"/>
          </w:tcPr>
          <w:p>
            <w:pPr>
              <w:ind w:left="120"/>
              <w:spacing w:after="0"/>
              <w:rPr>
                <w:sz w:val="20"/>
                <w:szCs w:val="20"/>
                <w:color w:val="auto"/>
              </w:rPr>
            </w:pPr>
            <w:r>
              <w:rPr>
                <w:rFonts w:ascii="Arial" w:cs="Arial" w:eastAsia="Arial" w:hAnsi="Arial"/>
                <w:sz w:val="18"/>
                <w:szCs w:val="18"/>
                <w:color w:val="auto"/>
                <w:w w:val="94"/>
              </w:rPr>
              <w:t>exercise their option to purchase additional shares in full). We would have no shares</w:t>
            </w:r>
          </w:p>
        </w:tc>
      </w:tr>
      <w:tr>
        <w:trPr>
          <w:trHeight w:val="216"/>
        </w:trPr>
        <w:tc>
          <w:tcPr>
            <w:tcW w:w="4520" w:type="dxa"/>
            <w:vAlign w:val="bottom"/>
            <w:tcBorders>
              <w:left w:val="single" w:sz="8" w:color="auto"/>
            </w:tcBorders>
          </w:tcPr>
          <w:p>
            <w:pPr>
              <w:spacing w:after="0"/>
              <w:rPr>
                <w:sz w:val="18"/>
                <w:szCs w:val="18"/>
                <w:color w:val="auto"/>
              </w:rPr>
            </w:pPr>
          </w:p>
        </w:tc>
        <w:tc>
          <w:tcPr>
            <w:tcW w:w="6500" w:type="dxa"/>
            <w:vAlign w:val="bottom"/>
            <w:tcBorders>
              <w:right w:val="single" w:sz="8" w:color="auto"/>
            </w:tcBorders>
            <w:gridSpan w:val="4"/>
          </w:tcPr>
          <w:p>
            <w:pPr>
              <w:ind w:left="120"/>
              <w:spacing w:after="0"/>
              <w:rPr>
                <w:sz w:val="20"/>
                <w:szCs w:val="20"/>
                <w:color w:val="auto"/>
              </w:rPr>
            </w:pPr>
            <w:r>
              <w:rPr>
                <w:rFonts w:ascii="Arial" w:cs="Arial" w:eastAsia="Arial" w:hAnsi="Arial"/>
                <w:sz w:val="18"/>
                <w:szCs w:val="18"/>
                <w:color w:val="auto"/>
              </w:rPr>
              <w:t>of Class B common stock outstanding if all outstanding LLC Units held by the</w:t>
            </w:r>
          </w:p>
        </w:tc>
      </w:tr>
      <w:tr>
        <w:trPr>
          <w:trHeight w:val="216"/>
        </w:trPr>
        <w:tc>
          <w:tcPr>
            <w:tcW w:w="4520" w:type="dxa"/>
            <w:vAlign w:val="bottom"/>
            <w:tcBorders>
              <w:left w:val="single" w:sz="8" w:color="auto"/>
            </w:tcBorders>
          </w:tcPr>
          <w:p>
            <w:pPr>
              <w:spacing w:after="0"/>
              <w:rPr>
                <w:sz w:val="18"/>
                <w:szCs w:val="18"/>
                <w:color w:val="auto"/>
              </w:rPr>
            </w:pPr>
          </w:p>
        </w:tc>
        <w:tc>
          <w:tcPr>
            <w:tcW w:w="6500" w:type="dxa"/>
            <w:vAlign w:val="bottom"/>
            <w:tcBorders>
              <w:right w:val="single" w:sz="8" w:color="auto"/>
            </w:tcBorders>
            <w:gridSpan w:val="4"/>
          </w:tcPr>
          <w:p>
            <w:pPr>
              <w:ind w:left="120"/>
              <w:spacing w:after="0"/>
              <w:rPr>
                <w:sz w:val="20"/>
                <w:szCs w:val="20"/>
                <w:color w:val="auto"/>
              </w:rPr>
            </w:pPr>
            <w:r>
              <w:rPr>
                <w:rFonts w:ascii="Arial" w:cs="Arial" w:eastAsia="Arial" w:hAnsi="Arial"/>
                <w:sz w:val="18"/>
                <w:szCs w:val="18"/>
                <w:color w:val="auto"/>
              </w:rPr>
              <w:t>Unitholders were redeemed or exchanged for a corresponding number of newly</w:t>
            </w:r>
          </w:p>
        </w:tc>
      </w:tr>
      <w:tr>
        <w:trPr>
          <w:trHeight w:val="230"/>
        </w:trPr>
        <w:tc>
          <w:tcPr>
            <w:tcW w:w="4520" w:type="dxa"/>
            <w:vAlign w:val="bottom"/>
            <w:tcBorders>
              <w:left w:val="single" w:sz="8" w:color="auto"/>
            </w:tcBorders>
          </w:tcPr>
          <w:p>
            <w:pPr>
              <w:spacing w:after="0"/>
              <w:rPr>
                <w:sz w:val="20"/>
                <w:szCs w:val="20"/>
                <w:color w:val="auto"/>
              </w:rPr>
            </w:pPr>
          </w:p>
        </w:tc>
        <w:tc>
          <w:tcPr>
            <w:tcW w:w="3600" w:type="dxa"/>
            <w:vAlign w:val="bottom"/>
            <w:gridSpan w:val="2"/>
          </w:tcPr>
          <w:p>
            <w:pPr>
              <w:ind w:left="120"/>
              <w:spacing w:after="0"/>
              <w:rPr>
                <w:sz w:val="20"/>
                <w:szCs w:val="20"/>
                <w:color w:val="auto"/>
              </w:rPr>
            </w:pPr>
            <w:r>
              <w:rPr>
                <w:rFonts w:ascii="Arial" w:cs="Arial" w:eastAsia="Arial" w:hAnsi="Arial"/>
                <w:sz w:val="18"/>
                <w:szCs w:val="18"/>
                <w:color w:val="auto"/>
              </w:rPr>
              <w:t>issued shares of Class A common stock.</w:t>
            </w:r>
          </w:p>
        </w:tc>
        <w:tc>
          <w:tcPr>
            <w:tcW w:w="1280" w:type="dxa"/>
            <w:vAlign w:val="bottom"/>
          </w:tcPr>
          <w:p>
            <w:pPr>
              <w:spacing w:after="0"/>
              <w:rPr>
                <w:sz w:val="20"/>
                <w:szCs w:val="20"/>
                <w:color w:val="auto"/>
              </w:rPr>
            </w:pPr>
          </w:p>
        </w:tc>
        <w:tc>
          <w:tcPr>
            <w:tcW w:w="1620" w:type="dxa"/>
            <w:vAlign w:val="bottom"/>
            <w:tcBorders>
              <w:right w:val="single" w:sz="8" w:color="auto"/>
            </w:tcBorders>
          </w:tcPr>
          <w:p>
            <w:pPr>
              <w:spacing w:after="0"/>
              <w:rPr>
                <w:sz w:val="20"/>
                <w:szCs w:val="20"/>
                <w:color w:val="auto"/>
              </w:rPr>
            </w:pPr>
          </w:p>
        </w:tc>
      </w:tr>
      <w:tr>
        <w:trPr>
          <w:trHeight w:val="445"/>
        </w:trPr>
        <w:tc>
          <w:tcPr>
            <w:tcW w:w="4520" w:type="dxa"/>
            <w:vAlign w:val="bottom"/>
            <w:tcBorders>
              <w:left w:val="single" w:sz="8" w:color="auto"/>
            </w:tcBorders>
          </w:tcPr>
          <w:p>
            <w:pPr>
              <w:ind w:left="180"/>
              <w:spacing w:after="0"/>
              <w:rPr>
                <w:sz w:val="20"/>
                <w:szCs w:val="20"/>
                <w:color w:val="auto"/>
              </w:rPr>
            </w:pPr>
            <w:r>
              <w:rPr>
                <w:rFonts w:ascii="Arial" w:cs="Arial" w:eastAsia="Arial" w:hAnsi="Arial"/>
                <w:sz w:val="18"/>
                <w:szCs w:val="18"/>
                <w:color w:val="auto"/>
              </w:rPr>
              <w:t>LLC Units to be held by us after this offering</w:t>
            </w:r>
          </w:p>
        </w:tc>
        <w:tc>
          <w:tcPr>
            <w:tcW w:w="6500" w:type="dxa"/>
            <w:vAlign w:val="bottom"/>
            <w:tcBorders>
              <w:right w:val="single" w:sz="8" w:color="auto"/>
            </w:tcBorders>
            <w:gridSpan w:val="4"/>
          </w:tcPr>
          <w:p>
            <w:pPr>
              <w:ind w:left="840"/>
              <w:spacing w:after="0"/>
              <w:rPr>
                <w:sz w:val="20"/>
                <w:szCs w:val="20"/>
                <w:color w:val="auto"/>
              </w:rPr>
            </w:pPr>
            <w:r>
              <w:rPr>
                <w:rFonts w:ascii="Arial" w:cs="Arial" w:eastAsia="Arial" w:hAnsi="Arial"/>
                <w:sz w:val="18"/>
                <w:szCs w:val="18"/>
                <w:color w:val="auto"/>
              </w:rPr>
              <w:t>LLC Units, representing a   % economic interest in Definitive OpCo (or</w:t>
            </w:r>
          </w:p>
        </w:tc>
      </w:tr>
      <w:tr>
        <w:trPr>
          <w:trHeight w:val="216"/>
        </w:trPr>
        <w:tc>
          <w:tcPr>
            <w:tcW w:w="4520" w:type="dxa"/>
            <w:vAlign w:val="bottom"/>
            <w:tcBorders>
              <w:left w:val="single" w:sz="8" w:color="auto"/>
            </w:tcBorders>
          </w:tcPr>
          <w:p>
            <w:pPr>
              <w:spacing w:after="0"/>
              <w:rPr>
                <w:sz w:val="18"/>
                <w:szCs w:val="18"/>
                <w:color w:val="auto"/>
              </w:rPr>
            </w:pPr>
          </w:p>
        </w:tc>
        <w:tc>
          <w:tcPr>
            <w:tcW w:w="6500" w:type="dxa"/>
            <w:vAlign w:val="bottom"/>
            <w:tcBorders>
              <w:right w:val="single" w:sz="8" w:color="auto"/>
            </w:tcBorders>
            <w:gridSpan w:val="4"/>
          </w:tcPr>
          <w:p>
            <w:pPr>
              <w:ind w:left="840"/>
              <w:spacing w:after="0"/>
              <w:rPr>
                <w:sz w:val="20"/>
                <w:szCs w:val="20"/>
                <w:color w:val="auto"/>
              </w:rPr>
            </w:pPr>
            <w:r>
              <w:rPr>
                <w:rFonts w:ascii="Arial" w:cs="Arial" w:eastAsia="Arial" w:hAnsi="Arial"/>
                <w:sz w:val="18"/>
                <w:szCs w:val="18"/>
                <w:color w:val="auto"/>
              </w:rPr>
              <w:t>LLC Units, representing a   % economic interest in Definitive OpCo, if</w:t>
            </w:r>
          </w:p>
        </w:tc>
      </w:tr>
      <w:tr>
        <w:trPr>
          <w:trHeight w:val="216"/>
        </w:trPr>
        <w:tc>
          <w:tcPr>
            <w:tcW w:w="4520" w:type="dxa"/>
            <w:vAlign w:val="bottom"/>
            <w:tcBorders>
              <w:left w:val="single" w:sz="8" w:color="auto"/>
            </w:tcBorders>
          </w:tcPr>
          <w:p>
            <w:pPr>
              <w:spacing w:after="0"/>
              <w:rPr>
                <w:sz w:val="18"/>
                <w:szCs w:val="18"/>
                <w:color w:val="auto"/>
              </w:rPr>
            </w:pPr>
          </w:p>
        </w:tc>
        <w:tc>
          <w:tcPr>
            <w:tcW w:w="6500" w:type="dxa"/>
            <w:vAlign w:val="bottom"/>
            <w:tcBorders>
              <w:right w:val="single" w:sz="8" w:color="auto"/>
            </w:tcBorders>
            <w:gridSpan w:val="4"/>
          </w:tcPr>
          <w:p>
            <w:pPr>
              <w:ind w:left="120"/>
              <w:spacing w:after="0"/>
              <w:rPr>
                <w:sz w:val="20"/>
                <w:szCs w:val="20"/>
                <w:color w:val="auto"/>
              </w:rPr>
            </w:pPr>
            <w:r>
              <w:rPr>
                <w:rFonts w:ascii="Arial" w:cs="Arial" w:eastAsia="Arial" w:hAnsi="Arial"/>
                <w:sz w:val="18"/>
                <w:szCs w:val="18"/>
                <w:color w:val="auto"/>
              </w:rPr>
              <w:t>the underwriters exercise their option to purchase additional shares of Class A</w:t>
            </w:r>
          </w:p>
        </w:tc>
      </w:tr>
      <w:tr>
        <w:trPr>
          <w:trHeight w:val="216"/>
        </w:trPr>
        <w:tc>
          <w:tcPr>
            <w:tcW w:w="4520" w:type="dxa"/>
            <w:vAlign w:val="bottom"/>
            <w:tcBorders>
              <w:left w:val="single" w:sz="8" w:color="auto"/>
            </w:tcBorders>
          </w:tcPr>
          <w:p>
            <w:pPr>
              <w:spacing w:after="0"/>
              <w:rPr>
                <w:sz w:val="18"/>
                <w:szCs w:val="18"/>
                <w:color w:val="auto"/>
              </w:rPr>
            </w:pPr>
          </w:p>
        </w:tc>
        <w:tc>
          <w:tcPr>
            <w:tcW w:w="6500" w:type="dxa"/>
            <w:vAlign w:val="bottom"/>
            <w:tcBorders>
              <w:right w:val="single" w:sz="8" w:color="auto"/>
            </w:tcBorders>
            <w:gridSpan w:val="4"/>
          </w:tcPr>
          <w:p>
            <w:pPr>
              <w:ind w:left="120"/>
              <w:spacing w:after="0"/>
              <w:rPr>
                <w:sz w:val="20"/>
                <w:szCs w:val="20"/>
                <w:color w:val="auto"/>
              </w:rPr>
            </w:pPr>
            <w:r>
              <w:rPr>
                <w:rFonts w:ascii="Arial" w:cs="Arial" w:eastAsia="Arial" w:hAnsi="Arial"/>
                <w:sz w:val="18"/>
                <w:szCs w:val="18"/>
                <w:color w:val="auto"/>
              </w:rPr>
              <w:t>common stock in full). The LLC Units are not entitled to voting interests in</w:t>
            </w:r>
          </w:p>
        </w:tc>
      </w:tr>
      <w:tr>
        <w:trPr>
          <w:trHeight w:val="230"/>
        </w:trPr>
        <w:tc>
          <w:tcPr>
            <w:tcW w:w="4520" w:type="dxa"/>
            <w:vAlign w:val="bottom"/>
            <w:tcBorders>
              <w:left w:val="single" w:sz="8" w:color="auto"/>
            </w:tcBorders>
          </w:tcPr>
          <w:p>
            <w:pPr>
              <w:spacing w:after="0"/>
              <w:rPr>
                <w:sz w:val="20"/>
                <w:szCs w:val="20"/>
                <w:color w:val="auto"/>
              </w:rPr>
            </w:pPr>
          </w:p>
        </w:tc>
        <w:tc>
          <w:tcPr>
            <w:tcW w:w="2380" w:type="dxa"/>
            <w:vAlign w:val="bottom"/>
          </w:tcPr>
          <w:p>
            <w:pPr>
              <w:ind w:left="120"/>
              <w:spacing w:after="0"/>
              <w:rPr>
                <w:sz w:val="20"/>
                <w:szCs w:val="20"/>
                <w:color w:val="auto"/>
              </w:rPr>
            </w:pPr>
            <w:r>
              <w:rPr>
                <w:rFonts w:ascii="Arial" w:cs="Arial" w:eastAsia="Arial" w:hAnsi="Arial"/>
                <w:sz w:val="18"/>
                <w:szCs w:val="18"/>
                <w:color w:val="auto"/>
              </w:rPr>
              <w:t>Definitive OpCo.</w:t>
            </w:r>
          </w:p>
        </w:tc>
        <w:tc>
          <w:tcPr>
            <w:tcW w:w="122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1620" w:type="dxa"/>
            <w:vAlign w:val="bottom"/>
            <w:tcBorders>
              <w:right w:val="single" w:sz="8" w:color="auto"/>
            </w:tcBorders>
          </w:tcPr>
          <w:p>
            <w:pPr>
              <w:spacing w:after="0"/>
              <w:rPr>
                <w:sz w:val="20"/>
                <w:szCs w:val="20"/>
                <w:color w:val="auto"/>
              </w:rPr>
            </w:pPr>
          </w:p>
        </w:tc>
      </w:tr>
      <w:tr>
        <w:trPr>
          <w:trHeight w:val="566"/>
        </w:trPr>
        <w:tc>
          <w:tcPr>
            <w:tcW w:w="4520" w:type="dxa"/>
            <w:vAlign w:val="bottom"/>
            <w:tcBorders>
              <w:left w:val="single" w:sz="8" w:color="auto"/>
            </w:tcBorders>
          </w:tcPr>
          <w:p>
            <w:pPr>
              <w:ind w:left="180"/>
              <w:spacing w:after="0"/>
              <w:rPr>
                <w:sz w:val="20"/>
                <w:szCs w:val="20"/>
                <w:color w:val="auto"/>
              </w:rPr>
            </w:pPr>
            <w:r>
              <w:rPr>
                <w:rFonts w:ascii="Arial" w:cs="Arial" w:eastAsia="Arial" w:hAnsi="Arial"/>
                <w:sz w:val="18"/>
                <w:szCs w:val="18"/>
                <w:color w:val="auto"/>
              </w:rPr>
              <w:t>Total LLC Units to be outstanding after this offering</w:t>
            </w:r>
          </w:p>
        </w:tc>
        <w:tc>
          <w:tcPr>
            <w:tcW w:w="2380" w:type="dxa"/>
            <w:vAlign w:val="bottom"/>
          </w:tcPr>
          <w:p>
            <w:pPr>
              <w:ind w:left="840"/>
              <w:spacing w:after="0"/>
              <w:rPr>
                <w:sz w:val="20"/>
                <w:szCs w:val="20"/>
                <w:color w:val="auto"/>
              </w:rPr>
            </w:pPr>
            <w:r>
              <w:rPr>
                <w:rFonts w:ascii="Arial" w:cs="Arial" w:eastAsia="Arial" w:hAnsi="Arial"/>
                <w:sz w:val="18"/>
                <w:szCs w:val="18"/>
                <w:color w:val="auto"/>
              </w:rPr>
              <w:t>LLC Units (or</w:t>
            </w:r>
          </w:p>
        </w:tc>
        <w:tc>
          <w:tcPr>
            <w:tcW w:w="4120" w:type="dxa"/>
            <w:vAlign w:val="bottom"/>
            <w:tcBorders>
              <w:right w:val="single" w:sz="8" w:color="auto"/>
            </w:tcBorders>
            <w:gridSpan w:val="3"/>
          </w:tcPr>
          <w:p>
            <w:pPr>
              <w:ind w:left="240"/>
              <w:spacing w:after="0"/>
              <w:rPr>
                <w:sz w:val="20"/>
                <w:szCs w:val="20"/>
                <w:color w:val="auto"/>
              </w:rPr>
            </w:pPr>
            <w:r>
              <w:rPr>
                <w:rFonts w:ascii="Arial" w:cs="Arial" w:eastAsia="Arial" w:hAnsi="Arial"/>
                <w:sz w:val="18"/>
                <w:szCs w:val="18"/>
                <w:color w:val="auto"/>
                <w:w w:val="97"/>
              </w:rPr>
              <w:t>LLC Units if the underwriters exercise their option</w:t>
            </w:r>
          </w:p>
        </w:tc>
      </w:tr>
      <w:tr>
        <w:trPr>
          <w:trHeight w:val="230"/>
        </w:trPr>
        <w:tc>
          <w:tcPr>
            <w:tcW w:w="4520" w:type="dxa"/>
            <w:vAlign w:val="bottom"/>
            <w:tcBorders>
              <w:left w:val="single" w:sz="8" w:color="auto"/>
            </w:tcBorders>
          </w:tcPr>
          <w:p>
            <w:pPr>
              <w:spacing w:after="0"/>
              <w:rPr>
                <w:sz w:val="20"/>
                <w:szCs w:val="20"/>
                <w:color w:val="auto"/>
              </w:rPr>
            </w:pPr>
          </w:p>
        </w:tc>
        <w:tc>
          <w:tcPr>
            <w:tcW w:w="4880" w:type="dxa"/>
            <w:vAlign w:val="bottom"/>
            <w:gridSpan w:val="3"/>
          </w:tcPr>
          <w:p>
            <w:pPr>
              <w:ind w:left="120"/>
              <w:spacing w:after="0"/>
              <w:rPr>
                <w:sz w:val="20"/>
                <w:szCs w:val="20"/>
                <w:color w:val="auto"/>
              </w:rPr>
            </w:pPr>
            <w:r>
              <w:rPr>
                <w:rFonts w:ascii="Arial" w:cs="Arial" w:eastAsia="Arial" w:hAnsi="Arial"/>
                <w:sz w:val="18"/>
                <w:szCs w:val="18"/>
                <w:color w:val="auto"/>
                <w:w w:val="94"/>
              </w:rPr>
              <w:t>to purchase additional shares of Class A common stock in full).</w:t>
            </w:r>
          </w:p>
        </w:tc>
        <w:tc>
          <w:tcPr>
            <w:tcW w:w="1620" w:type="dxa"/>
            <w:vAlign w:val="bottom"/>
            <w:tcBorders>
              <w:right w:val="single" w:sz="8" w:color="auto"/>
            </w:tcBorders>
          </w:tcPr>
          <w:p>
            <w:pPr>
              <w:spacing w:after="0"/>
              <w:rPr>
                <w:sz w:val="20"/>
                <w:szCs w:val="20"/>
                <w:color w:val="auto"/>
              </w:rPr>
            </w:pPr>
          </w:p>
        </w:tc>
      </w:tr>
      <w:tr>
        <w:trPr>
          <w:trHeight w:val="445"/>
        </w:trPr>
        <w:tc>
          <w:tcPr>
            <w:tcW w:w="4520" w:type="dxa"/>
            <w:vAlign w:val="bottom"/>
            <w:tcBorders>
              <w:left w:val="single" w:sz="8" w:color="auto"/>
            </w:tcBorders>
          </w:tcPr>
          <w:p>
            <w:pPr>
              <w:ind w:left="180"/>
              <w:spacing w:after="0"/>
              <w:rPr>
                <w:sz w:val="20"/>
                <w:szCs w:val="20"/>
                <w:color w:val="auto"/>
              </w:rPr>
            </w:pPr>
            <w:r>
              <w:rPr>
                <w:rFonts w:ascii="Arial" w:cs="Arial" w:eastAsia="Arial" w:hAnsi="Arial"/>
                <w:sz w:val="18"/>
                <w:szCs w:val="18"/>
                <w:color w:val="auto"/>
              </w:rPr>
              <w:t>Use of proceeds</w:t>
            </w:r>
          </w:p>
        </w:tc>
        <w:tc>
          <w:tcPr>
            <w:tcW w:w="6500" w:type="dxa"/>
            <w:vAlign w:val="bottom"/>
            <w:tcBorders>
              <w:right w:val="single" w:sz="8" w:color="auto"/>
            </w:tcBorders>
            <w:gridSpan w:val="4"/>
          </w:tcPr>
          <w:p>
            <w:pPr>
              <w:ind w:left="120"/>
              <w:spacing w:after="0"/>
              <w:rPr>
                <w:sz w:val="20"/>
                <w:szCs w:val="20"/>
                <w:color w:val="auto"/>
              </w:rPr>
            </w:pPr>
            <w:r>
              <w:rPr>
                <w:rFonts w:ascii="Arial" w:cs="Arial" w:eastAsia="Arial" w:hAnsi="Arial"/>
                <w:sz w:val="18"/>
                <w:szCs w:val="18"/>
                <w:color w:val="auto"/>
                <w:w w:val="94"/>
              </w:rPr>
              <w:t>We estimate that the net proceeds from the sale of our Class A common stock in this</w:t>
            </w:r>
          </w:p>
        </w:tc>
      </w:tr>
      <w:tr>
        <w:trPr>
          <w:trHeight w:val="216"/>
        </w:trPr>
        <w:tc>
          <w:tcPr>
            <w:tcW w:w="4520" w:type="dxa"/>
            <w:vAlign w:val="bottom"/>
            <w:tcBorders>
              <w:left w:val="single" w:sz="8" w:color="auto"/>
            </w:tcBorders>
          </w:tcPr>
          <w:p>
            <w:pPr>
              <w:spacing w:after="0"/>
              <w:rPr>
                <w:sz w:val="18"/>
                <w:szCs w:val="18"/>
                <w:color w:val="auto"/>
              </w:rPr>
            </w:pPr>
          </w:p>
        </w:tc>
        <w:tc>
          <w:tcPr>
            <w:tcW w:w="6500" w:type="dxa"/>
            <w:vAlign w:val="bottom"/>
            <w:tcBorders>
              <w:right w:val="single" w:sz="8" w:color="auto"/>
            </w:tcBorders>
            <w:gridSpan w:val="4"/>
          </w:tcPr>
          <w:p>
            <w:pPr>
              <w:ind w:left="120"/>
              <w:spacing w:after="0"/>
              <w:rPr>
                <w:sz w:val="20"/>
                <w:szCs w:val="20"/>
                <w:color w:val="auto"/>
              </w:rPr>
            </w:pPr>
            <w:r>
              <w:rPr>
                <w:rFonts w:ascii="Arial" w:cs="Arial" w:eastAsia="Arial" w:hAnsi="Arial"/>
                <w:sz w:val="18"/>
                <w:szCs w:val="18"/>
                <w:color w:val="auto"/>
                <w:w w:val="94"/>
              </w:rPr>
              <w:t>offering, after deducting the underwriting discounts and estimated offering expenses</w:t>
            </w:r>
          </w:p>
        </w:tc>
      </w:tr>
      <w:tr>
        <w:trPr>
          <w:trHeight w:val="230"/>
        </w:trPr>
        <w:tc>
          <w:tcPr>
            <w:tcW w:w="4520" w:type="dxa"/>
            <w:vAlign w:val="bottom"/>
            <w:tcBorders>
              <w:left w:val="single" w:sz="8" w:color="auto"/>
            </w:tcBorders>
          </w:tcPr>
          <w:p>
            <w:pPr>
              <w:spacing w:after="0"/>
              <w:rPr>
                <w:sz w:val="20"/>
                <w:szCs w:val="20"/>
                <w:color w:val="auto"/>
              </w:rPr>
            </w:pPr>
          </w:p>
        </w:tc>
        <w:tc>
          <w:tcPr>
            <w:tcW w:w="3600" w:type="dxa"/>
            <w:vAlign w:val="bottom"/>
            <w:gridSpan w:val="2"/>
          </w:tcPr>
          <w:p>
            <w:pPr>
              <w:ind w:left="120"/>
              <w:spacing w:after="0"/>
              <w:rPr>
                <w:sz w:val="20"/>
                <w:szCs w:val="20"/>
                <w:color w:val="auto"/>
              </w:rPr>
            </w:pPr>
            <w:r>
              <w:rPr>
                <w:rFonts w:ascii="Arial" w:cs="Arial" w:eastAsia="Arial" w:hAnsi="Arial"/>
                <w:sz w:val="18"/>
                <w:szCs w:val="18"/>
                <w:color w:val="auto"/>
              </w:rPr>
              <w:t>payable by us, will be approximately $</w:t>
            </w:r>
          </w:p>
        </w:tc>
        <w:tc>
          <w:tcPr>
            <w:tcW w:w="1280" w:type="dxa"/>
            <w:vAlign w:val="bottom"/>
          </w:tcPr>
          <w:p>
            <w:pPr>
              <w:ind w:left="80"/>
              <w:spacing w:after="0"/>
              <w:rPr>
                <w:sz w:val="20"/>
                <w:szCs w:val="20"/>
                <w:color w:val="auto"/>
              </w:rPr>
            </w:pPr>
            <w:r>
              <w:rPr>
                <w:rFonts w:ascii="Arial" w:cs="Arial" w:eastAsia="Arial" w:hAnsi="Arial"/>
                <w:sz w:val="18"/>
                <w:szCs w:val="18"/>
                <w:color w:val="auto"/>
              </w:rPr>
              <w:t>million ($</w:t>
            </w:r>
          </w:p>
        </w:tc>
        <w:tc>
          <w:tcPr>
            <w:tcW w:w="1620" w:type="dxa"/>
            <w:vAlign w:val="bottom"/>
            <w:tcBorders>
              <w:right w:val="single" w:sz="8" w:color="auto"/>
            </w:tcBorders>
          </w:tcPr>
          <w:p>
            <w:pPr>
              <w:ind w:left="280"/>
              <w:spacing w:after="0"/>
              <w:rPr>
                <w:sz w:val="20"/>
                <w:szCs w:val="20"/>
                <w:color w:val="auto"/>
              </w:rPr>
            </w:pPr>
            <w:r>
              <w:rPr>
                <w:rFonts w:ascii="Arial" w:cs="Arial" w:eastAsia="Arial" w:hAnsi="Arial"/>
                <w:sz w:val="18"/>
                <w:szCs w:val="18"/>
                <w:color w:val="auto"/>
              </w:rPr>
              <w:t>million if the</w:t>
            </w:r>
          </w:p>
        </w:tc>
      </w:tr>
      <w:tr>
        <w:trPr>
          <w:trHeight w:val="159"/>
        </w:trPr>
        <w:tc>
          <w:tcPr>
            <w:tcW w:w="4520" w:type="dxa"/>
            <w:vAlign w:val="bottom"/>
            <w:tcBorders>
              <w:left w:val="single" w:sz="8" w:color="auto"/>
              <w:bottom w:val="single" w:sz="8" w:color="auto"/>
            </w:tcBorders>
          </w:tcPr>
          <w:p>
            <w:pPr>
              <w:spacing w:after="0"/>
              <w:rPr>
                <w:sz w:val="13"/>
                <w:szCs w:val="13"/>
                <w:color w:val="auto"/>
              </w:rPr>
            </w:pPr>
          </w:p>
        </w:tc>
        <w:tc>
          <w:tcPr>
            <w:tcW w:w="2380" w:type="dxa"/>
            <w:vAlign w:val="bottom"/>
            <w:tcBorders>
              <w:bottom w:val="single" w:sz="8" w:color="auto"/>
            </w:tcBorders>
          </w:tcPr>
          <w:p>
            <w:pPr>
              <w:spacing w:after="0"/>
              <w:rPr>
                <w:sz w:val="13"/>
                <w:szCs w:val="13"/>
                <w:color w:val="auto"/>
              </w:rPr>
            </w:pPr>
          </w:p>
        </w:tc>
        <w:tc>
          <w:tcPr>
            <w:tcW w:w="1220" w:type="dxa"/>
            <w:vAlign w:val="bottom"/>
            <w:tcBorders>
              <w:bottom w:val="single" w:sz="8" w:color="auto"/>
            </w:tcBorders>
          </w:tcPr>
          <w:p>
            <w:pPr>
              <w:spacing w:after="0"/>
              <w:rPr>
                <w:sz w:val="13"/>
                <w:szCs w:val="13"/>
                <w:color w:val="auto"/>
              </w:rPr>
            </w:pPr>
          </w:p>
        </w:tc>
        <w:tc>
          <w:tcPr>
            <w:tcW w:w="1280" w:type="dxa"/>
            <w:vAlign w:val="bottom"/>
            <w:tcBorders>
              <w:bottom w:val="single" w:sz="8" w:color="auto"/>
            </w:tcBorders>
          </w:tcPr>
          <w:p>
            <w:pPr>
              <w:spacing w:after="0"/>
              <w:rPr>
                <w:sz w:val="13"/>
                <w:szCs w:val="13"/>
                <w:color w:val="auto"/>
              </w:rPr>
            </w:pPr>
          </w:p>
        </w:tc>
        <w:tc>
          <w:tcPr>
            <w:tcW w:w="1620" w:type="dxa"/>
            <w:vAlign w:val="bottom"/>
            <w:tcBorders>
              <w:bottom w:val="single" w:sz="8" w:color="auto"/>
              <w:right w:val="single" w:sz="8" w:color="auto"/>
            </w:tcBorders>
          </w:tcPr>
          <w:p>
            <w:pPr>
              <w:spacing w:after="0"/>
              <w:rPr>
                <w:sz w:val="13"/>
                <w:szCs w:val="13"/>
                <w:color w:val="auto"/>
              </w:rPr>
            </w:pPr>
          </w:p>
        </w:tc>
      </w:tr>
      <w:tr>
        <w:trPr>
          <w:trHeight w:val="361"/>
        </w:trPr>
        <w:tc>
          <w:tcPr>
            <w:tcW w:w="4520" w:type="dxa"/>
            <w:vAlign w:val="bottom"/>
          </w:tcPr>
          <w:p>
            <w:pPr>
              <w:spacing w:after="0"/>
              <w:rPr>
                <w:sz w:val="24"/>
                <w:szCs w:val="24"/>
                <w:color w:val="auto"/>
              </w:rPr>
            </w:pPr>
          </w:p>
        </w:tc>
        <w:tc>
          <w:tcPr>
            <w:tcW w:w="2380" w:type="dxa"/>
            <w:vAlign w:val="bottom"/>
          </w:tcPr>
          <w:p>
            <w:pPr>
              <w:ind w:left="1000"/>
              <w:spacing w:after="0"/>
              <w:rPr>
                <w:sz w:val="20"/>
                <w:szCs w:val="20"/>
                <w:color w:val="auto"/>
              </w:rPr>
            </w:pPr>
            <w:r>
              <w:rPr>
                <w:rFonts w:ascii="Arial" w:cs="Arial" w:eastAsia="Arial" w:hAnsi="Arial"/>
                <w:sz w:val="18"/>
                <w:szCs w:val="18"/>
                <w:color w:val="auto"/>
              </w:rPr>
              <w:t>17</w:t>
            </w:r>
          </w:p>
        </w:tc>
        <w:tc>
          <w:tcPr>
            <w:tcW w:w="12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620" w:type="dxa"/>
            <w:vAlign w:val="bottom"/>
          </w:tcPr>
          <w:p>
            <w:pPr>
              <w:spacing w:after="0"/>
              <w:rPr>
                <w:sz w:val="24"/>
                <w:szCs w:val="24"/>
                <w:color w:val="auto"/>
              </w:rPr>
            </w:pPr>
          </w:p>
        </w:tc>
      </w:tr>
    </w:tbl>
    <w:p>
      <w:pPr>
        <w:sectPr>
          <w:pgSz w:w="11900" w:h="16838" w:orient="portrait"/>
          <w:cols w:equalWidth="0" w:num="1">
            <w:col w:w="11140"/>
          </w:cols>
          <w:pgMar w:left="320" w:top="459" w:right="439"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299"/>
        <w:spacing w:after="0"/>
        <w:rPr>
          <w:sz w:val="20"/>
          <w:szCs w:val="20"/>
          <w:color w:val="auto"/>
        </w:rPr>
      </w:pPr>
      <w:r>
        <w:rPr>
          <w:rFonts w:ascii="Arial" w:cs="Arial" w:eastAsia="Arial" w:hAnsi="Arial"/>
          <w:sz w:val="18"/>
          <w:szCs w:val="18"/>
          <w:b w:val="1"/>
          <w:bCs w:val="1"/>
          <w:color w:val="auto"/>
        </w:rPr>
        <w:t>Confidential Treatment Requested by Definitive Healthcare Corp.</w:t>
      </w:r>
    </w:p>
    <w:p>
      <w:pPr>
        <w:spacing w:after="0" w:line="27" w:lineRule="exact"/>
        <w:rPr>
          <w:sz w:val="20"/>
          <w:szCs w:val="20"/>
          <w:color w:val="auto"/>
        </w:rPr>
      </w:pPr>
    </w:p>
    <w:p>
      <w:pPr>
        <w:jc w:val="center"/>
        <w:ind w:right="-299"/>
        <w:spacing w:after="0"/>
        <w:rPr>
          <w:sz w:val="20"/>
          <w:szCs w:val="20"/>
          <w:color w:val="auto"/>
        </w:rPr>
      </w:pPr>
      <w:r>
        <w:rPr>
          <w:rFonts w:ascii="Arial" w:cs="Arial" w:eastAsia="Arial" w:hAnsi="Arial"/>
          <w:sz w:val="18"/>
          <w:szCs w:val="18"/>
          <w:b w:val="1"/>
          <w:bCs w:val="1"/>
          <w:color w:val="auto"/>
        </w:rPr>
        <w:t>Pursuant to 17 C.F.R. Section 200.83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97790</wp:posOffset>
            </wp:positionV>
            <wp:extent cx="6998970" cy="58762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6998970" cy="5876290"/>
                    </a:xfrm>
                    <a:prstGeom prst="rect">
                      <a:avLst/>
                    </a:prstGeom>
                    <a:noFill/>
                  </pic:spPr>
                </pic:pic>
              </a:graphicData>
            </a:graphic>
          </wp:anchor>
        </w:drawing>
      </w:r>
    </w:p>
    <w:p>
      <w:pPr>
        <w:spacing w:after="0" w:line="312" w:lineRule="exact"/>
        <w:rPr>
          <w:sz w:val="20"/>
          <w:szCs w:val="20"/>
          <w:color w:val="auto"/>
        </w:rPr>
      </w:pPr>
    </w:p>
    <w:p>
      <w:pPr>
        <w:ind w:left="4760"/>
        <w:spacing w:after="0"/>
        <w:rPr>
          <w:sz w:val="20"/>
          <w:szCs w:val="20"/>
          <w:color w:val="auto"/>
        </w:rPr>
      </w:pPr>
      <w:r>
        <w:rPr>
          <w:rFonts w:ascii="Arial" w:cs="Arial" w:eastAsia="Arial" w:hAnsi="Arial"/>
          <w:sz w:val="16"/>
          <w:szCs w:val="16"/>
          <w:color w:val="auto"/>
        </w:rPr>
        <w:t>underwriters exercise their option to purchase additional shares in full) based on an</w:t>
      </w:r>
    </w:p>
    <w:p>
      <w:pPr>
        <w:spacing w:after="0" w:line="46" w:lineRule="exact"/>
        <w:rPr>
          <w:sz w:val="20"/>
          <w:szCs w:val="20"/>
          <w:color w:val="auto"/>
        </w:rPr>
      </w:pPr>
    </w:p>
    <w:p>
      <w:pPr>
        <w:ind w:left="4760"/>
        <w:spacing w:after="0"/>
        <w:tabs>
          <w:tab w:leader="none" w:pos="7960" w:val="left"/>
        </w:tabs>
        <w:rPr>
          <w:sz w:val="20"/>
          <w:szCs w:val="20"/>
          <w:color w:val="auto"/>
        </w:rPr>
      </w:pPr>
      <w:r>
        <w:rPr>
          <w:rFonts w:ascii="Arial" w:cs="Arial" w:eastAsia="Arial" w:hAnsi="Arial"/>
          <w:sz w:val="18"/>
          <w:szCs w:val="18"/>
          <w:color w:val="auto"/>
        </w:rPr>
        <w:t>assumed public offering price of $</w:t>
      </w:r>
      <w:r>
        <w:rPr>
          <w:sz w:val="20"/>
          <w:szCs w:val="20"/>
          <w:color w:val="auto"/>
        </w:rPr>
        <w:tab/>
      </w:r>
      <w:r>
        <w:rPr>
          <w:rFonts w:ascii="Arial" w:cs="Arial" w:eastAsia="Arial" w:hAnsi="Arial"/>
          <w:sz w:val="15"/>
          <w:szCs w:val="15"/>
          <w:color w:val="auto"/>
        </w:rPr>
        <w:t>per share.</w:t>
      </w:r>
    </w:p>
    <w:p>
      <w:pPr>
        <w:spacing w:after="0" w:line="251" w:lineRule="exact"/>
        <w:rPr>
          <w:sz w:val="20"/>
          <w:szCs w:val="20"/>
          <w:color w:val="auto"/>
        </w:rPr>
      </w:pPr>
    </w:p>
    <w:p>
      <w:pPr>
        <w:ind w:left="4760" w:right="160"/>
        <w:spacing w:after="0" w:line="255" w:lineRule="auto"/>
        <w:rPr>
          <w:sz w:val="20"/>
          <w:szCs w:val="20"/>
          <w:color w:val="auto"/>
        </w:rPr>
      </w:pPr>
      <w:r>
        <w:rPr>
          <w:rFonts w:ascii="Arial" w:cs="Arial" w:eastAsia="Arial" w:hAnsi="Arial"/>
          <w:sz w:val="18"/>
          <w:szCs w:val="18"/>
          <w:color w:val="auto"/>
        </w:rPr>
        <w:t>We intend to use the net proceeds from this offering to (i) purchase newly issued LLC Units from Definitive OpCo, (ii) purchase LLC Units from certain Unitholders, and (iii) repurchase shares of Class A common stock</w:t>
      </w:r>
    </w:p>
    <w:p>
      <w:pPr>
        <w:spacing w:after="0" w:line="3" w:lineRule="exact"/>
        <w:rPr>
          <w:sz w:val="20"/>
          <w:szCs w:val="20"/>
          <w:color w:val="auto"/>
        </w:rPr>
      </w:pPr>
    </w:p>
    <w:p>
      <w:pPr>
        <w:ind w:left="4760" w:right="140"/>
        <w:spacing w:after="0" w:line="271" w:lineRule="auto"/>
        <w:rPr>
          <w:sz w:val="20"/>
          <w:szCs w:val="20"/>
          <w:color w:val="auto"/>
        </w:rPr>
      </w:pPr>
      <w:r>
        <w:rPr>
          <w:rFonts w:ascii="Arial" w:cs="Arial" w:eastAsia="Arial" w:hAnsi="Arial"/>
          <w:sz w:val="17"/>
          <w:szCs w:val="17"/>
          <w:color w:val="auto"/>
        </w:rPr>
        <w:t>from certain of the Blocker Companies’ Former Owners, at a price per share of Class A common stock equal to the public offering price of our Class A common stock minus the underwriting discounts. The foregoing purchases of LLC Units will be at a price per unit equal to the public offering price per share of Class A common stock in this offering, less the underwriting discounts.</w:t>
      </w:r>
    </w:p>
    <w:p>
      <w:pPr>
        <w:spacing w:after="0" w:line="205" w:lineRule="exact"/>
        <w:rPr>
          <w:sz w:val="20"/>
          <w:szCs w:val="20"/>
          <w:color w:val="auto"/>
        </w:rPr>
      </w:pPr>
    </w:p>
    <w:tbl>
      <w:tblPr>
        <w:tblLayout w:type="fixed"/>
        <w:tblInd w:w="300" w:type="dxa"/>
        <w:tblCellMar>
          <w:top w:w="0" w:type="dxa"/>
          <w:left w:w="0" w:type="dxa"/>
          <w:bottom w:w="0" w:type="dxa"/>
          <w:right w:w="0" w:type="dxa"/>
        </w:tblCellMar>
      </w:tblPr>
      <w:tr>
        <w:trPr>
          <w:trHeight w:val="216"/>
        </w:trPr>
        <w:tc>
          <w:tcPr>
            <w:tcW w:w="3200" w:type="dxa"/>
            <w:vAlign w:val="bottom"/>
          </w:tcPr>
          <w:p>
            <w:pPr>
              <w:spacing w:after="0"/>
              <w:rPr>
                <w:sz w:val="18"/>
                <w:szCs w:val="18"/>
                <w:color w:val="auto"/>
              </w:rPr>
            </w:pPr>
          </w:p>
        </w:tc>
        <w:tc>
          <w:tcPr>
            <w:tcW w:w="7180" w:type="dxa"/>
            <w:vAlign w:val="bottom"/>
            <w:gridSpan w:val="3"/>
          </w:tcPr>
          <w:p>
            <w:pPr>
              <w:ind w:left="1260"/>
              <w:spacing w:after="0"/>
              <w:rPr>
                <w:sz w:val="20"/>
                <w:szCs w:val="20"/>
                <w:color w:val="auto"/>
              </w:rPr>
            </w:pPr>
            <w:r>
              <w:rPr>
                <w:rFonts w:ascii="Arial" w:cs="Arial" w:eastAsia="Arial" w:hAnsi="Arial"/>
                <w:sz w:val="18"/>
                <w:szCs w:val="18"/>
                <w:color w:val="auto"/>
                <w:w w:val="92"/>
              </w:rPr>
              <w:t>We will cause Definitive OpCo to use the proceeds from the issuance of the LLC</w:t>
            </w:r>
          </w:p>
        </w:tc>
        <w:tc>
          <w:tcPr>
            <w:tcW w:w="260" w:type="dxa"/>
            <w:vAlign w:val="bottom"/>
          </w:tcPr>
          <w:p>
            <w:pPr>
              <w:spacing w:after="0"/>
              <w:rPr>
                <w:sz w:val="18"/>
                <w:szCs w:val="18"/>
                <w:color w:val="auto"/>
              </w:rPr>
            </w:pPr>
          </w:p>
        </w:tc>
      </w:tr>
      <w:tr>
        <w:trPr>
          <w:trHeight w:val="216"/>
        </w:trPr>
        <w:tc>
          <w:tcPr>
            <w:tcW w:w="3200" w:type="dxa"/>
            <w:vAlign w:val="bottom"/>
          </w:tcPr>
          <w:p>
            <w:pPr>
              <w:spacing w:after="0"/>
              <w:rPr>
                <w:sz w:val="18"/>
                <w:szCs w:val="18"/>
                <w:color w:val="auto"/>
              </w:rPr>
            </w:pPr>
          </w:p>
        </w:tc>
        <w:tc>
          <w:tcPr>
            <w:tcW w:w="7440" w:type="dxa"/>
            <w:vAlign w:val="bottom"/>
            <w:gridSpan w:val="4"/>
          </w:tcPr>
          <w:p>
            <w:pPr>
              <w:ind w:left="1260"/>
              <w:spacing w:after="0"/>
              <w:rPr>
                <w:sz w:val="20"/>
                <w:szCs w:val="20"/>
                <w:color w:val="auto"/>
              </w:rPr>
            </w:pPr>
            <w:r>
              <w:rPr>
                <w:rFonts w:ascii="Arial" w:cs="Arial" w:eastAsia="Arial" w:hAnsi="Arial"/>
                <w:sz w:val="18"/>
                <w:szCs w:val="18"/>
                <w:color w:val="auto"/>
                <w:w w:val="92"/>
              </w:rPr>
              <w:t>Units to Definitive Healthcare Corp. as follows: (i) for general corporate purposes as</w:t>
            </w:r>
          </w:p>
        </w:tc>
      </w:tr>
      <w:tr>
        <w:trPr>
          <w:trHeight w:val="216"/>
        </w:trPr>
        <w:tc>
          <w:tcPr>
            <w:tcW w:w="3200" w:type="dxa"/>
            <w:vAlign w:val="bottom"/>
          </w:tcPr>
          <w:p>
            <w:pPr>
              <w:spacing w:after="0"/>
              <w:rPr>
                <w:sz w:val="18"/>
                <w:szCs w:val="18"/>
                <w:color w:val="auto"/>
              </w:rPr>
            </w:pPr>
          </w:p>
        </w:tc>
        <w:tc>
          <w:tcPr>
            <w:tcW w:w="7180" w:type="dxa"/>
            <w:vAlign w:val="bottom"/>
            <w:gridSpan w:val="3"/>
          </w:tcPr>
          <w:p>
            <w:pPr>
              <w:ind w:left="1260"/>
              <w:spacing w:after="0"/>
              <w:rPr>
                <w:sz w:val="20"/>
                <w:szCs w:val="20"/>
                <w:color w:val="auto"/>
              </w:rPr>
            </w:pPr>
            <w:r>
              <w:rPr>
                <w:rFonts w:ascii="Arial" w:cs="Arial" w:eastAsia="Arial" w:hAnsi="Arial"/>
                <w:sz w:val="18"/>
                <w:szCs w:val="18"/>
                <w:color w:val="auto"/>
                <w:w w:val="90"/>
              </w:rPr>
              <w:t>described in “Use of Proceeds” and (ii) to pay fees and expenses of approximately</w:t>
            </w:r>
          </w:p>
        </w:tc>
        <w:tc>
          <w:tcPr>
            <w:tcW w:w="260" w:type="dxa"/>
            <w:vAlign w:val="bottom"/>
          </w:tcPr>
          <w:p>
            <w:pPr>
              <w:spacing w:after="0"/>
              <w:rPr>
                <w:sz w:val="18"/>
                <w:szCs w:val="18"/>
                <w:color w:val="auto"/>
              </w:rPr>
            </w:pPr>
          </w:p>
        </w:tc>
      </w:tr>
      <w:tr>
        <w:trPr>
          <w:trHeight w:val="216"/>
        </w:trPr>
        <w:tc>
          <w:tcPr>
            <w:tcW w:w="3200" w:type="dxa"/>
            <w:vAlign w:val="bottom"/>
          </w:tcPr>
          <w:p>
            <w:pPr>
              <w:spacing w:after="0"/>
              <w:rPr>
                <w:sz w:val="18"/>
                <w:szCs w:val="18"/>
                <w:color w:val="auto"/>
              </w:rPr>
            </w:pPr>
          </w:p>
        </w:tc>
        <w:tc>
          <w:tcPr>
            <w:tcW w:w="1720" w:type="dxa"/>
            <w:vAlign w:val="bottom"/>
          </w:tcPr>
          <w:p>
            <w:pPr>
              <w:ind w:left="1260"/>
              <w:spacing w:after="0"/>
              <w:rPr>
                <w:sz w:val="20"/>
                <w:szCs w:val="20"/>
                <w:color w:val="auto"/>
              </w:rPr>
            </w:pPr>
            <w:r>
              <w:rPr>
                <w:rFonts w:ascii="Arial" w:cs="Arial" w:eastAsia="Arial" w:hAnsi="Arial"/>
                <w:sz w:val="18"/>
                <w:szCs w:val="18"/>
                <w:color w:val="auto"/>
              </w:rPr>
              <w:t>$</w:t>
            </w:r>
          </w:p>
        </w:tc>
        <w:tc>
          <w:tcPr>
            <w:tcW w:w="5720" w:type="dxa"/>
            <w:vAlign w:val="bottom"/>
            <w:gridSpan w:val="3"/>
          </w:tcPr>
          <w:p>
            <w:pPr>
              <w:jc w:val="right"/>
              <w:spacing w:after="0"/>
              <w:rPr>
                <w:sz w:val="20"/>
                <w:szCs w:val="20"/>
                <w:color w:val="auto"/>
              </w:rPr>
            </w:pPr>
            <w:r>
              <w:rPr>
                <w:rFonts w:ascii="Arial" w:cs="Arial" w:eastAsia="Arial" w:hAnsi="Arial"/>
                <w:sz w:val="18"/>
                <w:szCs w:val="18"/>
                <w:color w:val="auto"/>
              </w:rPr>
              <w:t>million in connection with this offering. Definitive OpCo will not receive</w:t>
            </w:r>
          </w:p>
        </w:tc>
      </w:tr>
      <w:tr>
        <w:trPr>
          <w:trHeight w:val="216"/>
        </w:trPr>
        <w:tc>
          <w:tcPr>
            <w:tcW w:w="3200" w:type="dxa"/>
            <w:vAlign w:val="bottom"/>
          </w:tcPr>
          <w:p>
            <w:pPr>
              <w:spacing w:after="0"/>
              <w:rPr>
                <w:sz w:val="18"/>
                <w:szCs w:val="18"/>
                <w:color w:val="auto"/>
              </w:rPr>
            </w:pPr>
          </w:p>
        </w:tc>
        <w:tc>
          <w:tcPr>
            <w:tcW w:w="7440" w:type="dxa"/>
            <w:vAlign w:val="bottom"/>
            <w:gridSpan w:val="4"/>
          </w:tcPr>
          <w:p>
            <w:pPr>
              <w:ind w:left="1260"/>
              <w:spacing w:after="0"/>
              <w:rPr>
                <w:sz w:val="20"/>
                <w:szCs w:val="20"/>
                <w:color w:val="auto"/>
              </w:rPr>
            </w:pPr>
            <w:r>
              <w:rPr>
                <w:rFonts w:ascii="Arial" w:cs="Arial" w:eastAsia="Arial" w:hAnsi="Arial"/>
                <w:sz w:val="18"/>
                <w:szCs w:val="18"/>
                <w:color w:val="auto"/>
                <w:w w:val="92"/>
              </w:rPr>
              <w:t>any proceeds from the purchase of LLC Units from certain Unitholders by us or from</w:t>
            </w:r>
          </w:p>
        </w:tc>
      </w:tr>
      <w:tr>
        <w:trPr>
          <w:trHeight w:val="230"/>
        </w:trPr>
        <w:tc>
          <w:tcPr>
            <w:tcW w:w="3200" w:type="dxa"/>
            <w:vAlign w:val="bottom"/>
          </w:tcPr>
          <w:p>
            <w:pPr>
              <w:spacing w:after="0"/>
              <w:rPr>
                <w:sz w:val="20"/>
                <w:szCs w:val="20"/>
                <w:color w:val="auto"/>
              </w:rPr>
            </w:pPr>
          </w:p>
        </w:tc>
        <w:tc>
          <w:tcPr>
            <w:tcW w:w="7180" w:type="dxa"/>
            <w:vAlign w:val="bottom"/>
            <w:gridSpan w:val="3"/>
          </w:tcPr>
          <w:p>
            <w:pPr>
              <w:ind w:left="1260"/>
              <w:spacing w:after="0"/>
              <w:rPr>
                <w:sz w:val="20"/>
                <w:szCs w:val="20"/>
                <w:color w:val="auto"/>
              </w:rPr>
            </w:pPr>
            <w:r>
              <w:rPr>
                <w:rFonts w:ascii="Arial" w:cs="Arial" w:eastAsia="Arial" w:hAnsi="Arial"/>
                <w:sz w:val="18"/>
                <w:szCs w:val="18"/>
                <w:color w:val="auto"/>
              </w:rPr>
              <w:t>the repurchase of shares of Class A common stock by us.</w:t>
            </w:r>
          </w:p>
        </w:tc>
        <w:tc>
          <w:tcPr>
            <w:tcW w:w="260" w:type="dxa"/>
            <w:vAlign w:val="bottom"/>
          </w:tcPr>
          <w:p>
            <w:pPr>
              <w:spacing w:after="0"/>
              <w:rPr>
                <w:sz w:val="20"/>
                <w:szCs w:val="20"/>
                <w:color w:val="auto"/>
              </w:rPr>
            </w:pPr>
          </w:p>
        </w:tc>
      </w:tr>
      <w:tr>
        <w:trPr>
          <w:trHeight w:val="445"/>
        </w:trPr>
        <w:tc>
          <w:tcPr>
            <w:tcW w:w="3200" w:type="dxa"/>
            <w:vAlign w:val="bottom"/>
          </w:tcPr>
          <w:p>
            <w:pPr>
              <w:spacing w:after="0"/>
              <w:rPr>
                <w:sz w:val="24"/>
                <w:szCs w:val="24"/>
                <w:color w:val="auto"/>
              </w:rPr>
            </w:pPr>
          </w:p>
        </w:tc>
        <w:tc>
          <w:tcPr>
            <w:tcW w:w="7180" w:type="dxa"/>
            <w:vAlign w:val="bottom"/>
            <w:gridSpan w:val="3"/>
          </w:tcPr>
          <w:p>
            <w:pPr>
              <w:ind w:left="1260"/>
              <w:spacing w:after="0"/>
              <w:rPr>
                <w:sz w:val="20"/>
                <w:szCs w:val="20"/>
                <w:color w:val="auto"/>
              </w:rPr>
            </w:pPr>
            <w:r>
              <w:rPr>
                <w:rFonts w:ascii="Arial" w:cs="Arial" w:eastAsia="Arial" w:hAnsi="Arial"/>
                <w:sz w:val="18"/>
                <w:szCs w:val="18"/>
                <w:color w:val="auto"/>
                <w:w w:val="92"/>
              </w:rPr>
              <w:t>If the underwriters exercise their option to purchase additional shares of Class A</w:t>
            </w:r>
          </w:p>
        </w:tc>
        <w:tc>
          <w:tcPr>
            <w:tcW w:w="260" w:type="dxa"/>
            <w:vAlign w:val="bottom"/>
          </w:tcPr>
          <w:p>
            <w:pPr>
              <w:spacing w:after="0"/>
              <w:rPr>
                <w:sz w:val="24"/>
                <w:szCs w:val="24"/>
                <w:color w:val="auto"/>
              </w:rPr>
            </w:pPr>
          </w:p>
        </w:tc>
      </w:tr>
      <w:tr>
        <w:trPr>
          <w:trHeight w:val="216"/>
        </w:trPr>
        <w:tc>
          <w:tcPr>
            <w:tcW w:w="3200" w:type="dxa"/>
            <w:vAlign w:val="bottom"/>
          </w:tcPr>
          <w:p>
            <w:pPr>
              <w:spacing w:after="0"/>
              <w:rPr>
                <w:sz w:val="18"/>
                <w:szCs w:val="18"/>
                <w:color w:val="auto"/>
              </w:rPr>
            </w:pPr>
          </w:p>
        </w:tc>
        <w:tc>
          <w:tcPr>
            <w:tcW w:w="7180" w:type="dxa"/>
            <w:vAlign w:val="bottom"/>
            <w:gridSpan w:val="3"/>
          </w:tcPr>
          <w:p>
            <w:pPr>
              <w:ind w:left="1260"/>
              <w:spacing w:after="0"/>
              <w:rPr>
                <w:sz w:val="20"/>
                <w:szCs w:val="20"/>
                <w:color w:val="auto"/>
              </w:rPr>
            </w:pPr>
            <w:r>
              <w:rPr>
                <w:rFonts w:ascii="Arial" w:cs="Arial" w:eastAsia="Arial" w:hAnsi="Arial"/>
                <w:sz w:val="18"/>
                <w:szCs w:val="18"/>
                <w:color w:val="auto"/>
              </w:rPr>
              <w:t>common stock in full, we estimate that our additional net proceeds will be</w:t>
            </w:r>
          </w:p>
        </w:tc>
        <w:tc>
          <w:tcPr>
            <w:tcW w:w="260" w:type="dxa"/>
            <w:vAlign w:val="bottom"/>
          </w:tcPr>
          <w:p>
            <w:pPr>
              <w:spacing w:after="0"/>
              <w:rPr>
                <w:sz w:val="18"/>
                <w:szCs w:val="18"/>
                <w:color w:val="auto"/>
              </w:rPr>
            </w:pPr>
          </w:p>
        </w:tc>
      </w:tr>
      <w:tr>
        <w:trPr>
          <w:trHeight w:val="216"/>
        </w:trPr>
        <w:tc>
          <w:tcPr>
            <w:tcW w:w="3200" w:type="dxa"/>
            <w:vAlign w:val="bottom"/>
          </w:tcPr>
          <w:p>
            <w:pPr>
              <w:spacing w:after="0"/>
              <w:rPr>
                <w:sz w:val="18"/>
                <w:szCs w:val="18"/>
                <w:color w:val="auto"/>
              </w:rPr>
            </w:pPr>
          </w:p>
        </w:tc>
        <w:tc>
          <w:tcPr>
            <w:tcW w:w="2820" w:type="dxa"/>
            <w:vAlign w:val="bottom"/>
            <w:gridSpan w:val="2"/>
          </w:tcPr>
          <w:p>
            <w:pPr>
              <w:ind w:left="1260"/>
              <w:spacing w:after="0"/>
              <w:rPr>
                <w:sz w:val="20"/>
                <w:szCs w:val="20"/>
                <w:color w:val="auto"/>
              </w:rPr>
            </w:pPr>
            <w:r>
              <w:rPr>
                <w:rFonts w:ascii="Arial" w:cs="Arial" w:eastAsia="Arial" w:hAnsi="Arial"/>
                <w:sz w:val="18"/>
                <w:szCs w:val="18"/>
                <w:color w:val="auto"/>
              </w:rPr>
              <w:t>approximately $</w:t>
            </w:r>
          </w:p>
        </w:tc>
        <w:tc>
          <w:tcPr>
            <w:tcW w:w="4360" w:type="dxa"/>
            <w:vAlign w:val="bottom"/>
          </w:tcPr>
          <w:p>
            <w:pPr>
              <w:ind w:left="380"/>
              <w:spacing w:after="0"/>
              <w:rPr>
                <w:sz w:val="20"/>
                <w:szCs w:val="20"/>
                <w:color w:val="auto"/>
              </w:rPr>
            </w:pPr>
            <w:r>
              <w:rPr>
                <w:rFonts w:ascii="Arial" w:cs="Arial" w:eastAsia="Arial" w:hAnsi="Arial"/>
                <w:sz w:val="18"/>
                <w:szCs w:val="18"/>
                <w:color w:val="auto"/>
              </w:rPr>
              <w:t>million based on an public offering price of $</w:t>
            </w:r>
          </w:p>
        </w:tc>
        <w:tc>
          <w:tcPr>
            <w:tcW w:w="260" w:type="dxa"/>
            <w:vAlign w:val="bottom"/>
          </w:tcPr>
          <w:p>
            <w:pPr>
              <w:jc w:val="right"/>
              <w:ind w:right="169"/>
              <w:spacing w:after="0"/>
              <w:rPr>
                <w:sz w:val="20"/>
                <w:szCs w:val="20"/>
                <w:color w:val="auto"/>
              </w:rPr>
            </w:pPr>
            <w:r>
              <w:rPr>
                <w:rFonts w:ascii="Arial" w:cs="Arial" w:eastAsia="Arial" w:hAnsi="Arial"/>
                <w:sz w:val="10"/>
                <w:szCs w:val="10"/>
                <w:color w:val="auto"/>
                <w:w w:val="70"/>
              </w:rPr>
              <w:t>.</w:t>
            </w:r>
          </w:p>
        </w:tc>
      </w:tr>
      <w:tr>
        <w:trPr>
          <w:trHeight w:val="216"/>
        </w:trPr>
        <w:tc>
          <w:tcPr>
            <w:tcW w:w="3200" w:type="dxa"/>
            <w:vAlign w:val="bottom"/>
          </w:tcPr>
          <w:p>
            <w:pPr>
              <w:spacing w:after="0"/>
              <w:rPr>
                <w:sz w:val="18"/>
                <w:szCs w:val="18"/>
                <w:color w:val="auto"/>
              </w:rPr>
            </w:pPr>
          </w:p>
        </w:tc>
        <w:tc>
          <w:tcPr>
            <w:tcW w:w="7180" w:type="dxa"/>
            <w:vAlign w:val="bottom"/>
            <w:gridSpan w:val="3"/>
          </w:tcPr>
          <w:p>
            <w:pPr>
              <w:ind w:left="1260"/>
              <w:spacing w:after="0"/>
              <w:rPr>
                <w:sz w:val="20"/>
                <w:szCs w:val="20"/>
                <w:color w:val="auto"/>
              </w:rPr>
            </w:pPr>
            <w:r>
              <w:rPr>
                <w:rFonts w:ascii="Arial" w:cs="Arial" w:eastAsia="Arial" w:hAnsi="Arial"/>
                <w:sz w:val="18"/>
                <w:szCs w:val="18"/>
                <w:color w:val="auto"/>
                <w:w w:val="90"/>
              </w:rPr>
              <w:t>We will use the additional net proceeds we receive pursuant to any exercise of the</w:t>
            </w:r>
          </w:p>
        </w:tc>
        <w:tc>
          <w:tcPr>
            <w:tcW w:w="260" w:type="dxa"/>
            <w:vAlign w:val="bottom"/>
          </w:tcPr>
          <w:p>
            <w:pPr>
              <w:spacing w:after="0"/>
              <w:rPr>
                <w:sz w:val="18"/>
                <w:szCs w:val="18"/>
                <w:color w:val="auto"/>
              </w:rPr>
            </w:pPr>
          </w:p>
        </w:tc>
      </w:tr>
      <w:tr>
        <w:trPr>
          <w:trHeight w:val="216"/>
        </w:trPr>
        <w:tc>
          <w:tcPr>
            <w:tcW w:w="3200" w:type="dxa"/>
            <w:vAlign w:val="bottom"/>
          </w:tcPr>
          <w:p>
            <w:pPr>
              <w:spacing w:after="0"/>
              <w:rPr>
                <w:sz w:val="18"/>
                <w:szCs w:val="18"/>
                <w:color w:val="auto"/>
              </w:rPr>
            </w:pPr>
          </w:p>
        </w:tc>
        <w:tc>
          <w:tcPr>
            <w:tcW w:w="7440" w:type="dxa"/>
            <w:vAlign w:val="bottom"/>
            <w:gridSpan w:val="4"/>
          </w:tcPr>
          <w:p>
            <w:pPr>
              <w:ind w:left="1260"/>
              <w:spacing w:after="0"/>
              <w:rPr>
                <w:sz w:val="20"/>
                <w:szCs w:val="20"/>
                <w:color w:val="auto"/>
              </w:rPr>
            </w:pPr>
            <w:r>
              <w:rPr>
                <w:rFonts w:ascii="Arial" w:cs="Arial" w:eastAsia="Arial" w:hAnsi="Arial"/>
                <w:sz w:val="18"/>
                <w:szCs w:val="18"/>
                <w:color w:val="auto"/>
                <w:w w:val="93"/>
              </w:rPr>
              <w:t>underwriters’ option to purchase additional shares of Class A common stock and to</w:t>
            </w:r>
          </w:p>
        </w:tc>
      </w:tr>
      <w:tr>
        <w:trPr>
          <w:trHeight w:val="216"/>
        </w:trPr>
        <w:tc>
          <w:tcPr>
            <w:tcW w:w="3200" w:type="dxa"/>
            <w:vAlign w:val="bottom"/>
          </w:tcPr>
          <w:p>
            <w:pPr>
              <w:spacing w:after="0"/>
              <w:rPr>
                <w:sz w:val="18"/>
                <w:szCs w:val="18"/>
                <w:color w:val="auto"/>
              </w:rPr>
            </w:pPr>
          </w:p>
        </w:tc>
        <w:tc>
          <w:tcPr>
            <w:tcW w:w="7440" w:type="dxa"/>
            <w:vAlign w:val="bottom"/>
            <w:gridSpan w:val="4"/>
          </w:tcPr>
          <w:p>
            <w:pPr>
              <w:ind w:left="1260"/>
              <w:spacing w:after="0"/>
              <w:rPr>
                <w:sz w:val="20"/>
                <w:szCs w:val="20"/>
                <w:color w:val="auto"/>
              </w:rPr>
            </w:pPr>
            <w:r>
              <w:rPr>
                <w:rFonts w:ascii="Arial" w:cs="Arial" w:eastAsia="Arial" w:hAnsi="Arial"/>
                <w:sz w:val="18"/>
                <w:szCs w:val="18"/>
                <w:color w:val="auto"/>
                <w:w w:val="92"/>
              </w:rPr>
              <w:t>purchase additional LLC Units from certain Unitholders and/or to repurchase shares</w:t>
            </w:r>
          </w:p>
        </w:tc>
      </w:tr>
      <w:tr>
        <w:trPr>
          <w:trHeight w:val="216"/>
        </w:trPr>
        <w:tc>
          <w:tcPr>
            <w:tcW w:w="3200" w:type="dxa"/>
            <w:vAlign w:val="bottom"/>
          </w:tcPr>
          <w:p>
            <w:pPr>
              <w:spacing w:after="0"/>
              <w:rPr>
                <w:sz w:val="18"/>
                <w:szCs w:val="18"/>
                <w:color w:val="auto"/>
              </w:rPr>
            </w:pPr>
          </w:p>
        </w:tc>
        <w:tc>
          <w:tcPr>
            <w:tcW w:w="7180" w:type="dxa"/>
            <w:vAlign w:val="bottom"/>
            <w:gridSpan w:val="3"/>
          </w:tcPr>
          <w:p>
            <w:pPr>
              <w:ind w:left="1260"/>
              <w:spacing w:after="0"/>
              <w:rPr>
                <w:sz w:val="20"/>
                <w:szCs w:val="20"/>
                <w:color w:val="auto"/>
              </w:rPr>
            </w:pPr>
            <w:r>
              <w:rPr>
                <w:rFonts w:ascii="Arial" w:cs="Arial" w:eastAsia="Arial" w:hAnsi="Arial"/>
                <w:sz w:val="18"/>
                <w:szCs w:val="18"/>
                <w:color w:val="auto"/>
                <w:w w:val="96"/>
              </w:rPr>
              <w:t>of the Class A common stock from certain of the Blocker Companies’ Former</w:t>
            </w:r>
          </w:p>
        </w:tc>
        <w:tc>
          <w:tcPr>
            <w:tcW w:w="260" w:type="dxa"/>
            <w:vAlign w:val="bottom"/>
          </w:tcPr>
          <w:p>
            <w:pPr>
              <w:spacing w:after="0"/>
              <w:rPr>
                <w:sz w:val="18"/>
                <w:szCs w:val="18"/>
                <w:color w:val="auto"/>
              </w:rPr>
            </w:pPr>
          </w:p>
        </w:tc>
      </w:tr>
      <w:tr>
        <w:trPr>
          <w:trHeight w:val="216"/>
        </w:trPr>
        <w:tc>
          <w:tcPr>
            <w:tcW w:w="3200" w:type="dxa"/>
            <w:vAlign w:val="bottom"/>
          </w:tcPr>
          <w:p>
            <w:pPr>
              <w:spacing w:after="0"/>
              <w:rPr>
                <w:sz w:val="18"/>
                <w:szCs w:val="18"/>
                <w:color w:val="auto"/>
              </w:rPr>
            </w:pPr>
          </w:p>
        </w:tc>
        <w:tc>
          <w:tcPr>
            <w:tcW w:w="7180" w:type="dxa"/>
            <w:vAlign w:val="bottom"/>
            <w:gridSpan w:val="3"/>
          </w:tcPr>
          <w:p>
            <w:pPr>
              <w:ind w:left="1260"/>
              <w:spacing w:after="0"/>
              <w:rPr>
                <w:sz w:val="20"/>
                <w:szCs w:val="20"/>
                <w:color w:val="auto"/>
              </w:rPr>
            </w:pPr>
            <w:r>
              <w:rPr>
                <w:rFonts w:ascii="Arial" w:cs="Arial" w:eastAsia="Arial" w:hAnsi="Arial"/>
                <w:sz w:val="18"/>
                <w:szCs w:val="18"/>
                <w:color w:val="auto"/>
                <w:w w:val="90"/>
              </w:rPr>
              <w:t>Owners at a price per LLC Unit and share of Class A common stock, in each case</w:t>
            </w:r>
          </w:p>
        </w:tc>
        <w:tc>
          <w:tcPr>
            <w:tcW w:w="260" w:type="dxa"/>
            <w:vAlign w:val="bottom"/>
          </w:tcPr>
          <w:p>
            <w:pPr>
              <w:spacing w:after="0"/>
              <w:rPr>
                <w:sz w:val="18"/>
                <w:szCs w:val="18"/>
                <w:color w:val="auto"/>
              </w:rPr>
            </w:pPr>
          </w:p>
        </w:tc>
      </w:tr>
      <w:tr>
        <w:trPr>
          <w:trHeight w:val="216"/>
        </w:trPr>
        <w:tc>
          <w:tcPr>
            <w:tcW w:w="3200" w:type="dxa"/>
            <w:vAlign w:val="bottom"/>
          </w:tcPr>
          <w:p>
            <w:pPr>
              <w:spacing w:after="0"/>
              <w:rPr>
                <w:sz w:val="18"/>
                <w:szCs w:val="18"/>
                <w:color w:val="auto"/>
              </w:rPr>
            </w:pPr>
          </w:p>
        </w:tc>
        <w:tc>
          <w:tcPr>
            <w:tcW w:w="7440" w:type="dxa"/>
            <w:vAlign w:val="bottom"/>
            <w:gridSpan w:val="4"/>
          </w:tcPr>
          <w:p>
            <w:pPr>
              <w:ind w:left="1260"/>
              <w:spacing w:after="0"/>
              <w:rPr>
                <w:sz w:val="20"/>
                <w:szCs w:val="20"/>
                <w:color w:val="auto"/>
              </w:rPr>
            </w:pPr>
            <w:r>
              <w:rPr>
                <w:rFonts w:ascii="Arial" w:cs="Arial" w:eastAsia="Arial" w:hAnsi="Arial"/>
                <w:sz w:val="18"/>
                <w:szCs w:val="18"/>
                <w:color w:val="auto"/>
                <w:w w:val="94"/>
              </w:rPr>
              <w:t>equal to the public offering price of our Class A common stock minus underwriting</w:t>
            </w:r>
          </w:p>
        </w:tc>
      </w:tr>
      <w:tr>
        <w:trPr>
          <w:trHeight w:val="216"/>
        </w:trPr>
        <w:tc>
          <w:tcPr>
            <w:tcW w:w="3200" w:type="dxa"/>
            <w:vAlign w:val="bottom"/>
          </w:tcPr>
          <w:p>
            <w:pPr>
              <w:spacing w:after="0"/>
              <w:rPr>
                <w:sz w:val="18"/>
                <w:szCs w:val="18"/>
                <w:color w:val="auto"/>
              </w:rPr>
            </w:pPr>
          </w:p>
        </w:tc>
        <w:tc>
          <w:tcPr>
            <w:tcW w:w="7440" w:type="dxa"/>
            <w:vAlign w:val="bottom"/>
            <w:gridSpan w:val="4"/>
          </w:tcPr>
          <w:p>
            <w:pPr>
              <w:ind w:left="1260"/>
              <w:spacing w:after="0"/>
              <w:rPr>
                <w:sz w:val="20"/>
                <w:szCs w:val="20"/>
                <w:color w:val="auto"/>
              </w:rPr>
            </w:pPr>
            <w:r>
              <w:rPr>
                <w:rFonts w:ascii="Arial" w:cs="Arial" w:eastAsia="Arial" w:hAnsi="Arial"/>
                <w:sz w:val="18"/>
                <w:szCs w:val="18"/>
                <w:color w:val="auto"/>
                <w:w w:val="92"/>
              </w:rPr>
              <w:t>discounts. As a result, Definitive OpCo will not receive any additional proceeds from</w:t>
            </w:r>
          </w:p>
        </w:tc>
      </w:tr>
      <w:tr>
        <w:trPr>
          <w:trHeight w:val="216"/>
        </w:trPr>
        <w:tc>
          <w:tcPr>
            <w:tcW w:w="3200" w:type="dxa"/>
            <w:vAlign w:val="bottom"/>
          </w:tcPr>
          <w:p>
            <w:pPr>
              <w:spacing w:after="0"/>
              <w:rPr>
                <w:sz w:val="18"/>
                <w:szCs w:val="18"/>
                <w:color w:val="auto"/>
              </w:rPr>
            </w:pPr>
          </w:p>
        </w:tc>
        <w:tc>
          <w:tcPr>
            <w:tcW w:w="7180" w:type="dxa"/>
            <w:vAlign w:val="bottom"/>
            <w:gridSpan w:val="3"/>
          </w:tcPr>
          <w:p>
            <w:pPr>
              <w:ind w:left="1260"/>
              <w:spacing w:after="0"/>
              <w:rPr>
                <w:sz w:val="20"/>
                <w:szCs w:val="20"/>
                <w:color w:val="auto"/>
              </w:rPr>
            </w:pPr>
            <w:r>
              <w:rPr>
                <w:rFonts w:ascii="Arial" w:cs="Arial" w:eastAsia="Arial" w:hAnsi="Arial"/>
                <w:sz w:val="18"/>
                <w:szCs w:val="18"/>
                <w:color w:val="auto"/>
                <w:w w:val="92"/>
              </w:rPr>
              <w:t>any exercise of the underwriters’ option to purchase additional shares of Class A</w:t>
            </w:r>
          </w:p>
        </w:tc>
        <w:tc>
          <w:tcPr>
            <w:tcW w:w="260" w:type="dxa"/>
            <w:vAlign w:val="bottom"/>
          </w:tcPr>
          <w:p>
            <w:pPr>
              <w:spacing w:after="0"/>
              <w:rPr>
                <w:sz w:val="18"/>
                <w:szCs w:val="18"/>
                <w:color w:val="auto"/>
              </w:rPr>
            </w:pPr>
          </w:p>
        </w:tc>
      </w:tr>
      <w:tr>
        <w:trPr>
          <w:trHeight w:val="230"/>
        </w:trPr>
        <w:tc>
          <w:tcPr>
            <w:tcW w:w="3200" w:type="dxa"/>
            <w:vAlign w:val="bottom"/>
          </w:tcPr>
          <w:p>
            <w:pPr>
              <w:spacing w:after="0"/>
              <w:rPr>
                <w:sz w:val="20"/>
                <w:szCs w:val="20"/>
                <w:color w:val="auto"/>
              </w:rPr>
            </w:pPr>
          </w:p>
        </w:tc>
        <w:tc>
          <w:tcPr>
            <w:tcW w:w="2820" w:type="dxa"/>
            <w:vAlign w:val="bottom"/>
            <w:gridSpan w:val="2"/>
          </w:tcPr>
          <w:p>
            <w:pPr>
              <w:ind w:left="1260"/>
              <w:spacing w:after="0"/>
              <w:rPr>
                <w:sz w:val="20"/>
                <w:szCs w:val="20"/>
                <w:color w:val="auto"/>
              </w:rPr>
            </w:pPr>
            <w:r>
              <w:rPr>
                <w:rFonts w:ascii="Arial" w:cs="Arial" w:eastAsia="Arial" w:hAnsi="Arial"/>
                <w:sz w:val="18"/>
                <w:szCs w:val="18"/>
                <w:color w:val="auto"/>
              </w:rPr>
              <w:t>common stock.</w:t>
            </w:r>
          </w:p>
        </w:tc>
        <w:tc>
          <w:tcPr>
            <w:tcW w:w="4360" w:type="dxa"/>
            <w:vAlign w:val="bottom"/>
          </w:tcPr>
          <w:p>
            <w:pPr>
              <w:spacing w:after="0"/>
              <w:rPr>
                <w:sz w:val="20"/>
                <w:szCs w:val="20"/>
                <w:color w:val="auto"/>
              </w:rPr>
            </w:pPr>
          </w:p>
        </w:tc>
        <w:tc>
          <w:tcPr>
            <w:tcW w:w="260" w:type="dxa"/>
            <w:vAlign w:val="bottom"/>
          </w:tcPr>
          <w:p>
            <w:pPr>
              <w:spacing w:after="0"/>
              <w:rPr>
                <w:sz w:val="20"/>
                <w:szCs w:val="20"/>
                <w:color w:val="auto"/>
              </w:rPr>
            </w:pPr>
          </w:p>
        </w:tc>
      </w:tr>
      <w:tr>
        <w:trPr>
          <w:trHeight w:val="459"/>
        </w:trPr>
        <w:tc>
          <w:tcPr>
            <w:tcW w:w="3200" w:type="dxa"/>
            <w:vAlign w:val="bottom"/>
          </w:tcPr>
          <w:p>
            <w:pPr>
              <w:spacing w:after="0"/>
              <w:rPr>
                <w:sz w:val="20"/>
                <w:szCs w:val="20"/>
                <w:color w:val="auto"/>
              </w:rPr>
            </w:pPr>
            <w:r>
              <w:rPr>
                <w:rFonts w:ascii="Arial" w:cs="Arial" w:eastAsia="Arial" w:hAnsi="Arial"/>
                <w:sz w:val="18"/>
                <w:szCs w:val="18"/>
                <w:color w:val="auto"/>
              </w:rPr>
              <w:t>Issuer</w:t>
            </w:r>
          </w:p>
        </w:tc>
        <w:tc>
          <w:tcPr>
            <w:tcW w:w="7180" w:type="dxa"/>
            <w:vAlign w:val="bottom"/>
            <w:gridSpan w:val="3"/>
          </w:tcPr>
          <w:p>
            <w:pPr>
              <w:ind w:left="1260"/>
              <w:spacing w:after="0"/>
              <w:rPr>
                <w:sz w:val="20"/>
                <w:szCs w:val="20"/>
                <w:color w:val="auto"/>
              </w:rPr>
            </w:pPr>
            <w:r>
              <w:rPr>
                <w:rFonts w:ascii="Arial" w:cs="Arial" w:eastAsia="Arial" w:hAnsi="Arial"/>
                <w:sz w:val="18"/>
                <w:szCs w:val="18"/>
                <w:color w:val="auto"/>
              </w:rPr>
              <w:t>Definitive Healthcare Corp.</w:t>
            </w:r>
          </w:p>
        </w:tc>
        <w:tc>
          <w:tcPr>
            <w:tcW w:w="260" w:type="dxa"/>
            <w:vAlign w:val="bottom"/>
          </w:tcPr>
          <w:p>
            <w:pPr>
              <w:spacing w:after="0"/>
              <w:rPr>
                <w:sz w:val="24"/>
                <w:szCs w:val="24"/>
                <w:color w:val="auto"/>
              </w:rPr>
            </w:pPr>
          </w:p>
        </w:tc>
      </w:tr>
      <w:tr>
        <w:trPr>
          <w:trHeight w:val="458"/>
        </w:trPr>
        <w:tc>
          <w:tcPr>
            <w:tcW w:w="3200" w:type="dxa"/>
            <w:vAlign w:val="bottom"/>
          </w:tcPr>
          <w:p>
            <w:pPr>
              <w:spacing w:after="0"/>
              <w:rPr>
                <w:sz w:val="20"/>
                <w:szCs w:val="20"/>
                <w:color w:val="auto"/>
              </w:rPr>
            </w:pPr>
            <w:r>
              <w:rPr>
                <w:rFonts w:ascii="Arial" w:cs="Arial" w:eastAsia="Arial" w:hAnsi="Arial"/>
                <w:sz w:val="18"/>
                <w:szCs w:val="18"/>
                <w:color w:val="auto"/>
              </w:rPr>
              <w:t>Tax Receivable Agreement</w:t>
            </w:r>
          </w:p>
        </w:tc>
        <w:tc>
          <w:tcPr>
            <w:tcW w:w="7180" w:type="dxa"/>
            <w:vAlign w:val="bottom"/>
            <w:gridSpan w:val="3"/>
          </w:tcPr>
          <w:p>
            <w:pPr>
              <w:ind w:left="1260"/>
              <w:spacing w:after="0"/>
              <w:rPr>
                <w:sz w:val="20"/>
                <w:szCs w:val="20"/>
                <w:color w:val="auto"/>
              </w:rPr>
            </w:pPr>
            <w:r>
              <w:rPr>
                <w:rFonts w:ascii="Arial" w:cs="Arial" w:eastAsia="Arial" w:hAnsi="Arial"/>
                <w:sz w:val="18"/>
                <w:szCs w:val="18"/>
                <w:color w:val="auto"/>
                <w:w w:val="92"/>
              </w:rPr>
              <w:t>We are party to the Tax Receivable Agreement with the TRA Parties (as defined</w:t>
            </w:r>
          </w:p>
        </w:tc>
        <w:tc>
          <w:tcPr>
            <w:tcW w:w="260" w:type="dxa"/>
            <w:vAlign w:val="bottom"/>
          </w:tcPr>
          <w:p>
            <w:pPr>
              <w:spacing w:after="0"/>
              <w:rPr>
                <w:sz w:val="24"/>
                <w:szCs w:val="24"/>
                <w:color w:val="auto"/>
              </w:rPr>
            </w:pPr>
          </w:p>
        </w:tc>
      </w:tr>
      <w:tr>
        <w:trPr>
          <w:trHeight w:val="216"/>
        </w:trPr>
        <w:tc>
          <w:tcPr>
            <w:tcW w:w="3200" w:type="dxa"/>
            <w:vAlign w:val="bottom"/>
          </w:tcPr>
          <w:p>
            <w:pPr>
              <w:spacing w:after="0"/>
              <w:rPr>
                <w:sz w:val="18"/>
                <w:szCs w:val="18"/>
                <w:color w:val="auto"/>
              </w:rPr>
            </w:pPr>
          </w:p>
        </w:tc>
        <w:tc>
          <w:tcPr>
            <w:tcW w:w="7440" w:type="dxa"/>
            <w:vAlign w:val="bottom"/>
            <w:gridSpan w:val="4"/>
          </w:tcPr>
          <w:p>
            <w:pPr>
              <w:ind w:left="1260"/>
              <w:spacing w:after="0"/>
              <w:rPr>
                <w:sz w:val="20"/>
                <w:szCs w:val="20"/>
                <w:color w:val="auto"/>
              </w:rPr>
            </w:pPr>
            <w:r>
              <w:rPr>
                <w:rFonts w:ascii="Arial" w:cs="Arial" w:eastAsia="Arial" w:hAnsi="Arial"/>
                <w:sz w:val="18"/>
                <w:szCs w:val="18"/>
                <w:color w:val="auto"/>
                <w:w w:val="90"/>
              </w:rPr>
              <w:t>herein). Under the Tax Receivable Agreement, we generally are required to pay to the</w:t>
            </w:r>
          </w:p>
        </w:tc>
      </w:tr>
      <w:tr>
        <w:trPr>
          <w:trHeight w:val="216"/>
        </w:trPr>
        <w:tc>
          <w:tcPr>
            <w:tcW w:w="3200" w:type="dxa"/>
            <w:vAlign w:val="bottom"/>
          </w:tcPr>
          <w:p>
            <w:pPr>
              <w:spacing w:after="0"/>
              <w:rPr>
                <w:sz w:val="18"/>
                <w:szCs w:val="18"/>
                <w:color w:val="auto"/>
              </w:rPr>
            </w:pPr>
          </w:p>
        </w:tc>
        <w:tc>
          <w:tcPr>
            <w:tcW w:w="7180" w:type="dxa"/>
            <w:vAlign w:val="bottom"/>
            <w:gridSpan w:val="3"/>
          </w:tcPr>
          <w:p>
            <w:pPr>
              <w:ind w:left="1260"/>
              <w:spacing w:after="0"/>
              <w:rPr>
                <w:sz w:val="20"/>
                <w:szCs w:val="20"/>
                <w:color w:val="auto"/>
              </w:rPr>
            </w:pPr>
            <w:r>
              <w:rPr>
                <w:rFonts w:ascii="Arial" w:cs="Arial" w:eastAsia="Arial" w:hAnsi="Arial"/>
                <w:sz w:val="18"/>
                <w:szCs w:val="18"/>
                <w:color w:val="auto"/>
                <w:w w:val="91"/>
              </w:rPr>
              <w:t>TRA Parties 85% of the amount of cash savings, if any, in U.S. federal, state and</w:t>
            </w:r>
          </w:p>
        </w:tc>
        <w:tc>
          <w:tcPr>
            <w:tcW w:w="260" w:type="dxa"/>
            <w:vAlign w:val="bottom"/>
          </w:tcPr>
          <w:p>
            <w:pPr>
              <w:spacing w:after="0"/>
              <w:rPr>
                <w:sz w:val="18"/>
                <w:szCs w:val="18"/>
                <w:color w:val="auto"/>
              </w:rPr>
            </w:pPr>
          </w:p>
        </w:tc>
      </w:tr>
      <w:tr>
        <w:trPr>
          <w:trHeight w:val="230"/>
        </w:trPr>
        <w:tc>
          <w:tcPr>
            <w:tcW w:w="3200" w:type="dxa"/>
            <w:vAlign w:val="bottom"/>
          </w:tcPr>
          <w:p>
            <w:pPr>
              <w:spacing w:after="0"/>
              <w:rPr>
                <w:sz w:val="20"/>
                <w:szCs w:val="20"/>
                <w:color w:val="auto"/>
              </w:rPr>
            </w:pPr>
          </w:p>
        </w:tc>
        <w:tc>
          <w:tcPr>
            <w:tcW w:w="7180" w:type="dxa"/>
            <w:vAlign w:val="bottom"/>
            <w:gridSpan w:val="3"/>
          </w:tcPr>
          <w:p>
            <w:pPr>
              <w:ind w:left="1260"/>
              <w:spacing w:after="0"/>
              <w:rPr>
                <w:sz w:val="20"/>
                <w:szCs w:val="20"/>
                <w:color w:val="auto"/>
              </w:rPr>
            </w:pPr>
            <w:r>
              <w:rPr>
                <w:rFonts w:ascii="Arial" w:cs="Arial" w:eastAsia="Arial" w:hAnsi="Arial"/>
                <w:sz w:val="18"/>
                <w:szCs w:val="18"/>
                <w:color w:val="auto"/>
                <w:w w:val="90"/>
              </w:rPr>
              <w:t>local income tax that we actually realize (or in some circumstances are deemed to</w:t>
            </w:r>
          </w:p>
        </w:tc>
        <w:tc>
          <w:tcPr>
            <w:tcW w:w="260" w:type="dxa"/>
            <w:vAlign w:val="bottom"/>
          </w:tcPr>
          <w:p>
            <w:pPr>
              <w:spacing w:after="0"/>
              <w:rPr>
                <w:sz w:val="20"/>
                <w:szCs w:val="20"/>
                <w:color w:val="auto"/>
              </w:rPr>
            </w:pPr>
          </w:p>
        </w:tc>
      </w:tr>
    </w:tbl>
    <w:p>
      <w:pPr>
        <w:ind w:left="4760" w:right="300"/>
        <w:spacing w:after="0" w:line="323" w:lineRule="auto"/>
        <w:rPr>
          <w:sz w:val="20"/>
          <w:szCs w:val="20"/>
          <w:color w:val="auto"/>
        </w:rPr>
      </w:pPr>
      <w:r>
        <w:rPr>
          <w:rFonts w:ascii="Arial" w:cs="Arial" w:eastAsia="Arial" w:hAnsi="Arial"/>
          <w:sz w:val="16"/>
          <w:szCs w:val="16"/>
          <w:color w:val="auto"/>
        </w:rPr>
        <w:t>realize) as a result of (i) certain favorable tax attributes acquired from the Blocker Companies; (ii) tax basis adjustments resulting from (a) acquisitions by us of</w:t>
      </w:r>
    </w:p>
    <w:p>
      <w:pPr>
        <w:spacing w:after="0" w:line="327" w:lineRule="exact"/>
        <w:rPr>
          <w:sz w:val="20"/>
          <w:szCs w:val="20"/>
          <w:color w:val="auto"/>
        </w:rPr>
      </w:pPr>
    </w:p>
    <w:p>
      <w:pPr>
        <w:jc w:val="center"/>
        <w:ind w:right="-53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0940"/>
          </w:cols>
          <w:pgMar w:left="320" w:top="459" w:right="639" w:bottom="1440" w:gutter="0" w:footer="0" w:header="0"/>
        </w:sectPr>
      </w:pPr>
    </w:p>
    <w:bookmarkStart w:id="25" w:name="page26"/>
    <w:bookmarkEnd w:id="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319"/>
        <w:spacing w:after="0"/>
        <w:rPr>
          <w:sz w:val="20"/>
          <w:szCs w:val="20"/>
          <w:color w:val="auto"/>
        </w:rPr>
      </w:pPr>
      <w:r>
        <w:rPr>
          <w:rFonts w:ascii="Arial" w:cs="Arial" w:eastAsia="Arial" w:hAnsi="Arial"/>
          <w:sz w:val="18"/>
          <w:szCs w:val="18"/>
          <w:b w:val="1"/>
          <w:bCs w:val="1"/>
          <w:color w:val="auto"/>
        </w:rPr>
        <w:t>Confidential Treatment Requested by Definitive Healthcare Corp.</w:t>
      </w:r>
    </w:p>
    <w:p>
      <w:pPr>
        <w:spacing w:after="0" w:line="27" w:lineRule="exact"/>
        <w:rPr>
          <w:sz w:val="20"/>
          <w:szCs w:val="20"/>
          <w:color w:val="auto"/>
        </w:rPr>
      </w:pPr>
    </w:p>
    <w:p>
      <w:pPr>
        <w:jc w:val="center"/>
        <w:ind w:right="-319"/>
        <w:spacing w:after="0"/>
        <w:rPr>
          <w:sz w:val="20"/>
          <w:szCs w:val="20"/>
          <w:color w:val="auto"/>
        </w:rPr>
      </w:pPr>
      <w:r>
        <w:rPr>
          <w:rFonts w:ascii="Arial" w:cs="Arial" w:eastAsia="Arial" w:hAnsi="Arial"/>
          <w:sz w:val="18"/>
          <w:szCs w:val="18"/>
          <w:b w:val="1"/>
          <w:bCs w:val="1"/>
          <w:color w:val="auto"/>
        </w:rPr>
        <w:t>Pursuant to 17 C.F.R. Section 200.83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97790</wp:posOffset>
            </wp:positionV>
            <wp:extent cx="6998970" cy="627888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6998970" cy="6278880"/>
                    </a:xfrm>
                    <a:prstGeom prst="rect">
                      <a:avLst/>
                    </a:prstGeom>
                    <a:noFill/>
                  </pic:spPr>
                </pic:pic>
              </a:graphicData>
            </a:graphic>
          </wp:anchor>
        </w:drawing>
      </w:r>
    </w:p>
    <w:p>
      <w:pPr>
        <w:spacing w:after="0" w:line="312" w:lineRule="exact"/>
        <w:rPr>
          <w:sz w:val="20"/>
          <w:szCs w:val="20"/>
          <w:color w:val="auto"/>
        </w:rPr>
      </w:pPr>
    </w:p>
    <w:tbl>
      <w:tblPr>
        <w:tblLayout w:type="fixed"/>
        <w:tblInd w:w="300" w:type="dxa"/>
        <w:tblCellMar>
          <w:top w:w="0" w:type="dxa"/>
          <w:left w:w="0" w:type="dxa"/>
          <w:bottom w:w="0" w:type="dxa"/>
          <w:right w:w="0" w:type="dxa"/>
        </w:tblCellMar>
      </w:tblPr>
      <w:tr>
        <w:trPr>
          <w:trHeight w:val="216"/>
        </w:trPr>
        <w:tc>
          <w:tcPr>
            <w:tcW w:w="2800" w:type="dxa"/>
            <w:vAlign w:val="bottom"/>
          </w:tcPr>
          <w:p>
            <w:pPr>
              <w:spacing w:after="0"/>
              <w:rPr>
                <w:sz w:val="18"/>
                <w:szCs w:val="18"/>
                <w:color w:val="auto"/>
              </w:rPr>
            </w:pPr>
          </w:p>
        </w:tc>
        <w:tc>
          <w:tcPr>
            <w:tcW w:w="7820" w:type="dxa"/>
            <w:vAlign w:val="bottom"/>
            <w:gridSpan w:val="2"/>
          </w:tcPr>
          <w:p>
            <w:pPr>
              <w:ind w:left="1660"/>
              <w:spacing w:after="0"/>
              <w:rPr>
                <w:sz w:val="20"/>
                <w:szCs w:val="20"/>
                <w:color w:val="auto"/>
              </w:rPr>
            </w:pPr>
            <w:r>
              <w:rPr>
                <w:rFonts w:ascii="Arial" w:cs="Arial" w:eastAsia="Arial" w:hAnsi="Arial"/>
                <w:sz w:val="18"/>
                <w:szCs w:val="18"/>
                <w:color w:val="auto"/>
                <w:w w:val="96"/>
              </w:rPr>
              <w:t>LLC Units from certain Unitholders, including in connection with this offering and</w:t>
            </w:r>
          </w:p>
        </w:tc>
      </w:tr>
      <w:tr>
        <w:trPr>
          <w:trHeight w:val="216"/>
        </w:trPr>
        <w:tc>
          <w:tcPr>
            <w:tcW w:w="2800" w:type="dxa"/>
            <w:vAlign w:val="bottom"/>
          </w:tcPr>
          <w:p>
            <w:pPr>
              <w:spacing w:after="0"/>
              <w:rPr>
                <w:sz w:val="18"/>
                <w:szCs w:val="18"/>
                <w:color w:val="auto"/>
              </w:rPr>
            </w:pPr>
          </w:p>
        </w:tc>
        <w:tc>
          <w:tcPr>
            <w:tcW w:w="7820" w:type="dxa"/>
            <w:vAlign w:val="bottom"/>
            <w:gridSpan w:val="2"/>
          </w:tcPr>
          <w:p>
            <w:pPr>
              <w:ind w:left="1660"/>
              <w:spacing w:after="0"/>
              <w:rPr>
                <w:sz w:val="20"/>
                <w:szCs w:val="20"/>
                <w:color w:val="auto"/>
              </w:rPr>
            </w:pPr>
            <w:r>
              <w:rPr>
                <w:rFonts w:ascii="Arial" w:cs="Arial" w:eastAsia="Arial" w:hAnsi="Arial"/>
                <w:sz w:val="18"/>
                <w:szCs w:val="18"/>
                <w:color w:val="auto"/>
                <w:w w:val="91"/>
              </w:rPr>
              <w:t>(b) future exchanges of LLC Units by Unitholders for Class A common stock or other</w:t>
            </w:r>
          </w:p>
        </w:tc>
      </w:tr>
      <w:tr>
        <w:trPr>
          <w:trHeight w:val="216"/>
        </w:trPr>
        <w:tc>
          <w:tcPr>
            <w:tcW w:w="2800" w:type="dxa"/>
            <w:vAlign w:val="bottom"/>
          </w:tcPr>
          <w:p>
            <w:pPr>
              <w:spacing w:after="0"/>
              <w:rPr>
                <w:sz w:val="18"/>
                <w:szCs w:val="18"/>
                <w:color w:val="auto"/>
              </w:rPr>
            </w:pPr>
          </w:p>
        </w:tc>
        <w:tc>
          <w:tcPr>
            <w:tcW w:w="7820" w:type="dxa"/>
            <w:vAlign w:val="bottom"/>
            <w:gridSpan w:val="2"/>
          </w:tcPr>
          <w:p>
            <w:pPr>
              <w:ind w:left="1660"/>
              <w:spacing w:after="0"/>
              <w:rPr>
                <w:sz w:val="20"/>
                <w:szCs w:val="20"/>
                <w:color w:val="auto"/>
              </w:rPr>
            </w:pPr>
            <w:r>
              <w:rPr>
                <w:rFonts w:ascii="Arial" w:cs="Arial" w:eastAsia="Arial" w:hAnsi="Arial"/>
                <w:sz w:val="18"/>
                <w:szCs w:val="18"/>
                <w:color w:val="auto"/>
                <w:w w:val="91"/>
              </w:rPr>
              <w:t>consideration and (iii) certain payments made under the Tax Receivable Agreement.</w:t>
            </w:r>
          </w:p>
        </w:tc>
      </w:tr>
      <w:tr>
        <w:trPr>
          <w:trHeight w:val="216"/>
        </w:trPr>
        <w:tc>
          <w:tcPr>
            <w:tcW w:w="2800" w:type="dxa"/>
            <w:vAlign w:val="bottom"/>
          </w:tcPr>
          <w:p>
            <w:pPr>
              <w:spacing w:after="0"/>
              <w:rPr>
                <w:sz w:val="18"/>
                <w:szCs w:val="18"/>
                <w:color w:val="auto"/>
              </w:rPr>
            </w:pPr>
          </w:p>
        </w:tc>
        <w:tc>
          <w:tcPr>
            <w:tcW w:w="7820" w:type="dxa"/>
            <w:vAlign w:val="bottom"/>
            <w:gridSpan w:val="2"/>
          </w:tcPr>
          <w:p>
            <w:pPr>
              <w:ind w:left="1660"/>
              <w:spacing w:after="0"/>
              <w:rPr>
                <w:sz w:val="20"/>
                <w:szCs w:val="20"/>
                <w:color w:val="auto"/>
              </w:rPr>
            </w:pPr>
            <w:r>
              <w:rPr>
                <w:rFonts w:ascii="Arial" w:cs="Arial" w:eastAsia="Arial" w:hAnsi="Arial"/>
                <w:sz w:val="18"/>
                <w:szCs w:val="18"/>
                <w:color w:val="auto"/>
              </w:rPr>
              <w:t>We retain the benefit of the remaining 15% of these tax savings. See “—</w:t>
            </w:r>
          </w:p>
        </w:tc>
      </w:tr>
      <w:tr>
        <w:trPr>
          <w:trHeight w:val="230"/>
        </w:trPr>
        <w:tc>
          <w:tcPr>
            <w:tcW w:w="2800" w:type="dxa"/>
            <w:vAlign w:val="bottom"/>
          </w:tcPr>
          <w:p>
            <w:pPr>
              <w:spacing w:after="0"/>
              <w:rPr>
                <w:sz w:val="20"/>
                <w:szCs w:val="20"/>
                <w:color w:val="auto"/>
              </w:rPr>
            </w:pPr>
          </w:p>
        </w:tc>
        <w:tc>
          <w:tcPr>
            <w:tcW w:w="5540" w:type="dxa"/>
            <w:vAlign w:val="bottom"/>
          </w:tcPr>
          <w:p>
            <w:pPr>
              <w:ind w:left="1660"/>
              <w:spacing w:after="0"/>
              <w:rPr>
                <w:sz w:val="20"/>
                <w:szCs w:val="20"/>
                <w:color w:val="auto"/>
              </w:rPr>
            </w:pPr>
            <w:r>
              <w:rPr>
                <w:rFonts w:ascii="Arial" w:cs="Arial" w:eastAsia="Arial" w:hAnsi="Arial"/>
                <w:sz w:val="18"/>
                <w:szCs w:val="18"/>
                <w:color w:val="auto"/>
              </w:rPr>
              <w:t>Organizational Structure.”</w:t>
            </w:r>
          </w:p>
        </w:tc>
        <w:tc>
          <w:tcPr>
            <w:tcW w:w="2280" w:type="dxa"/>
            <w:vAlign w:val="bottom"/>
          </w:tcPr>
          <w:p>
            <w:pPr>
              <w:spacing w:after="0"/>
              <w:rPr>
                <w:sz w:val="20"/>
                <w:szCs w:val="20"/>
                <w:color w:val="auto"/>
              </w:rPr>
            </w:pPr>
          </w:p>
        </w:tc>
      </w:tr>
      <w:tr>
        <w:trPr>
          <w:trHeight w:val="458"/>
        </w:trPr>
        <w:tc>
          <w:tcPr>
            <w:tcW w:w="2800" w:type="dxa"/>
            <w:vAlign w:val="bottom"/>
          </w:tcPr>
          <w:p>
            <w:pPr>
              <w:spacing w:after="0"/>
              <w:rPr>
                <w:sz w:val="20"/>
                <w:szCs w:val="20"/>
                <w:color w:val="auto"/>
              </w:rPr>
            </w:pPr>
            <w:r>
              <w:rPr>
                <w:rFonts w:ascii="Arial" w:cs="Arial" w:eastAsia="Arial" w:hAnsi="Arial"/>
                <w:sz w:val="18"/>
                <w:szCs w:val="18"/>
                <w:color w:val="auto"/>
              </w:rPr>
              <w:t>Dividend policy</w:t>
            </w:r>
          </w:p>
        </w:tc>
        <w:tc>
          <w:tcPr>
            <w:tcW w:w="7820" w:type="dxa"/>
            <w:vAlign w:val="bottom"/>
            <w:gridSpan w:val="2"/>
          </w:tcPr>
          <w:p>
            <w:pPr>
              <w:ind w:left="1660"/>
              <w:spacing w:after="0"/>
              <w:rPr>
                <w:sz w:val="20"/>
                <w:szCs w:val="20"/>
                <w:color w:val="auto"/>
              </w:rPr>
            </w:pPr>
            <w:r>
              <w:rPr>
                <w:rFonts w:ascii="Arial" w:cs="Arial" w:eastAsia="Arial" w:hAnsi="Arial"/>
                <w:sz w:val="18"/>
                <w:szCs w:val="18"/>
                <w:color w:val="auto"/>
                <w:w w:val="91"/>
              </w:rPr>
              <w:t>We do not anticipate paying any dividends on our Class A common stock or Class B</w:t>
            </w:r>
          </w:p>
        </w:tc>
      </w:tr>
      <w:tr>
        <w:trPr>
          <w:trHeight w:val="216"/>
        </w:trPr>
        <w:tc>
          <w:tcPr>
            <w:tcW w:w="2800" w:type="dxa"/>
            <w:vAlign w:val="bottom"/>
          </w:tcPr>
          <w:p>
            <w:pPr>
              <w:spacing w:after="0"/>
              <w:rPr>
                <w:sz w:val="18"/>
                <w:szCs w:val="18"/>
                <w:color w:val="auto"/>
              </w:rPr>
            </w:pPr>
          </w:p>
        </w:tc>
        <w:tc>
          <w:tcPr>
            <w:tcW w:w="7820" w:type="dxa"/>
            <w:vAlign w:val="bottom"/>
            <w:gridSpan w:val="2"/>
          </w:tcPr>
          <w:p>
            <w:pPr>
              <w:ind w:left="1660"/>
              <w:spacing w:after="0"/>
              <w:rPr>
                <w:sz w:val="20"/>
                <w:szCs w:val="20"/>
                <w:color w:val="auto"/>
              </w:rPr>
            </w:pPr>
            <w:r>
              <w:rPr>
                <w:rFonts w:ascii="Arial" w:cs="Arial" w:eastAsia="Arial" w:hAnsi="Arial"/>
                <w:sz w:val="18"/>
                <w:szCs w:val="18"/>
                <w:color w:val="auto"/>
                <w:w w:val="91"/>
              </w:rPr>
              <w:t>common stock for the foreseeable future; however, we may change this policy in the</w:t>
            </w:r>
          </w:p>
        </w:tc>
      </w:tr>
      <w:tr>
        <w:trPr>
          <w:trHeight w:val="230"/>
        </w:trPr>
        <w:tc>
          <w:tcPr>
            <w:tcW w:w="2800" w:type="dxa"/>
            <w:vAlign w:val="bottom"/>
          </w:tcPr>
          <w:p>
            <w:pPr>
              <w:spacing w:after="0"/>
              <w:rPr>
                <w:sz w:val="20"/>
                <w:szCs w:val="20"/>
                <w:color w:val="auto"/>
              </w:rPr>
            </w:pPr>
          </w:p>
        </w:tc>
        <w:tc>
          <w:tcPr>
            <w:tcW w:w="5540" w:type="dxa"/>
            <w:vAlign w:val="bottom"/>
          </w:tcPr>
          <w:p>
            <w:pPr>
              <w:ind w:left="1660"/>
              <w:spacing w:after="0"/>
              <w:rPr>
                <w:sz w:val="20"/>
                <w:szCs w:val="20"/>
                <w:color w:val="auto"/>
              </w:rPr>
            </w:pPr>
            <w:r>
              <w:rPr>
                <w:rFonts w:ascii="Arial" w:cs="Arial" w:eastAsia="Arial" w:hAnsi="Arial"/>
                <w:sz w:val="18"/>
                <w:szCs w:val="18"/>
                <w:color w:val="auto"/>
              </w:rPr>
              <w:t>future. See “Dividend Policy.”</w:t>
            </w:r>
          </w:p>
        </w:tc>
        <w:tc>
          <w:tcPr>
            <w:tcW w:w="2280" w:type="dxa"/>
            <w:vAlign w:val="bottom"/>
          </w:tcPr>
          <w:p>
            <w:pPr>
              <w:spacing w:after="0"/>
              <w:rPr>
                <w:sz w:val="20"/>
                <w:szCs w:val="20"/>
                <w:color w:val="auto"/>
              </w:rPr>
            </w:pPr>
          </w:p>
        </w:tc>
      </w:tr>
      <w:tr>
        <w:trPr>
          <w:trHeight w:val="445"/>
        </w:trPr>
        <w:tc>
          <w:tcPr>
            <w:tcW w:w="2800" w:type="dxa"/>
            <w:vAlign w:val="bottom"/>
          </w:tcPr>
          <w:p>
            <w:pPr>
              <w:spacing w:after="0"/>
              <w:rPr>
                <w:sz w:val="20"/>
                <w:szCs w:val="20"/>
                <w:color w:val="auto"/>
              </w:rPr>
            </w:pPr>
            <w:r>
              <w:rPr>
                <w:rFonts w:ascii="Arial" w:cs="Arial" w:eastAsia="Arial" w:hAnsi="Arial"/>
                <w:sz w:val="18"/>
                <w:szCs w:val="18"/>
                <w:color w:val="auto"/>
              </w:rPr>
              <w:t>Voting Rights</w:t>
            </w:r>
          </w:p>
        </w:tc>
        <w:tc>
          <w:tcPr>
            <w:tcW w:w="7820" w:type="dxa"/>
            <w:vAlign w:val="bottom"/>
            <w:gridSpan w:val="2"/>
          </w:tcPr>
          <w:p>
            <w:pPr>
              <w:ind w:left="1660"/>
              <w:spacing w:after="0"/>
              <w:rPr>
                <w:sz w:val="20"/>
                <w:szCs w:val="20"/>
                <w:color w:val="auto"/>
              </w:rPr>
            </w:pPr>
            <w:r>
              <w:rPr>
                <w:rFonts w:ascii="Arial" w:cs="Arial" w:eastAsia="Arial" w:hAnsi="Arial"/>
                <w:sz w:val="18"/>
                <w:szCs w:val="18"/>
                <w:color w:val="auto"/>
                <w:w w:val="89"/>
              </w:rPr>
              <w:t>Each share of our Class A common stock entitles its holder to one vote for each share</w:t>
            </w:r>
          </w:p>
        </w:tc>
      </w:tr>
      <w:tr>
        <w:trPr>
          <w:trHeight w:val="216"/>
        </w:trPr>
        <w:tc>
          <w:tcPr>
            <w:tcW w:w="2800" w:type="dxa"/>
            <w:vAlign w:val="bottom"/>
          </w:tcPr>
          <w:p>
            <w:pPr>
              <w:spacing w:after="0"/>
              <w:rPr>
                <w:sz w:val="18"/>
                <w:szCs w:val="18"/>
                <w:color w:val="auto"/>
              </w:rPr>
            </w:pPr>
          </w:p>
        </w:tc>
        <w:tc>
          <w:tcPr>
            <w:tcW w:w="7820" w:type="dxa"/>
            <w:vAlign w:val="bottom"/>
            <w:gridSpan w:val="2"/>
          </w:tcPr>
          <w:p>
            <w:pPr>
              <w:ind w:left="1660"/>
              <w:spacing w:after="0"/>
              <w:rPr>
                <w:sz w:val="20"/>
                <w:szCs w:val="20"/>
                <w:color w:val="auto"/>
              </w:rPr>
            </w:pPr>
            <w:r>
              <w:rPr>
                <w:rFonts w:ascii="Arial" w:cs="Arial" w:eastAsia="Arial" w:hAnsi="Arial"/>
                <w:sz w:val="18"/>
                <w:szCs w:val="18"/>
                <w:color w:val="auto"/>
                <w:w w:val="90"/>
              </w:rPr>
              <w:t>of Class A common stock held of record on all matters to be voted on by stockholders</w:t>
            </w:r>
          </w:p>
        </w:tc>
      </w:tr>
      <w:tr>
        <w:trPr>
          <w:trHeight w:val="230"/>
        </w:trPr>
        <w:tc>
          <w:tcPr>
            <w:tcW w:w="2800" w:type="dxa"/>
            <w:vAlign w:val="bottom"/>
          </w:tcPr>
          <w:p>
            <w:pPr>
              <w:spacing w:after="0"/>
              <w:rPr>
                <w:sz w:val="20"/>
                <w:szCs w:val="20"/>
                <w:color w:val="auto"/>
              </w:rPr>
            </w:pPr>
          </w:p>
        </w:tc>
        <w:tc>
          <w:tcPr>
            <w:tcW w:w="5540" w:type="dxa"/>
            <w:vAlign w:val="bottom"/>
          </w:tcPr>
          <w:p>
            <w:pPr>
              <w:ind w:left="1660"/>
              <w:spacing w:after="0"/>
              <w:rPr>
                <w:sz w:val="20"/>
                <w:szCs w:val="20"/>
                <w:color w:val="auto"/>
              </w:rPr>
            </w:pPr>
            <w:r>
              <w:rPr>
                <w:rFonts w:ascii="Arial" w:cs="Arial" w:eastAsia="Arial" w:hAnsi="Arial"/>
                <w:sz w:val="18"/>
                <w:szCs w:val="18"/>
                <w:color w:val="auto"/>
              </w:rPr>
              <w:t>generally.</w:t>
            </w:r>
          </w:p>
        </w:tc>
        <w:tc>
          <w:tcPr>
            <w:tcW w:w="2280" w:type="dxa"/>
            <w:vAlign w:val="bottom"/>
          </w:tcPr>
          <w:p>
            <w:pPr>
              <w:spacing w:after="0"/>
              <w:rPr>
                <w:sz w:val="20"/>
                <w:szCs w:val="20"/>
                <w:color w:val="auto"/>
              </w:rPr>
            </w:pPr>
          </w:p>
        </w:tc>
      </w:tr>
      <w:tr>
        <w:trPr>
          <w:trHeight w:val="445"/>
        </w:trPr>
        <w:tc>
          <w:tcPr>
            <w:tcW w:w="2800" w:type="dxa"/>
            <w:vAlign w:val="bottom"/>
          </w:tcPr>
          <w:p>
            <w:pPr>
              <w:spacing w:after="0"/>
              <w:rPr>
                <w:sz w:val="24"/>
                <w:szCs w:val="24"/>
                <w:color w:val="auto"/>
              </w:rPr>
            </w:pPr>
          </w:p>
        </w:tc>
        <w:tc>
          <w:tcPr>
            <w:tcW w:w="7820" w:type="dxa"/>
            <w:vAlign w:val="bottom"/>
            <w:gridSpan w:val="2"/>
          </w:tcPr>
          <w:p>
            <w:pPr>
              <w:ind w:left="1660"/>
              <w:spacing w:after="0"/>
              <w:rPr>
                <w:sz w:val="20"/>
                <w:szCs w:val="20"/>
                <w:color w:val="auto"/>
              </w:rPr>
            </w:pPr>
            <w:r>
              <w:rPr>
                <w:rFonts w:ascii="Arial" w:cs="Arial" w:eastAsia="Arial" w:hAnsi="Arial"/>
                <w:sz w:val="18"/>
                <w:szCs w:val="18"/>
                <w:color w:val="auto"/>
                <w:w w:val="89"/>
              </w:rPr>
              <w:t>Each share of our Class B common stock entitles its holder to one vote for each share</w:t>
            </w:r>
          </w:p>
        </w:tc>
      </w:tr>
      <w:tr>
        <w:trPr>
          <w:trHeight w:val="216"/>
        </w:trPr>
        <w:tc>
          <w:tcPr>
            <w:tcW w:w="2800" w:type="dxa"/>
            <w:vAlign w:val="bottom"/>
          </w:tcPr>
          <w:p>
            <w:pPr>
              <w:spacing w:after="0"/>
              <w:rPr>
                <w:sz w:val="18"/>
                <w:szCs w:val="18"/>
                <w:color w:val="auto"/>
              </w:rPr>
            </w:pPr>
          </w:p>
        </w:tc>
        <w:tc>
          <w:tcPr>
            <w:tcW w:w="7820" w:type="dxa"/>
            <w:vAlign w:val="bottom"/>
            <w:gridSpan w:val="2"/>
          </w:tcPr>
          <w:p>
            <w:pPr>
              <w:ind w:left="1660"/>
              <w:spacing w:after="0"/>
              <w:rPr>
                <w:sz w:val="20"/>
                <w:szCs w:val="20"/>
                <w:color w:val="auto"/>
              </w:rPr>
            </w:pPr>
            <w:r>
              <w:rPr>
                <w:rFonts w:ascii="Arial" w:cs="Arial" w:eastAsia="Arial" w:hAnsi="Arial"/>
                <w:sz w:val="18"/>
                <w:szCs w:val="18"/>
                <w:color w:val="auto"/>
                <w:w w:val="96"/>
              </w:rPr>
              <w:t>of Class B common stock held of record on all matters on which stockholders of</w:t>
            </w:r>
          </w:p>
        </w:tc>
      </w:tr>
      <w:tr>
        <w:trPr>
          <w:trHeight w:val="216"/>
        </w:trPr>
        <w:tc>
          <w:tcPr>
            <w:tcW w:w="2800" w:type="dxa"/>
            <w:vAlign w:val="bottom"/>
          </w:tcPr>
          <w:p>
            <w:pPr>
              <w:spacing w:after="0"/>
              <w:rPr>
                <w:sz w:val="18"/>
                <w:szCs w:val="18"/>
                <w:color w:val="auto"/>
              </w:rPr>
            </w:pPr>
          </w:p>
        </w:tc>
        <w:tc>
          <w:tcPr>
            <w:tcW w:w="7820" w:type="dxa"/>
            <w:vAlign w:val="bottom"/>
            <w:gridSpan w:val="2"/>
          </w:tcPr>
          <w:p>
            <w:pPr>
              <w:ind w:left="1660"/>
              <w:spacing w:after="0"/>
              <w:rPr>
                <w:sz w:val="20"/>
                <w:szCs w:val="20"/>
                <w:color w:val="auto"/>
              </w:rPr>
            </w:pPr>
            <w:r>
              <w:rPr>
                <w:rFonts w:ascii="Arial" w:cs="Arial" w:eastAsia="Arial" w:hAnsi="Arial"/>
                <w:sz w:val="18"/>
                <w:szCs w:val="18"/>
                <w:color w:val="auto"/>
                <w:w w:val="96"/>
              </w:rPr>
              <w:t>Definitive Healthcare Corp. are entitled to vote generally. The shares of Class B</w:t>
            </w:r>
          </w:p>
        </w:tc>
      </w:tr>
      <w:tr>
        <w:trPr>
          <w:trHeight w:val="216"/>
        </w:trPr>
        <w:tc>
          <w:tcPr>
            <w:tcW w:w="2800" w:type="dxa"/>
            <w:vAlign w:val="bottom"/>
          </w:tcPr>
          <w:p>
            <w:pPr>
              <w:spacing w:after="0"/>
              <w:rPr>
                <w:sz w:val="18"/>
                <w:szCs w:val="18"/>
                <w:color w:val="auto"/>
              </w:rPr>
            </w:pPr>
          </w:p>
        </w:tc>
        <w:tc>
          <w:tcPr>
            <w:tcW w:w="5540" w:type="dxa"/>
            <w:vAlign w:val="bottom"/>
          </w:tcPr>
          <w:p>
            <w:pPr>
              <w:ind w:left="1660"/>
              <w:spacing w:after="0"/>
              <w:rPr>
                <w:sz w:val="20"/>
                <w:szCs w:val="20"/>
                <w:color w:val="auto"/>
              </w:rPr>
            </w:pPr>
            <w:r>
              <w:rPr>
                <w:rFonts w:ascii="Arial" w:cs="Arial" w:eastAsia="Arial" w:hAnsi="Arial"/>
                <w:sz w:val="18"/>
                <w:szCs w:val="18"/>
                <w:color w:val="auto"/>
                <w:w w:val="97"/>
              </w:rPr>
              <w:t>common stock representing the voting interests of</w:t>
            </w:r>
          </w:p>
        </w:tc>
        <w:tc>
          <w:tcPr>
            <w:tcW w:w="2280" w:type="dxa"/>
            <w:vAlign w:val="bottom"/>
          </w:tcPr>
          <w:p>
            <w:pPr>
              <w:ind w:left="300"/>
              <w:spacing w:after="0"/>
              <w:rPr>
                <w:sz w:val="20"/>
                <w:szCs w:val="20"/>
                <w:color w:val="auto"/>
              </w:rPr>
            </w:pPr>
            <w:r>
              <w:rPr>
                <w:rFonts w:ascii="Arial" w:cs="Arial" w:eastAsia="Arial" w:hAnsi="Arial"/>
                <w:sz w:val="18"/>
                <w:szCs w:val="18"/>
                <w:color w:val="auto"/>
                <w:w w:val="95"/>
              </w:rPr>
              <w:t>LLC Units subject to time-</w:t>
            </w:r>
          </w:p>
        </w:tc>
      </w:tr>
      <w:tr>
        <w:trPr>
          <w:trHeight w:val="216"/>
        </w:trPr>
        <w:tc>
          <w:tcPr>
            <w:tcW w:w="2800" w:type="dxa"/>
            <w:vAlign w:val="bottom"/>
          </w:tcPr>
          <w:p>
            <w:pPr>
              <w:spacing w:after="0"/>
              <w:rPr>
                <w:sz w:val="18"/>
                <w:szCs w:val="18"/>
                <w:color w:val="auto"/>
              </w:rPr>
            </w:pPr>
          </w:p>
        </w:tc>
        <w:tc>
          <w:tcPr>
            <w:tcW w:w="7820" w:type="dxa"/>
            <w:vAlign w:val="bottom"/>
            <w:gridSpan w:val="2"/>
          </w:tcPr>
          <w:p>
            <w:pPr>
              <w:ind w:left="1660"/>
              <w:spacing w:after="0"/>
              <w:rPr>
                <w:sz w:val="20"/>
                <w:szCs w:val="20"/>
                <w:color w:val="auto"/>
              </w:rPr>
            </w:pPr>
            <w:r>
              <w:rPr>
                <w:rFonts w:ascii="Arial" w:cs="Arial" w:eastAsia="Arial" w:hAnsi="Arial"/>
                <w:sz w:val="18"/>
                <w:szCs w:val="18"/>
                <w:color w:val="auto"/>
              </w:rPr>
              <w:t>based vesting will not entitle the holder thereof to vote such shares until the</w:t>
            </w:r>
          </w:p>
        </w:tc>
      </w:tr>
      <w:tr>
        <w:trPr>
          <w:trHeight w:val="230"/>
        </w:trPr>
        <w:tc>
          <w:tcPr>
            <w:tcW w:w="2800" w:type="dxa"/>
            <w:vAlign w:val="bottom"/>
          </w:tcPr>
          <w:p>
            <w:pPr>
              <w:spacing w:after="0"/>
              <w:rPr>
                <w:sz w:val="20"/>
                <w:szCs w:val="20"/>
                <w:color w:val="auto"/>
              </w:rPr>
            </w:pPr>
          </w:p>
        </w:tc>
        <w:tc>
          <w:tcPr>
            <w:tcW w:w="5540" w:type="dxa"/>
            <w:vAlign w:val="bottom"/>
          </w:tcPr>
          <w:p>
            <w:pPr>
              <w:ind w:left="1660"/>
              <w:spacing w:after="0"/>
              <w:rPr>
                <w:sz w:val="20"/>
                <w:szCs w:val="20"/>
                <w:color w:val="auto"/>
              </w:rPr>
            </w:pPr>
            <w:r>
              <w:rPr>
                <w:rFonts w:ascii="Arial" w:cs="Arial" w:eastAsia="Arial" w:hAnsi="Arial"/>
                <w:sz w:val="18"/>
                <w:szCs w:val="18"/>
                <w:color w:val="auto"/>
              </w:rPr>
              <w:t>underlying LLC Units vest.</w:t>
            </w:r>
          </w:p>
        </w:tc>
        <w:tc>
          <w:tcPr>
            <w:tcW w:w="2280" w:type="dxa"/>
            <w:vAlign w:val="bottom"/>
          </w:tcPr>
          <w:p>
            <w:pPr>
              <w:spacing w:after="0"/>
              <w:rPr>
                <w:sz w:val="20"/>
                <w:szCs w:val="20"/>
                <w:color w:val="auto"/>
              </w:rPr>
            </w:pPr>
          </w:p>
        </w:tc>
      </w:tr>
      <w:tr>
        <w:trPr>
          <w:trHeight w:val="445"/>
        </w:trPr>
        <w:tc>
          <w:tcPr>
            <w:tcW w:w="2800" w:type="dxa"/>
            <w:vAlign w:val="bottom"/>
          </w:tcPr>
          <w:p>
            <w:pPr>
              <w:spacing w:after="0"/>
              <w:rPr>
                <w:sz w:val="24"/>
                <w:szCs w:val="24"/>
                <w:color w:val="auto"/>
              </w:rPr>
            </w:pPr>
          </w:p>
        </w:tc>
        <w:tc>
          <w:tcPr>
            <w:tcW w:w="7820" w:type="dxa"/>
            <w:vAlign w:val="bottom"/>
            <w:gridSpan w:val="2"/>
          </w:tcPr>
          <w:p>
            <w:pPr>
              <w:ind w:left="1660"/>
              <w:spacing w:after="0"/>
              <w:rPr>
                <w:sz w:val="20"/>
                <w:szCs w:val="20"/>
                <w:color w:val="auto"/>
              </w:rPr>
            </w:pPr>
            <w:r>
              <w:rPr>
                <w:rFonts w:ascii="Arial" w:cs="Arial" w:eastAsia="Arial" w:hAnsi="Arial"/>
                <w:sz w:val="18"/>
                <w:szCs w:val="18"/>
                <w:color w:val="auto"/>
                <w:w w:val="93"/>
              </w:rPr>
              <w:t>Holders of outstanding shares of our Class A common stock and Class B common</w:t>
            </w:r>
          </w:p>
        </w:tc>
      </w:tr>
      <w:tr>
        <w:trPr>
          <w:trHeight w:val="216"/>
        </w:trPr>
        <w:tc>
          <w:tcPr>
            <w:tcW w:w="2800" w:type="dxa"/>
            <w:vAlign w:val="bottom"/>
          </w:tcPr>
          <w:p>
            <w:pPr>
              <w:spacing w:after="0"/>
              <w:rPr>
                <w:sz w:val="18"/>
                <w:szCs w:val="18"/>
                <w:color w:val="auto"/>
              </w:rPr>
            </w:pPr>
          </w:p>
        </w:tc>
        <w:tc>
          <w:tcPr>
            <w:tcW w:w="7820" w:type="dxa"/>
            <w:vAlign w:val="bottom"/>
            <w:gridSpan w:val="2"/>
          </w:tcPr>
          <w:p>
            <w:pPr>
              <w:ind w:left="1660"/>
              <w:spacing w:after="0"/>
              <w:rPr>
                <w:sz w:val="20"/>
                <w:szCs w:val="20"/>
                <w:color w:val="auto"/>
              </w:rPr>
            </w:pPr>
            <w:r>
              <w:rPr>
                <w:rFonts w:ascii="Arial" w:cs="Arial" w:eastAsia="Arial" w:hAnsi="Arial"/>
                <w:sz w:val="18"/>
                <w:szCs w:val="18"/>
                <w:color w:val="auto"/>
                <w:w w:val="92"/>
              </w:rPr>
              <w:t>stock vote as a single class on all matters on which stockholders are entitled to vote</w:t>
            </w:r>
          </w:p>
        </w:tc>
      </w:tr>
      <w:tr>
        <w:trPr>
          <w:trHeight w:val="216"/>
        </w:trPr>
        <w:tc>
          <w:tcPr>
            <w:tcW w:w="2800" w:type="dxa"/>
            <w:vAlign w:val="bottom"/>
          </w:tcPr>
          <w:p>
            <w:pPr>
              <w:spacing w:after="0"/>
              <w:rPr>
                <w:sz w:val="18"/>
                <w:szCs w:val="18"/>
                <w:color w:val="auto"/>
              </w:rPr>
            </w:pPr>
          </w:p>
        </w:tc>
        <w:tc>
          <w:tcPr>
            <w:tcW w:w="7820" w:type="dxa"/>
            <w:vAlign w:val="bottom"/>
            <w:gridSpan w:val="2"/>
          </w:tcPr>
          <w:p>
            <w:pPr>
              <w:ind w:left="1660"/>
              <w:spacing w:after="0"/>
              <w:rPr>
                <w:sz w:val="20"/>
                <w:szCs w:val="20"/>
                <w:color w:val="auto"/>
              </w:rPr>
            </w:pPr>
            <w:r>
              <w:rPr>
                <w:rFonts w:ascii="Arial" w:cs="Arial" w:eastAsia="Arial" w:hAnsi="Arial"/>
                <w:sz w:val="18"/>
                <w:szCs w:val="18"/>
                <w:color w:val="auto"/>
                <w:w w:val="92"/>
              </w:rPr>
              <w:t>generally, except as otherwise required by law. See “Description of Capital Stock—</w:t>
            </w:r>
          </w:p>
        </w:tc>
      </w:tr>
      <w:tr>
        <w:trPr>
          <w:trHeight w:val="230"/>
        </w:trPr>
        <w:tc>
          <w:tcPr>
            <w:tcW w:w="2800" w:type="dxa"/>
            <w:vAlign w:val="bottom"/>
          </w:tcPr>
          <w:p>
            <w:pPr>
              <w:spacing w:after="0"/>
              <w:rPr>
                <w:sz w:val="20"/>
                <w:szCs w:val="20"/>
                <w:color w:val="auto"/>
              </w:rPr>
            </w:pPr>
          </w:p>
        </w:tc>
        <w:tc>
          <w:tcPr>
            <w:tcW w:w="5540" w:type="dxa"/>
            <w:vAlign w:val="bottom"/>
          </w:tcPr>
          <w:p>
            <w:pPr>
              <w:ind w:left="1660"/>
              <w:spacing w:after="0"/>
              <w:rPr>
                <w:sz w:val="20"/>
                <w:szCs w:val="20"/>
                <w:color w:val="auto"/>
              </w:rPr>
            </w:pPr>
            <w:r>
              <w:rPr>
                <w:rFonts w:ascii="Arial" w:cs="Arial" w:eastAsia="Arial" w:hAnsi="Arial"/>
                <w:sz w:val="18"/>
                <w:szCs w:val="18"/>
                <w:color w:val="auto"/>
              </w:rPr>
              <w:t>Common Stock.”</w:t>
            </w:r>
          </w:p>
        </w:tc>
        <w:tc>
          <w:tcPr>
            <w:tcW w:w="2280" w:type="dxa"/>
            <w:vAlign w:val="bottom"/>
          </w:tcPr>
          <w:p>
            <w:pPr>
              <w:spacing w:after="0"/>
              <w:rPr>
                <w:sz w:val="20"/>
                <w:szCs w:val="20"/>
                <w:color w:val="auto"/>
              </w:rPr>
            </w:pPr>
          </w:p>
        </w:tc>
      </w:tr>
      <w:tr>
        <w:trPr>
          <w:trHeight w:val="445"/>
        </w:trPr>
        <w:tc>
          <w:tcPr>
            <w:tcW w:w="2800" w:type="dxa"/>
            <w:vAlign w:val="bottom"/>
          </w:tcPr>
          <w:p>
            <w:pPr>
              <w:spacing w:after="0"/>
              <w:rPr>
                <w:sz w:val="20"/>
                <w:szCs w:val="20"/>
                <w:color w:val="auto"/>
              </w:rPr>
            </w:pPr>
            <w:r>
              <w:rPr>
                <w:rFonts w:ascii="Arial" w:cs="Arial" w:eastAsia="Arial" w:hAnsi="Arial"/>
                <w:sz w:val="18"/>
                <w:szCs w:val="18"/>
                <w:color w:val="auto"/>
              </w:rPr>
              <w:t>Risk Factors</w:t>
            </w:r>
          </w:p>
        </w:tc>
        <w:tc>
          <w:tcPr>
            <w:tcW w:w="7820" w:type="dxa"/>
            <w:vAlign w:val="bottom"/>
            <w:gridSpan w:val="2"/>
          </w:tcPr>
          <w:p>
            <w:pPr>
              <w:ind w:left="1660"/>
              <w:spacing w:after="0"/>
              <w:rPr>
                <w:sz w:val="20"/>
                <w:szCs w:val="20"/>
                <w:color w:val="auto"/>
              </w:rPr>
            </w:pPr>
            <w:r>
              <w:rPr>
                <w:rFonts w:ascii="Arial" w:cs="Arial" w:eastAsia="Arial" w:hAnsi="Arial"/>
                <w:sz w:val="18"/>
                <w:szCs w:val="18"/>
                <w:color w:val="auto"/>
                <w:w w:val="92"/>
              </w:rPr>
              <w:t>Investing in our Class A common stock involves a high degree of risk. See the “Risk</w:t>
            </w:r>
          </w:p>
        </w:tc>
      </w:tr>
      <w:tr>
        <w:trPr>
          <w:trHeight w:val="216"/>
        </w:trPr>
        <w:tc>
          <w:tcPr>
            <w:tcW w:w="2800" w:type="dxa"/>
            <w:vAlign w:val="bottom"/>
          </w:tcPr>
          <w:p>
            <w:pPr>
              <w:spacing w:after="0"/>
              <w:rPr>
                <w:sz w:val="18"/>
                <w:szCs w:val="18"/>
                <w:color w:val="auto"/>
              </w:rPr>
            </w:pPr>
          </w:p>
        </w:tc>
        <w:tc>
          <w:tcPr>
            <w:tcW w:w="7820" w:type="dxa"/>
            <w:vAlign w:val="bottom"/>
            <w:gridSpan w:val="2"/>
          </w:tcPr>
          <w:p>
            <w:pPr>
              <w:ind w:left="1660"/>
              <w:spacing w:after="0"/>
              <w:rPr>
                <w:sz w:val="20"/>
                <w:szCs w:val="20"/>
                <w:color w:val="auto"/>
              </w:rPr>
            </w:pPr>
            <w:r>
              <w:rPr>
                <w:rFonts w:ascii="Arial" w:cs="Arial" w:eastAsia="Arial" w:hAnsi="Arial"/>
                <w:sz w:val="18"/>
                <w:szCs w:val="18"/>
                <w:color w:val="auto"/>
                <w:w w:val="92"/>
              </w:rPr>
              <w:t>Factors” section of this prospectus beginning on page 28 for a discussion of factors</w:t>
            </w:r>
          </w:p>
        </w:tc>
      </w:tr>
      <w:tr>
        <w:trPr>
          <w:trHeight w:val="230"/>
        </w:trPr>
        <w:tc>
          <w:tcPr>
            <w:tcW w:w="2800" w:type="dxa"/>
            <w:vAlign w:val="bottom"/>
          </w:tcPr>
          <w:p>
            <w:pPr>
              <w:spacing w:after="0"/>
              <w:rPr>
                <w:sz w:val="20"/>
                <w:szCs w:val="20"/>
                <w:color w:val="auto"/>
              </w:rPr>
            </w:pPr>
          </w:p>
        </w:tc>
        <w:tc>
          <w:tcPr>
            <w:tcW w:w="7820" w:type="dxa"/>
            <w:vAlign w:val="bottom"/>
            <w:gridSpan w:val="2"/>
          </w:tcPr>
          <w:p>
            <w:pPr>
              <w:ind w:left="1660"/>
              <w:spacing w:after="0"/>
              <w:rPr>
                <w:sz w:val="20"/>
                <w:szCs w:val="20"/>
                <w:color w:val="auto"/>
              </w:rPr>
            </w:pPr>
            <w:r>
              <w:rPr>
                <w:rFonts w:ascii="Arial" w:cs="Arial" w:eastAsia="Arial" w:hAnsi="Arial"/>
                <w:sz w:val="18"/>
                <w:szCs w:val="18"/>
                <w:color w:val="auto"/>
              </w:rPr>
              <w:t>you should carefully consider before investing in our Class A common stock.</w:t>
            </w:r>
          </w:p>
        </w:tc>
      </w:tr>
      <w:tr>
        <w:trPr>
          <w:trHeight w:val="580"/>
        </w:trPr>
        <w:tc>
          <w:tcPr>
            <w:tcW w:w="2800" w:type="dxa"/>
            <w:vAlign w:val="bottom"/>
          </w:tcPr>
          <w:p>
            <w:pPr>
              <w:spacing w:after="0"/>
              <w:rPr>
                <w:sz w:val="20"/>
                <w:szCs w:val="20"/>
                <w:color w:val="auto"/>
              </w:rPr>
            </w:pPr>
            <w:r>
              <w:rPr>
                <w:rFonts w:ascii="Arial" w:cs="Arial" w:eastAsia="Arial" w:hAnsi="Arial"/>
                <w:sz w:val="18"/>
                <w:szCs w:val="18"/>
                <w:color w:val="auto"/>
              </w:rPr>
              <w:t>Listing</w:t>
            </w:r>
          </w:p>
        </w:tc>
        <w:tc>
          <w:tcPr>
            <w:tcW w:w="7820" w:type="dxa"/>
            <w:vAlign w:val="bottom"/>
            <w:gridSpan w:val="2"/>
          </w:tcPr>
          <w:p>
            <w:pPr>
              <w:ind w:left="1660"/>
              <w:spacing w:after="0"/>
              <w:rPr>
                <w:sz w:val="20"/>
                <w:szCs w:val="20"/>
                <w:color w:val="auto"/>
              </w:rPr>
            </w:pPr>
            <w:r>
              <w:rPr>
                <w:rFonts w:ascii="Arial" w:cs="Arial" w:eastAsia="Arial" w:hAnsi="Arial"/>
                <w:sz w:val="18"/>
                <w:szCs w:val="18"/>
                <w:color w:val="auto"/>
              </w:rPr>
              <w:t>Our Class A common stock is listed on Nasdaq under the symbol “DH.”</w:t>
            </w:r>
          </w:p>
        </w:tc>
      </w:tr>
    </w:tbl>
    <w:p>
      <w:pPr>
        <w:spacing w:after="0" w:line="215" w:lineRule="exact"/>
        <w:rPr>
          <w:sz w:val="20"/>
          <w:szCs w:val="20"/>
          <w:color w:val="auto"/>
        </w:rPr>
      </w:pPr>
    </w:p>
    <w:p>
      <w:pPr>
        <w:ind w:left="720"/>
        <w:spacing w:after="0"/>
        <w:rPr>
          <w:sz w:val="20"/>
          <w:szCs w:val="20"/>
          <w:color w:val="auto"/>
        </w:rPr>
      </w:pPr>
      <w:r>
        <w:rPr>
          <w:rFonts w:ascii="Arial" w:cs="Arial" w:eastAsia="Arial" w:hAnsi="Arial"/>
          <w:sz w:val="18"/>
          <w:szCs w:val="18"/>
          <w:color w:val="auto"/>
        </w:rPr>
        <w:t>Except as otherwise indicated, the number of shares of our Class A common stock outstanding after this offering:</w:t>
      </w:r>
    </w:p>
    <w:p>
      <w:pPr>
        <w:sectPr>
          <w:pgSz w:w="11900" w:h="16838" w:orient="portrait"/>
          <w:cols w:equalWidth="0" w:num="1">
            <w:col w:w="10920"/>
          </w:cols>
          <w:pgMar w:left="320" w:top="459" w:right="659" w:bottom="1440" w:gutter="0" w:footer="0" w:header="0"/>
        </w:sectPr>
      </w:pPr>
    </w:p>
    <w:p>
      <w:pPr>
        <w:spacing w:after="0" w:line="131" w:lineRule="exact"/>
        <w:rPr>
          <w:sz w:val="20"/>
          <w:szCs w:val="20"/>
          <w:color w:val="auto"/>
        </w:rPr>
      </w:pPr>
    </w:p>
    <w:p>
      <w:pPr>
        <w:ind w:left="720"/>
        <w:spacing w:after="0"/>
        <w:rPr>
          <w:sz w:val="20"/>
          <w:szCs w:val="20"/>
          <w:color w:val="auto"/>
        </w:rPr>
      </w:pPr>
      <w:r>
        <w:rPr>
          <w:rFonts w:ascii="Arial" w:cs="Arial" w:eastAsia="Arial" w:hAnsi="Arial"/>
          <w:sz w:val="17"/>
          <w:szCs w:val="17"/>
          <w:color w:val="auto"/>
        </w:rPr>
        <w:t>•</w:t>
      </w:r>
    </w:p>
    <w:p>
      <w:pPr>
        <w:spacing w:after="0" w:line="20" w:lineRule="exact"/>
        <w:rPr>
          <w:sz w:val="20"/>
          <w:szCs w:val="20"/>
          <w:color w:val="auto"/>
        </w:rPr>
      </w:pPr>
      <w:r>
        <w:rPr>
          <w:sz w:val="20"/>
          <w:szCs w:val="20"/>
          <w:color w:val="auto"/>
        </w:rPr>
        <w:br w:type="column"/>
      </w:r>
    </w:p>
    <w:p>
      <w:pPr>
        <w:spacing w:after="0" w:line="111" w:lineRule="exact"/>
        <w:rPr>
          <w:sz w:val="20"/>
          <w:szCs w:val="20"/>
          <w:color w:val="auto"/>
        </w:rPr>
      </w:pPr>
    </w:p>
    <w:p>
      <w:pPr>
        <w:spacing w:after="0" w:line="308" w:lineRule="auto"/>
        <w:rPr>
          <w:sz w:val="20"/>
          <w:szCs w:val="20"/>
          <w:color w:val="auto"/>
        </w:rPr>
      </w:pPr>
      <w:r>
        <w:rPr>
          <w:rFonts w:ascii="Arial" w:cs="Arial" w:eastAsia="Arial" w:hAnsi="Arial"/>
          <w:sz w:val="17"/>
          <w:szCs w:val="17"/>
          <w:color w:val="auto"/>
        </w:rPr>
        <w:t>excludes for-one basis;</w:t>
      </w:r>
    </w:p>
    <w:p>
      <w:pPr>
        <w:spacing w:after="0" w:line="20" w:lineRule="exact"/>
        <w:rPr>
          <w:sz w:val="20"/>
          <w:szCs w:val="20"/>
          <w:color w:val="auto"/>
        </w:rPr>
      </w:pPr>
      <w:r>
        <w:rPr>
          <w:sz w:val="20"/>
          <w:szCs w:val="20"/>
          <w:color w:val="auto"/>
        </w:rPr>
        <w:br w:type="column"/>
      </w:r>
    </w:p>
    <w:p>
      <w:pPr>
        <w:spacing w:after="0" w:line="111" w:lineRule="exact"/>
        <w:rPr>
          <w:sz w:val="20"/>
          <w:szCs w:val="20"/>
          <w:color w:val="auto"/>
        </w:rPr>
      </w:pPr>
    </w:p>
    <w:p>
      <w:pPr>
        <w:spacing w:after="0"/>
        <w:rPr>
          <w:sz w:val="20"/>
          <w:szCs w:val="20"/>
          <w:color w:val="auto"/>
        </w:rPr>
      </w:pPr>
      <w:r>
        <w:rPr>
          <w:rFonts w:ascii="Arial" w:cs="Arial" w:eastAsia="Arial" w:hAnsi="Arial"/>
          <w:sz w:val="16"/>
          <w:szCs w:val="16"/>
          <w:color w:val="auto"/>
        </w:rPr>
        <w:t>shares of Class A common stock reserved for issuance upon exchange of LLC Units held by the Unitholders on a one-</w:t>
      </w:r>
    </w:p>
    <w:p>
      <w:pPr>
        <w:spacing w:after="0" w:line="369" w:lineRule="exact"/>
        <w:rPr>
          <w:sz w:val="20"/>
          <w:szCs w:val="20"/>
          <w:color w:val="auto"/>
        </w:rPr>
      </w:pPr>
    </w:p>
    <w:p>
      <w:pPr>
        <w:sectPr>
          <w:pgSz w:w="11900" w:h="16838" w:orient="portrait"/>
          <w:cols w:equalWidth="0" w:num="3">
            <w:col w:w="780" w:space="340"/>
            <w:col w:w="980" w:space="240"/>
            <w:col w:w="8580"/>
          </w:cols>
          <w:pgMar w:left="320" w:top="459" w:right="659" w:bottom="1440" w:gutter="0" w:footer="0" w:header="0"/>
          <w:type w:val="continuous"/>
        </w:sectPr>
      </w:pPr>
    </w:p>
    <w:p>
      <w:pPr>
        <w:ind w:left="1120" w:right="20" w:hanging="403"/>
        <w:spacing w:after="0" w:line="277" w:lineRule="auto"/>
        <w:tabs>
          <w:tab w:leader="none" w:pos="1120" w:val="left"/>
        </w:tabs>
        <w:numPr>
          <w:ilvl w:val="0"/>
          <w:numId w:val="32"/>
        </w:numPr>
        <w:rPr>
          <w:rFonts w:ascii="Arial" w:cs="Arial" w:eastAsia="Arial" w:hAnsi="Arial"/>
          <w:sz w:val="18"/>
          <w:szCs w:val="18"/>
          <w:color w:val="auto"/>
        </w:rPr>
      </w:pPr>
      <w:r>
        <w:rPr>
          <w:rFonts w:ascii="Arial" w:cs="Arial" w:eastAsia="Arial" w:hAnsi="Arial"/>
          <w:sz w:val="18"/>
          <w:szCs w:val="18"/>
          <w:color w:val="auto"/>
        </w:rPr>
        <w:t>excludes an aggregate of 1,498,173 shares of our Class A common stock available for issuance under our employee stock purchase plan Definitive Healthcare Corp. 2021 Employee Stock Purchase Plan (the “ESPP”);</w:t>
      </w:r>
    </w:p>
    <w:p>
      <w:pPr>
        <w:spacing w:after="0" w:line="75" w:lineRule="exact"/>
        <w:rPr>
          <w:rFonts w:ascii="Arial" w:cs="Arial" w:eastAsia="Arial" w:hAnsi="Arial"/>
          <w:sz w:val="18"/>
          <w:szCs w:val="18"/>
          <w:color w:val="auto"/>
        </w:rPr>
      </w:pPr>
    </w:p>
    <w:p>
      <w:pPr>
        <w:ind w:left="1120" w:right="580" w:hanging="403"/>
        <w:spacing w:after="0" w:line="277" w:lineRule="auto"/>
        <w:tabs>
          <w:tab w:leader="none" w:pos="1120" w:val="left"/>
        </w:tabs>
        <w:numPr>
          <w:ilvl w:val="0"/>
          <w:numId w:val="32"/>
        </w:numPr>
        <w:rPr>
          <w:rFonts w:ascii="Arial" w:cs="Arial" w:eastAsia="Arial" w:hAnsi="Arial"/>
          <w:sz w:val="18"/>
          <w:szCs w:val="18"/>
          <w:color w:val="auto"/>
        </w:rPr>
      </w:pPr>
      <w:r>
        <w:rPr>
          <w:rFonts w:ascii="Arial" w:cs="Arial" w:eastAsia="Arial" w:hAnsi="Arial"/>
          <w:sz w:val="18"/>
          <w:szCs w:val="18"/>
          <w:color w:val="auto"/>
        </w:rPr>
        <w:t>excludes an aggregate of 8,989,039 shares of our Class A common stock available for future equity awards under our Definitive Healthcare Corp. 2021 Equity Incentive Plan (the “2021 Plan”); and</w:t>
      </w:r>
    </w:p>
    <w:p>
      <w:pPr>
        <w:spacing w:after="0" w:line="75" w:lineRule="exact"/>
        <w:rPr>
          <w:rFonts w:ascii="Arial" w:cs="Arial" w:eastAsia="Arial" w:hAnsi="Arial"/>
          <w:sz w:val="18"/>
          <w:szCs w:val="18"/>
          <w:color w:val="auto"/>
        </w:rPr>
      </w:pPr>
    </w:p>
    <w:p>
      <w:pPr>
        <w:ind w:left="1120" w:hanging="403"/>
        <w:spacing w:after="0"/>
        <w:tabs>
          <w:tab w:leader="none" w:pos="1120" w:val="left"/>
        </w:tabs>
        <w:numPr>
          <w:ilvl w:val="0"/>
          <w:numId w:val="32"/>
        </w:numPr>
        <w:rPr>
          <w:rFonts w:ascii="Arial" w:cs="Arial" w:eastAsia="Arial" w:hAnsi="Arial"/>
          <w:sz w:val="18"/>
          <w:szCs w:val="18"/>
          <w:color w:val="auto"/>
        </w:rPr>
      </w:pPr>
      <w:r>
        <w:rPr>
          <w:rFonts w:ascii="Arial" w:cs="Arial" w:eastAsia="Arial" w:hAnsi="Arial"/>
          <w:sz w:val="18"/>
          <w:szCs w:val="18"/>
          <w:color w:val="auto"/>
        </w:rPr>
        <w:t>assumes no exercise of the underwriters’ option to purchase additional shares of Class A common stock.</w:t>
      </w:r>
    </w:p>
    <w:p>
      <w:pPr>
        <w:spacing w:after="0" w:line="200" w:lineRule="exact"/>
        <w:rPr>
          <w:sz w:val="20"/>
          <w:szCs w:val="20"/>
          <w:color w:val="auto"/>
        </w:rPr>
      </w:pPr>
    </w:p>
    <w:p>
      <w:pPr>
        <w:spacing w:after="0" w:line="214" w:lineRule="exact"/>
        <w:rPr>
          <w:sz w:val="20"/>
          <w:szCs w:val="20"/>
          <w:color w:val="auto"/>
        </w:rPr>
      </w:pPr>
    </w:p>
    <w:p>
      <w:pPr>
        <w:jc w:val="center"/>
        <w:ind w:right="-55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0920"/>
          </w:cols>
          <w:pgMar w:left="320" w:top="459" w:right="659" w:bottom="1440" w:gutter="0" w:footer="0" w:header="0"/>
          <w:type w:val="continuous"/>
        </w:sectPr>
      </w:pPr>
    </w:p>
    <w:bookmarkStart w:id="26" w:name="page27"/>
    <w:bookmarkEnd w:id="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419"/>
        <w:spacing w:after="0"/>
        <w:rPr>
          <w:sz w:val="20"/>
          <w:szCs w:val="20"/>
          <w:color w:val="auto"/>
        </w:rPr>
      </w:pPr>
      <w:r>
        <w:rPr>
          <w:rFonts w:ascii="Arial" w:cs="Arial" w:eastAsia="Arial" w:hAnsi="Arial"/>
          <w:sz w:val="18"/>
          <w:szCs w:val="18"/>
          <w:b w:val="1"/>
          <w:bCs w:val="1"/>
          <w:color w:val="auto"/>
        </w:rPr>
        <w:t>Confidential Treatment Requested by Definitive Healthcare Corp.</w:t>
      </w:r>
    </w:p>
    <w:p>
      <w:pPr>
        <w:spacing w:after="0" w:line="27" w:lineRule="exact"/>
        <w:rPr>
          <w:sz w:val="20"/>
          <w:szCs w:val="20"/>
          <w:color w:val="auto"/>
        </w:rPr>
      </w:pPr>
    </w:p>
    <w:p>
      <w:pPr>
        <w:jc w:val="center"/>
        <w:ind w:right="-419"/>
        <w:spacing w:after="0"/>
        <w:rPr>
          <w:sz w:val="20"/>
          <w:szCs w:val="20"/>
          <w:color w:val="auto"/>
        </w:rPr>
      </w:pPr>
      <w:r>
        <w:rPr>
          <w:rFonts w:ascii="Arial" w:cs="Arial" w:eastAsia="Arial" w:hAnsi="Arial"/>
          <w:sz w:val="18"/>
          <w:szCs w:val="18"/>
          <w:b w:val="1"/>
          <w:bCs w:val="1"/>
          <w:color w:val="auto"/>
        </w:rPr>
        <w:t>Pursuant to 17 C.F.R. Section 200.83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97790</wp:posOffset>
            </wp:positionV>
            <wp:extent cx="6998970" cy="135001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6998970" cy="1350010"/>
                    </a:xfrm>
                    <a:prstGeom prst="rect">
                      <a:avLst/>
                    </a:prstGeom>
                    <a:noFill/>
                  </pic:spPr>
                </pic:pic>
              </a:graphicData>
            </a:graphic>
          </wp:anchor>
        </w:drawing>
      </w:r>
    </w:p>
    <w:p>
      <w:pPr>
        <w:spacing w:after="0" w:line="312" w:lineRule="exact"/>
        <w:rPr>
          <w:sz w:val="20"/>
          <w:szCs w:val="20"/>
          <w:color w:val="auto"/>
        </w:rPr>
      </w:pPr>
    </w:p>
    <w:p>
      <w:pPr>
        <w:ind w:left="720"/>
        <w:spacing w:after="0"/>
        <w:rPr>
          <w:sz w:val="20"/>
          <w:szCs w:val="20"/>
          <w:color w:val="auto"/>
        </w:rPr>
      </w:pPr>
      <w:r>
        <w:rPr>
          <w:rFonts w:ascii="Arial" w:cs="Arial" w:eastAsia="Arial" w:hAnsi="Arial"/>
          <w:sz w:val="18"/>
          <w:szCs w:val="18"/>
          <w:color w:val="auto"/>
        </w:rPr>
        <w:t>Unless otherwise indicated, all information in this prospectus:</w:t>
      </w:r>
    </w:p>
    <w:p>
      <w:pPr>
        <w:spacing w:after="0" w:line="131" w:lineRule="exact"/>
        <w:rPr>
          <w:sz w:val="20"/>
          <w:szCs w:val="20"/>
          <w:color w:val="auto"/>
        </w:rPr>
      </w:pPr>
    </w:p>
    <w:p>
      <w:pPr>
        <w:ind w:left="1120" w:hanging="403"/>
        <w:spacing w:after="0" w:line="277" w:lineRule="auto"/>
        <w:tabs>
          <w:tab w:leader="none" w:pos="1120" w:val="left"/>
        </w:tabs>
        <w:numPr>
          <w:ilvl w:val="0"/>
          <w:numId w:val="33"/>
        </w:numPr>
        <w:rPr>
          <w:rFonts w:ascii="Arial" w:cs="Arial" w:eastAsia="Arial" w:hAnsi="Arial"/>
          <w:sz w:val="18"/>
          <w:szCs w:val="18"/>
          <w:color w:val="auto"/>
        </w:rPr>
      </w:pPr>
      <w:r>
        <w:rPr>
          <w:rFonts w:ascii="Arial" w:cs="Arial" w:eastAsia="Arial" w:hAnsi="Arial"/>
          <w:sz w:val="18"/>
          <w:szCs w:val="18"/>
          <w:color w:val="auto"/>
        </w:rPr>
        <w:t>gives effect to this offering (which includes our acquisition of LLC Units from certain Unitholders and repurchase of shares of Class A common stock from certain stockholders); and</w:t>
      </w:r>
    </w:p>
    <w:p>
      <w:pPr>
        <w:spacing w:after="0" w:line="75" w:lineRule="exact"/>
        <w:rPr>
          <w:rFonts w:ascii="Arial" w:cs="Arial" w:eastAsia="Arial" w:hAnsi="Arial"/>
          <w:sz w:val="18"/>
          <w:szCs w:val="18"/>
          <w:color w:val="auto"/>
        </w:rPr>
      </w:pPr>
    </w:p>
    <w:p>
      <w:pPr>
        <w:ind w:left="1120" w:hanging="403"/>
        <w:spacing w:after="0"/>
        <w:tabs>
          <w:tab w:leader="none" w:pos="1120" w:val="left"/>
        </w:tabs>
        <w:numPr>
          <w:ilvl w:val="0"/>
          <w:numId w:val="33"/>
        </w:numPr>
        <w:rPr>
          <w:rFonts w:ascii="Arial" w:cs="Arial" w:eastAsia="Arial" w:hAnsi="Arial"/>
          <w:sz w:val="18"/>
          <w:szCs w:val="18"/>
          <w:color w:val="auto"/>
        </w:rPr>
      </w:pPr>
      <w:r>
        <w:rPr>
          <w:rFonts w:ascii="Arial" w:cs="Arial" w:eastAsia="Arial" w:hAnsi="Arial"/>
          <w:sz w:val="18"/>
          <w:szCs w:val="18"/>
          <w:color w:val="auto"/>
        </w:rPr>
        <w:t>assumes the underwriters’ option to purchase additional shares of Class A common stock has not been exercised.</w:t>
      </w:r>
    </w:p>
    <w:p>
      <w:pPr>
        <w:spacing w:after="0" w:line="225" w:lineRule="exact"/>
        <w:rPr>
          <w:sz w:val="20"/>
          <w:szCs w:val="20"/>
          <w:color w:val="auto"/>
        </w:rPr>
      </w:pPr>
    </w:p>
    <w:p>
      <w:pPr>
        <w:ind w:left="300" w:right="380" w:firstLine="426"/>
        <w:spacing w:after="0" w:line="308" w:lineRule="auto"/>
        <w:rPr>
          <w:sz w:val="20"/>
          <w:szCs w:val="20"/>
          <w:color w:val="auto"/>
        </w:rPr>
      </w:pPr>
      <w:r>
        <w:rPr>
          <w:rFonts w:ascii="Arial" w:cs="Arial" w:eastAsia="Arial" w:hAnsi="Arial"/>
          <w:sz w:val="17"/>
          <w:szCs w:val="17"/>
          <w:color w:val="auto"/>
        </w:rPr>
        <w:t>Unless otherwise indicated or the context otherwise requires, references in this prospectus to the exercise of the underwriters’ option to purchase additional shares of Class A common stock gives effect to the use of the net proceeds therefrom.</w:t>
      </w:r>
    </w:p>
    <w:p>
      <w:pPr>
        <w:spacing w:after="0" w:line="254"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0820"/>
          </w:cols>
          <w:pgMar w:left="320" w:top="459" w:right="759" w:bottom="1440" w:gutter="0" w:footer="0" w:header="0"/>
        </w:sectPr>
      </w:pPr>
    </w:p>
    <w:bookmarkStart w:id="27" w:name="page28"/>
    <w:bookmarkEnd w:id="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299"/>
        <w:spacing w:after="0"/>
        <w:rPr>
          <w:sz w:val="20"/>
          <w:szCs w:val="20"/>
          <w:color w:val="auto"/>
        </w:rPr>
      </w:pPr>
      <w:r>
        <w:rPr>
          <w:rFonts w:ascii="Arial" w:cs="Arial" w:eastAsia="Arial" w:hAnsi="Arial"/>
          <w:sz w:val="18"/>
          <w:szCs w:val="18"/>
          <w:b w:val="1"/>
          <w:bCs w:val="1"/>
          <w:color w:val="auto"/>
        </w:rPr>
        <w:t>Confidential Treatment Requested by Definitive Healthcare Corp.</w:t>
      </w:r>
    </w:p>
    <w:p>
      <w:pPr>
        <w:spacing w:after="0" w:line="27" w:lineRule="exact"/>
        <w:rPr>
          <w:sz w:val="20"/>
          <w:szCs w:val="20"/>
          <w:color w:val="auto"/>
        </w:rPr>
      </w:pPr>
    </w:p>
    <w:p>
      <w:pPr>
        <w:jc w:val="center"/>
        <w:ind w:right="-299"/>
        <w:spacing w:after="0"/>
        <w:rPr>
          <w:sz w:val="20"/>
          <w:szCs w:val="20"/>
          <w:color w:val="auto"/>
        </w:rPr>
      </w:pPr>
      <w:r>
        <w:rPr>
          <w:rFonts w:ascii="Arial" w:cs="Arial" w:eastAsia="Arial" w:hAnsi="Arial"/>
          <w:sz w:val="18"/>
          <w:szCs w:val="18"/>
          <w:b w:val="1"/>
          <w:bCs w:val="1"/>
          <w:color w:val="auto"/>
        </w:rPr>
        <w:t>Pursuant to 17 C.F.R. Section 200.83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97790</wp:posOffset>
            </wp:positionV>
            <wp:extent cx="6998970" cy="495046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6998970" cy="4950460"/>
                    </a:xfrm>
                    <a:prstGeom prst="rect">
                      <a:avLst/>
                    </a:prstGeom>
                    <a:noFill/>
                  </pic:spPr>
                </pic:pic>
              </a:graphicData>
            </a:graphic>
          </wp:anchor>
        </w:drawing>
      </w:r>
    </w:p>
    <w:p>
      <w:pPr>
        <w:spacing w:after="0" w:line="308" w:lineRule="exact"/>
        <w:rPr>
          <w:sz w:val="20"/>
          <w:szCs w:val="20"/>
          <w:color w:val="auto"/>
        </w:rPr>
      </w:pPr>
    </w:p>
    <w:p>
      <w:pPr>
        <w:ind w:left="1660"/>
        <w:spacing w:after="0"/>
        <w:rPr>
          <w:sz w:val="20"/>
          <w:szCs w:val="20"/>
          <w:color w:val="auto"/>
        </w:rPr>
      </w:pPr>
      <w:r>
        <w:rPr>
          <w:rFonts w:ascii="Arial" w:cs="Arial" w:eastAsia="Arial" w:hAnsi="Arial"/>
          <w:sz w:val="18"/>
          <w:szCs w:val="18"/>
          <w:b w:val="1"/>
          <w:bCs w:val="1"/>
          <w:color w:val="auto"/>
        </w:rPr>
        <w:t>SUMMARY HISTORICAL AND PRO FORMA CONSOLIDATED FINANCIAL AND OTHER DATA</w:t>
      </w:r>
    </w:p>
    <w:p>
      <w:pPr>
        <w:spacing w:after="0" w:line="229" w:lineRule="exact"/>
        <w:rPr>
          <w:sz w:val="20"/>
          <w:szCs w:val="20"/>
          <w:color w:val="auto"/>
        </w:rPr>
      </w:pPr>
    </w:p>
    <w:p>
      <w:pPr>
        <w:ind w:left="300" w:right="260" w:firstLine="426"/>
        <w:spacing w:after="0" w:line="277" w:lineRule="auto"/>
        <w:rPr>
          <w:sz w:val="20"/>
          <w:szCs w:val="20"/>
          <w:color w:val="auto"/>
        </w:rPr>
      </w:pPr>
      <w:r>
        <w:rPr>
          <w:rFonts w:ascii="Arial" w:cs="Arial" w:eastAsia="Arial" w:hAnsi="Arial"/>
          <w:sz w:val="18"/>
          <w:szCs w:val="18"/>
          <w:color w:val="auto"/>
        </w:rPr>
        <w:t>The following tables set forth the summary historical consolidated financial and other data for Definitive OpCo and its subsidiaries for the periods and as of the dates presented.</w:t>
      </w:r>
    </w:p>
    <w:p>
      <w:pPr>
        <w:spacing w:after="0" w:line="170" w:lineRule="exact"/>
        <w:rPr>
          <w:sz w:val="20"/>
          <w:szCs w:val="20"/>
          <w:color w:val="auto"/>
        </w:rPr>
      </w:pPr>
    </w:p>
    <w:p>
      <w:pPr>
        <w:ind w:left="300" w:right="20" w:firstLine="426"/>
        <w:spacing w:after="0" w:line="287" w:lineRule="auto"/>
        <w:rPr>
          <w:sz w:val="20"/>
          <w:szCs w:val="20"/>
          <w:color w:val="auto"/>
        </w:rPr>
      </w:pPr>
      <w:r>
        <w:rPr>
          <w:rFonts w:ascii="Arial" w:cs="Arial" w:eastAsia="Arial" w:hAnsi="Arial"/>
          <w:sz w:val="16"/>
          <w:szCs w:val="16"/>
          <w:color w:val="auto"/>
        </w:rPr>
        <w:t>The statements of operations for the years ended December 31, 2020 and 2019 (Successor Company) and for the periods from July 16, 2019 to December 31, 2019 (Successor Company) and January 1, 2019 to July 15, 2019 (Predecessor Company) and balance sheet data as of December 31, 2020 and 2019 (Successor Company) have been derived from AIDH TopCo, LLC’s audited consolidated financial statements and the related notes thereto included elsewhere in this prospectus. On July 16, 2019, AIDH Buyer, LLC , an affiliate of Advent, acquired 100% of the issued and outstanding stock of the Company. AIDH Buyer, LLC, a Delaware limited liability company, is a wholly owned subsidiary of AIDH TopCo, LLC. As a result of these transactions, the Company elected to apply purchase accounting for the change in control in its consolidated stand-alone financial statements, effective July 16, 2019 (the “Change of Control Date”), which resulted in a new basis of accounting and the Company becoming a new entity for financial reporting purposes. References to “Successor” or “Successor Company” relate to the financial position and results of operations of the Company after the Change of Control Date. References to “Predecessor” or “Predecessor Company” refer to the financial position and results of operations of the Company on or before the Change of Control Date. As a result, our results of operations for the year ended December 31, 2020 are not directly comparable to our results of operations for the year ended December 31, 2019.</w:t>
      </w:r>
    </w:p>
    <w:p>
      <w:pPr>
        <w:spacing w:after="0" w:line="172" w:lineRule="exact"/>
        <w:rPr>
          <w:sz w:val="20"/>
          <w:szCs w:val="20"/>
          <w:color w:val="auto"/>
        </w:rPr>
      </w:pPr>
    </w:p>
    <w:p>
      <w:pPr>
        <w:jc w:val="both"/>
        <w:ind w:left="300" w:right="340" w:firstLine="426"/>
        <w:spacing w:after="0" w:line="263" w:lineRule="auto"/>
        <w:rPr>
          <w:sz w:val="20"/>
          <w:szCs w:val="20"/>
          <w:color w:val="auto"/>
        </w:rPr>
      </w:pPr>
      <w:r>
        <w:rPr>
          <w:rFonts w:ascii="Arial" w:cs="Arial" w:eastAsia="Arial" w:hAnsi="Arial"/>
          <w:sz w:val="18"/>
          <w:szCs w:val="18"/>
          <w:color w:val="auto"/>
        </w:rPr>
        <w:t>Definitive Healthcare Corp. is a holding company, and its sole material asset is controlling equity interest in Definitive OpCo. Definitive Healthcare Corp., through Definitive OpCo, operates and conducts our business. Definitive OpCo is considered our predecessor for accounting purposes and its consolidated financial statements will be our historical financial statements.</w:t>
      </w:r>
    </w:p>
    <w:p>
      <w:pPr>
        <w:spacing w:after="0" w:line="184" w:lineRule="exact"/>
        <w:rPr>
          <w:sz w:val="20"/>
          <w:szCs w:val="20"/>
          <w:color w:val="auto"/>
        </w:rPr>
      </w:pPr>
    </w:p>
    <w:p>
      <w:pPr>
        <w:ind w:left="300" w:firstLine="426"/>
        <w:spacing w:after="0" w:line="271" w:lineRule="auto"/>
        <w:rPr>
          <w:sz w:val="20"/>
          <w:szCs w:val="20"/>
          <w:color w:val="auto"/>
        </w:rPr>
      </w:pPr>
      <w:r>
        <w:rPr>
          <w:rFonts w:ascii="Arial" w:cs="Arial" w:eastAsia="Arial" w:hAnsi="Arial"/>
          <w:sz w:val="17"/>
          <w:szCs w:val="17"/>
          <w:color w:val="auto"/>
        </w:rPr>
        <w:t>The summary unaudited pro forma combined and consolidated financial data of Definitive Healthcare Corp. presented below have been derived from our unaudited pro forma combined and consolidated financial statements included elsewhere in this prospectus. The summary unaudited pro forma combined and consolidated statement of operations data for the year ended December 31, 2020 and the nine months ended September 30, 2021 give effect to (i) the Reorganization Transactions and (ii) this offering, each as if they had occurred on January 1, 2020. The summary unaudited combined and consolidated pro forma financial data is presented for illustrative purposes only and is not necessarily indicative of the results of operations or financial position that would have occurred if the relevant transactions had been consummated on the dates indicated, nor is it indicative of future operating results or financial position. See “Unaudited Pro Forma Consolidated Financial Information” and “Prospectus Summary—Organizational Structure.”</w:t>
      </w:r>
    </w:p>
    <w:p>
      <w:pPr>
        <w:spacing w:after="0" w:line="178" w:lineRule="exact"/>
        <w:rPr>
          <w:sz w:val="20"/>
          <w:szCs w:val="20"/>
          <w:color w:val="auto"/>
        </w:rPr>
      </w:pPr>
    </w:p>
    <w:p>
      <w:pPr>
        <w:ind w:left="300" w:right="120" w:firstLine="426"/>
        <w:spacing w:after="0" w:line="259" w:lineRule="auto"/>
        <w:rPr>
          <w:sz w:val="20"/>
          <w:szCs w:val="20"/>
          <w:color w:val="auto"/>
        </w:rPr>
      </w:pPr>
      <w:r>
        <w:rPr>
          <w:rFonts w:ascii="Arial" w:cs="Arial" w:eastAsia="Arial" w:hAnsi="Arial"/>
          <w:sz w:val="18"/>
          <w:szCs w:val="18"/>
          <w:color w:val="auto"/>
        </w:rPr>
        <w:t>Our historical results are not necessarily indicative of future operating results. You should read the information set forth below together with “Prospectus Summary—Organizational Structure,” “Unaudited Pro Forma Combined and Consolidated Financial Information,” “Management’s Discussion and Analysis of Financial Condition and Results of Operations,” “Capitalization” and our consolidated financial statements and the related notes thereto included elsewhere in this prospectus.</w:t>
      </w:r>
    </w:p>
    <w:p>
      <w:pPr>
        <w:spacing w:after="0" w:line="376" w:lineRule="exact"/>
        <w:rPr>
          <w:sz w:val="20"/>
          <w:szCs w:val="20"/>
          <w:color w:val="auto"/>
        </w:rPr>
      </w:pPr>
    </w:p>
    <w:p>
      <w:pPr>
        <w:jc w:val="center"/>
        <w:ind w:right="-53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0940"/>
          </w:cols>
          <w:pgMar w:left="320" w:top="459" w:right="639" w:bottom="1440" w:gutter="0" w:footer="0" w:header="0"/>
        </w:sectPr>
      </w:pPr>
    </w:p>
    <w:bookmarkStart w:id="28" w:name="page29"/>
    <w:bookmarkEnd w:id="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299"/>
        <w:spacing w:after="0"/>
        <w:rPr>
          <w:sz w:val="20"/>
          <w:szCs w:val="20"/>
          <w:color w:val="auto"/>
        </w:rPr>
      </w:pPr>
      <w:r>
        <w:rPr>
          <w:rFonts w:ascii="Arial" w:cs="Arial" w:eastAsia="Arial" w:hAnsi="Arial"/>
          <w:sz w:val="18"/>
          <w:szCs w:val="18"/>
          <w:b w:val="1"/>
          <w:bCs w:val="1"/>
          <w:color w:val="auto"/>
        </w:rPr>
        <w:t>Confidential Treatment Requested by Definitive Healthcare Corp.</w:t>
      </w:r>
    </w:p>
    <w:p>
      <w:pPr>
        <w:spacing w:after="0" w:line="27" w:lineRule="exact"/>
        <w:rPr>
          <w:sz w:val="20"/>
          <w:szCs w:val="20"/>
          <w:color w:val="auto"/>
        </w:rPr>
      </w:pPr>
    </w:p>
    <w:p>
      <w:pPr>
        <w:jc w:val="center"/>
        <w:ind w:right="-299"/>
        <w:spacing w:after="0"/>
        <w:rPr>
          <w:sz w:val="20"/>
          <w:szCs w:val="20"/>
          <w:color w:val="auto"/>
        </w:rPr>
      </w:pPr>
      <w:r>
        <w:rPr>
          <w:rFonts w:ascii="Arial" w:cs="Arial" w:eastAsia="Arial" w:hAnsi="Arial"/>
          <w:sz w:val="18"/>
          <w:szCs w:val="18"/>
          <w:b w:val="1"/>
          <w:bCs w:val="1"/>
          <w:color w:val="auto"/>
        </w:rPr>
        <w:t>Pursuant to 17 C.F.R. Section 200.83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97790</wp:posOffset>
            </wp:positionV>
            <wp:extent cx="6998970" cy="444436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6998970" cy="4444365"/>
                    </a:xfrm>
                    <a:prstGeom prst="rect">
                      <a:avLst/>
                    </a:prstGeom>
                    <a:noFill/>
                  </pic:spPr>
                </pic:pic>
              </a:graphicData>
            </a:graphic>
          </wp:anchor>
        </w:drawing>
      </w:r>
    </w:p>
    <w:p>
      <w:pPr>
        <w:spacing w:after="0" w:line="308"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Results of Operations</w:t>
      </w:r>
    </w:p>
    <w:p>
      <w:pPr>
        <w:spacing w:after="0" w:line="235" w:lineRule="exact"/>
        <w:rPr>
          <w:sz w:val="20"/>
          <w:szCs w:val="20"/>
          <w:color w:val="auto"/>
        </w:rPr>
      </w:pPr>
    </w:p>
    <w:tbl>
      <w:tblPr>
        <w:tblLayout w:type="fixed"/>
        <w:tblInd w:w="300" w:type="dxa"/>
        <w:tblCellMar>
          <w:top w:w="0" w:type="dxa"/>
          <w:left w:w="0" w:type="dxa"/>
          <w:bottom w:w="0" w:type="dxa"/>
          <w:right w:w="0" w:type="dxa"/>
        </w:tblCellMar>
      </w:tblPr>
      <w:tr>
        <w:trPr>
          <w:trHeight w:val="35"/>
        </w:trPr>
        <w:tc>
          <w:tcPr>
            <w:tcW w:w="820" w:type="dxa"/>
            <w:vAlign w:val="bottom"/>
          </w:tcPr>
          <w:p>
            <w:pPr>
              <w:spacing w:after="0"/>
              <w:rPr>
                <w:sz w:val="3"/>
                <w:szCs w:val="3"/>
                <w:color w:val="auto"/>
              </w:rPr>
            </w:pPr>
          </w:p>
        </w:tc>
        <w:tc>
          <w:tcPr>
            <w:tcW w:w="2340" w:type="dxa"/>
            <w:vAlign w:val="bottom"/>
          </w:tcPr>
          <w:p>
            <w:pPr>
              <w:spacing w:after="0"/>
              <w:rPr>
                <w:sz w:val="3"/>
                <w:szCs w:val="3"/>
                <w:color w:val="auto"/>
              </w:rPr>
            </w:pPr>
          </w:p>
        </w:tc>
        <w:tc>
          <w:tcPr>
            <w:tcW w:w="100" w:type="dxa"/>
            <w:vAlign w:val="bottom"/>
          </w:tcPr>
          <w:p>
            <w:pPr>
              <w:spacing w:after="0"/>
              <w:rPr>
                <w:sz w:val="3"/>
                <w:szCs w:val="3"/>
                <w:color w:val="auto"/>
              </w:rPr>
            </w:pPr>
          </w:p>
        </w:tc>
        <w:tc>
          <w:tcPr>
            <w:tcW w:w="80" w:type="dxa"/>
            <w:vAlign w:val="bottom"/>
          </w:tcPr>
          <w:p>
            <w:pPr>
              <w:spacing w:after="0"/>
              <w:rPr>
                <w:sz w:val="3"/>
                <w:szCs w:val="3"/>
                <w:color w:val="auto"/>
              </w:rPr>
            </w:pPr>
          </w:p>
        </w:tc>
        <w:tc>
          <w:tcPr>
            <w:tcW w:w="520" w:type="dxa"/>
            <w:vAlign w:val="bottom"/>
          </w:tcPr>
          <w:p>
            <w:pPr>
              <w:spacing w:after="0"/>
              <w:rPr>
                <w:sz w:val="3"/>
                <w:szCs w:val="3"/>
                <w:color w:val="auto"/>
              </w:rPr>
            </w:pPr>
          </w:p>
        </w:tc>
        <w:tc>
          <w:tcPr>
            <w:tcW w:w="240" w:type="dxa"/>
            <w:vAlign w:val="bottom"/>
          </w:tcPr>
          <w:p>
            <w:pPr>
              <w:spacing w:after="0"/>
              <w:rPr>
                <w:sz w:val="3"/>
                <w:szCs w:val="3"/>
                <w:color w:val="auto"/>
              </w:rPr>
            </w:pPr>
          </w:p>
        </w:tc>
        <w:tc>
          <w:tcPr>
            <w:tcW w:w="640" w:type="dxa"/>
            <w:vAlign w:val="bottom"/>
          </w:tcPr>
          <w:p>
            <w:pPr>
              <w:spacing w:after="0"/>
              <w:rPr>
                <w:sz w:val="3"/>
                <w:szCs w:val="3"/>
                <w:color w:val="auto"/>
              </w:rPr>
            </w:pPr>
          </w:p>
        </w:tc>
        <w:tc>
          <w:tcPr>
            <w:tcW w:w="200" w:type="dxa"/>
            <w:vAlign w:val="bottom"/>
          </w:tcPr>
          <w:p>
            <w:pPr>
              <w:spacing w:after="0"/>
              <w:rPr>
                <w:sz w:val="3"/>
                <w:szCs w:val="3"/>
                <w:color w:val="auto"/>
              </w:rPr>
            </w:pPr>
          </w:p>
        </w:tc>
        <w:tc>
          <w:tcPr>
            <w:tcW w:w="80" w:type="dxa"/>
            <w:vAlign w:val="bottom"/>
          </w:tcPr>
          <w:p>
            <w:pPr>
              <w:spacing w:after="0"/>
              <w:rPr>
                <w:sz w:val="3"/>
                <w:szCs w:val="3"/>
                <w:color w:val="auto"/>
              </w:rPr>
            </w:pPr>
          </w:p>
        </w:tc>
        <w:tc>
          <w:tcPr>
            <w:tcW w:w="760" w:type="dxa"/>
            <w:vAlign w:val="bottom"/>
          </w:tcPr>
          <w:p>
            <w:pPr>
              <w:spacing w:after="0"/>
              <w:rPr>
                <w:sz w:val="3"/>
                <w:szCs w:val="3"/>
                <w:color w:val="auto"/>
              </w:rPr>
            </w:pPr>
          </w:p>
        </w:tc>
        <w:tc>
          <w:tcPr>
            <w:tcW w:w="160" w:type="dxa"/>
            <w:vAlign w:val="bottom"/>
          </w:tcPr>
          <w:p>
            <w:pPr>
              <w:spacing w:after="0"/>
              <w:rPr>
                <w:sz w:val="3"/>
                <w:szCs w:val="3"/>
                <w:color w:val="auto"/>
              </w:rPr>
            </w:pPr>
          </w:p>
        </w:tc>
        <w:tc>
          <w:tcPr>
            <w:tcW w:w="100" w:type="dxa"/>
            <w:vAlign w:val="bottom"/>
          </w:tcPr>
          <w:p>
            <w:pPr>
              <w:spacing w:after="0"/>
              <w:rPr>
                <w:sz w:val="3"/>
                <w:szCs w:val="3"/>
                <w:color w:val="auto"/>
              </w:rPr>
            </w:pPr>
          </w:p>
        </w:tc>
        <w:tc>
          <w:tcPr>
            <w:tcW w:w="80" w:type="dxa"/>
            <w:vAlign w:val="bottom"/>
          </w:tcPr>
          <w:p>
            <w:pPr>
              <w:spacing w:after="0"/>
              <w:rPr>
                <w:sz w:val="3"/>
                <w:szCs w:val="3"/>
                <w:color w:val="auto"/>
              </w:rPr>
            </w:pPr>
          </w:p>
        </w:tc>
        <w:tc>
          <w:tcPr>
            <w:tcW w:w="760" w:type="dxa"/>
            <w:vAlign w:val="bottom"/>
          </w:tcPr>
          <w:p>
            <w:pPr>
              <w:spacing w:after="0"/>
              <w:rPr>
                <w:sz w:val="3"/>
                <w:szCs w:val="3"/>
                <w:color w:val="auto"/>
              </w:rPr>
            </w:pPr>
          </w:p>
        </w:tc>
        <w:tc>
          <w:tcPr>
            <w:tcW w:w="360" w:type="dxa"/>
            <w:vAlign w:val="bottom"/>
          </w:tcPr>
          <w:p>
            <w:pPr>
              <w:spacing w:after="0"/>
              <w:rPr>
                <w:sz w:val="3"/>
                <w:szCs w:val="3"/>
                <w:color w:val="auto"/>
              </w:rPr>
            </w:pPr>
          </w:p>
        </w:tc>
        <w:tc>
          <w:tcPr>
            <w:tcW w:w="1440" w:type="dxa"/>
            <w:vAlign w:val="bottom"/>
            <w:gridSpan w:val="4"/>
            <w:vMerge w:val="restart"/>
          </w:tcPr>
          <w:p>
            <w:pPr>
              <w:jc w:val="center"/>
              <w:ind w:right="120"/>
              <w:spacing w:after="0"/>
              <w:rPr>
                <w:sz w:val="20"/>
                <w:szCs w:val="20"/>
                <w:color w:val="auto"/>
              </w:rPr>
            </w:pPr>
            <w:r>
              <w:rPr>
                <w:rFonts w:ascii="Arial" w:cs="Arial" w:eastAsia="Arial" w:hAnsi="Arial"/>
                <w:sz w:val="14"/>
                <w:szCs w:val="14"/>
                <w:b w:val="1"/>
                <w:bCs w:val="1"/>
                <w:color w:val="auto"/>
                <w:w w:val="95"/>
              </w:rPr>
              <w:t>Definitive OpCo,</w:t>
            </w:r>
          </w:p>
        </w:tc>
        <w:tc>
          <w:tcPr>
            <w:tcW w:w="840" w:type="dxa"/>
            <w:vAlign w:val="bottom"/>
          </w:tcPr>
          <w:p>
            <w:pPr>
              <w:spacing w:after="0"/>
              <w:rPr>
                <w:sz w:val="3"/>
                <w:szCs w:val="3"/>
                <w:color w:val="auto"/>
              </w:rPr>
            </w:pPr>
          </w:p>
        </w:tc>
        <w:tc>
          <w:tcPr>
            <w:tcW w:w="200" w:type="dxa"/>
            <w:vAlign w:val="bottom"/>
          </w:tcPr>
          <w:p>
            <w:pPr>
              <w:spacing w:after="0"/>
              <w:rPr>
                <w:sz w:val="3"/>
                <w:szCs w:val="3"/>
                <w:color w:val="auto"/>
              </w:rPr>
            </w:pPr>
          </w:p>
        </w:tc>
        <w:tc>
          <w:tcPr>
            <w:tcW w:w="880" w:type="dxa"/>
            <w:vAlign w:val="bottom"/>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6"/>
        </w:trPr>
        <w:tc>
          <w:tcPr>
            <w:tcW w:w="820" w:type="dxa"/>
            <w:vAlign w:val="bottom"/>
          </w:tcPr>
          <w:p>
            <w:pPr>
              <w:spacing w:after="0"/>
              <w:rPr>
                <w:sz w:val="10"/>
                <w:szCs w:val="10"/>
                <w:color w:val="auto"/>
              </w:rPr>
            </w:pPr>
          </w:p>
        </w:tc>
        <w:tc>
          <w:tcPr>
            <w:tcW w:w="23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360" w:type="dxa"/>
            <w:vAlign w:val="bottom"/>
            <w:tcBorders>
              <w:right w:val="single" w:sz="8" w:color="auto"/>
            </w:tcBorders>
          </w:tcPr>
          <w:p>
            <w:pPr>
              <w:spacing w:after="0"/>
              <w:rPr>
                <w:sz w:val="10"/>
                <w:szCs w:val="10"/>
                <w:color w:val="auto"/>
              </w:rPr>
            </w:pPr>
          </w:p>
        </w:tc>
        <w:tc>
          <w:tcPr>
            <w:tcW w:w="1440" w:type="dxa"/>
            <w:vAlign w:val="bottom"/>
            <w:gridSpan w:val="4"/>
            <w:vMerge w:val="continue"/>
          </w:tcPr>
          <w:p>
            <w:pPr>
              <w:spacing w:after="0"/>
              <w:rPr>
                <w:sz w:val="10"/>
                <w:szCs w:val="10"/>
                <w:color w:val="auto"/>
              </w:rPr>
            </w:pPr>
          </w:p>
        </w:tc>
        <w:tc>
          <w:tcPr>
            <w:tcW w:w="8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820" w:type="dxa"/>
            <w:vAlign w:val="bottom"/>
          </w:tcPr>
          <w:p>
            <w:pPr>
              <w:spacing w:after="0"/>
              <w:rPr>
                <w:sz w:val="12"/>
                <w:szCs w:val="12"/>
                <w:color w:val="auto"/>
              </w:rPr>
            </w:pPr>
          </w:p>
        </w:tc>
        <w:tc>
          <w:tcPr>
            <w:tcW w:w="2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3380" w:type="dxa"/>
            <w:vAlign w:val="bottom"/>
            <w:tcBorders>
              <w:right w:val="single" w:sz="8" w:color="auto"/>
            </w:tcBorders>
            <w:gridSpan w:val="10"/>
            <w:vMerge w:val="restart"/>
          </w:tcPr>
          <w:p>
            <w:pPr>
              <w:jc w:val="right"/>
              <w:ind w:right="1020"/>
              <w:spacing w:after="0"/>
              <w:rPr>
                <w:sz w:val="20"/>
                <w:szCs w:val="20"/>
                <w:color w:val="auto"/>
              </w:rPr>
            </w:pPr>
            <w:r>
              <w:rPr>
                <w:rFonts w:ascii="Arial" w:cs="Arial" w:eastAsia="Arial" w:hAnsi="Arial"/>
                <w:sz w:val="14"/>
                <w:szCs w:val="14"/>
                <w:b w:val="1"/>
                <w:bCs w:val="1"/>
                <w:color w:val="auto"/>
                <w:w w:val="99"/>
              </w:rPr>
              <w:t>Definitive OpCo (AIDH TopCo, LLC)</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rPr>
              <w:t>LLC)</w:t>
            </w:r>
          </w:p>
        </w:tc>
        <w:tc>
          <w:tcPr>
            <w:tcW w:w="8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820" w:type="dxa"/>
            <w:vAlign w:val="bottom"/>
          </w:tcPr>
          <w:p>
            <w:pPr>
              <w:spacing w:after="0"/>
              <w:rPr>
                <w:sz w:val="12"/>
                <w:szCs w:val="12"/>
                <w:color w:val="auto"/>
              </w:rPr>
            </w:pPr>
          </w:p>
        </w:tc>
        <w:tc>
          <w:tcPr>
            <w:tcW w:w="2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3380" w:type="dxa"/>
            <w:vAlign w:val="bottom"/>
            <w:tcBorders>
              <w:right w:val="single" w:sz="8" w:color="auto"/>
            </w:tcBorders>
            <w:gridSpan w:val="10"/>
            <w:vMerge w:val="continue"/>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87"/>
              </w:rPr>
              <w:t>Predecessor</w:t>
            </w:r>
          </w:p>
        </w:tc>
        <w:tc>
          <w:tcPr>
            <w:tcW w:w="1920" w:type="dxa"/>
            <w:vAlign w:val="bottom"/>
            <w:gridSpan w:val="3"/>
            <w:vMerge w:val="restart"/>
          </w:tcPr>
          <w:p>
            <w:pPr>
              <w:jc w:val="center"/>
              <w:spacing w:after="0"/>
              <w:rPr>
                <w:sz w:val="20"/>
                <w:szCs w:val="20"/>
                <w:color w:val="auto"/>
              </w:rPr>
            </w:pPr>
            <w:r>
              <w:rPr>
                <w:rFonts w:ascii="Arial" w:cs="Arial" w:eastAsia="Arial" w:hAnsi="Arial"/>
                <w:sz w:val="14"/>
                <w:szCs w:val="14"/>
                <w:b w:val="1"/>
                <w:bCs w:val="1"/>
                <w:color w:val="auto"/>
                <w:w w:val="94"/>
              </w:rPr>
              <w:t>Definitive Healthcare Corp.</w:t>
            </w:r>
          </w:p>
        </w:tc>
        <w:tc>
          <w:tcPr>
            <w:tcW w:w="40" w:type="dxa"/>
            <w:vAlign w:val="bottom"/>
            <w:vMerge w:val="restart"/>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820" w:type="dxa"/>
            <w:vAlign w:val="bottom"/>
          </w:tcPr>
          <w:p>
            <w:pPr>
              <w:spacing w:after="0"/>
              <w:rPr>
                <w:sz w:val="14"/>
                <w:szCs w:val="14"/>
                <w:color w:val="auto"/>
              </w:rPr>
            </w:pPr>
          </w:p>
        </w:tc>
        <w:tc>
          <w:tcPr>
            <w:tcW w:w="2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840" w:type="dxa"/>
            <w:vAlign w:val="bottom"/>
            <w:tcBorders>
              <w:bottom w:val="single" w:sz="8" w:color="auto"/>
            </w:tcBorders>
            <w:gridSpan w:val="5"/>
          </w:tcPr>
          <w:p>
            <w:pPr>
              <w:jc w:val="right"/>
              <w:ind w:right="260"/>
              <w:spacing w:after="0"/>
              <w:rPr>
                <w:sz w:val="20"/>
                <w:szCs w:val="20"/>
                <w:color w:val="auto"/>
              </w:rPr>
            </w:pPr>
            <w:r>
              <w:rPr>
                <w:rFonts w:ascii="Arial" w:cs="Arial" w:eastAsia="Arial" w:hAnsi="Arial"/>
                <w:sz w:val="14"/>
                <w:szCs w:val="14"/>
                <w:b w:val="1"/>
                <w:bCs w:val="1"/>
                <w:color w:val="auto"/>
              </w:rPr>
              <w:t>Successor Company</w:t>
            </w:r>
          </w:p>
        </w:tc>
        <w:tc>
          <w:tcPr>
            <w:tcW w:w="10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spacing w:after="0"/>
              <w:rPr>
                <w:sz w:val="14"/>
                <w:szCs w:val="14"/>
                <w:color w:val="auto"/>
              </w:rPr>
            </w:pPr>
          </w:p>
        </w:tc>
        <w:tc>
          <w:tcPr>
            <w:tcW w:w="360" w:type="dxa"/>
            <w:vAlign w:val="bottom"/>
            <w:tcBorders>
              <w:right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center"/>
              <w:ind w:right="28"/>
              <w:spacing w:after="0"/>
              <w:rPr>
                <w:sz w:val="20"/>
                <w:szCs w:val="20"/>
                <w:color w:val="auto"/>
              </w:rPr>
            </w:pPr>
            <w:r>
              <w:rPr>
                <w:rFonts w:ascii="Arial" w:cs="Arial" w:eastAsia="Arial" w:hAnsi="Arial"/>
                <w:sz w:val="14"/>
                <w:szCs w:val="14"/>
                <w:b w:val="1"/>
                <w:bCs w:val="1"/>
                <w:color w:val="auto"/>
                <w:w w:val="93"/>
              </w:rPr>
              <w:t>Company</w:t>
            </w:r>
          </w:p>
        </w:tc>
        <w:tc>
          <w:tcPr>
            <w:tcW w:w="260" w:type="dxa"/>
            <w:vAlign w:val="bottom"/>
          </w:tcPr>
          <w:p>
            <w:pPr>
              <w:spacing w:after="0"/>
              <w:rPr>
                <w:sz w:val="14"/>
                <w:szCs w:val="14"/>
                <w:color w:val="auto"/>
              </w:rPr>
            </w:pPr>
          </w:p>
        </w:tc>
        <w:tc>
          <w:tcPr>
            <w:tcW w:w="1920" w:type="dxa"/>
            <w:vAlign w:val="bottom"/>
            <w:tcBorders>
              <w:bottom w:val="single" w:sz="8" w:color="auto"/>
            </w:tcBorders>
            <w:gridSpan w:val="3"/>
            <w:vMerge w:val="continue"/>
          </w:tcPr>
          <w:p>
            <w:pPr>
              <w:spacing w:after="0"/>
              <w:rPr>
                <w:sz w:val="14"/>
                <w:szCs w:val="14"/>
                <w:color w:val="auto"/>
              </w:rPr>
            </w:pPr>
          </w:p>
        </w:tc>
        <w:tc>
          <w:tcPr>
            <w:tcW w:w="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820" w:type="dxa"/>
            <w:vAlign w:val="bottom"/>
          </w:tcPr>
          <w:p>
            <w:pPr>
              <w:spacing w:after="0"/>
              <w:rPr>
                <w:sz w:val="12"/>
                <w:szCs w:val="12"/>
                <w:color w:val="auto"/>
              </w:rPr>
            </w:pPr>
          </w:p>
        </w:tc>
        <w:tc>
          <w:tcPr>
            <w:tcW w:w="2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gridSpan w:val="2"/>
            <w:vMerge w:val="restart"/>
          </w:tcPr>
          <w:p>
            <w:pPr>
              <w:jc w:val="right"/>
              <w:ind w:right="240"/>
              <w:spacing w:after="0"/>
              <w:rPr>
                <w:sz w:val="20"/>
                <w:szCs w:val="20"/>
                <w:color w:val="auto"/>
              </w:rPr>
            </w:pPr>
            <w:r>
              <w:rPr>
                <w:rFonts w:ascii="Arial" w:cs="Arial" w:eastAsia="Arial" w:hAnsi="Arial"/>
                <w:sz w:val="14"/>
                <w:szCs w:val="14"/>
                <w:b w:val="1"/>
                <w:bCs w:val="1"/>
                <w:color w:val="auto"/>
                <w:w w:val="89"/>
              </w:rPr>
              <w:t>Fiscal Year</w:t>
            </w:r>
          </w:p>
        </w:tc>
        <w:tc>
          <w:tcPr>
            <w:tcW w:w="100" w:type="dxa"/>
            <w:vAlign w:val="bottom"/>
          </w:tcPr>
          <w:p>
            <w:pPr>
              <w:spacing w:after="0"/>
              <w:rPr>
                <w:sz w:val="12"/>
                <w:szCs w:val="12"/>
                <w:color w:val="auto"/>
              </w:rPr>
            </w:pPr>
          </w:p>
        </w:tc>
        <w:tc>
          <w:tcPr>
            <w:tcW w:w="1200" w:type="dxa"/>
            <w:vAlign w:val="bottom"/>
            <w:tcBorders>
              <w:right w:val="single" w:sz="8" w:color="auto"/>
            </w:tcBorders>
            <w:gridSpan w:val="3"/>
            <w:vMerge w:val="restart"/>
          </w:tcPr>
          <w:p>
            <w:pPr>
              <w:jc w:val="center"/>
              <w:ind w:right="360"/>
              <w:spacing w:after="0"/>
              <w:rPr>
                <w:sz w:val="20"/>
                <w:szCs w:val="20"/>
                <w:color w:val="auto"/>
              </w:rPr>
            </w:pPr>
            <w:r>
              <w:rPr>
                <w:rFonts w:ascii="Arial" w:cs="Arial" w:eastAsia="Arial" w:hAnsi="Arial"/>
                <w:sz w:val="14"/>
                <w:szCs w:val="14"/>
                <w:b w:val="1"/>
                <w:bCs w:val="1"/>
                <w:color w:val="auto"/>
                <w:w w:val="96"/>
              </w:rPr>
              <w:t>Period from</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0" w:type="dxa"/>
            <w:vAlign w:val="bottom"/>
            <w:gridSpan w:val="2"/>
            <w:vMerge w:val="restart"/>
          </w:tcPr>
          <w:p>
            <w:pPr>
              <w:jc w:val="center"/>
              <w:ind w:right="340"/>
              <w:spacing w:after="0"/>
              <w:rPr>
                <w:sz w:val="20"/>
                <w:szCs w:val="20"/>
                <w:color w:val="auto"/>
              </w:rPr>
            </w:pPr>
            <w:r>
              <w:rPr>
                <w:rFonts w:ascii="Arial" w:cs="Arial" w:eastAsia="Arial" w:hAnsi="Arial"/>
                <w:sz w:val="14"/>
                <w:szCs w:val="14"/>
                <w:b w:val="1"/>
                <w:bCs w:val="1"/>
                <w:color w:val="auto"/>
                <w:w w:val="94"/>
              </w:rPr>
              <w:t>Period from</w:t>
            </w:r>
          </w:p>
        </w:tc>
        <w:tc>
          <w:tcPr>
            <w:tcW w:w="1920" w:type="dxa"/>
            <w:vAlign w:val="bottom"/>
            <w:tcBorders>
              <w:bottom w:val="single" w:sz="8" w:color="auto"/>
            </w:tcBorders>
            <w:gridSpan w:val="3"/>
          </w:tcPr>
          <w:p>
            <w:pPr>
              <w:jc w:val="center"/>
              <w:spacing w:after="0" w:line="142" w:lineRule="exact"/>
              <w:rPr>
                <w:sz w:val="20"/>
                <w:szCs w:val="20"/>
                <w:color w:val="auto"/>
              </w:rPr>
            </w:pPr>
            <w:r>
              <w:rPr>
                <w:rFonts w:ascii="Arial" w:cs="Arial" w:eastAsia="Arial" w:hAnsi="Arial"/>
                <w:sz w:val="14"/>
                <w:szCs w:val="14"/>
                <w:b w:val="1"/>
                <w:bCs w:val="1"/>
                <w:color w:val="auto"/>
                <w:w w:val="97"/>
              </w:rPr>
              <w:t>Pro Forma</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9"/>
        </w:trPr>
        <w:tc>
          <w:tcPr>
            <w:tcW w:w="820" w:type="dxa"/>
            <w:vAlign w:val="bottom"/>
          </w:tcPr>
          <w:p>
            <w:pPr>
              <w:spacing w:after="0"/>
              <w:rPr>
                <w:sz w:val="10"/>
                <w:szCs w:val="10"/>
                <w:color w:val="auto"/>
              </w:rPr>
            </w:pPr>
          </w:p>
        </w:tc>
        <w:tc>
          <w:tcPr>
            <w:tcW w:w="23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400" w:type="dxa"/>
            <w:vAlign w:val="bottom"/>
            <w:gridSpan w:val="3"/>
            <w:vMerge w:val="restart"/>
          </w:tcPr>
          <w:p>
            <w:pPr>
              <w:jc w:val="right"/>
              <w:ind w:right="268"/>
              <w:spacing w:after="0"/>
              <w:rPr>
                <w:sz w:val="20"/>
                <w:szCs w:val="20"/>
                <w:color w:val="auto"/>
              </w:rPr>
            </w:pPr>
            <w:r>
              <w:rPr>
                <w:rFonts w:ascii="Arial" w:cs="Arial" w:eastAsia="Arial" w:hAnsi="Arial"/>
                <w:sz w:val="14"/>
                <w:szCs w:val="14"/>
                <w:b w:val="1"/>
                <w:bCs w:val="1"/>
                <w:color w:val="auto"/>
              </w:rPr>
              <w:t>Nine Months</w:t>
            </w:r>
          </w:p>
        </w:tc>
        <w:tc>
          <w:tcPr>
            <w:tcW w:w="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20" w:type="dxa"/>
            <w:vAlign w:val="bottom"/>
            <w:gridSpan w:val="2"/>
            <w:vMerge w:val="continue"/>
          </w:tcPr>
          <w:p>
            <w:pPr>
              <w:spacing w:after="0"/>
              <w:rPr>
                <w:sz w:val="10"/>
                <w:szCs w:val="10"/>
                <w:color w:val="auto"/>
              </w:rPr>
            </w:pPr>
          </w:p>
        </w:tc>
        <w:tc>
          <w:tcPr>
            <w:tcW w:w="100" w:type="dxa"/>
            <w:vAlign w:val="bottom"/>
          </w:tcPr>
          <w:p>
            <w:pPr>
              <w:spacing w:after="0"/>
              <w:rPr>
                <w:sz w:val="10"/>
                <w:szCs w:val="10"/>
                <w:color w:val="auto"/>
              </w:rPr>
            </w:pPr>
          </w:p>
        </w:tc>
        <w:tc>
          <w:tcPr>
            <w:tcW w:w="1200" w:type="dxa"/>
            <w:vAlign w:val="bottom"/>
            <w:tcBorders>
              <w:right w:val="single" w:sz="8" w:color="auto"/>
            </w:tcBorders>
            <w:gridSpan w:val="3"/>
            <w:vMerge w:val="continue"/>
          </w:tcPr>
          <w:p>
            <w:pPr>
              <w:spacing w:after="0"/>
              <w:rPr>
                <w:sz w:val="10"/>
                <w:szCs w:val="10"/>
                <w:color w:val="auto"/>
              </w:rPr>
            </w:pP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0" w:type="dxa"/>
            <w:vAlign w:val="bottom"/>
            <w:gridSpan w:val="2"/>
            <w:vMerge w:val="continue"/>
          </w:tcPr>
          <w:p>
            <w:pPr>
              <w:spacing w:after="0"/>
              <w:rPr>
                <w:sz w:val="10"/>
                <w:szCs w:val="10"/>
                <w:color w:val="auto"/>
              </w:rPr>
            </w:pPr>
          </w:p>
        </w:tc>
        <w:tc>
          <w:tcPr>
            <w:tcW w:w="84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0"/>
              </w:rPr>
              <w:t>Year ended</w:t>
            </w:r>
          </w:p>
        </w:tc>
        <w:tc>
          <w:tcPr>
            <w:tcW w:w="200" w:type="dxa"/>
            <w:vAlign w:val="bottom"/>
          </w:tcPr>
          <w:p>
            <w:pPr>
              <w:spacing w:after="0"/>
              <w:rPr>
                <w:sz w:val="10"/>
                <w:szCs w:val="10"/>
                <w:color w:val="auto"/>
              </w:rPr>
            </w:pPr>
          </w:p>
        </w:tc>
        <w:tc>
          <w:tcPr>
            <w:tcW w:w="880" w:type="dxa"/>
            <w:vAlign w:val="bottom"/>
          </w:tcPr>
          <w:p>
            <w:pPr>
              <w:jc w:val="center"/>
              <w:spacing w:after="0" w:line="119" w:lineRule="exact"/>
              <w:rPr>
                <w:sz w:val="20"/>
                <w:szCs w:val="20"/>
                <w:color w:val="auto"/>
              </w:rPr>
            </w:pPr>
            <w:r>
              <w:rPr>
                <w:rFonts w:ascii="Arial" w:cs="Arial" w:eastAsia="Arial" w:hAnsi="Arial"/>
                <w:sz w:val="13"/>
                <w:szCs w:val="13"/>
                <w:b w:val="1"/>
                <w:bCs w:val="1"/>
                <w:color w:val="auto"/>
              </w:rPr>
              <w:t>Nine Months</w:t>
            </w: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820" w:type="dxa"/>
            <w:vAlign w:val="bottom"/>
          </w:tcPr>
          <w:p>
            <w:pPr>
              <w:spacing w:after="0"/>
              <w:rPr>
                <w:sz w:val="12"/>
                <w:szCs w:val="12"/>
                <w:color w:val="auto"/>
              </w:rPr>
            </w:pPr>
          </w:p>
        </w:tc>
        <w:tc>
          <w:tcPr>
            <w:tcW w:w="2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0" w:type="dxa"/>
            <w:vAlign w:val="bottom"/>
            <w:gridSpan w:val="3"/>
            <w:vMerge w:val="continue"/>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gridSpan w:val="2"/>
          </w:tcPr>
          <w:p>
            <w:pPr>
              <w:jc w:val="right"/>
              <w:ind w:right="380"/>
              <w:spacing w:after="0" w:line="149" w:lineRule="exact"/>
              <w:rPr>
                <w:sz w:val="20"/>
                <w:szCs w:val="20"/>
                <w:color w:val="auto"/>
              </w:rPr>
            </w:pPr>
            <w:r>
              <w:rPr>
                <w:rFonts w:ascii="Arial" w:cs="Arial" w:eastAsia="Arial" w:hAnsi="Arial"/>
                <w:sz w:val="14"/>
                <w:szCs w:val="14"/>
                <w:b w:val="1"/>
                <w:bCs w:val="1"/>
                <w:color w:val="auto"/>
              </w:rPr>
              <w:t>Ended</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20" w:type="dxa"/>
            <w:vAlign w:val="bottom"/>
            <w:tcBorders>
              <w:right w:val="single" w:sz="8" w:color="auto"/>
            </w:tcBorders>
            <w:gridSpan w:val="2"/>
          </w:tcPr>
          <w:p>
            <w:pPr>
              <w:jc w:val="center"/>
              <w:ind w:right="440"/>
              <w:spacing w:after="0" w:line="149" w:lineRule="exact"/>
              <w:rPr>
                <w:sz w:val="20"/>
                <w:szCs w:val="20"/>
                <w:color w:val="auto"/>
              </w:rPr>
            </w:pPr>
            <w:r>
              <w:rPr>
                <w:rFonts w:ascii="Arial" w:cs="Arial" w:eastAsia="Arial" w:hAnsi="Arial"/>
                <w:sz w:val="14"/>
                <w:szCs w:val="14"/>
                <w:b w:val="1"/>
                <w:bCs w:val="1"/>
                <w:color w:val="auto"/>
                <w:w w:val="93"/>
              </w:rPr>
              <w:t>July 16, to</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94"/>
              </w:rPr>
              <w:t>January 1, to</w:t>
            </w:r>
          </w:p>
        </w:tc>
        <w:tc>
          <w:tcPr>
            <w:tcW w:w="840" w:type="dxa"/>
            <w:vAlign w:val="bottom"/>
            <w:vMerge w:val="continue"/>
          </w:tcPr>
          <w:p>
            <w:pPr>
              <w:spacing w:after="0"/>
              <w:rPr>
                <w:sz w:val="12"/>
                <w:szCs w:val="12"/>
                <w:color w:val="auto"/>
              </w:rPr>
            </w:pPr>
          </w:p>
        </w:tc>
        <w:tc>
          <w:tcPr>
            <w:tcW w:w="200" w:type="dxa"/>
            <w:vAlign w:val="bottom"/>
          </w:tcPr>
          <w:p>
            <w:pPr>
              <w:spacing w:after="0"/>
              <w:rPr>
                <w:sz w:val="12"/>
                <w:szCs w:val="12"/>
                <w:color w:val="auto"/>
              </w:rPr>
            </w:pPr>
          </w:p>
        </w:tc>
        <w:tc>
          <w:tcPr>
            <w:tcW w:w="920" w:type="dxa"/>
            <w:vAlign w:val="bottom"/>
            <w:gridSpan w:val="2"/>
          </w:tcPr>
          <w:p>
            <w:pPr>
              <w:jc w:val="center"/>
              <w:ind w:right="40"/>
              <w:spacing w:after="0" w:line="149" w:lineRule="exact"/>
              <w:rPr>
                <w:sz w:val="20"/>
                <w:szCs w:val="20"/>
                <w:color w:val="auto"/>
              </w:rPr>
            </w:pPr>
            <w:r>
              <w:rPr>
                <w:rFonts w:ascii="Arial" w:cs="Arial" w:eastAsia="Arial" w:hAnsi="Arial"/>
                <w:sz w:val="14"/>
                <w:szCs w:val="14"/>
                <w:b w:val="1"/>
                <w:bCs w:val="1"/>
                <w:color w:val="auto"/>
                <w:w w:val="87"/>
              </w:rPr>
              <w:t>ended</w:t>
            </w:r>
          </w:p>
        </w:tc>
        <w:tc>
          <w:tcPr>
            <w:tcW w:w="0" w:type="dxa"/>
            <w:vAlign w:val="bottom"/>
          </w:tcPr>
          <w:p>
            <w:pPr>
              <w:spacing w:after="0"/>
              <w:rPr>
                <w:sz w:val="1"/>
                <w:szCs w:val="1"/>
                <w:color w:val="auto"/>
              </w:rPr>
            </w:pPr>
          </w:p>
        </w:tc>
      </w:tr>
      <w:tr>
        <w:trPr>
          <w:trHeight w:val="171"/>
        </w:trPr>
        <w:tc>
          <w:tcPr>
            <w:tcW w:w="3160" w:type="dxa"/>
            <w:vAlign w:val="bottom"/>
            <w:gridSpan w:val="2"/>
            <w:vMerge w:val="restart"/>
          </w:tcPr>
          <w:p>
            <w:pPr>
              <w:spacing w:after="0"/>
              <w:rPr>
                <w:sz w:val="20"/>
                <w:szCs w:val="20"/>
                <w:color w:val="auto"/>
              </w:rPr>
            </w:pPr>
            <w:r>
              <w:rPr>
                <w:rFonts w:ascii="Arial" w:cs="Arial" w:eastAsia="Arial" w:hAnsi="Arial"/>
                <w:sz w:val="14"/>
                <w:szCs w:val="14"/>
                <w:color w:val="auto"/>
              </w:rPr>
              <w:t>(in thousands)</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0" w:type="dxa"/>
            <w:vAlign w:val="bottom"/>
            <w:gridSpan w:val="3"/>
          </w:tcPr>
          <w:p>
            <w:pPr>
              <w:jc w:val="right"/>
              <w:ind w:right="8"/>
              <w:spacing w:after="0"/>
              <w:rPr>
                <w:sz w:val="20"/>
                <w:szCs w:val="20"/>
                <w:color w:val="auto"/>
              </w:rPr>
            </w:pPr>
            <w:r>
              <w:rPr>
                <w:rFonts w:ascii="Arial" w:cs="Arial" w:eastAsia="Arial" w:hAnsi="Arial"/>
                <w:sz w:val="14"/>
                <w:szCs w:val="14"/>
                <w:b w:val="1"/>
                <w:bCs w:val="1"/>
                <w:color w:val="auto"/>
                <w:w w:val="91"/>
              </w:rPr>
              <w:t>Ended September 30,</w:t>
            </w:r>
          </w:p>
        </w:tc>
        <w:tc>
          <w:tcPr>
            <w:tcW w:w="200" w:type="dxa"/>
            <w:vAlign w:val="bottom"/>
          </w:tcPr>
          <w:p>
            <w:pPr>
              <w:spacing w:after="0"/>
              <w:rPr>
                <w:sz w:val="14"/>
                <w:szCs w:val="14"/>
                <w:color w:val="auto"/>
              </w:rPr>
            </w:pPr>
          </w:p>
        </w:tc>
        <w:tc>
          <w:tcPr>
            <w:tcW w:w="1000" w:type="dxa"/>
            <w:vAlign w:val="bottom"/>
            <w:gridSpan w:val="3"/>
          </w:tcPr>
          <w:p>
            <w:pPr>
              <w:spacing w:after="0"/>
              <w:rPr>
                <w:sz w:val="20"/>
                <w:szCs w:val="20"/>
                <w:color w:val="auto"/>
              </w:rPr>
            </w:pPr>
            <w:r>
              <w:rPr>
                <w:rFonts w:ascii="Arial" w:cs="Arial" w:eastAsia="Arial" w:hAnsi="Arial"/>
                <w:sz w:val="14"/>
                <w:szCs w:val="14"/>
                <w:b w:val="1"/>
                <w:bCs w:val="1"/>
                <w:color w:val="auto"/>
              </w:rPr>
              <w:t>December 31,</w:t>
            </w:r>
          </w:p>
        </w:tc>
        <w:tc>
          <w:tcPr>
            <w:tcW w:w="100" w:type="dxa"/>
            <w:vAlign w:val="bottom"/>
          </w:tcPr>
          <w:p>
            <w:pPr>
              <w:spacing w:after="0"/>
              <w:rPr>
                <w:sz w:val="14"/>
                <w:szCs w:val="14"/>
                <w:color w:val="auto"/>
              </w:rPr>
            </w:pPr>
          </w:p>
        </w:tc>
        <w:tc>
          <w:tcPr>
            <w:tcW w:w="1200" w:type="dxa"/>
            <w:vAlign w:val="bottom"/>
            <w:tcBorders>
              <w:right w:val="single" w:sz="8" w:color="auto"/>
            </w:tcBorders>
            <w:gridSpan w:val="3"/>
          </w:tcPr>
          <w:p>
            <w:pPr>
              <w:jc w:val="center"/>
              <w:ind w:right="360"/>
              <w:spacing w:after="0"/>
              <w:rPr>
                <w:sz w:val="20"/>
                <w:szCs w:val="20"/>
                <w:color w:val="auto"/>
              </w:rPr>
            </w:pPr>
            <w:r>
              <w:rPr>
                <w:rFonts w:ascii="Arial" w:cs="Arial" w:eastAsia="Arial" w:hAnsi="Arial"/>
                <w:sz w:val="14"/>
                <w:szCs w:val="14"/>
                <w:b w:val="1"/>
                <w:bCs w:val="1"/>
                <w:color w:val="auto"/>
                <w:w w:val="92"/>
              </w:rPr>
              <w:t>December 31,</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3"/>
              </w:rPr>
              <w:t>July 15,</w:t>
            </w:r>
          </w:p>
        </w:tc>
        <w:tc>
          <w:tcPr>
            <w:tcW w:w="840" w:type="dxa"/>
            <w:vAlign w:val="bottom"/>
          </w:tcPr>
          <w:p>
            <w:pPr>
              <w:jc w:val="center"/>
              <w:spacing w:after="0"/>
              <w:rPr>
                <w:sz w:val="20"/>
                <w:szCs w:val="20"/>
                <w:color w:val="auto"/>
              </w:rPr>
            </w:pPr>
            <w:r>
              <w:rPr>
                <w:rFonts w:ascii="Arial" w:cs="Arial" w:eastAsia="Arial" w:hAnsi="Arial"/>
                <w:sz w:val="14"/>
                <w:szCs w:val="14"/>
                <w:b w:val="1"/>
                <w:bCs w:val="1"/>
                <w:color w:val="auto"/>
                <w:w w:val="92"/>
              </w:rPr>
              <w:t>December 31,</w:t>
            </w:r>
          </w:p>
        </w:tc>
        <w:tc>
          <w:tcPr>
            <w:tcW w:w="200" w:type="dxa"/>
            <w:vAlign w:val="bottom"/>
          </w:tcPr>
          <w:p>
            <w:pPr>
              <w:spacing w:after="0"/>
              <w:rPr>
                <w:sz w:val="14"/>
                <w:szCs w:val="14"/>
                <w:color w:val="auto"/>
              </w:rPr>
            </w:pPr>
          </w:p>
        </w:tc>
        <w:tc>
          <w:tcPr>
            <w:tcW w:w="920" w:type="dxa"/>
            <w:vAlign w:val="bottom"/>
            <w:gridSpan w:val="2"/>
          </w:tcPr>
          <w:p>
            <w:pPr>
              <w:spacing w:after="0"/>
              <w:rPr>
                <w:sz w:val="20"/>
                <w:szCs w:val="20"/>
                <w:color w:val="auto"/>
              </w:rPr>
            </w:pPr>
            <w:r>
              <w:rPr>
                <w:rFonts w:ascii="Arial" w:cs="Arial" w:eastAsia="Arial" w:hAnsi="Arial"/>
                <w:sz w:val="14"/>
                <w:szCs w:val="14"/>
                <w:b w:val="1"/>
                <w:bCs w:val="1"/>
                <w:color w:val="auto"/>
                <w:w w:val="93"/>
              </w:rPr>
              <w:t>September 30,</w:t>
            </w:r>
          </w:p>
        </w:tc>
        <w:tc>
          <w:tcPr>
            <w:tcW w:w="0" w:type="dxa"/>
            <w:vAlign w:val="bottom"/>
          </w:tcPr>
          <w:p>
            <w:pPr>
              <w:spacing w:after="0"/>
              <w:rPr>
                <w:sz w:val="1"/>
                <w:szCs w:val="1"/>
                <w:color w:val="auto"/>
              </w:rPr>
            </w:pPr>
          </w:p>
        </w:tc>
      </w:tr>
      <w:tr>
        <w:trPr>
          <w:trHeight w:val="129"/>
        </w:trPr>
        <w:tc>
          <w:tcPr>
            <w:tcW w:w="3160" w:type="dxa"/>
            <w:vAlign w:val="bottom"/>
            <w:gridSpan w:val="2"/>
            <w:vMerge w:val="continue"/>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520" w:type="dxa"/>
            <w:vAlign w:val="bottom"/>
            <w:tcBorders>
              <w:top w:val="single" w:sz="8" w:color="auto"/>
            </w:tcBorders>
          </w:tcPr>
          <w:p>
            <w:pPr>
              <w:jc w:val="right"/>
              <w:ind w:right="88"/>
              <w:spacing w:after="0" w:line="129" w:lineRule="exact"/>
              <w:rPr>
                <w:sz w:val="20"/>
                <w:szCs w:val="20"/>
                <w:color w:val="auto"/>
              </w:rPr>
            </w:pPr>
            <w:r>
              <w:rPr>
                <w:rFonts w:ascii="Arial" w:cs="Arial" w:eastAsia="Arial" w:hAnsi="Arial"/>
                <w:sz w:val="14"/>
                <w:szCs w:val="14"/>
                <w:b w:val="1"/>
                <w:bCs w:val="1"/>
                <w:color w:val="auto"/>
              </w:rPr>
              <w:t>2021</w:t>
            </w:r>
          </w:p>
        </w:tc>
        <w:tc>
          <w:tcPr>
            <w:tcW w:w="880" w:type="dxa"/>
            <w:vAlign w:val="bottom"/>
            <w:tcBorders>
              <w:top w:val="single" w:sz="8" w:color="auto"/>
            </w:tcBorders>
            <w:gridSpan w:val="2"/>
          </w:tcPr>
          <w:p>
            <w:pPr>
              <w:jc w:val="right"/>
              <w:ind w:right="88"/>
              <w:spacing w:after="0" w:line="129" w:lineRule="exact"/>
              <w:rPr>
                <w:sz w:val="20"/>
                <w:szCs w:val="20"/>
                <w:color w:val="auto"/>
              </w:rPr>
            </w:pPr>
            <w:r>
              <w:rPr>
                <w:rFonts w:ascii="Arial" w:cs="Arial" w:eastAsia="Arial" w:hAnsi="Arial"/>
                <w:sz w:val="14"/>
                <w:szCs w:val="14"/>
                <w:b w:val="1"/>
                <w:bCs w:val="1"/>
                <w:color w:val="auto"/>
              </w:rPr>
              <w:t>2020</w:t>
            </w:r>
          </w:p>
        </w:tc>
        <w:tc>
          <w:tcPr>
            <w:tcW w:w="20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760" w:type="dxa"/>
            <w:vAlign w:val="bottom"/>
            <w:tcBorders>
              <w:top w:val="single" w:sz="8" w:color="auto"/>
            </w:tcBorders>
          </w:tcPr>
          <w:p>
            <w:pPr>
              <w:jc w:val="right"/>
              <w:ind w:right="208"/>
              <w:spacing w:after="0" w:line="129" w:lineRule="exact"/>
              <w:rPr>
                <w:sz w:val="20"/>
                <w:szCs w:val="20"/>
                <w:color w:val="auto"/>
              </w:rPr>
            </w:pPr>
            <w:r>
              <w:rPr>
                <w:rFonts w:ascii="Arial" w:cs="Arial" w:eastAsia="Arial" w:hAnsi="Arial"/>
                <w:sz w:val="14"/>
                <w:szCs w:val="14"/>
                <w:b w:val="1"/>
                <w:bCs w:val="1"/>
                <w:color w:val="auto"/>
              </w:rPr>
              <w:t>2020</w:t>
            </w: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760" w:type="dxa"/>
            <w:vAlign w:val="bottom"/>
            <w:tcBorders>
              <w:top w:val="single" w:sz="8" w:color="auto"/>
            </w:tcBorders>
          </w:tcPr>
          <w:p>
            <w:pPr>
              <w:jc w:val="center"/>
              <w:ind w:right="8"/>
              <w:spacing w:after="0" w:line="129" w:lineRule="exact"/>
              <w:rPr>
                <w:sz w:val="20"/>
                <w:szCs w:val="20"/>
                <w:color w:val="auto"/>
              </w:rPr>
            </w:pPr>
            <w:r>
              <w:rPr>
                <w:rFonts w:ascii="Arial" w:cs="Arial" w:eastAsia="Arial" w:hAnsi="Arial"/>
                <w:sz w:val="14"/>
                <w:szCs w:val="14"/>
                <w:b w:val="1"/>
                <w:bCs w:val="1"/>
                <w:color w:val="auto"/>
                <w:w w:val="89"/>
              </w:rPr>
              <w:t>2019</w:t>
            </w:r>
          </w:p>
        </w:tc>
        <w:tc>
          <w:tcPr>
            <w:tcW w:w="360" w:type="dxa"/>
            <w:vAlign w:val="bottom"/>
            <w:tcBorders>
              <w:right w:val="single" w:sz="8" w:color="auto"/>
            </w:tcBorders>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940" w:type="dxa"/>
            <w:vAlign w:val="bottom"/>
            <w:tcBorders>
              <w:top w:val="single" w:sz="8" w:color="auto"/>
            </w:tcBorders>
          </w:tcPr>
          <w:p>
            <w:pPr>
              <w:jc w:val="center"/>
              <w:ind w:right="8"/>
              <w:spacing w:after="0" w:line="129" w:lineRule="exact"/>
              <w:rPr>
                <w:sz w:val="20"/>
                <w:szCs w:val="20"/>
                <w:color w:val="auto"/>
              </w:rPr>
            </w:pPr>
            <w:r>
              <w:rPr>
                <w:rFonts w:ascii="Arial" w:cs="Arial" w:eastAsia="Arial" w:hAnsi="Arial"/>
                <w:sz w:val="14"/>
                <w:szCs w:val="14"/>
                <w:b w:val="1"/>
                <w:bCs w:val="1"/>
                <w:color w:val="auto"/>
                <w:w w:val="96"/>
              </w:rPr>
              <w:t>2019</w:t>
            </w:r>
          </w:p>
        </w:tc>
        <w:tc>
          <w:tcPr>
            <w:tcW w:w="260" w:type="dxa"/>
            <w:vAlign w:val="bottom"/>
          </w:tcPr>
          <w:p>
            <w:pPr>
              <w:spacing w:after="0"/>
              <w:rPr>
                <w:sz w:val="11"/>
                <w:szCs w:val="11"/>
                <w:color w:val="auto"/>
              </w:rPr>
            </w:pPr>
          </w:p>
        </w:tc>
        <w:tc>
          <w:tcPr>
            <w:tcW w:w="840" w:type="dxa"/>
            <w:vAlign w:val="bottom"/>
            <w:tcBorders>
              <w:top w:val="single" w:sz="8" w:color="auto"/>
            </w:tcBorders>
          </w:tcPr>
          <w:p>
            <w:pPr>
              <w:jc w:val="center"/>
              <w:spacing w:after="0" w:line="129" w:lineRule="exact"/>
              <w:rPr>
                <w:sz w:val="20"/>
                <w:szCs w:val="20"/>
                <w:color w:val="auto"/>
              </w:rPr>
            </w:pPr>
            <w:r>
              <w:rPr>
                <w:rFonts w:ascii="Arial" w:cs="Arial" w:eastAsia="Arial" w:hAnsi="Arial"/>
                <w:sz w:val="14"/>
                <w:szCs w:val="14"/>
                <w:b w:val="1"/>
                <w:bCs w:val="1"/>
                <w:color w:val="auto"/>
                <w:w w:val="89"/>
              </w:rPr>
              <w:t>2020</w:t>
            </w:r>
          </w:p>
        </w:tc>
        <w:tc>
          <w:tcPr>
            <w:tcW w:w="200" w:type="dxa"/>
            <w:vAlign w:val="bottom"/>
          </w:tcPr>
          <w:p>
            <w:pPr>
              <w:spacing w:after="0"/>
              <w:rPr>
                <w:sz w:val="11"/>
                <w:szCs w:val="11"/>
                <w:color w:val="auto"/>
              </w:rPr>
            </w:pPr>
          </w:p>
        </w:tc>
        <w:tc>
          <w:tcPr>
            <w:tcW w:w="880" w:type="dxa"/>
            <w:vAlign w:val="bottom"/>
            <w:tcBorders>
              <w:top w:val="single" w:sz="8" w:color="auto"/>
            </w:tcBorders>
          </w:tcPr>
          <w:p>
            <w:pPr>
              <w:jc w:val="center"/>
              <w:spacing w:after="0" w:line="129" w:lineRule="exact"/>
              <w:rPr>
                <w:sz w:val="20"/>
                <w:szCs w:val="20"/>
                <w:color w:val="auto"/>
              </w:rPr>
            </w:pPr>
            <w:r>
              <w:rPr>
                <w:rFonts w:ascii="Arial" w:cs="Arial" w:eastAsia="Arial" w:hAnsi="Arial"/>
                <w:sz w:val="14"/>
                <w:szCs w:val="14"/>
                <w:b w:val="1"/>
                <w:bCs w:val="1"/>
                <w:color w:val="auto"/>
                <w:w w:val="89"/>
              </w:rPr>
              <w:t>2021</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820" w:type="dxa"/>
            <w:vAlign w:val="bottom"/>
            <w:tcBorders>
              <w:top w:val="single" w:sz="8" w:color="auto"/>
            </w:tcBorders>
            <w:vMerge w:val="restart"/>
            <w:shd w:val="clear" w:color="auto" w:fill="CCEEFF"/>
          </w:tcPr>
          <w:p>
            <w:pPr>
              <w:spacing w:after="0"/>
              <w:rPr>
                <w:sz w:val="20"/>
                <w:szCs w:val="20"/>
                <w:color w:val="auto"/>
              </w:rPr>
            </w:pPr>
            <w:r>
              <w:rPr>
                <w:rFonts w:ascii="Arial" w:cs="Arial" w:eastAsia="Arial" w:hAnsi="Arial"/>
                <w:sz w:val="14"/>
                <w:szCs w:val="14"/>
                <w:color w:val="auto"/>
              </w:rPr>
              <w:t>Revenue</w:t>
            </w:r>
          </w:p>
        </w:tc>
        <w:tc>
          <w:tcPr>
            <w:tcW w:w="2340" w:type="dxa"/>
            <w:vAlign w:val="bottom"/>
            <w:vMerge w:val="restart"/>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360" w:type="dxa"/>
            <w:vAlign w:val="bottom"/>
            <w:tcBorders>
              <w:right w:val="single" w:sz="8" w:color="auto"/>
            </w:tcBorders>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820" w:type="dxa"/>
            <w:vAlign w:val="bottom"/>
            <w:vMerge w:val="continue"/>
            <w:shd w:val="clear" w:color="auto" w:fill="CCEEFF"/>
          </w:tcPr>
          <w:p>
            <w:pPr>
              <w:spacing w:after="0"/>
              <w:rPr>
                <w:sz w:val="13"/>
                <w:szCs w:val="13"/>
                <w:color w:val="auto"/>
              </w:rPr>
            </w:pPr>
          </w:p>
        </w:tc>
        <w:tc>
          <w:tcPr>
            <w:tcW w:w="2340" w:type="dxa"/>
            <w:vAlign w:val="bottom"/>
            <w:vMerge w:val="continue"/>
            <w:shd w:val="clear" w:color="auto" w:fill="CCEEFF"/>
          </w:tcPr>
          <w:p>
            <w:pPr>
              <w:spacing w:after="0"/>
              <w:rPr>
                <w:sz w:val="13"/>
                <w:szCs w:val="13"/>
                <w:color w:val="auto"/>
              </w:rPr>
            </w:pPr>
          </w:p>
        </w:tc>
        <w:tc>
          <w:tcPr>
            <w:tcW w:w="180" w:type="dxa"/>
            <w:vAlign w:val="bottom"/>
            <w:gridSpan w:val="2"/>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520" w:type="dxa"/>
            <w:vAlign w:val="bottom"/>
            <w:shd w:val="clear" w:color="auto" w:fill="CCEEFF"/>
          </w:tcPr>
          <w:p>
            <w:pPr>
              <w:spacing w:after="0"/>
              <w:rPr>
                <w:sz w:val="13"/>
                <w:szCs w:val="13"/>
                <w:color w:val="auto"/>
              </w:rPr>
            </w:pPr>
          </w:p>
        </w:tc>
        <w:tc>
          <w:tcPr>
            <w:tcW w:w="880" w:type="dxa"/>
            <w:vAlign w:val="bottom"/>
            <w:gridSpan w:val="2"/>
            <w:vMerge w:val="restart"/>
            <w:shd w:val="clear" w:color="auto" w:fill="CCEEFF"/>
          </w:tcPr>
          <w:p>
            <w:pPr>
              <w:jc w:val="right"/>
              <w:ind w:right="488"/>
              <w:spacing w:after="0"/>
              <w:rPr>
                <w:sz w:val="20"/>
                <w:szCs w:val="20"/>
                <w:color w:val="auto"/>
              </w:rPr>
            </w:pPr>
            <w:r>
              <w:rPr>
                <w:rFonts w:ascii="Arial" w:cs="Arial" w:eastAsia="Arial" w:hAnsi="Arial"/>
                <w:sz w:val="14"/>
                <w:szCs w:val="14"/>
                <w:color w:val="auto"/>
              </w:rPr>
              <w:t>$</w:t>
            </w:r>
          </w:p>
        </w:tc>
        <w:tc>
          <w:tcPr>
            <w:tcW w:w="280" w:type="dxa"/>
            <w:vAlign w:val="bottom"/>
            <w:gridSpan w:val="2"/>
            <w:vMerge w:val="restart"/>
            <w:shd w:val="clear" w:color="auto" w:fill="CCEEFF"/>
          </w:tcPr>
          <w:p>
            <w:pPr>
              <w:ind w:left="200"/>
              <w:spacing w:after="0"/>
              <w:rPr>
                <w:sz w:val="20"/>
                <w:szCs w:val="20"/>
                <w:color w:val="auto"/>
              </w:rPr>
            </w:pPr>
            <w:r>
              <w:rPr>
                <w:rFonts w:ascii="Arial" w:cs="Arial" w:eastAsia="Arial" w:hAnsi="Arial"/>
                <w:sz w:val="14"/>
                <w:szCs w:val="14"/>
                <w:color w:val="auto"/>
                <w:w w:val="76"/>
              </w:rPr>
              <w:t>$</w:t>
            </w:r>
          </w:p>
        </w:tc>
        <w:tc>
          <w:tcPr>
            <w:tcW w:w="7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118,317</w:t>
            </w:r>
          </w:p>
        </w:tc>
        <w:tc>
          <w:tcPr>
            <w:tcW w:w="160" w:type="dxa"/>
            <w:vAlign w:val="bottom"/>
            <w:shd w:val="clear" w:color="auto" w:fill="CCEEFF"/>
          </w:tcPr>
          <w:p>
            <w:pPr>
              <w:spacing w:after="0"/>
              <w:rPr>
                <w:sz w:val="13"/>
                <w:szCs w:val="13"/>
                <w:color w:val="auto"/>
              </w:rPr>
            </w:pPr>
          </w:p>
        </w:tc>
        <w:tc>
          <w:tcPr>
            <w:tcW w:w="180" w:type="dxa"/>
            <w:vAlign w:val="bottom"/>
            <w:gridSpan w:val="2"/>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40,045</w:t>
            </w:r>
          </w:p>
        </w:tc>
        <w:tc>
          <w:tcPr>
            <w:tcW w:w="360" w:type="dxa"/>
            <w:vAlign w:val="bottom"/>
            <w:tcBorders>
              <w:right w:val="single" w:sz="8" w:color="auto"/>
            </w:tcBorders>
            <w:shd w:val="clear" w:color="auto" w:fill="CCEEFF"/>
          </w:tcPr>
          <w:p>
            <w:pPr>
              <w:spacing w:after="0"/>
              <w:rPr>
                <w:sz w:val="13"/>
                <w:szCs w:val="13"/>
                <w:color w:val="auto"/>
              </w:rPr>
            </w:pPr>
          </w:p>
        </w:tc>
        <w:tc>
          <w:tcPr>
            <w:tcW w:w="240" w:type="dxa"/>
            <w:vAlign w:val="bottom"/>
            <w:gridSpan w:val="2"/>
            <w:vMerge w:val="restart"/>
            <w:shd w:val="clear" w:color="auto" w:fill="CCEEFF"/>
          </w:tcPr>
          <w:p>
            <w:pPr>
              <w:jc w:val="right"/>
              <w:ind w:right="20"/>
              <w:spacing w:after="0"/>
              <w:rPr>
                <w:sz w:val="20"/>
                <w:szCs w:val="20"/>
                <w:color w:val="auto"/>
              </w:rPr>
            </w:pPr>
            <w:r>
              <w:rPr>
                <w:rFonts w:ascii="Arial" w:cs="Arial" w:eastAsia="Arial" w:hAnsi="Arial"/>
                <w:sz w:val="14"/>
                <w:szCs w:val="14"/>
                <w:color w:val="auto"/>
              </w:rPr>
              <w:t>$</w:t>
            </w:r>
          </w:p>
        </w:tc>
        <w:tc>
          <w:tcPr>
            <w:tcW w:w="1200" w:type="dxa"/>
            <w:vAlign w:val="bottom"/>
            <w:gridSpan w:val="2"/>
            <w:vMerge w:val="restart"/>
            <w:shd w:val="clear" w:color="auto" w:fill="CCEEFF"/>
          </w:tcPr>
          <w:p>
            <w:pPr>
              <w:jc w:val="right"/>
              <w:ind w:right="260"/>
              <w:spacing w:after="0"/>
              <w:rPr>
                <w:sz w:val="20"/>
                <w:szCs w:val="20"/>
                <w:color w:val="auto"/>
              </w:rPr>
            </w:pPr>
            <w:r>
              <w:rPr>
                <w:rFonts w:ascii="Arial" w:cs="Arial" w:eastAsia="Arial" w:hAnsi="Arial"/>
                <w:sz w:val="14"/>
                <w:szCs w:val="14"/>
                <w:color w:val="auto"/>
              </w:rPr>
              <w:t>45,458</w:t>
            </w:r>
          </w:p>
        </w:tc>
        <w:tc>
          <w:tcPr>
            <w:tcW w:w="840" w:type="dxa"/>
            <w:vAlign w:val="bottom"/>
            <w:shd w:val="clear" w:color="auto" w:fill="CCEEFF"/>
          </w:tcPr>
          <w:p>
            <w:pPr>
              <w:spacing w:after="0"/>
              <w:rPr>
                <w:sz w:val="13"/>
                <w:szCs w:val="13"/>
                <w:color w:val="auto"/>
              </w:rPr>
            </w:pPr>
          </w:p>
        </w:tc>
        <w:tc>
          <w:tcPr>
            <w:tcW w:w="1080" w:type="dxa"/>
            <w:vAlign w:val="bottom"/>
            <w:gridSpan w:val="2"/>
            <w:vMerge w:val="restart"/>
            <w:shd w:val="clear" w:color="auto" w:fill="CCEEFF"/>
          </w:tcPr>
          <w:p>
            <w:pPr>
              <w:ind w:left="200"/>
              <w:spacing w:after="0"/>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28"/>
        </w:trPr>
        <w:tc>
          <w:tcPr>
            <w:tcW w:w="820" w:type="dxa"/>
            <w:vAlign w:val="bottom"/>
            <w:shd w:val="clear" w:color="auto" w:fill="CCEEFF"/>
          </w:tcPr>
          <w:p>
            <w:pPr>
              <w:spacing w:after="0"/>
              <w:rPr>
                <w:sz w:val="11"/>
                <w:szCs w:val="11"/>
                <w:color w:val="auto"/>
              </w:rPr>
            </w:pPr>
          </w:p>
        </w:tc>
        <w:tc>
          <w:tcPr>
            <w:tcW w:w="2340" w:type="dxa"/>
            <w:vAlign w:val="bottom"/>
            <w:shd w:val="clear" w:color="auto" w:fill="CCEEFF"/>
          </w:tcPr>
          <w:p>
            <w:pPr>
              <w:spacing w:after="0"/>
              <w:rPr>
                <w:sz w:val="11"/>
                <w:szCs w:val="11"/>
                <w:color w:val="auto"/>
              </w:rPr>
            </w:pPr>
          </w:p>
        </w:tc>
        <w:tc>
          <w:tcPr>
            <w:tcW w:w="180" w:type="dxa"/>
            <w:vAlign w:val="bottom"/>
            <w:gridSpan w:val="2"/>
            <w:vMerge w:val="continue"/>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880" w:type="dxa"/>
            <w:vAlign w:val="bottom"/>
            <w:gridSpan w:val="2"/>
            <w:vMerge w:val="continue"/>
            <w:shd w:val="clear" w:color="auto" w:fill="CCEEFF"/>
          </w:tcPr>
          <w:p>
            <w:pPr>
              <w:spacing w:after="0"/>
              <w:rPr>
                <w:sz w:val="11"/>
                <w:szCs w:val="11"/>
                <w:color w:val="auto"/>
              </w:rPr>
            </w:pPr>
          </w:p>
        </w:tc>
        <w:tc>
          <w:tcPr>
            <w:tcW w:w="280" w:type="dxa"/>
            <w:vAlign w:val="bottom"/>
            <w:gridSpan w:val="2"/>
            <w:vMerge w:val="continue"/>
            <w:shd w:val="clear" w:color="auto" w:fill="CCEEFF"/>
          </w:tcPr>
          <w:p>
            <w:pPr>
              <w:spacing w:after="0"/>
              <w:rPr>
                <w:sz w:val="11"/>
                <w:szCs w:val="11"/>
                <w:color w:val="auto"/>
              </w:rPr>
            </w:pPr>
          </w:p>
        </w:tc>
        <w:tc>
          <w:tcPr>
            <w:tcW w:w="760" w:type="dxa"/>
            <w:vAlign w:val="bottom"/>
            <w:vMerge w:val="continue"/>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80" w:type="dxa"/>
            <w:vAlign w:val="bottom"/>
            <w:gridSpan w:val="2"/>
            <w:vMerge w:val="continue"/>
            <w:shd w:val="clear" w:color="auto" w:fill="CCEEFF"/>
          </w:tcPr>
          <w:p>
            <w:pPr>
              <w:spacing w:after="0"/>
              <w:rPr>
                <w:sz w:val="11"/>
                <w:szCs w:val="11"/>
                <w:color w:val="auto"/>
              </w:rPr>
            </w:pPr>
          </w:p>
        </w:tc>
        <w:tc>
          <w:tcPr>
            <w:tcW w:w="760" w:type="dxa"/>
            <w:vAlign w:val="bottom"/>
            <w:vMerge w:val="continue"/>
            <w:shd w:val="clear" w:color="auto" w:fill="CCEEFF"/>
          </w:tcPr>
          <w:p>
            <w:pPr>
              <w:spacing w:after="0"/>
              <w:rPr>
                <w:sz w:val="11"/>
                <w:szCs w:val="11"/>
                <w:color w:val="auto"/>
              </w:rPr>
            </w:pPr>
          </w:p>
        </w:tc>
        <w:tc>
          <w:tcPr>
            <w:tcW w:w="360" w:type="dxa"/>
            <w:vAlign w:val="bottom"/>
            <w:tcBorders>
              <w:right w:val="single" w:sz="8" w:color="auto"/>
            </w:tcBorders>
            <w:shd w:val="clear" w:color="auto" w:fill="CCEEFF"/>
          </w:tcPr>
          <w:p>
            <w:pPr>
              <w:spacing w:after="0"/>
              <w:rPr>
                <w:sz w:val="11"/>
                <w:szCs w:val="11"/>
                <w:color w:val="auto"/>
              </w:rPr>
            </w:pPr>
          </w:p>
        </w:tc>
        <w:tc>
          <w:tcPr>
            <w:tcW w:w="240" w:type="dxa"/>
            <w:vAlign w:val="bottom"/>
            <w:gridSpan w:val="2"/>
            <w:vMerge w:val="continue"/>
            <w:shd w:val="clear" w:color="auto" w:fill="CCEEFF"/>
          </w:tcPr>
          <w:p>
            <w:pPr>
              <w:spacing w:after="0"/>
              <w:rPr>
                <w:sz w:val="11"/>
                <w:szCs w:val="11"/>
                <w:color w:val="auto"/>
              </w:rPr>
            </w:pPr>
          </w:p>
        </w:tc>
        <w:tc>
          <w:tcPr>
            <w:tcW w:w="1200" w:type="dxa"/>
            <w:vAlign w:val="bottom"/>
            <w:gridSpan w:val="2"/>
            <w:vMerge w:val="continue"/>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1080" w:type="dxa"/>
            <w:vAlign w:val="bottom"/>
            <w:gridSpan w:val="2"/>
            <w:vMerge w:val="continue"/>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3160" w:type="dxa"/>
            <w:vAlign w:val="bottom"/>
            <w:gridSpan w:val="2"/>
          </w:tcPr>
          <w:p>
            <w:pPr>
              <w:spacing w:after="0" w:line="149" w:lineRule="exact"/>
              <w:rPr>
                <w:sz w:val="20"/>
                <w:szCs w:val="20"/>
                <w:color w:val="auto"/>
              </w:rPr>
            </w:pPr>
            <w:r>
              <w:rPr>
                <w:rFonts w:ascii="Arial" w:cs="Arial" w:eastAsia="Arial" w:hAnsi="Arial"/>
                <w:sz w:val="14"/>
                <w:szCs w:val="14"/>
                <w:color w:val="auto"/>
              </w:rPr>
              <w:t>Cost of revenue:</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360" w:type="dxa"/>
            <w:vAlign w:val="bottom"/>
            <w:tcBorders>
              <w:right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3160" w:type="dxa"/>
            <w:vAlign w:val="bottom"/>
            <w:gridSpan w:val="2"/>
            <w:shd w:val="clear" w:color="auto" w:fill="CCEEFF"/>
          </w:tcPr>
          <w:p>
            <w:pPr>
              <w:ind w:left="140"/>
              <w:spacing w:after="0" w:line="130" w:lineRule="exact"/>
              <w:rPr>
                <w:sz w:val="20"/>
                <w:szCs w:val="20"/>
                <w:color w:val="auto"/>
              </w:rPr>
            </w:pPr>
            <w:r>
              <w:rPr>
                <w:rFonts w:ascii="Arial" w:cs="Arial" w:eastAsia="Arial" w:hAnsi="Arial"/>
                <w:sz w:val="14"/>
                <w:szCs w:val="14"/>
                <w:color w:val="auto"/>
                <w:w w:val="99"/>
              </w:rPr>
              <w:t>Cost of revenue exclusive of amortization shown</w:t>
            </w: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360" w:type="dxa"/>
            <w:vAlign w:val="bottom"/>
            <w:tcBorders>
              <w:right w:val="single" w:sz="8" w:color="auto"/>
            </w:tcBorders>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94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3160" w:type="dxa"/>
            <w:vAlign w:val="bottom"/>
            <w:gridSpan w:val="2"/>
            <w:shd w:val="clear" w:color="auto" w:fill="CCEEFF"/>
          </w:tcPr>
          <w:p>
            <w:pPr>
              <w:ind w:left="300"/>
              <w:spacing w:after="0"/>
              <w:rPr>
                <w:sz w:val="20"/>
                <w:szCs w:val="20"/>
                <w:color w:val="auto"/>
              </w:rPr>
            </w:pPr>
            <w:r>
              <w:rPr>
                <w:rFonts w:ascii="Arial" w:cs="Arial" w:eastAsia="Arial" w:hAnsi="Arial"/>
                <w:sz w:val="14"/>
                <w:szCs w:val="14"/>
                <w:color w:val="auto"/>
              </w:rPr>
              <w:t>below</w:t>
            </w: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11,085</w:t>
            </w:r>
          </w:p>
        </w:tc>
        <w:tc>
          <w:tcPr>
            <w:tcW w:w="1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4,668</w:t>
            </w:r>
          </w:p>
        </w:tc>
        <w:tc>
          <w:tcPr>
            <w:tcW w:w="360" w:type="dxa"/>
            <w:vAlign w:val="bottom"/>
            <w:tcBorders>
              <w:right w:val="single" w:sz="8" w:color="auto"/>
            </w:tcBorders>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4,830</w:t>
            </w:r>
          </w:p>
        </w:tc>
        <w:tc>
          <w:tcPr>
            <w:tcW w:w="84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3160" w:type="dxa"/>
            <w:vAlign w:val="bottom"/>
            <w:gridSpan w:val="2"/>
          </w:tcPr>
          <w:p>
            <w:pPr>
              <w:ind w:left="140"/>
              <w:spacing w:after="0" w:line="149" w:lineRule="exact"/>
              <w:rPr>
                <w:sz w:val="20"/>
                <w:szCs w:val="20"/>
                <w:color w:val="auto"/>
              </w:rPr>
            </w:pPr>
            <w:r>
              <w:rPr>
                <w:rFonts w:ascii="Arial" w:cs="Arial" w:eastAsia="Arial" w:hAnsi="Arial"/>
                <w:sz w:val="14"/>
                <w:szCs w:val="14"/>
                <w:color w:val="auto"/>
              </w:rPr>
              <w:t>Amortization</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19,383</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tcPr>
          <w:p>
            <w:pPr>
              <w:jc w:val="right"/>
              <w:spacing w:after="0" w:line="149" w:lineRule="exact"/>
              <w:rPr>
                <w:sz w:val="20"/>
                <w:szCs w:val="20"/>
                <w:color w:val="auto"/>
              </w:rPr>
            </w:pPr>
            <w:r>
              <w:rPr>
                <w:rFonts w:ascii="Arial" w:cs="Arial" w:eastAsia="Arial" w:hAnsi="Arial"/>
                <w:sz w:val="14"/>
                <w:szCs w:val="14"/>
                <w:color w:val="auto"/>
              </w:rPr>
              <w:t>8,614</w:t>
            </w:r>
          </w:p>
        </w:tc>
        <w:tc>
          <w:tcPr>
            <w:tcW w:w="360" w:type="dxa"/>
            <w:vAlign w:val="bottom"/>
            <w:tcBorders>
              <w:right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tcPr>
          <w:p>
            <w:pPr>
              <w:ind w:left="740"/>
              <w:spacing w:after="0" w:line="149" w:lineRule="exact"/>
              <w:rPr>
                <w:sz w:val="20"/>
                <w:szCs w:val="20"/>
                <w:color w:val="auto"/>
              </w:rPr>
            </w:pPr>
            <w:r>
              <w:rPr>
                <w:rFonts w:ascii="Arial" w:cs="Arial" w:eastAsia="Arial" w:hAnsi="Arial"/>
                <w:sz w:val="14"/>
                <w:szCs w:val="14"/>
                <w:color w:val="auto"/>
                <w:w w:val="76"/>
              </w:rPr>
              <w:t>498</w:t>
            </w:r>
          </w:p>
        </w:tc>
        <w:tc>
          <w:tcPr>
            <w:tcW w:w="2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7"/>
        </w:trPr>
        <w:tc>
          <w:tcPr>
            <w:tcW w:w="820" w:type="dxa"/>
            <w:vAlign w:val="bottom"/>
          </w:tcPr>
          <w:p>
            <w:pPr>
              <w:spacing w:after="0"/>
              <w:rPr>
                <w:sz w:val="2"/>
                <w:szCs w:val="2"/>
                <w:color w:val="auto"/>
              </w:rPr>
            </w:pPr>
          </w:p>
        </w:tc>
        <w:tc>
          <w:tcPr>
            <w:tcW w:w="2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360" w:type="dxa"/>
            <w:vAlign w:val="bottom"/>
            <w:tcBorders>
              <w:right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8"/>
        </w:trPr>
        <w:tc>
          <w:tcPr>
            <w:tcW w:w="3160" w:type="dxa"/>
            <w:vAlign w:val="bottom"/>
            <w:gridSpan w:val="2"/>
            <w:shd w:val="clear" w:color="auto" w:fill="CCEEFF"/>
          </w:tcPr>
          <w:p>
            <w:pPr>
              <w:ind w:left="300"/>
              <w:spacing w:after="0" w:line="149" w:lineRule="exact"/>
              <w:rPr>
                <w:sz w:val="20"/>
                <w:szCs w:val="20"/>
                <w:color w:val="auto"/>
              </w:rPr>
            </w:pPr>
            <w:r>
              <w:rPr>
                <w:rFonts w:ascii="Arial" w:cs="Arial" w:eastAsia="Arial" w:hAnsi="Arial"/>
                <w:sz w:val="14"/>
                <w:szCs w:val="14"/>
                <w:b w:val="1"/>
                <w:bCs w:val="1"/>
                <w:color w:val="auto"/>
              </w:rPr>
              <w:t>Total cost of revenue</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30,468</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13,282</w:t>
            </w:r>
          </w:p>
        </w:tc>
        <w:tc>
          <w:tcPr>
            <w:tcW w:w="360" w:type="dxa"/>
            <w:vAlign w:val="bottom"/>
            <w:tcBorders>
              <w:right w:val="single" w:sz="8" w:color="auto"/>
            </w:tcBorders>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5,328</w:t>
            </w:r>
          </w:p>
        </w:tc>
        <w:tc>
          <w:tcPr>
            <w:tcW w:w="8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5"/>
        </w:trPr>
        <w:tc>
          <w:tcPr>
            <w:tcW w:w="3160" w:type="dxa"/>
            <w:vAlign w:val="bottom"/>
            <w:gridSpan w:val="2"/>
          </w:tcPr>
          <w:p>
            <w:pPr>
              <w:ind w:left="440"/>
              <w:spacing w:after="0" w:line="155" w:lineRule="exact"/>
              <w:rPr>
                <w:sz w:val="20"/>
                <w:szCs w:val="20"/>
                <w:color w:val="auto"/>
              </w:rPr>
            </w:pPr>
            <w:r>
              <w:rPr>
                <w:rFonts w:ascii="Arial" w:cs="Arial" w:eastAsia="Arial" w:hAnsi="Arial"/>
                <w:sz w:val="14"/>
                <w:szCs w:val="14"/>
                <w:b w:val="1"/>
                <w:bCs w:val="1"/>
                <w:color w:val="auto"/>
              </w:rPr>
              <w:t>Gross profit</w:t>
            </w:r>
          </w:p>
        </w:tc>
        <w:tc>
          <w:tcPr>
            <w:tcW w:w="100" w:type="dxa"/>
            <w:vAlign w:val="bottom"/>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520" w:type="dxa"/>
            <w:vAlign w:val="bottom"/>
            <w:tcBorders>
              <w:top w:val="single" w:sz="8" w:color="auto"/>
            </w:tcBorders>
          </w:tcPr>
          <w:p>
            <w:pPr>
              <w:spacing w:after="0"/>
              <w:rPr>
                <w:sz w:val="13"/>
                <w:szCs w:val="13"/>
                <w:color w:val="auto"/>
              </w:rPr>
            </w:pPr>
          </w:p>
        </w:tc>
        <w:tc>
          <w:tcPr>
            <w:tcW w:w="240" w:type="dxa"/>
            <w:vAlign w:val="bottom"/>
          </w:tcPr>
          <w:p>
            <w:pPr>
              <w:spacing w:after="0"/>
              <w:rPr>
                <w:sz w:val="13"/>
                <w:szCs w:val="13"/>
                <w:color w:val="auto"/>
              </w:rPr>
            </w:pPr>
          </w:p>
        </w:tc>
        <w:tc>
          <w:tcPr>
            <w:tcW w:w="640" w:type="dxa"/>
            <w:vAlign w:val="bottom"/>
            <w:tcBorders>
              <w:top w:val="single" w:sz="8" w:color="auto"/>
            </w:tcBorders>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76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rPr>
              <w:t>87,849</w:t>
            </w: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76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rPr>
              <w:t>26,763</w:t>
            </w:r>
          </w:p>
        </w:tc>
        <w:tc>
          <w:tcPr>
            <w:tcW w:w="360" w:type="dxa"/>
            <w:vAlign w:val="bottom"/>
            <w:tcBorders>
              <w:right w:val="single" w:sz="8" w:color="auto"/>
            </w:tcBorders>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940" w:type="dxa"/>
            <w:vAlign w:val="bottom"/>
            <w:tcBorders>
              <w:top w:val="single" w:sz="8" w:color="auto"/>
            </w:tcBorders>
          </w:tcPr>
          <w:p>
            <w:pPr>
              <w:ind w:left="560"/>
              <w:spacing w:after="0" w:line="155" w:lineRule="exact"/>
              <w:rPr>
                <w:sz w:val="20"/>
                <w:szCs w:val="20"/>
                <w:color w:val="auto"/>
              </w:rPr>
            </w:pPr>
            <w:r>
              <w:rPr>
                <w:rFonts w:ascii="Arial" w:cs="Arial" w:eastAsia="Arial" w:hAnsi="Arial"/>
                <w:sz w:val="14"/>
                <w:szCs w:val="14"/>
                <w:color w:val="auto"/>
                <w:w w:val="83"/>
              </w:rPr>
              <w:t>40,130</w:t>
            </w:r>
          </w:p>
        </w:tc>
        <w:tc>
          <w:tcPr>
            <w:tcW w:w="260" w:type="dxa"/>
            <w:vAlign w:val="bottom"/>
          </w:tcPr>
          <w:p>
            <w:pPr>
              <w:spacing w:after="0"/>
              <w:rPr>
                <w:sz w:val="13"/>
                <w:szCs w:val="13"/>
                <w:color w:val="auto"/>
              </w:rPr>
            </w:pPr>
          </w:p>
        </w:tc>
        <w:tc>
          <w:tcPr>
            <w:tcW w:w="840" w:type="dxa"/>
            <w:vAlign w:val="bottom"/>
            <w:tcBorders>
              <w:top w:val="single" w:sz="8" w:color="auto"/>
            </w:tcBorders>
          </w:tcPr>
          <w:p>
            <w:pPr>
              <w:spacing w:after="0"/>
              <w:rPr>
                <w:sz w:val="13"/>
                <w:szCs w:val="13"/>
                <w:color w:val="auto"/>
              </w:rPr>
            </w:pPr>
          </w:p>
        </w:tc>
        <w:tc>
          <w:tcPr>
            <w:tcW w:w="200" w:type="dxa"/>
            <w:vAlign w:val="bottom"/>
          </w:tcPr>
          <w:p>
            <w:pPr>
              <w:spacing w:after="0"/>
              <w:rPr>
                <w:sz w:val="13"/>
                <w:szCs w:val="13"/>
                <w:color w:val="auto"/>
              </w:rPr>
            </w:pPr>
          </w:p>
        </w:tc>
        <w:tc>
          <w:tcPr>
            <w:tcW w:w="880" w:type="dxa"/>
            <w:vAlign w:val="bottom"/>
            <w:tcBorders>
              <w:top w:val="single" w:sz="8" w:color="auto"/>
            </w:tcBorders>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316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Operating expenses:</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360" w:type="dxa"/>
            <w:vAlign w:val="bottom"/>
            <w:tcBorders>
              <w:right w:val="single" w:sz="8" w:color="auto"/>
            </w:tcBorders>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160" w:type="dxa"/>
            <w:vAlign w:val="bottom"/>
            <w:gridSpan w:val="2"/>
          </w:tcPr>
          <w:p>
            <w:pPr>
              <w:ind w:left="140"/>
              <w:spacing w:after="0" w:line="149" w:lineRule="exact"/>
              <w:rPr>
                <w:sz w:val="20"/>
                <w:szCs w:val="20"/>
                <w:color w:val="auto"/>
              </w:rPr>
            </w:pPr>
            <w:r>
              <w:rPr>
                <w:rFonts w:ascii="Arial" w:cs="Arial" w:eastAsia="Arial" w:hAnsi="Arial"/>
                <w:sz w:val="14"/>
                <w:szCs w:val="14"/>
                <w:color w:val="auto"/>
              </w:rPr>
              <w:t>Sales and marketing</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34,332</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tcPr>
          <w:p>
            <w:pPr>
              <w:jc w:val="right"/>
              <w:spacing w:after="0" w:line="149" w:lineRule="exact"/>
              <w:rPr>
                <w:sz w:val="20"/>
                <w:szCs w:val="20"/>
                <w:color w:val="auto"/>
              </w:rPr>
            </w:pPr>
            <w:r>
              <w:rPr>
                <w:rFonts w:ascii="Arial" w:cs="Arial" w:eastAsia="Arial" w:hAnsi="Arial"/>
                <w:sz w:val="14"/>
                <w:szCs w:val="14"/>
                <w:color w:val="auto"/>
              </w:rPr>
              <w:t>10,814</w:t>
            </w:r>
          </w:p>
        </w:tc>
        <w:tc>
          <w:tcPr>
            <w:tcW w:w="360" w:type="dxa"/>
            <w:vAlign w:val="bottom"/>
            <w:tcBorders>
              <w:right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16,039</w:t>
            </w:r>
          </w:p>
        </w:tc>
        <w:tc>
          <w:tcPr>
            <w:tcW w:w="8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160" w:type="dxa"/>
            <w:vAlign w:val="bottom"/>
            <w:gridSpan w:val="2"/>
            <w:shd w:val="clear" w:color="auto" w:fill="CCEEFF"/>
          </w:tcPr>
          <w:p>
            <w:pPr>
              <w:ind w:left="140"/>
              <w:spacing w:after="0" w:line="149" w:lineRule="exact"/>
              <w:rPr>
                <w:sz w:val="20"/>
                <w:szCs w:val="20"/>
                <w:color w:val="auto"/>
              </w:rPr>
            </w:pPr>
            <w:r>
              <w:rPr>
                <w:rFonts w:ascii="Arial" w:cs="Arial" w:eastAsia="Arial" w:hAnsi="Arial"/>
                <w:sz w:val="14"/>
                <w:szCs w:val="14"/>
                <w:color w:val="auto"/>
              </w:rPr>
              <w:t>Product development</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11,062</w:t>
            </w: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3,484</w:t>
            </w:r>
          </w:p>
        </w:tc>
        <w:tc>
          <w:tcPr>
            <w:tcW w:w="360" w:type="dxa"/>
            <w:vAlign w:val="bottom"/>
            <w:tcBorders>
              <w:right w:val="single" w:sz="8" w:color="auto"/>
            </w:tcBorders>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3,961</w:t>
            </w:r>
          </w:p>
        </w:tc>
        <w:tc>
          <w:tcPr>
            <w:tcW w:w="8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160" w:type="dxa"/>
            <w:vAlign w:val="bottom"/>
            <w:gridSpan w:val="2"/>
          </w:tcPr>
          <w:p>
            <w:pPr>
              <w:ind w:left="140"/>
              <w:spacing w:after="0" w:line="149" w:lineRule="exact"/>
              <w:rPr>
                <w:sz w:val="20"/>
                <w:szCs w:val="20"/>
                <w:color w:val="auto"/>
              </w:rPr>
            </w:pPr>
            <w:r>
              <w:rPr>
                <w:rFonts w:ascii="Arial" w:cs="Arial" w:eastAsia="Arial" w:hAnsi="Arial"/>
                <w:sz w:val="14"/>
                <w:szCs w:val="14"/>
                <w:color w:val="auto"/>
              </w:rPr>
              <w:t>General and administrative</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12,927</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tcPr>
          <w:p>
            <w:pPr>
              <w:jc w:val="right"/>
              <w:spacing w:after="0" w:line="149" w:lineRule="exact"/>
              <w:rPr>
                <w:sz w:val="20"/>
                <w:szCs w:val="20"/>
                <w:color w:val="auto"/>
              </w:rPr>
            </w:pPr>
            <w:r>
              <w:rPr>
                <w:rFonts w:ascii="Arial" w:cs="Arial" w:eastAsia="Arial" w:hAnsi="Arial"/>
                <w:sz w:val="14"/>
                <w:szCs w:val="14"/>
                <w:color w:val="auto"/>
              </w:rPr>
              <w:t>6,365</w:t>
            </w:r>
          </w:p>
        </w:tc>
        <w:tc>
          <w:tcPr>
            <w:tcW w:w="360" w:type="dxa"/>
            <w:vAlign w:val="bottom"/>
            <w:tcBorders>
              <w:right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3,979</w:t>
            </w:r>
          </w:p>
        </w:tc>
        <w:tc>
          <w:tcPr>
            <w:tcW w:w="8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160" w:type="dxa"/>
            <w:vAlign w:val="bottom"/>
            <w:gridSpan w:val="2"/>
            <w:shd w:val="clear" w:color="auto" w:fill="CCEEFF"/>
          </w:tcPr>
          <w:p>
            <w:pPr>
              <w:ind w:left="140"/>
              <w:spacing w:after="0" w:line="149" w:lineRule="exact"/>
              <w:rPr>
                <w:sz w:val="20"/>
                <w:szCs w:val="20"/>
                <w:color w:val="auto"/>
              </w:rPr>
            </w:pPr>
            <w:r>
              <w:rPr>
                <w:rFonts w:ascii="Arial" w:cs="Arial" w:eastAsia="Arial" w:hAnsi="Arial"/>
                <w:sz w:val="14"/>
                <w:szCs w:val="14"/>
                <w:color w:val="auto"/>
              </w:rPr>
              <w:t>Depreciation and amortization</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40,197</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22,459</w:t>
            </w:r>
          </w:p>
        </w:tc>
        <w:tc>
          <w:tcPr>
            <w:tcW w:w="360" w:type="dxa"/>
            <w:vAlign w:val="bottom"/>
            <w:tcBorders>
              <w:right w:val="single" w:sz="8" w:color="auto"/>
            </w:tcBorders>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1,967</w:t>
            </w:r>
          </w:p>
        </w:tc>
        <w:tc>
          <w:tcPr>
            <w:tcW w:w="8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160" w:type="dxa"/>
            <w:vAlign w:val="bottom"/>
            <w:gridSpan w:val="2"/>
          </w:tcPr>
          <w:p>
            <w:pPr>
              <w:ind w:left="140"/>
              <w:spacing w:after="0" w:line="149" w:lineRule="exact"/>
              <w:rPr>
                <w:sz w:val="20"/>
                <w:szCs w:val="20"/>
                <w:color w:val="auto"/>
              </w:rPr>
            </w:pPr>
            <w:r>
              <w:rPr>
                <w:rFonts w:ascii="Arial" w:cs="Arial" w:eastAsia="Arial" w:hAnsi="Arial"/>
                <w:sz w:val="14"/>
                <w:szCs w:val="14"/>
                <w:color w:val="auto"/>
              </w:rPr>
              <w:t>Transaction expenses</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3,776</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tcPr>
          <w:p>
            <w:pPr>
              <w:jc w:val="right"/>
              <w:spacing w:after="0" w:line="149" w:lineRule="exact"/>
              <w:rPr>
                <w:sz w:val="20"/>
                <w:szCs w:val="20"/>
                <w:color w:val="auto"/>
              </w:rPr>
            </w:pPr>
            <w:r>
              <w:rPr>
                <w:rFonts w:ascii="Arial" w:cs="Arial" w:eastAsia="Arial" w:hAnsi="Arial"/>
                <w:sz w:val="14"/>
                <w:szCs w:val="14"/>
                <w:color w:val="auto"/>
              </w:rPr>
              <w:t>14,703</w:t>
            </w:r>
          </w:p>
        </w:tc>
        <w:tc>
          <w:tcPr>
            <w:tcW w:w="360" w:type="dxa"/>
            <w:vAlign w:val="bottom"/>
            <w:tcBorders>
              <w:right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1,151</w:t>
            </w:r>
          </w:p>
        </w:tc>
        <w:tc>
          <w:tcPr>
            <w:tcW w:w="8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7"/>
        </w:trPr>
        <w:tc>
          <w:tcPr>
            <w:tcW w:w="820" w:type="dxa"/>
            <w:vAlign w:val="bottom"/>
          </w:tcPr>
          <w:p>
            <w:pPr>
              <w:spacing w:after="0"/>
              <w:rPr>
                <w:sz w:val="2"/>
                <w:szCs w:val="2"/>
                <w:color w:val="auto"/>
              </w:rPr>
            </w:pPr>
          </w:p>
        </w:tc>
        <w:tc>
          <w:tcPr>
            <w:tcW w:w="2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360" w:type="dxa"/>
            <w:vAlign w:val="bottom"/>
            <w:tcBorders>
              <w:right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8"/>
        </w:trPr>
        <w:tc>
          <w:tcPr>
            <w:tcW w:w="3160" w:type="dxa"/>
            <w:vAlign w:val="bottom"/>
            <w:gridSpan w:val="2"/>
            <w:shd w:val="clear" w:color="auto" w:fill="CCEEFF"/>
          </w:tcPr>
          <w:p>
            <w:pPr>
              <w:ind w:left="300"/>
              <w:spacing w:after="0" w:line="149" w:lineRule="exact"/>
              <w:rPr>
                <w:sz w:val="20"/>
                <w:szCs w:val="20"/>
                <w:color w:val="auto"/>
              </w:rPr>
            </w:pPr>
            <w:r>
              <w:rPr>
                <w:rFonts w:ascii="Arial" w:cs="Arial" w:eastAsia="Arial" w:hAnsi="Arial"/>
                <w:sz w:val="14"/>
                <w:szCs w:val="14"/>
                <w:b w:val="1"/>
                <w:bCs w:val="1"/>
                <w:color w:val="auto"/>
              </w:rPr>
              <w:t>Total operating expenses</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102,294</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57,825</w:t>
            </w:r>
          </w:p>
        </w:tc>
        <w:tc>
          <w:tcPr>
            <w:tcW w:w="360" w:type="dxa"/>
            <w:vAlign w:val="bottom"/>
            <w:tcBorders>
              <w:right w:val="single" w:sz="8" w:color="auto"/>
            </w:tcBorders>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27,097</w:t>
            </w:r>
          </w:p>
        </w:tc>
        <w:tc>
          <w:tcPr>
            <w:tcW w:w="8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3160" w:type="dxa"/>
            <w:vAlign w:val="bottom"/>
            <w:gridSpan w:val="2"/>
          </w:tcPr>
          <w:p>
            <w:pPr>
              <w:ind w:left="300"/>
              <w:spacing w:after="0" w:line="155" w:lineRule="exact"/>
              <w:rPr>
                <w:sz w:val="20"/>
                <w:szCs w:val="20"/>
                <w:color w:val="auto"/>
              </w:rPr>
            </w:pPr>
            <w:r>
              <w:rPr>
                <w:rFonts w:ascii="Arial" w:cs="Arial" w:eastAsia="Arial" w:hAnsi="Arial"/>
                <w:sz w:val="14"/>
                <w:szCs w:val="14"/>
                <w:color w:val="auto"/>
              </w:rPr>
              <w:t>(Loss) income from operations</w:t>
            </w:r>
          </w:p>
        </w:tc>
        <w:tc>
          <w:tcPr>
            <w:tcW w:w="100" w:type="dxa"/>
            <w:vAlign w:val="bottom"/>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520" w:type="dxa"/>
            <w:vAlign w:val="bottom"/>
            <w:tcBorders>
              <w:top w:val="single" w:sz="8" w:color="auto"/>
            </w:tcBorders>
          </w:tcPr>
          <w:p>
            <w:pPr>
              <w:spacing w:after="0"/>
              <w:rPr>
                <w:sz w:val="13"/>
                <w:szCs w:val="13"/>
                <w:color w:val="auto"/>
              </w:rPr>
            </w:pPr>
          </w:p>
        </w:tc>
        <w:tc>
          <w:tcPr>
            <w:tcW w:w="240" w:type="dxa"/>
            <w:vAlign w:val="bottom"/>
          </w:tcPr>
          <w:p>
            <w:pPr>
              <w:spacing w:after="0"/>
              <w:rPr>
                <w:sz w:val="13"/>
                <w:szCs w:val="13"/>
                <w:color w:val="auto"/>
              </w:rPr>
            </w:pPr>
          </w:p>
        </w:tc>
        <w:tc>
          <w:tcPr>
            <w:tcW w:w="640" w:type="dxa"/>
            <w:vAlign w:val="bottom"/>
            <w:tcBorders>
              <w:top w:val="single" w:sz="8" w:color="auto"/>
            </w:tcBorders>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76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rPr>
              <w:t>(14,445)</w:t>
            </w: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76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rPr>
              <w:t>(31,062)</w:t>
            </w:r>
          </w:p>
        </w:tc>
        <w:tc>
          <w:tcPr>
            <w:tcW w:w="360" w:type="dxa"/>
            <w:vAlign w:val="bottom"/>
            <w:tcBorders>
              <w:right w:val="single" w:sz="8" w:color="auto"/>
            </w:tcBorders>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940" w:type="dxa"/>
            <w:vAlign w:val="bottom"/>
            <w:tcBorders>
              <w:top w:val="single" w:sz="8" w:color="auto"/>
            </w:tcBorders>
          </w:tcPr>
          <w:p>
            <w:pPr>
              <w:ind w:left="560"/>
              <w:spacing w:after="0" w:line="155" w:lineRule="exact"/>
              <w:rPr>
                <w:sz w:val="20"/>
                <w:szCs w:val="20"/>
                <w:color w:val="auto"/>
              </w:rPr>
            </w:pPr>
            <w:r>
              <w:rPr>
                <w:rFonts w:ascii="Arial" w:cs="Arial" w:eastAsia="Arial" w:hAnsi="Arial"/>
                <w:sz w:val="14"/>
                <w:szCs w:val="14"/>
                <w:color w:val="auto"/>
                <w:w w:val="83"/>
              </w:rPr>
              <w:t>13,033</w:t>
            </w:r>
          </w:p>
        </w:tc>
        <w:tc>
          <w:tcPr>
            <w:tcW w:w="260" w:type="dxa"/>
            <w:vAlign w:val="bottom"/>
          </w:tcPr>
          <w:p>
            <w:pPr>
              <w:spacing w:after="0"/>
              <w:rPr>
                <w:sz w:val="13"/>
                <w:szCs w:val="13"/>
                <w:color w:val="auto"/>
              </w:rPr>
            </w:pPr>
          </w:p>
        </w:tc>
        <w:tc>
          <w:tcPr>
            <w:tcW w:w="840" w:type="dxa"/>
            <w:vAlign w:val="bottom"/>
            <w:tcBorders>
              <w:top w:val="single" w:sz="8" w:color="auto"/>
            </w:tcBorders>
          </w:tcPr>
          <w:p>
            <w:pPr>
              <w:spacing w:after="0"/>
              <w:rPr>
                <w:sz w:val="13"/>
                <w:szCs w:val="13"/>
                <w:color w:val="auto"/>
              </w:rPr>
            </w:pPr>
          </w:p>
        </w:tc>
        <w:tc>
          <w:tcPr>
            <w:tcW w:w="200" w:type="dxa"/>
            <w:vAlign w:val="bottom"/>
          </w:tcPr>
          <w:p>
            <w:pPr>
              <w:spacing w:after="0"/>
              <w:rPr>
                <w:sz w:val="13"/>
                <w:szCs w:val="13"/>
                <w:color w:val="auto"/>
              </w:rPr>
            </w:pPr>
          </w:p>
        </w:tc>
        <w:tc>
          <w:tcPr>
            <w:tcW w:w="880" w:type="dxa"/>
            <w:vAlign w:val="bottom"/>
            <w:tcBorders>
              <w:top w:val="single" w:sz="8" w:color="auto"/>
            </w:tcBorders>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316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Other expense, net:</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360" w:type="dxa"/>
            <w:vAlign w:val="bottom"/>
            <w:tcBorders>
              <w:right w:val="single" w:sz="8" w:color="auto"/>
            </w:tcBorders>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160" w:type="dxa"/>
            <w:vAlign w:val="bottom"/>
            <w:gridSpan w:val="2"/>
          </w:tcPr>
          <w:p>
            <w:pPr>
              <w:ind w:left="140"/>
              <w:spacing w:after="0" w:line="149" w:lineRule="exact"/>
              <w:rPr>
                <w:sz w:val="20"/>
                <w:szCs w:val="20"/>
                <w:color w:val="auto"/>
              </w:rPr>
            </w:pPr>
            <w:r>
              <w:rPr>
                <w:rFonts w:ascii="Arial" w:cs="Arial" w:eastAsia="Arial" w:hAnsi="Arial"/>
                <w:sz w:val="14"/>
                <w:szCs w:val="14"/>
                <w:color w:val="auto"/>
              </w:rPr>
              <w:t>Foreign currency transaction gain (loss)</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(222)</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20" w:type="dxa"/>
            <w:vAlign w:val="bottom"/>
            <w:tcBorders>
              <w:right w:val="single" w:sz="8" w:color="auto"/>
            </w:tcBorders>
            <w:gridSpan w:val="2"/>
          </w:tcPr>
          <w:p>
            <w:pPr>
              <w:jc w:val="right"/>
              <w:ind w:right="440"/>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0" w:type="dxa"/>
            <w:vAlign w:val="bottom"/>
            <w:gridSpan w:val="2"/>
          </w:tcPr>
          <w:p>
            <w:pPr>
              <w:ind w:left="740"/>
              <w:spacing w:after="0" w:line="149" w:lineRule="exact"/>
              <w:rPr>
                <w:sz w:val="20"/>
                <w:szCs w:val="20"/>
                <w:color w:val="auto"/>
              </w:rPr>
            </w:pPr>
            <w:r>
              <w:rPr>
                <w:rFonts w:ascii="Arial" w:cs="Arial" w:eastAsia="Arial" w:hAnsi="Arial"/>
                <w:sz w:val="14"/>
                <w:szCs w:val="14"/>
                <w:color w:val="auto"/>
              </w:rPr>
              <w:t>—</w:t>
            </w:r>
          </w:p>
        </w:tc>
        <w:tc>
          <w:tcPr>
            <w:tcW w:w="8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160" w:type="dxa"/>
            <w:vAlign w:val="bottom"/>
            <w:gridSpan w:val="2"/>
            <w:shd w:val="clear" w:color="auto" w:fill="CCEEFF"/>
          </w:tcPr>
          <w:p>
            <w:pPr>
              <w:ind w:left="140"/>
              <w:spacing w:after="0" w:line="149" w:lineRule="exact"/>
              <w:rPr>
                <w:sz w:val="20"/>
                <w:szCs w:val="20"/>
                <w:color w:val="auto"/>
              </w:rPr>
            </w:pPr>
            <w:r>
              <w:rPr>
                <w:rFonts w:ascii="Arial" w:cs="Arial" w:eastAsia="Arial" w:hAnsi="Arial"/>
                <w:sz w:val="14"/>
                <w:szCs w:val="14"/>
                <w:color w:val="auto"/>
              </w:rPr>
              <w:t>Interest expense, net</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(36,490)</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120" w:type="dxa"/>
            <w:vAlign w:val="bottom"/>
            <w:tcBorders>
              <w:right w:val="single" w:sz="8" w:color="auto"/>
            </w:tcBorders>
            <w:gridSpan w:val="2"/>
            <w:shd w:val="clear" w:color="auto" w:fill="CCEEFF"/>
          </w:tcPr>
          <w:p>
            <w:pPr>
              <w:jc w:val="right"/>
              <w:ind w:right="320"/>
              <w:spacing w:after="0" w:line="149" w:lineRule="exact"/>
              <w:rPr>
                <w:sz w:val="20"/>
                <w:szCs w:val="20"/>
                <w:color w:val="auto"/>
              </w:rPr>
            </w:pPr>
            <w:r>
              <w:rPr>
                <w:rFonts w:ascii="Arial" w:cs="Arial" w:eastAsia="Arial" w:hAnsi="Arial"/>
                <w:sz w:val="14"/>
                <w:szCs w:val="14"/>
                <w:color w:val="auto"/>
              </w:rPr>
              <w:t>(18,204)</w:t>
            </w: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(165)</w:t>
            </w:r>
          </w:p>
        </w:tc>
        <w:tc>
          <w:tcPr>
            <w:tcW w:w="8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3"/>
        </w:trPr>
        <w:tc>
          <w:tcPr>
            <w:tcW w:w="3160" w:type="dxa"/>
            <w:vAlign w:val="bottom"/>
            <w:gridSpan w:val="2"/>
          </w:tcPr>
          <w:p>
            <w:pPr>
              <w:ind w:left="300"/>
              <w:spacing w:after="0" w:line="155" w:lineRule="exact"/>
              <w:rPr>
                <w:sz w:val="20"/>
                <w:szCs w:val="20"/>
                <w:color w:val="auto"/>
              </w:rPr>
            </w:pPr>
            <w:r>
              <w:rPr>
                <w:rFonts w:ascii="Arial" w:cs="Arial" w:eastAsia="Arial" w:hAnsi="Arial"/>
                <w:sz w:val="14"/>
                <w:szCs w:val="14"/>
                <w:b w:val="1"/>
                <w:bCs w:val="1"/>
                <w:color w:val="auto"/>
              </w:rPr>
              <w:t>Total other expense, net</w:t>
            </w:r>
          </w:p>
        </w:tc>
        <w:tc>
          <w:tcPr>
            <w:tcW w:w="100" w:type="dxa"/>
            <w:vAlign w:val="bottom"/>
          </w:tcPr>
          <w:p>
            <w:pPr>
              <w:spacing w:after="0"/>
              <w:rPr>
                <w:sz w:val="14"/>
                <w:szCs w:val="14"/>
                <w:color w:val="auto"/>
              </w:rPr>
            </w:pPr>
          </w:p>
        </w:tc>
        <w:tc>
          <w:tcPr>
            <w:tcW w:w="80" w:type="dxa"/>
            <w:vAlign w:val="bottom"/>
            <w:tcBorders>
              <w:top w:val="single" w:sz="8" w:color="auto"/>
              <w:bottom w:val="single" w:sz="8" w:color="auto"/>
            </w:tcBorders>
          </w:tcPr>
          <w:p>
            <w:pPr>
              <w:spacing w:after="0"/>
              <w:rPr>
                <w:sz w:val="14"/>
                <w:szCs w:val="14"/>
                <w:color w:val="auto"/>
              </w:rPr>
            </w:pPr>
          </w:p>
        </w:tc>
        <w:tc>
          <w:tcPr>
            <w:tcW w:w="520" w:type="dxa"/>
            <w:vAlign w:val="bottom"/>
            <w:tcBorders>
              <w:top w:val="single" w:sz="8" w:color="auto"/>
              <w:bottom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640" w:type="dxa"/>
            <w:vAlign w:val="bottom"/>
            <w:tcBorders>
              <w:top w:val="single" w:sz="8" w:color="auto"/>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Borders>
              <w:top w:val="single" w:sz="8" w:color="auto"/>
              <w:bottom w:val="single" w:sz="8" w:color="auto"/>
            </w:tcBorders>
          </w:tcPr>
          <w:p>
            <w:pPr>
              <w:spacing w:after="0"/>
              <w:rPr>
                <w:sz w:val="14"/>
                <w:szCs w:val="14"/>
                <w:color w:val="auto"/>
              </w:rPr>
            </w:pPr>
          </w:p>
        </w:tc>
        <w:tc>
          <w:tcPr>
            <w:tcW w:w="76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(36,712)</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Borders>
              <w:top w:val="single" w:sz="8" w:color="auto"/>
              <w:bottom w:val="single" w:sz="8" w:color="auto"/>
            </w:tcBorders>
          </w:tcPr>
          <w:p>
            <w:pPr>
              <w:spacing w:after="0"/>
              <w:rPr>
                <w:sz w:val="14"/>
                <w:szCs w:val="14"/>
                <w:color w:val="auto"/>
              </w:rPr>
            </w:pPr>
          </w:p>
        </w:tc>
        <w:tc>
          <w:tcPr>
            <w:tcW w:w="76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(18,204)</w:t>
            </w:r>
          </w:p>
        </w:tc>
        <w:tc>
          <w:tcPr>
            <w:tcW w:w="360" w:type="dxa"/>
            <w:vAlign w:val="bottom"/>
            <w:tcBorders>
              <w:right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Borders>
              <w:top w:val="single" w:sz="8" w:color="auto"/>
              <w:bottom w:val="single" w:sz="8" w:color="auto"/>
            </w:tcBorders>
          </w:tcPr>
          <w:p>
            <w:pPr>
              <w:spacing w:after="0"/>
              <w:rPr>
                <w:sz w:val="14"/>
                <w:szCs w:val="14"/>
                <w:color w:val="auto"/>
              </w:rPr>
            </w:pPr>
          </w:p>
        </w:tc>
        <w:tc>
          <w:tcPr>
            <w:tcW w:w="94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(165)</w:t>
            </w:r>
          </w:p>
        </w:tc>
        <w:tc>
          <w:tcPr>
            <w:tcW w:w="260" w:type="dxa"/>
            <w:vAlign w:val="bottom"/>
          </w:tcPr>
          <w:p>
            <w:pPr>
              <w:spacing w:after="0"/>
              <w:rPr>
                <w:sz w:val="14"/>
                <w:szCs w:val="14"/>
                <w:color w:val="auto"/>
              </w:rPr>
            </w:pPr>
          </w:p>
        </w:tc>
        <w:tc>
          <w:tcPr>
            <w:tcW w:w="840" w:type="dxa"/>
            <w:vAlign w:val="bottom"/>
            <w:tcBorders>
              <w:top w:val="single" w:sz="8" w:color="auto"/>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880" w:type="dxa"/>
            <w:vAlign w:val="bottom"/>
            <w:tcBorders>
              <w:top w:val="single" w:sz="8" w:color="auto"/>
              <w:bottom w:val="single" w:sz="8" w:color="auto"/>
            </w:tcBorders>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3160" w:type="dxa"/>
            <w:vAlign w:val="bottom"/>
            <w:gridSpan w:val="2"/>
            <w:shd w:val="clear" w:color="auto" w:fill="CCEEFF"/>
          </w:tcPr>
          <w:p>
            <w:pPr>
              <w:ind w:left="300"/>
              <w:spacing w:after="0" w:line="149" w:lineRule="exact"/>
              <w:rPr>
                <w:sz w:val="20"/>
                <w:szCs w:val="20"/>
                <w:color w:val="auto"/>
              </w:rPr>
            </w:pPr>
            <w:r>
              <w:rPr>
                <w:rFonts w:ascii="Arial" w:cs="Arial" w:eastAsia="Arial" w:hAnsi="Arial"/>
                <w:sz w:val="14"/>
                <w:szCs w:val="14"/>
                <w:b w:val="1"/>
                <w:bCs w:val="1"/>
                <w:color w:val="auto"/>
              </w:rPr>
              <w:t>Loss before income taxes</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360" w:type="dxa"/>
            <w:vAlign w:val="bottom"/>
            <w:tcBorders>
              <w:right w:val="single" w:sz="8" w:color="auto"/>
            </w:tcBorders>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5"/>
        </w:trPr>
        <w:tc>
          <w:tcPr>
            <w:tcW w:w="3160" w:type="dxa"/>
            <w:vAlign w:val="bottom"/>
            <w:gridSpan w:val="2"/>
          </w:tcPr>
          <w:p>
            <w:pPr>
              <w:spacing w:after="0" w:line="149" w:lineRule="exact"/>
              <w:rPr>
                <w:sz w:val="20"/>
                <w:szCs w:val="20"/>
                <w:color w:val="auto"/>
              </w:rPr>
            </w:pPr>
            <w:r>
              <w:rPr>
                <w:rFonts w:ascii="Arial" w:cs="Arial" w:eastAsia="Arial" w:hAnsi="Arial"/>
                <w:sz w:val="14"/>
                <w:szCs w:val="14"/>
                <w:color w:val="auto"/>
              </w:rPr>
              <w:t>Income tax expense</w:t>
            </w: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360" w:type="dxa"/>
            <w:vAlign w:val="bottom"/>
            <w:tcBorders>
              <w:right w:val="single" w:sz="8" w:color="auto"/>
            </w:tcBorders>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40" w:type="dxa"/>
            <w:vAlign w:val="bottom"/>
            <w:tcBorders>
              <w:bottom w:val="single" w:sz="8" w:color="auto"/>
            </w:tcBorders>
          </w:tcPr>
          <w:p>
            <w:pPr>
              <w:spacing w:after="0"/>
              <w:rPr>
                <w:sz w:val="13"/>
                <w:szCs w:val="13"/>
                <w:color w:val="auto"/>
              </w:rPr>
            </w:pPr>
          </w:p>
        </w:tc>
        <w:tc>
          <w:tcPr>
            <w:tcW w:w="200" w:type="dxa"/>
            <w:vAlign w:val="bottom"/>
          </w:tcPr>
          <w:p>
            <w:pPr>
              <w:spacing w:after="0"/>
              <w:rPr>
                <w:sz w:val="13"/>
                <w:szCs w:val="13"/>
                <w:color w:val="auto"/>
              </w:rPr>
            </w:pPr>
          </w:p>
        </w:tc>
        <w:tc>
          <w:tcPr>
            <w:tcW w:w="880" w:type="dxa"/>
            <w:vAlign w:val="bottom"/>
            <w:tcBorders>
              <w:bottom w:val="single" w:sz="8" w:color="auto"/>
            </w:tcBorders>
          </w:tcPr>
          <w:p>
            <w:pPr>
              <w:ind w:left="660"/>
              <w:spacing w:after="0" w:line="149" w:lineRule="exact"/>
              <w:rPr>
                <w:sz w:val="20"/>
                <w:szCs w:val="20"/>
                <w:color w:val="auto"/>
              </w:rPr>
            </w:pPr>
            <w:r>
              <w:rPr>
                <w:rFonts w:ascii="Arial" w:cs="Arial" w:eastAsia="Arial" w:hAnsi="Arial"/>
                <w:sz w:val="14"/>
                <w:szCs w:val="14"/>
                <w:color w:val="auto"/>
              </w:rPr>
              <w:t>—</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3160" w:type="dxa"/>
            <w:vAlign w:val="bottom"/>
            <w:gridSpan w:val="2"/>
            <w:shd w:val="clear" w:color="auto" w:fill="CCEEFF"/>
          </w:tcPr>
          <w:p>
            <w:pPr>
              <w:ind w:left="440"/>
              <w:spacing w:after="0" w:line="149" w:lineRule="exact"/>
              <w:rPr>
                <w:sz w:val="20"/>
                <w:szCs w:val="20"/>
                <w:color w:val="auto"/>
              </w:rPr>
            </w:pPr>
            <w:r>
              <w:rPr>
                <w:rFonts w:ascii="Arial" w:cs="Arial" w:eastAsia="Arial" w:hAnsi="Arial"/>
                <w:sz w:val="14"/>
                <w:szCs w:val="14"/>
                <w:b w:val="1"/>
                <w:bCs w:val="1"/>
                <w:color w:val="auto"/>
              </w:rPr>
              <w:t>Net (loss) income</w:t>
            </w:r>
          </w:p>
        </w:tc>
        <w:tc>
          <w:tcPr>
            <w:tcW w:w="1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52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488"/>
              <w:spacing w:after="0" w:line="149" w:lineRule="exact"/>
              <w:rPr>
                <w:sz w:val="20"/>
                <w:szCs w:val="20"/>
                <w:color w:val="auto"/>
              </w:rPr>
            </w:pPr>
            <w:r>
              <w:rPr>
                <w:rFonts w:ascii="Arial" w:cs="Arial" w:eastAsia="Arial" w:hAnsi="Arial"/>
                <w:sz w:val="14"/>
                <w:szCs w:val="14"/>
                <w:color w:val="auto"/>
              </w:rPr>
              <w:t>$</w:t>
            </w:r>
          </w:p>
        </w:tc>
        <w:tc>
          <w:tcPr>
            <w:tcW w:w="280" w:type="dxa"/>
            <w:vAlign w:val="bottom"/>
            <w:gridSpan w:val="2"/>
            <w:shd w:val="clear" w:color="auto" w:fill="CCEEFF"/>
          </w:tcPr>
          <w:p>
            <w:pPr>
              <w:ind w:left="200"/>
              <w:spacing w:after="0" w:line="149" w:lineRule="exact"/>
              <w:rPr>
                <w:sz w:val="20"/>
                <w:szCs w:val="20"/>
                <w:color w:val="auto"/>
              </w:rPr>
            </w:pPr>
            <w:r>
              <w:rPr>
                <w:rFonts w:ascii="Arial" w:cs="Arial" w:eastAsia="Arial" w:hAnsi="Arial"/>
                <w:sz w:val="14"/>
                <w:szCs w:val="14"/>
                <w:color w:val="auto"/>
                <w:w w:val="76"/>
              </w:rPr>
              <w:t>$</w:t>
            </w:r>
          </w:p>
        </w:tc>
        <w:tc>
          <w:tcPr>
            <w:tcW w:w="92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(51,157)</w:t>
            </w:r>
          </w:p>
        </w:tc>
        <w:tc>
          <w:tcPr>
            <w:tcW w:w="1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120" w:type="dxa"/>
            <w:vAlign w:val="bottom"/>
            <w:tcBorders>
              <w:right w:val="single" w:sz="8" w:color="auto"/>
            </w:tcBorders>
            <w:gridSpan w:val="2"/>
            <w:shd w:val="clear" w:color="auto" w:fill="CCEEFF"/>
          </w:tcPr>
          <w:p>
            <w:pPr>
              <w:jc w:val="right"/>
              <w:ind w:right="320"/>
              <w:spacing w:after="0" w:line="149" w:lineRule="exact"/>
              <w:rPr>
                <w:sz w:val="20"/>
                <w:szCs w:val="20"/>
                <w:color w:val="auto"/>
              </w:rPr>
            </w:pPr>
            <w:r>
              <w:rPr>
                <w:rFonts w:ascii="Arial" w:cs="Arial" w:eastAsia="Arial" w:hAnsi="Arial"/>
                <w:sz w:val="14"/>
                <w:szCs w:val="14"/>
                <w:color w:val="auto"/>
              </w:rPr>
              <w:t>(49,266)</w:t>
            </w:r>
          </w:p>
        </w:tc>
        <w:tc>
          <w:tcPr>
            <w:tcW w:w="24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w:t>
            </w:r>
          </w:p>
        </w:tc>
        <w:tc>
          <w:tcPr>
            <w:tcW w:w="120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12,868</w:t>
            </w:r>
          </w:p>
        </w:tc>
        <w:tc>
          <w:tcPr>
            <w:tcW w:w="84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ind w:left="200"/>
              <w:spacing w:after="0" w:line="149" w:lineRule="exact"/>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3160" w:type="dxa"/>
            <w:vAlign w:val="bottom"/>
            <w:gridSpan w:val="2"/>
            <w:vMerge w:val="restart"/>
          </w:tcPr>
          <w:p>
            <w:pPr>
              <w:spacing w:after="0"/>
              <w:rPr>
                <w:sz w:val="20"/>
                <w:szCs w:val="20"/>
                <w:color w:val="auto"/>
              </w:rPr>
            </w:pPr>
            <w:r>
              <w:rPr>
                <w:rFonts w:ascii="Arial" w:cs="Arial" w:eastAsia="Arial" w:hAnsi="Arial"/>
                <w:sz w:val="14"/>
                <w:szCs w:val="14"/>
                <w:color w:val="auto"/>
              </w:rPr>
              <w:t>Net loss attributable to noncontrolling interests</w:t>
            </w: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2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20" w:type="dxa"/>
            <w:vAlign w:val="bottom"/>
            <w:tcBorders>
              <w:right w:val="single" w:sz="8" w:color="auto"/>
            </w:tcBorders>
            <w:gridSpan w:val="2"/>
            <w:vMerge w:val="restart"/>
          </w:tcPr>
          <w:p>
            <w:pPr>
              <w:jc w:val="right"/>
              <w:ind w:right="4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0" w:type="dxa"/>
            <w:vAlign w:val="bottom"/>
            <w:gridSpan w:val="2"/>
            <w:vMerge w:val="restart"/>
          </w:tcPr>
          <w:p>
            <w:pPr>
              <w:ind w:left="740"/>
              <w:spacing w:after="0"/>
              <w:rPr>
                <w:sz w:val="20"/>
                <w:szCs w:val="20"/>
                <w:color w:val="auto"/>
              </w:rPr>
            </w:pPr>
            <w:r>
              <w:rPr>
                <w:rFonts w:ascii="Arial" w:cs="Arial" w:eastAsia="Arial" w:hAnsi="Arial"/>
                <w:sz w:val="14"/>
                <w:szCs w:val="14"/>
                <w:color w:val="auto"/>
              </w:rPr>
              <w:t>—</w:t>
            </w:r>
          </w:p>
        </w:tc>
        <w:tc>
          <w:tcPr>
            <w:tcW w:w="8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0"/>
        </w:trPr>
        <w:tc>
          <w:tcPr>
            <w:tcW w:w="3160" w:type="dxa"/>
            <w:vAlign w:val="bottom"/>
            <w:gridSpan w:val="2"/>
            <w:vMerge w:val="continue"/>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20" w:type="dxa"/>
            <w:vAlign w:val="bottom"/>
            <w:gridSpan w:val="2"/>
            <w:vMerge w:val="continue"/>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20" w:type="dxa"/>
            <w:vAlign w:val="bottom"/>
            <w:tcBorders>
              <w:right w:val="single" w:sz="8" w:color="auto"/>
            </w:tcBorders>
            <w:gridSpan w:val="2"/>
            <w:vMerge w:val="continue"/>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0" w:type="dxa"/>
            <w:vAlign w:val="bottom"/>
            <w:gridSpan w:val="2"/>
            <w:vMerge w:val="continue"/>
          </w:tcPr>
          <w:p>
            <w:pPr>
              <w:spacing w:after="0"/>
              <w:rPr>
                <w:sz w:val="13"/>
                <w:szCs w:val="13"/>
                <w:color w:val="auto"/>
              </w:rPr>
            </w:pPr>
          </w:p>
        </w:tc>
        <w:tc>
          <w:tcPr>
            <w:tcW w:w="840" w:type="dxa"/>
            <w:vAlign w:val="bottom"/>
            <w:tcBorders>
              <w:bottom w:val="single" w:sz="8" w:color="auto"/>
            </w:tcBorders>
          </w:tcPr>
          <w:p>
            <w:pPr>
              <w:spacing w:after="0"/>
              <w:rPr>
                <w:sz w:val="13"/>
                <w:szCs w:val="13"/>
                <w:color w:val="auto"/>
              </w:rPr>
            </w:pPr>
          </w:p>
        </w:tc>
        <w:tc>
          <w:tcPr>
            <w:tcW w:w="200" w:type="dxa"/>
            <w:vAlign w:val="bottom"/>
          </w:tcPr>
          <w:p>
            <w:pPr>
              <w:spacing w:after="0"/>
              <w:rPr>
                <w:sz w:val="13"/>
                <w:szCs w:val="13"/>
                <w:color w:val="auto"/>
              </w:rPr>
            </w:pPr>
          </w:p>
        </w:tc>
        <w:tc>
          <w:tcPr>
            <w:tcW w:w="880" w:type="dxa"/>
            <w:vAlign w:val="bottom"/>
            <w:tcBorders>
              <w:bottom w:val="single" w:sz="8" w:color="auto"/>
            </w:tcBorders>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0"/>
        </w:trPr>
        <w:tc>
          <w:tcPr>
            <w:tcW w:w="3160" w:type="dxa"/>
            <w:vAlign w:val="bottom"/>
            <w:gridSpan w:val="2"/>
            <w:shd w:val="clear" w:color="auto" w:fill="CCEEFF"/>
          </w:tcPr>
          <w:p>
            <w:pPr>
              <w:ind w:left="300"/>
              <w:spacing w:after="0" w:line="130" w:lineRule="exact"/>
              <w:rPr>
                <w:sz w:val="20"/>
                <w:szCs w:val="20"/>
                <w:color w:val="auto"/>
              </w:rPr>
            </w:pPr>
            <w:r>
              <w:rPr>
                <w:rFonts w:ascii="Arial" w:cs="Arial" w:eastAsia="Arial" w:hAnsi="Arial"/>
                <w:sz w:val="14"/>
                <w:szCs w:val="14"/>
                <w:color w:val="auto"/>
              </w:rPr>
              <w:t>Net loss attributable to Definitive Healthcare</w:t>
            </w: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360" w:type="dxa"/>
            <w:vAlign w:val="bottom"/>
            <w:tcBorders>
              <w:right w:val="single" w:sz="8" w:color="auto"/>
            </w:tcBorders>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94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3160" w:type="dxa"/>
            <w:vAlign w:val="bottom"/>
            <w:gridSpan w:val="2"/>
            <w:shd w:val="clear" w:color="auto" w:fill="CCEEFF"/>
          </w:tcPr>
          <w:p>
            <w:pPr>
              <w:ind w:left="440"/>
              <w:spacing w:after="0"/>
              <w:rPr>
                <w:sz w:val="20"/>
                <w:szCs w:val="20"/>
                <w:color w:val="auto"/>
              </w:rPr>
            </w:pPr>
            <w:r>
              <w:rPr>
                <w:rFonts w:ascii="Arial" w:cs="Arial" w:eastAsia="Arial" w:hAnsi="Arial"/>
                <w:sz w:val="14"/>
                <w:szCs w:val="14"/>
                <w:color w:val="auto"/>
              </w:rPr>
              <w:t>Corp.</w:t>
            </w: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120" w:type="dxa"/>
            <w:vAlign w:val="bottom"/>
            <w:tcBorders>
              <w:right w:val="single" w:sz="8" w:color="auto"/>
            </w:tcBorders>
            <w:gridSpan w:val="2"/>
            <w:shd w:val="clear" w:color="auto" w:fill="CCEEFF"/>
          </w:tcPr>
          <w:p>
            <w:pPr>
              <w:jc w:val="right"/>
              <w:ind w:right="44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0" w:type="dxa"/>
            <w:vAlign w:val="bottom"/>
            <w:gridSpan w:val="2"/>
            <w:shd w:val="clear" w:color="auto" w:fill="CCEEFF"/>
          </w:tcPr>
          <w:p>
            <w:pPr>
              <w:ind w:left="740"/>
              <w:spacing w:after="0"/>
              <w:rPr>
                <w:sz w:val="20"/>
                <w:szCs w:val="20"/>
                <w:color w:val="auto"/>
              </w:rPr>
            </w:pPr>
            <w:r>
              <w:rPr>
                <w:rFonts w:ascii="Arial" w:cs="Arial" w:eastAsia="Arial" w:hAnsi="Arial"/>
                <w:sz w:val="14"/>
                <w:szCs w:val="14"/>
                <w:color w:val="auto"/>
              </w:rPr>
              <w:t>—</w:t>
            </w:r>
          </w:p>
        </w:tc>
        <w:tc>
          <w:tcPr>
            <w:tcW w:w="840" w:type="dxa"/>
            <w:vAlign w:val="bottom"/>
            <w:tcBorders>
              <w:bottom w:val="single" w:sz="8" w:color="auto"/>
            </w:tcBorders>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8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316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2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20" w:type="dxa"/>
            <w:vAlign w:val="bottom"/>
            <w:tcBorders>
              <w:right w:val="single" w:sz="8" w:color="auto"/>
            </w:tcBorders>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0" w:type="dxa"/>
            <w:vAlign w:val="bottom"/>
            <w:gridSpan w:val="2"/>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3160" w:type="dxa"/>
            <w:vAlign w:val="bottom"/>
            <w:gridSpan w:val="2"/>
          </w:tcPr>
          <w:p>
            <w:pPr>
              <w:spacing w:after="0"/>
              <w:rPr>
                <w:sz w:val="20"/>
                <w:szCs w:val="20"/>
                <w:color w:val="auto"/>
              </w:rPr>
            </w:pPr>
            <w:r>
              <w:rPr>
                <w:rFonts w:ascii="Arial" w:cs="Arial" w:eastAsia="Arial" w:hAnsi="Arial"/>
                <w:sz w:val="14"/>
                <w:szCs w:val="14"/>
                <w:color w:val="auto"/>
              </w:rPr>
              <w:t>Basic and diluted net loss per share</w:t>
            </w: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20" w:type="dxa"/>
            <w:vAlign w:val="bottom"/>
            <w:tcBorders>
              <w:right w:val="single" w:sz="8" w:color="auto"/>
            </w:tcBorders>
            <w:gridSpan w:val="2"/>
          </w:tcPr>
          <w:p>
            <w:pPr>
              <w:jc w:val="right"/>
              <w:ind w:right="4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0" w:type="dxa"/>
            <w:vAlign w:val="bottom"/>
            <w:gridSpan w:val="2"/>
          </w:tcPr>
          <w:p>
            <w:pPr>
              <w:ind w:left="740"/>
              <w:spacing w:after="0"/>
              <w:rPr>
                <w:sz w:val="20"/>
                <w:szCs w:val="20"/>
                <w:color w:val="auto"/>
              </w:rPr>
            </w:pPr>
            <w:r>
              <w:rPr>
                <w:rFonts w:ascii="Arial" w:cs="Arial" w:eastAsia="Arial" w:hAnsi="Arial"/>
                <w:sz w:val="14"/>
                <w:szCs w:val="14"/>
                <w:color w:val="auto"/>
              </w:rPr>
              <w:t>—</w:t>
            </w:r>
          </w:p>
        </w:tc>
        <w:tc>
          <w:tcPr>
            <w:tcW w:w="840" w:type="dxa"/>
            <w:vAlign w:val="bottom"/>
          </w:tcPr>
          <w:p>
            <w:pPr>
              <w:spacing w:after="0"/>
              <w:rPr>
                <w:sz w:val="24"/>
                <w:szCs w:val="24"/>
                <w:color w:val="auto"/>
              </w:rPr>
            </w:pPr>
          </w:p>
        </w:tc>
        <w:tc>
          <w:tcPr>
            <w:tcW w:w="1080" w:type="dxa"/>
            <w:vAlign w:val="bottom"/>
            <w:gridSpan w:val="2"/>
          </w:tcPr>
          <w:p>
            <w:pPr>
              <w:ind w:left="200"/>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8"/>
        </w:trPr>
        <w:tc>
          <w:tcPr>
            <w:tcW w:w="316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w w:val="93"/>
              </w:rPr>
              <w:t>Shares used in basic and diluted per share calculation</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120" w:type="dxa"/>
            <w:vAlign w:val="bottom"/>
            <w:tcBorders>
              <w:right w:val="single" w:sz="8" w:color="auto"/>
            </w:tcBorders>
            <w:gridSpan w:val="2"/>
            <w:shd w:val="clear" w:color="auto" w:fill="CCEEFF"/>
          </w:tcPr>
          <w:p>
            <w:pPr>
              <w:jc w:val="right"/>
              <w:ind w:right="440"/>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0" w:type="dxa"/>
            <w:vAlign w:val="bottom"/>
            <w:gridSpan w:val="2"/>
            <w:shd w:val="clear" w:color="auto" w:fill="CCEEFF"/>
          </w:tcPr>
          <w:p>
            <w:pPr>
              <w:ind w:left="740"/>
              <w:spacing w:after="0" w:line="149" w:lineRule="exact"/>
              <w:rPr>
                <w:sz w:val="20"/>
                <w:szCs w:val="20"/>
                <w:color w:val="auto"/>
              </w:rPr>
            </w:pPr>
            <w:r>
              <w:rPr>
                <w:rFonts w:ascii="Arial" w:cs="Arial" w:eastAsia="Arial" w:hAnsi="Arial"/>
                <w:sz w:val="14"/>
                <w:szCs w:val="14"/>
                <w:color w:val="auto"/>
              </w:rPr>
              <w:t>—</w:t>
            </w:r>
          </w:p>
        </w:tc>
        <w:tc>
          <w:tcPr>
            <w:tcW w:w="8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bl>
    <w:p>
      <w:pPr>
        <w:spacing w:after="0" w:line="391" w:lineRule="exact"/>
        <w:rPr>
          <w:sz w:val="20"/>
          <w:szCs w:val="20"/>
          <w:color w:val="auto"/>
        </w:rPr>
      </w:pPr>
    </w:p>
    <w:p>
      <w:pPr>
        <w:jc w:val="center"/>
        <w:ind w:right="-53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0940"/>
          </w:cols>
          <w:pgMar w:left="320" w:top="459" w:right="639" w:bottom="1440" w:gutter="0" w:footer="0" w:header="0"/>
        </w:sectPr>
      </w:pPr>
    </w:p>
    <w:bookmarkStart w:id="29" w:name="page30"/>
    <w:bookmarkEnd w:id="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299"/>
        <w:spacing w:after="0"/>
        <w:rPr>
          <w:sz w:val="20"/>
          <w:szCs w:val="20"/>
          <w:color w:val="auto"/>
        </w:rPr>
      </w:pPr>
      <w:r>
        <w:rPr>
          <w:rFonts w:ascii="Arial" w:cs="Arial" w:eastAsia="Arial" w:hAnsi="Arial"/>
          <w:sz w:val="18"/>
          <w:szCs w:val="18"/>
          <w:b w:val="1"/>
          <w:bCs w:val="1"/>
          <w:color w:val="auto"/>
        </w:rPr>
        <w:t>Confidential Treatment Requested by Definitive Healthcare Corp.</w:t>
      </w:r>
    </w:p>
    <w:p>
      <w:pPr>
        <w:spacing w:after="0" w:line="27" w:lineRule="exact"/>
        <w:rPr>
          <w:sz w:val="20"/>
          <w:szCs w:val="20"/>
          <w:color w:val="auto"/>
        </w:rPr>
      </w:pPr>
    </w:p>
    <w:p>
      <w:pPr>
        <w:jc w:val="center"/>
        <w:ind w:right="-299"/>
        <w:spacing w:after="0"/>
        <w:rPr>
          <w:sz w:val="20"/>
          <w:szCs w:val="20"/>
          <w:color w:val="auto"/>
        </w:rPr>
      </w:pPr>
      <w:r>
        <w:rPr>
          <w:rFonts w:ascii="Arial" w:cs="Arial" w:eastAsia="Arial" w:hAnsi="Arial"/>
          <w:sz w:val="18"/>
          <w:szCs w:val="18"/>
          <w:b w:val="1"/>
          <w:bCs w:val="1"/>
          <w:color w:val="auto"/>
        </w:rPr>
        <w:t>Pursuant to 17 C.F.R. Section 200.83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97790</wp:posOffset>
            </wp:positionV>
            <wp:extent cx="6998970" cy="69132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6998970" cy="6913245"/>
                    </a:xfrm>
                    <a:prstGeom prst="rect">
                      <a:avLst/>
                    </a:prstGeom>
                    <a:noFill/>
                  </pic:spPr>
                </pic:pic>
              </a:graphicData>
            </a:graphic>
          </wp:anchor>
        </w:drawing>
      </w:r>
    </w:p>
    <w:p>
      <w:pPr>
        <w:spacing w:after="0" w:line="304" w:lineRule="exact"/>
        <w:rPr>
          <w:sz w:val="20"/>
          <w:szCs w:val="20"/>
          <w:color w:val="auto"/>
        </w:rPr>
      </w:pPr>
    </w:p>
    <w:tbl>
      <w:tblPr>
        <w:tblLayout w:type="fixed"/>
        <w:tblInd w:w="300" w:type="dxa"/>
        <w:tblCellMar>
          <w:top w:w="0" w:type="dxa"/>
          <w:left w:w="0" w:type="dxa"/>
          <w:bottom w:w="0" w:type="dxa"/>
          <w:right w:w="0" w:type="dxa"/>
        </w:tblCellMar>
      </w:tblPr>
      <w:tr>
        <w:trPr>
          <w:trHeight w:val="171"/>
        </w:trPr>
        <w:tc>
          <w:tcPr>
            <w:tcW w:w="8660" w:type="dxa"/>
            <w:vAlign w:val="bottom"/>
          </w:tcPr>
          <w:p>
            <w:pPr>
              <w:spacing w:after="0"/>
              <w:rPr>
                <w:sz w:val="14"/>
                <w:szCs w:val="14"/>
                <w:color w:val="auto"/>
              </w:rPr>
            </w:pPr>
          </w:p>
        </w:tc>
        <w:tc>
          <w:tcPr>
            <w:tcW w:w="1940" w:type="dxa"/>
            <w:vAlign w:val="bottom"/>
            <w:tcBorders>
              <w:bottom w:val="single" w:sz="8" w:color="auto"/>
            </w:tcBorders>
            <w:gridSpan w:val="2"/>
          </w:tcPr>
          <w:p>
            <w:pPr>
              <w:ind w:left="120"/>
              <w:spacing w:after="0"/>
              <w:rPr>
                <w:sz w:val="20"/>
                <w:szCs w:val="20"/>
                <w:color w:val="auto"/>
              </w:rPr>
            </w:pPr>
            <w:r>
              <w:rPr>
                <w:rFonts w:ascii="Arial" w:cs="Arial" w:eastAsia="Arial" w:hAnsi="Arial"/>
                <w:sz w:val="14"/>
                <w:szCs w:val="14"/>
                <w:b w:val="1"/>
                <w:bCs w:val="1"/>
                <w:color w:val="auto"/>
              </w:rPr>
              <w:t>Definitive Healthcare Corp.</w:t>
            </w:r>
          </w:p>
        </w:tc>
        <w:tc>
          <w:tcPr>
            <w:tcW w:w="0" w:type="dxa"/>
            <w:vAlign w:val="bottom"/>
          </w:tcPr>
          <w:p>
            <w:pPr>
              <w:spacing w:after="0"/>
              <w:rPr>
                <w:sz w:val="1"/>
                <w:szCs w:val="1"/>
                <w:color w:val="auto"/>
              </w:rPr>
            </w:pPr>
          </w:p>
        </w:tc>
      </w:tr>
      <w:tr>
        <w:trPr>
          <w:trHeight w:val="142"/>
        </w:trPr>
        <w:tc>
          <w:tcPr>
            <w:tcW w:w="8660" w:type="dxa"/>
            <w:vAlign w:val="bottom"/>
          </w:tcPr>
          <w:p>
            <w:pPr>
              <w:spacing w:after="0"/>
              <w:rPr>
                <w:sz w:val="12"/>
                <w:szCs w:val="12"/>
                <w:color w:val="auto"/>
              </w:rPr>
            </w:pPr>
          </w:p>
        </w:tc>
        <w:tc>
          <w:tcPr>
            <w:tcW w:w="1940" w:type="dxa"/>
            <w:vAlign w:val="bottom"/>
            <w:tcBorders>
              <w:bottom w:val="single" w:sz="8" w:color="auto"/>
            </w:tcBorders>
            <w:gridSpan w:val="2"/>
          </w:tcPr>
          <w:p>
            <w:pPr>
              <w:ind w:left="200"/>
              <w:spacing w:after="0" w:line="142" w:lineRule="exact"/>
              <w:rPr>
                <w:sz w:val="20"/>
                <w:szCs w:val="20"/>
                <w:color w:val="auto"/>
              </w:rPr>
            </w:pPr>
            <w:r>
              <w:rPr>
                <w:rFonts w:ascii="Arial" w:cs="Arial" w:eastAsia="Arial" w:hAnsi="Arial"/>
                <w:sz w:val="14"/>
                <w:szCs w:val="14"/>
                <w:b w:val="1"/>
                <w:bCs w:val="1"/>
                <w:color w:val="auto"/>
              </w:rPr>
              <w:t>As of September 30, 2021</w:t>
            </w:r>
          </w:p>
        </w:tc>
        <w:tc>
          <w:tcPr>
            <w:tcW w:w="0" w:type="dxa"/>
            <w:vAlign w:val="bottom"/>
          </w:tcPr>
          <w:p>
            <w:pPr>
              <w:spacing w:after="0"/>
              <w:rPr>
                <w:sz w:val="1"/>
                <w:szCs w:val="1"/>
                <w:color w:val="auto"/>
              </w:rPr>
            </w:pPr>
          </w:p>
        </w:tc>
      </w:tr>
      <w:tr>
        <w:trPr>
          <w:trHeight w:val="119"/>
        </w:trPr>
        <w:tc>
          <w:tcPr>
            <w:tcW w:w="8660" w:type="dxa"/>
            <w:vAlign w:val="bottom"/>
          </w:tcPr>
          <w:p>
            <w:pPr>
              <w:spacing w:after="0"/>
              <w:rPr>
                <w:sz w:val="10"/>
                <w:szCs w:val="10"/>
                <w:color w:val="auto"/>
              </w:rPr>
            </w:pPr>
          </w:p>
        </w:tc>
        <w:tc>
          <w:tcPr>
            <w:tcW w:w="880" w:type="dxa"/>
            <w:vAlign w:val="bottom"/>
            <w:vMerge w:val="restart"/>
          </w:tcPr>
          <w:p>
            <w:pPr>
              <w:ind w:left="180"/>
              <w:spacing w:after="0"/>
              <w:rPr>
                <w:sz w:val="20"/>
                <w:szCs w:val="20"/>
                <w:color w:val="auto"/>
              </w:rPr>
            </w:pPr>
            <w:r>
              <w:rPr>
                <w:rFonts w:ascii="Arial" w:cs="Arial" w:eastAsia="Arial" w:hAnsi="Arial"/>
                <w:sz w:val="14"/>
                <w:szCs w:val="14"/>
                <w:b w:val="1"/>
                <w:bCs w:val="1"/>
                <w:color w:val="auto"/>
              </w:rPr>
              <w:t>Actual</w:t>
            </w:r>
          </w:p>
        </w:tc>
        <w:tc>
          <w:tcPr>
            <w:tcW w:w="1060" w:type="dxa"/>
            <w:vAlign w:val="bottom"/>
          </w:tcPr>
          <w:p>
            <w:pPr>
              <w:jc w:val="center"/>
              <w:ind w:left="191"/>
              <w:spacing w:after="0" w:line="119" w:lineRule="exact"/>
              <w:rPr>
                <w:sz w:val="20"/>
                <w:szCs w:val="20"/>
                <w:color w:val="auto"/>
              </w:rPr>
            </w:pPr>
            <w:r>
              <w:rPr>
                <w:rFonts w:ascii="Arial" w:cs="Arial" w:eastAsia="Arial" w:hAnsi="Arial"/>
                <w:sz w:val="13"/>
                <w:szCs w:val="13"/>
                <w:b w:val="1"/>
                <w:bCs w:val="1"/>
                <w:color w:val="auto"/>
                <w:w w:val="96"/>
              </w:rPr>
              <w:t>As</w:t>
            </w:r>
          </w:p>
        </w:tc>
        <w:tc>
          <w:tcPr>
            <w:tcW w:w="0" w:type="dxa"/>
            <w:vAlign w:val="bottom"/>
          </w:tcPr>
          <w:p>
            <w:pPr>
              <w:spacing w:after="0"/>
              <w:rPr>
                <w:sz w:val="1"/>
                <w:szCs w:val="1"/>
                <w:color w:val="auto"/>
              </w:rPr>
            </w:pPr>
          </w:p>
        </w:tc>
      </w:tr>
      <w:tr>
        <w:trPr>
          <w:trHeight w:val="175"/>
        </w:trPr>
        <w:tc>
          <w:tcPr>
            <w:tcW w:w="8660" w:type="dxa"/>
            <w:vAlign w:val="bottom"/>
          </w:tcPr>
          <w:p>
            <w:pPr>
              <w:spacing w:after="0"/>
              <w:rPr>
                <w:sz w:val="20"/>
                <w:szCs w:val="20"/>
                <w:color w:val="auto"/>
              </w:rPr>
            </w:pPr>
            <w:r>
              <w:rPr>
                <w:rFonts w:ascii="Arial" w:cs="Arial" w:eastAsia="Arial" w:hAnsi="Arial"/>
                <w:sz w:val="14"/>
                <w:szCs w:val="14"/>
                <w:color w:val="auto"/>
              </w:rPr>
              <w:t>(in thousands)</w:t>
            </w:r>
          </w:p>
        </w:tc>
        <w:tc>
          <w:tcPr>
            <w:tcW w:w="880" w:type="dxa"/>
            <w:vAlign w:val="bottom"/>
            <w:vMerge w:val="continue"/>
          </w:tcPr>
          <w:p>
            <w:pPr>
              <w:spacing w:after="0"/>
              <w:rPr>
                <w:sz w:val="15"/>
                <w:szCs w:val="15"/>
                <w:color w:val="auto"/>
              </w:rPr>
            </w:pPr>
          </w:p>
        </w:tc>
        <w:tc>
          <w:tcPr>
            <w:tcW w:w="1060" w:type="dxa"/>
            <w:vAlign w:val="bottom"/>
          </w:tcPr>
          <w:p>
            <w:pPr>
              <w:jc w:val="center"/>
              <w:ind w:left="171"/>
              <w:spacing w:after="0"/>
              <w:rPr>
                <w:sz w:val="20"/>
                <w:szCs w:val="20"/>
                <w:color w:val="auto"/>
              </w:rPr>
            </w:pPr>
            <w:r>
              <w:rPr>
                <w:rFonts w:ascii="Arial" w:cs="Arial" w:eastAsia="Arial" w:hAnsi="Arial"/>
                <w:sz w:val="14"/>
                <w:szCs w:val="14"/>
                <w:b w:val="1"/>
                <w:bCs w:val="1"/>
                <w:u w:val="single" w:color="auto"/>
                <w:color w:val="auto"/>
                <w:w w:val="93"/>
              </w:rPr>
              <w:t>Adjusted</w:t>
            </w:r>
            <w:r>
              <w:rPr>
                <w:rFonts w:ascii="Arial" w:cs="Arial" w:eastAsia="Arial" w:hAnsi="Arial"/>
                <w:sz w:val="12"/>
                <w:szCs w:val="12"/>
                <w:b w:val="1"/>
                <w:bCs w:val="1"/>
                <w:u w:val="single" w:color="auto"/>
                <w:color w:val="auto"/>
                <w:w w:val="93"/>
              </w:rPr>
              <w:t>(1)</w:t>
            </w:r>
          </w:p>
        </w:tc>
        <w:tc>
          <w:tcPr>
            <w:tcW w:w="0" w:type="dxa"/>
            <w:vAlign w:val="bottom"/>
          </w:tcPr>
          <w:p>
            <w:pPr>
              <w:spacing w:after="0"/>
              <w:rPr>
                <w:sz w:val="1"/>
                <w:szCs w:val="1"/>
                <w:color w:val="auto"/>
              </w:rPr>
            </w:pPr>
          </w:p>
        </w:tc>
      </w:tr>
    </w:tbl>
    <w:p>
      <w:pPr>
        <w:ind w:left="300"/>
        <w:spacing w:after="0"/>
        <w:rPr>
          <w:sz w:val="20"/>
          <w:szCs w:val="20"/>
          <w:color w:val="auto"/>
        </w:rPr>
      </w:pPr>
      <w:r>
        <w:rPr>
          <w:rFonts w:ascii="Arial" w:cs="Arial" w:eastAsia="Arial" w:hAnsi="Arial"/>
          <w:sz w:val="16"/>
          <w:szCs w:val="16"/>
          <w:b w:val="1"/>
          <w:bCs w:val="1"/>
          <w:color w:val="auto"/>
        </w:rPr>
        <w:t>Consolidated Balance Sheet Data (at end of period)</w:t>
      </w:r>
    </w:p>
    <w:p>
      <w:pPr>
        <w:spacing w:after="0" w:line="18" w:lineRule="exact"/>
        <w:rPr>
          <w:sz w:val="20"/>
          <w:szCs w:val="20"/>
          <w:color w:val="auto"/>
        </w:rPr>
      </w:pPr>
    </w:p>
    <w:tbl>
      <w:tblPr>
        <w:tblLayout w:type="fixed"/>
        <w:tblInd w:w="300" w:type="dxa"/>
        <w:tblCellMar>
          <w:top w:w="0" w:type="dxa"/>
          <w:left w:w="0" w:type="dxa"/>
          <w:bottom w:w="0" w:type="dxa"/>
          <w:right w:w="0" w:type="dxa"/>
        </w:tblCellMar>
      </w:tblPr>
      <w:tr>
        <w:trPr>
          <w:trHeight w:val="206"/>
        </w:trPr>
        <w:tc>
          <w:tcPr>
            <w:tcW w:w="5540" w:type="dxa"/>
            <w:vAlign w:val="bottom"/>
          </w:tcPr>
          <w:p>
            <w:pPr>
              <w:spacing w:after="0"/>
              <w:rPr>
                <w:sz w:val="20"/>
                <w:szCs w:val="20"/>
                <w:color w:val="auto"/>
              </w:rPr>
            </w:pPr>
            <w:r>
              <w:rPr>
                <w:rFonts w:ascii="Arial" w:cs="Arial" w:eastAsia="Arial" w:hAnsi="Arial"/>
                <w:sz w:val="16"/>
                <w:szCs w:val="16"/>
                <w:color w:val="auto"/>
              </w:rPr>
              <w:t>Cash and cash equivalents</w:t>
            </w:r>
          </w:p>
        </w:tc>
        <w:tc>
          <w:tcPr>
            <w:tcW w:w="3720" w:type="dxa"/>
            <w:vAlign w:val="bottom"/>
          </w:tcPr>
          <w:p>
            <w:pPr>
              <w:jc w:val="right"/>
              <w:ind w:right="439"/>
              <w:spacing w:after="0"/>
              <w:rPr>
                <w:sz w:val="20"/>
                <w:szCs w:val="20"/>
                <w:color w:val="auto"/>
              </w:rPr>
            </w:pPr>
            <w:r>
              <w:rPr>
                <w:rFonts w:ascii="Arial" w:cs="Arial" w:eastAsia="Arial" w:hAnsi="Arial"/>
                <w:sz w:val="16"/>
                <w:szCs w:val="16"/>
                <w:color w:val="auto"/>
              </w:rPr>
              <w:t>$</w:t>
            </w:r>
          </w:p>
        </w:tc>
        <w:tc>
          <w:tcPr>
            <w:tcW w:w="1380" w:type="dxa"/>
            <w:vAlign w:val="bottom"/>
          </w:tcPr>
          <w:p>
            <w:pPr>
              <w:jc w:val="right"/>
              <w:ind w:right="679"/>
              <w:spacing w:after="0"/>
              <w:rPr>
                <w:sz w:val="20"/>
                <w:szCs w:val="20"/>
                <w:color w:val="auto"/>
              </w:rPr>
            </w:pPr>
            <w:r>
              <w:rPr>
                <w:rFonts w:ascii="Arial" w:cs="Arial" w:eastAsia="Arial" w:hAnsi="Arial"/>
                <w:sz w:val="16"/>
                <w:szCs w:val="16"/>
                <w:color w:val="auto"/>
              </w:rPr>
              <w:t>$</w:t>
            </w:r>
          </w:p>
        </w:tc>
      </w:tr>
      <w:tr>
        <w:trPr>
          <w:trHeight w:val="208"/>
        </w:trPr>
        <w:tc>
          <w:tcPr>
            <w:tcW w:w="5540" w:type="dxa"/>
            <w:vAlign w:val="bottom"/>
            <w:shd w:val="clear" w:color="auto" w:fill="CCEEFF"/>
          </w:tcPr>
          <w:p>
            <w:pPr>
              <w:spacing w:after="0"/>
              <w:rPr>
                <w:sz w:val="20"/>
                <w:szCs w:val="20"/>
                <w:color w:val="auto"/>
              </w:rPr>
            </w:pPr>
            <w:r>
              <w:rPr>
                <w:rFonts w:ascii="Arial" w:cs="Arial" w:eastAsia="Arial" w:hAnsi="Arial"/>
                <w:sz w:val="16"/>
                <w:szCs w:val="16"/>
                <w:color w:val="auto"/>
              </w:rPr>
              <w:t>Total assets</w:t>
            </w:r>
          </w:p>
        </w:tc>
        <w:tc>
          <w:tcPr>
            <w:tcW w:w="372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r>
      <w:tr>
        <w:trPr>
          <w:trHeight w:val="203"/>
        </w:trPr>
        <w:tc>
          <w:tcPr>
            <w:tcW w:w="5540" w:type="dxa"/>
            <w:vAlign w:val="bottom"/>
          </w:tcPr>
          <w:p>
            <w:pPr>
              <w:spacing w:after="0"/>
              <w:rPr>
                <w:sz w:val="20"/>
                <w:szCs w:val="20"/>
                <w:color w:val="auto"/>
              </w:rPr>
            </w:pPr>
            <w:r>
              <w:rPr>
                <w:rFonts w:ascii="Arial" w:cs="Arial" w:eastAsia="Arial" w:hAnsi="Arial"/>
                <w:sz w:val="16"/>
                <w:szCs w:val="16"/>
                <w:color w:val="auto"/>
              </w:rPr>
              <w:t>Term loan, net of current portion</w:t>
            </w:r>
          </w:p>
        </w:tc>
        <w:tc>
          <w:tcPr>
            <w:tcW w:w="3720" w:type="dxa"/>
            <w:vAlign w:val="bottom"/>
          </w:tcPr>
          <w:p>
            <w:pPr>
              <w:spacing w:after="0"/>
              <w:rPr>
                <w:sz w:val="17"/>
                <w:szCs w:val="17"/>
                <w:color w:val="auto"/>
              </w:rPr>
            </w:pPr>
          </w:p>
        </w:tc>
        <w:tc>
          <w:tcPr>
            <w:tcW w:w="1380" w:type="dxa"/>
            <w:vAlign w:val="bottom"/>
          </w:tcPr>
          <w:p>
            <w:pPr>
              <w:spacing w:after="0"/>
              <w:rPr>
                <w:sz w:val="17"/>
                <w:szCs w:val="17"/>
                <w:color w:val="auto"/>
              </w:rPr>
            </w:pPr>
          </w:p>
        </w:tc>
      </w:tr>
      <w:tr>
        <w:trPr>
          <w:trHeight w:val="203"/>
        </w:trPr>
        <w:tc>
          <w:tcPr>
            <w:tcW w:w="5540" w:type="dxa"/>
            <w:vAlign w:val="bottom"/>
            <w:shd w:val="clear" w:color="auto" w:fill="CCEEFF"/>
          </w:tcPr>
          <w:p>
            <w:pPr>
              <w:spacing w:after="0"/>
              <w:rPr>
                <w:sz w:val="20"/>
                <w:szCs w:val="20"/>
                <w:color w:val="auto"/>
              </w:rPr>
            </w:pPr>
            <w:r>
              <w:rPr>
                <w:rFonts w:ascii="Arial" w:cs="Arial" w:eastAsia="Arial" w:hAnsi="Arial"/>
                <w:sz w:val="16"/>
                <w:szCs w:val="16"/>
                <w:color w:val="auto"/>
              </w:rPr>
              <w:t>Other long-term liabilities</w:t>
            </w:r>
          </w:p>
        </w:tc>
        <w:tc>
          <w:tcPr>
            <w:tcW w:w="3720" w:type="dxa"/>
            <w:vAlign w:val="bottom"/>
            <w:shd w:val="clear" w:color="auto" w:fill="CCEEFF"/>
          </w:tcPr>
          <w:p>
            <w:pPr>
              <w:spacing w:after="0"/>
              <w:rPr>
                <w:sz w:val="17"/>
                <w:szCs w:val="17"/>
                <w:color w:val="auto"/>
              </w:rPr>
            </w:pPr>
          </w:p>
        </w:tc>
        <w:tc>
          <w:tcPr>
            <w:tcW w:w="1380" w:type="dxa"/>
            <w:vAlign w:val="bottom"/>
            <w:shd w:val="clear" w:color="auto" w:fill="CCEEFF"/>
          </w:tcPr>
          <w:p>
            <w:pPr>
              <w:spacing w:after="0"/>
              <w:rPr>
                <w:sz w:val="17"/>
                <w:szCs w:val="17"/>
                <w:color w:val="auto"/>
              </w:rPr>
            </w:pPr>
          </w:p>
        </w:tc>
      </w:tr>
      <w:tr>
        <w:trPr>
          <w:trHeight w:val="206"/>
        </w:trPr>
        <w:tc>
          <w:tcPr>
            <w:tcW w:w="5540" w:type="dxa"/>
            <w:vAlign w:val="bottom"/>
          </w:tcPr>
          <w:p>
            <w:pPr>
              <w:spacing w:after="0"/>
              <w:rPr>
                <w:sz w:val="20"/>
                <w:szCs w:val="20"/>
                <w:color w:val="auto"/>
              </w:rPr>
            </w:pPr>
            <w:r>
              <w:rPr>
                <w:rFonts w:ascii="Arial" w:cs="Arial" w:eastAsia="Arial" w:hAnsi="Arial"/>
                <w:sz w:val="16"/>
                <w:szCs w:val="16"/>
                <w:color w:val="auto"/>
              </w:rPr>
              <w:t>Total liabilities and members’ capital</w:t>
            </w:r>
          </w:p>
        </w:tc>
        <w:tc>
          <w:tcPr>
            <w:tcW w:w="3720" w:type="dxa"/>
            <w:vAlign w:val="bottom"/>
          </w:tcPr>
          <w:p>
            <w:pPr>
              <w:jc w:val="right"/>
              <w:ind w:right="439"/>
              <w:spacing w:after="0"/>
              <w:rPr>
                <w:sz w:val="20"/>
                <w:szCs w:val="20"/>
                <w:color w:val="auto"/>
              </w:rPr>
            </w:pPr>
            <w:r>
              <w:rPr>
                <w:rFonts w:ascii="Arial" w:cs="Arial" w:eastAsia="Arial" w:hAnsi="Arial"/>
                <w:sz w:val="16"/>
                <w:szCs w:val="16"/>
                <w:color w:val="auto"/>
              </w:rPr>
              <w:t>$</w:t>
            </w:r>
          </w:p>
        </w:tc>
        <w:tc>
          <w:tcPr>
            <w:tcW w:w="1380" w:type="dxa"/>
            <w:vAlign w:val="bottom"/>
          </w:tcPr>
          <w:p>
            <w:pPr>
              <w:jc w:val="right"/>
              <w:ind w:right="679"/>
              <w:spacing w:after="0"/>
              <w:rPr>
                <w:sz w:val="20"/>
                <w:szCs w:val="20"/>
                <w:color w:val="auto"/>
              </w:rPr>
            </w:pPr>
            <w:r>
              <w:rPr>
                <w:rFonts w:ascii="Arial" w:cs="Arial" w:eastAsia="Arial" w:hAnsi="Arial"/>
                <w:sz w:val="16"/>
                <w:szCs w:val="16"/>
                <w:color w:val="auto"/>
              </w:rPr>
              <w:t>$</w:t>
            </w:r>
          </w:p>
        </w:tc>
      </w:tr>
    </w:tbl>
    <w:p>
      <w:pPr>
        <w:spacing w:after="0" w:line="166" w:lineRule="exact"/>
        <w:rPr>
          <w:sz w:val="20"/>
          <w:szCs w:val="20"/>
          <w:color w:val="auto"/>
        </w:rPr>
      </w:pPr>
    </w:p>
    <w:p>
      <w:pPr>
        <w:ind w:left="720" w:hanging="422"/>
        <w:spacing w:after="0"/>
        <w:tabs>
          <w:tab w:leader="none" w:pos="720" w:val="left"/>
        </w:tabs>
        <w:numPr>
          <w:ilvl w:val="0"/>
          <w:numId w:val="34"/>
        </w:numPr>
        <w:rPr>
          <w:rFonts w:ascii="Arial" w:cs="Arial" w:eastAsia="Arial" w:hAnsi="Arial"/>
          <w:sz w:val="14"/>
          <w:szCs w:val="14"/>
          <w:color w:val="auto"/>
        </w:rPr>
      </w:pPr>
      <w:r>
        <w:rPr>
          <w:rFonts w:ascii="Arial" w:cs="Arial" w:eastAsia="Arial" w:hAnsi="Arial"/>
          <w:sz w:val="14"/>
          <w:szCs w:val="14"/>
          <w:color w:val="auto"/>
        </w:rPr>
        <w:t>Represents the cash and cash equivalents after giving effect to the use of proceeds as described in “Use of Proceeds.”</w:t>
      </w:r>
    </w:p>
    <w:p>
      <w:pPr>
        <w:spacing w:after="0" w:line="214" w:lineRule="exact"/>
        <w:rPr>
          <w:sz w:val="20"/>
          <w:szCs w:val="20"/>
          <w:color w:val="auto"/>
        </w:rPr>
      </w:pPr>
    </w:p>
    <w:tbl>
      <w:tblPr>
        <w:tblLayout w:type="fixed"/>
        <w:tblInd w:w="300" w:type="dxa"/>
        <w:tblCellMar>
          <w:top w:w="0" w:type="dxa"/>
          <w:left w:w="0" w:type="dxa"/>
          <w:bottom w:w="0" w:type="dxa"/>
          <w:right w:w="0" w:type="dxa"/>
        </w:tblCellMar>
      </w:tblPr>
      <w:tr>
        <w:trPr>
          <w:trHeight w:val="35"/>
        </w:trPr>
        <w:tc>
          <w:tcPr>
            <w:tcW w:w="20" w:type="dxa"/>
            <w:vAlign w:val="bottom"/>
          </w:tcPr>
          <w:p>
            <w:pPr>
              <w:spacing w:after="0"/>
              <w:rPr>
                <w:sz w:val="3"/>
                <w:szCs w:val="3"/>
                <w:color w:val="auto"/>
              </w:rPr>
            </w:pPr>
          </w:p>
        </w:tc>
        <w:tc>
          <w:tcPr>
            <w:tcW w:w="260" w:type="dxa"/>
            <w:vAlign w:val="bottom"/>
          </w:tcPr>
          <w:p>
            <w:pPr>
              <w:spacing w:after="0"/>
              <w:rPr>
                <w:sz w:val="3"/>
                <w:szCs w:val="3"/>
                <w:color w:val="auto"/>
              </w:rPr>
            </w:pPr>
          </w:p>
        </w:tc>
        <w:tc>
          <w:tcPr>
            <w:tcW w:w="880" w:type="dxa"/>
            <w:vAlign w:val="bottom"/>
          </w:tcPr>
          <w:p>
            <w:pPr>
              <w:spacing w:after="0"/>
              <w:rPr>
                <w:sz w:val="3"/>
                <w:szCs w:val="3"/>
                <w:color w:val="auto"/>
              </w:rPr>
            </w:pPr>
          </w:p>
        </w:tc>
        <w:tc>
          <w:tcPr>
            <w:tcW w:w="1840" w:type="dxa"/>
            <w:vAlign w:val="bottom"/>
          </w:tcPr>
          <w:p>
            <w:pPr>
              <w:spacing w:after="0"/>
              <w:rPr>
                <w:sz w:val="3"/>
                <w:szCs w:val="3"/>
                <w:color w:val="auto"/>
              </w:rPr>
            </w:pPr>
          </w:p>
        </w:tc>
        <w:tc>
          <w:tcPr>
            <w:tcW w:w="400" w:type="dxa"/>
            <w:vAlign w:val="bottom"/>
          </w:tcPr>
          <w:p>
            <w:pPr>
              <w:spacing w:after="0"/>
              <w:rPr>
                <w:sz w:val="3"/>
                <w:szCs w:val="3"/>
                <w:color w:val="auto"/>
              </w:rPr>
            </w:pPr>
          </w:p>
        </w:tc>
        <w:tc>
          <w:tcPr>
            <w:tcW w:w="140" w:type="dxa"/>
            <w:vAlign w:val="bottom"/>
          </w:tcPr>
          <w:p>
            <w:pPr>
              <w:spacing w:after="0"/>
              <w:rPr>
                <w:sz w:val="3"/>
                <w:szCs w:val="3"/>
                <w:color w:val="auto"/>
              </w:rPr>
            </w:pPr>
          </w:p>
        </w:tc>
        <w:tc>
          <w:tcPr>
            <w:tcW w:w="540" w:type="dxa"/>
            <w:vAlign w:val="bottom"/>
          </w:tcPr>
          <w:p>
            <w:pPr>
              <w:spacing w:after="0"/>
              <w:rPr>
                <w:sz w:val="3"/>
                <w:szCs w:val="3"/>
                <w:color w:val="auto"/>
              </w:rPr>
            </w:pPr>
          </w:p>
        </w:tc>
        <w:tc>
          <w:tcPr>
            <w:tcW w:w="180" w:type="dxa"/>
            <w:vAlign w:val="bottom"/>
          </w:tcPr>
          <w:p>
            <w:pPr>
              <w:spacing w:after="0"/>
              <w:rPr>
                <w:sz w:val="3"/>
                <w:szCs w:val="3"/>
                <w:color w:val="auto"/>
              </w:rPr>
            </w:pPr>
          </w:p>
        </w:tc>
        <w:tc>
          <w:tcPr>
            <w:tcW w:w="140" w:type="dxa"/>
            <w:vAlign w:val="bottom"/>
          </w:tcPr>
          <w:p>
            <w:pPr>
              <w:spacing w:after="0"/>
              <w:rPr>
                <w:sz w:val="3"/>
                <w:szCs w:val="3"/>
                <w:color w:val="auto"/>
              </w:rPr>
            </w:pPr>
          </w:p>
        </w:tc>
        <w:tc>
          <w:tcPr>
            <w:tcW w:w="140" w:type="dxa"/>
            <w:vAlign w:val="bottom"/>
          </w:tcPr>
          <w:p>
            <w:pPr>
              <w:spacing w:after="0"/>
              <w:rPr>
                <w:sz w:val="3"/>
                <w:szCs w:val="3"/>
                <w:color w:val="auto"/>
              </w:rPr>
            </w:pPr>
          </w:p>
        </w:tc>
        <w:tc>
          <w:tcPr>
            <w:tcW w:w="400" w:type="dxa"/>
            <w:vAlign w:val="bottom"/>
          </w:tcPr>
          <w:p>
            <w:pPr>
              <w:spacing w:after="0"/>
              <w:rPr>
                <w:sz w:val="3"/>
                <w:szCs w:val="3"/>
                <w:color w:val="auto"/>
              </w:rPr>
            </w:pPr>
          </w:p>
        </w:tc>
        <w:tc>
          <w:tcPr>
            <w:tcW w:w="280" w:type="dxa"/>
            <w:vAlign w:val="bottom"/>
          </w:tcPr>
          <w:p>
            <w:pPr>
              <w:spacing w:after="0"/>
              <w:rPr>
                <w:sz w:val="3"/>
                <w:szCs w:val="3"/>
                <w:color w:val="auto"/>
              </w:rPr>
            </w:pPr>
          </w:p>
        </w:tc>
        <w:tc>
          <w:tcPr>
            <w:tcW w:w="200" w:type="dxa"/>
            <w:vAlign w:val="bottom"/>
          </w:tcPr>
          <w:p>
            <w:pPr>
              <w:spacing w:after="0"/>
              <w:rPr>
                <w:sz w:val="3"/>
                <w:szCs w:val="3"/>
                <w:color w:val="auto"/>
              </w:rPr>
            </w:pPr>
          </w:p>
        </w:tc>
        <w:tc>
          <w:tcPr>
            <w:tcW w:w="200" w:type="dxa"/>
            <w:vAlign w:val="bottom"/>
          </w:tcPr>
          <w:p>
            <w:pPr>
              <w:spacing w:after="0"/>
              <w:rPr>
                <w:sz w:val="3"/>
                <w:szCs w:val="3"/>
                <w:color w:val="auto"/>
              </w:rPr>
            </w:pPr>
          </w:p>
        </w:tc>
        <w:tc>
          <w:tcPr>
            <w:tcW w:w="60" w:type="dxa"/>
            <w:vAlign w:val="bottom"/>
          </w:tcPr>
          <w:p>
            <w:pPr>
              <w:spacing w:after="0"/>
              <w:rPr>
                <w:sz w:val="3"/>
                <w:szCs w:val="3"/>
                <w:color w:val="auto"/>
              </w:rPr>
            </w:pPr>
          </w:p>
        </w:tc>
        <w:tc>
          <w:tcPr>
            <w:tcW w:w="1880" w:type="dxa"/>
            <w:vAlign w:val="bottom"/>
            <w:gridSpan w:val="7"/>
            <w:vMerge w:val="restart"/>
          </w:tcPr>
          <w:p>
            <w:pPr>
              <w:jc w:val="center"/>
              <w:ind w:right="340"/>
              <w:spacing w:after="0"/>
              <w:rPr>
                <w:sz w:val="20"/>
                <w:szCs w:val="20"/>
                <w:color w:val="auto"/>
              </w:rPr>
            </w:pPr>
            <w:r>
              <w:rPr>
                <w:rFonts w:ascii="Arial" w:cs="Arial" w:eastAsia="Arial" w:hAnsi="Arial"/>
                <w:sz w:val="14"/>
                <w:szCs w:val="14"/>
                <w:b w:val="1"/>
                <w:bCs w:val="1"/>
                <w:color w:val="auto"/>
                <w:w w:val="97"/>
              </w:rPr>
              <w:t>Definitive OpCo</w:t>
            </w:r>
          </w:p>
        </w:tc>
        <w:tc>
          <w:tcPr>
            <w:tcW w:w="200" w:type="dxa"/>
            <w:vAlign w:val="bottom"/>
          </w:tcPr>
          <w:p>
            <w:pPr>
              <w:spacing w:after="0"/>
              <w:rPr>
                <w:sz w:val="3"/>
                <w:szCs w:val="3"/>
                <w:color w:val="auto"/>
              </w:rPr>
            </w:pPr>
          </w:p>
        </w:tc>
        <w:tc>
          <w:tcPr>
            <w:tcW w:w="100" w:type="dxa"/>
            <w:vAlign w:val="bottom"/>
          </w:tcPr>
          <w:p>
            <w:pPr>
              <w:spacing w:after="0"/>
              <w:rPr>
                <w:sz w:val="3"/>
                <w:szCs w:val="3"/>
                <w:color w:val="auto"/>
              </w:rPr>
            </w:pPr>
          </w:p>
        </w:tc>
        <w:tc>
          <w:tcPr>
            <w:tcW w:w="340" w:type="dxa"/>
            <w:vAlign w:val="bottom"/>
          </w:tcPr>
          <w:p>
            <w:pPr>
              <w:spacing w:after="0"/>
              <w:rPr>
                <w:sz w:val="3"/>
                <w:szCs w:val="3"/>
                <w:color w:val="auto"/>
              </w:rPr>
            </w:pPr>
          </w:p>
        </w:tc>
        <w:tc>
          <w:tcPr>
            <w:tcW w:w="440" w:type="dxa"/>
            <w:vAlign w:val="bottom"/>
          </w:tcPr>
          <w:p>
            <w:pPr>
              <w:spacing w:after="0"/>
              <w:rPr>
                <w:sz w:val="3"/>
                <w:szCs w:val="3"/>
                <w:color w:val="auto"/>
              </w:rPr>
            </w:pPr>
          </w:p>
        </w:tc>
        <w:tc>
          <w:tcPr>
            <w:tcW w:w="220" w:type="dxa"/>
            <w:vAlign w:val="bottom"/>
          </w:tcPr>
          <w:p>
            <w:pPr>
              <w:spacing w:after="0"/>
              <w:rPr>
                <w:sz w:val="3"/>
                <w:szCs w:val="3"/>
                <w:color w:val="auto"/>
              </w:rPr>
            </w:pPr>
          </w:p>
        </w:tc>
        <w:tc>
          <w:tcPr>
            <w:tcW w:w="200" w:type="dxa"/>
            <w:vAlign w:val="bottom"/>
          </w:tcPr>
          <w:p>
            <w:pPr>
              <w:spacing w:after="0"/>
              <w:rPr>
                <w:sz w:val="3"/>
                <w:szCs w:val="3"/>
                <w:color w:val="auto"/>
              </w:rPr>
            </w:pPr>
          </w:p>
        </w:tc>
        <w:tc>
          <w:tcPr>
            <w:tcW w:w="1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300" w:type="dxa"/>
            <w:vAlign w:val="bottom"/>
            <w:gridSpan w:val="3"/>
            <w:vMerge w:val="restart"/>
          </w:tcPr>
          <w:p>
            <w:pPr>
              <w:jc w:val="center"/>
              <w:ind w:right="220"/>
              <w:spacing w:after="0"/>
              <w:rPr>
                <w:sz w:val="20"/>
                <w:szCs w:val="20"/>
                <w:color w:val="auto"/>
              </w:rPr>
            </w:pPr>
            <w:r>
              <w:rPr>
                <w:rFonts w:ascii="Arial" w:cs="Arial" w:eastAsia="Arial" w:hAnsi="Arial"/>
                <w:sz w:val="14"/>
                <w:szCs w:val="14"/>
                <w:b w:val="1"/>
                <w:bCs w:val="1"/>
                <w:color w:val="auto"/>
                <w:w w:val="95"/>
              </w:rPr>
              <w:t>Definitive OpCo</w:t>
            </w:r>
          </w:p>
        </w:tc>
        <w:tc>
          <w:tcPr>
            <w:tcW w:w="0" w:type="dxa"/>
            <w:vAlign w:val="bottom"/>
          </w:tcPr>
          <w:p>
            <w:pPr>
              <w:spacing w:after="0" w:line="20" w:lineRule="exact"/>
              <w:rPr>
                <w:sz w:val="1"/>
                <w:szCs w:val="1"/>
                <w:color w:val="auto"/>
              </w:rPr>
            </w:pPr>
          </w:p>
        </w:tc>
      </w:tr>
      <w:tr>
        <w:trPr>
          <w:trHeight w:val="126"/>
        </w:trPr>
        <w:tc>
          <w:tcPr>
            <w:tcW w:w="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84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880" w:type="dxa"/>
            <w:vAlign w:val="bottom"/>
            <w:gridSpan w:val="7"/>
            <w:vMerge w:val="continue"/>
          </w:tcPr>
          <w:p>
            <w:pPr>
              <w:spacing w:after="0"/>
              <w:rPr>
                <w:sz w:val="10"/>
                <w:szCs w:val="10"/>
                <w:color w:val="auto"/>
              </w:rPr>
            </w:pPr>
          </w:p>
        </w:tc>
        <w:tc>
          <w:tcPr>
            <w:tcW w:w="2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220" w:type="dxa"/>
            <w:vAlign w:val="bottom"/>
            <w:tcBorders>
              <w:right w:val="single" w:sz="8" w:color="auto"/>
            </w:tcBorders>
          </w:tcPr>
          <w:p>
            <w:pPr>
              <w:spacing w:after="0"/>
              <w:rPr>
                <w:sz w:val="10"/>
                <w:szCs w:val="10"/>
                <w:color w:val="auto"/>
              </w:rPr>
            </w:pPr>
          </w:p>
        </w:tc>
        <w:tc>
          <w:tcPr>
            <w:tcW w:w="2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30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8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880" w:type="dxa"/>
            <w:vAlign w:val="bottom"/>
            <w:gridSpan w:val="7"/>
            <w:vMerge w:val="continue"/>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20" w:type="dxa"/>
            <w:vAlign w:val="bottom"/>
            <w:tcBorders>
              <w:right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00" w:type="dxa"/>
            <w:vAlign w:val="bottom"/>
            <w:gridSpan w:val="4"/>
          </w:tcPr>
          <w:p>
            <w:pPr>
              <w:spacing w:after="0" w:line="149" w:lineRule="exact"/>
              <w:rPr>
                <w:sz w:val="20"/>
                <w:szCs w:val="20"/>
                <w:color w:val="auto"/>
              </w:rPr>
            </w:pPr>
            <w:r>
              <w:rPr>
                <w:rFonts w:ascii="Arial" w:cs="Arial" w:eastAsia="Arial" w:hAnsi="Arial"/>
                <w:sz w:val="14"/>
                <w:szCs w:val="14"/>
                <w:b w:val="1"/>
                <w:bCs w:val="1"/>
                <w:color w:val="auto"/>
              </w:rPr>
              <w:t>(AIDH TopCo, LLC)</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8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880" w:type="dxa"/>
            <w:vAlign w:val="bottom"/>
            <w:gridSpan w:val="7"/>
          </w:tcPr>
          <w:p>
            <w:pPr>
              <w:jc w:val="center"/>
              <w:ind w:right="340"/>
              <w:spacing w:after="0" w:line="149" w:lineRule="exact"/>
              <w:rPr>
                <w:sz w:val="20"/>
                <w:szCs w:val="20"/>
                <w:color w:val="auto"/>
              </w:rPr>
            </w:pPr>
            <w:r>
              <w:rPr>
                <w:rFonts w:ascii="Arial" w:cs="Arial" w:eastAsia="Arial" w:hAnsi="Arial"/>
                <w:sz w:val="14"/>
                <w:szCs w:val="14"/>
                <w:b w:val="1"/>
                <w:bCs w:val="1"/>
                <w:color w:val="auto"/>
              </w:rPr>
              <w:t>(AIDH TopCo, LLC)</w:t>
            </w: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20" w:type="dxa"/>
            <w:vAlign w:val="bottom"/>
            <w:tcBorders>
              <w:right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00" w:type="dxa"/>
            <w:vAlign w:val="bottom"/>
            <w:gridSpan w:val="3"/>
          </w:tcPr>
          <w:p>
            <w:pPr>
              <w:jc w:val="center"/>
              <w:ind w:right="200"/>
              <w:spacing w:after="0" w:line="149" w:lineRule="exact"/>
              <w:rPr>
                <w:sz w:val="20"/>
                <w:szCs w:val="20"/>
                <w:color w:val="auto"/>
              </w:rPr>
            </w:pPr>
            <w:r>
              <w:rPr>
                <w:rFonts w:ascii="Arial" w:cs="Arial" w:eastAsia="Arial" w:hAnsi="Arial"/>
                <w:sz w:val="14"/>
                <w:szCs w:val="14"/>
                <w:b w:val="1"/>
                <w:bCs w:val="1"/>
                <w:color w:val="auto"/>
                <w:w w:val="87"/>
              </w:rPr>
              <w:t>(Predecessor</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8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880" w:type="dxa"/>
            <w:vAlign w:val="bottom"/>
            <w:gridSpan w:val="7"/>
          </w:tcPr>
          <w:p>
            <w:pPr>
              <w:jc w:val="center"/>
              <w:ind w:right="340"/>
              <w:spacing w:after="0"/>
              <w:rPr>
                <w:sz w:val="20"/>
                <w:szCs w:val="20"/>
                <w:color w:val="auto"/>
              </w:rPr>
            </w:pPr>
            <w:r>
              <w:rPr>
                <w:rFonts w:ascii="Arial" w:cs="Arial" w:eastAsia="Arial" w:hAnsi="Arial"/>
                <w:sz w:val="14"/>
                <w:szCs w:val="14"/>
                <w:b w:val="1"/>
                <w:bCs w:val="1"/>
                <w:color w:val="auto"/>
                <w:w w:val="90"/>
              </w:rPr>
              <w:t>(Successor Company)</w:t>
            </w: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20" w:type="dxa"/>
            <w:vAlign w:val="bottom"/>
            <w:tcBorders>
              <w:right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00" w:type="dxa"/>
            <w:vAlign w:val="bottom"/>
            <w:gridSpan w:val="3"/>
          </w:tcPr>
          <w:p>
            <w:pPr>
              <w:jc w:val="center"/>
              <w:ind w:right="200"/>
              <w:spacing w:after="0"/>
              <w:rPr>
                <w:sz w:val="20"/>
                <w:szCs w:val="20"/>
                <w:color w:val="auto"/>
              </w:rPr>
            </w:pPr>
            <w:r>
              <w:rPr>
                <w:rFonts w:ascii="Arial" w:cs="Arial" w:eastAsia="Arial" w:hAnsi="Arial"/>
                <w:sz w:val="14"/>
                <w:szCs w:val="14"/>
                <w:b w:val="1"/>
                <w:bCs w:val="1"/>
                <w:color w:val="auto"/>
                <w:w w:val="96"/>
              </w:rPr>
              <w:t>Company)</w:t>
            </w: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84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400" w:type="dxa"/>
            <w:vAlign w:val="bottom"/>
            <w:tcBorders>
              <w:top w:val="single" w:sz="8" w:color="auto"/>
            </w:tcBorders>
          </w:tcPr>
          <w:p>
            <w:pPr>
              <w:spacing w:after="0"/>
              <w:rPr>
                <w:sz w:val="10"/>
                <w:szCs w:val="10"/>
                <w:color w:val="auto"/>
              </w:rPr>
            </w:pPr>
          </w:p>
        </w:tc>
        <w:tc>
          <w:tcPr>
            <w:tcW w:w="280" w:type="dxa"/>
            <w:vAlign w:val="bottom"/>
            <w:tcBorders>
              <w:top w:val="single" w:sz="8" w:color="auto"/>
            </w:tcBorders>
          </w:tcPr>
          <w:p>
            <w:pPr>
              <w:spacing w:after="0"/>
              <w:rPr>
                <w:sz w:val="10"/>
                <w:szCs w:val="10"/>
                <w:color w:val="auto"/>
              </w:rPr>
            </w:pPr>
          </w:p>
        </w:tc>
        <w:tc>
          <w:tcPr>
            <w:tcW w:w="200" w:type="dxa"/>
            <w:vAlign w:val="bottom"/>
            <w:tcBorders>
              <w:top w:val="single" w:sz="8" w:color="auto"/>
            </w:tcBorders>
          </w:tcPr>
          <w:p>
            <w:pPr>
              <w:spacing w:after="0"/>
              <w:rPr>
                <w:sz w:val="10"/>
                <w:szCs w:val="10"/>
                <w:color w:val="auto"/>
              </w:rPr>
            </w:pPr>
          </w:p>
        </w:tc>
        <w:tc>
          <w:tcPr>
            <w:tcW w:w="200" w:type="dxa"/>
            <w:vAlign w:val="bottom"/>
            <w:tcBorders>
              <w:top w:val="single" w:sz="8" w:color="auto"/>
            </w:tcBorders>
          </w:tcPr>
          <w:p>
            <w:pPr>
              <w:spacing w:after="0"/>
              <w:rPr>
                <w:sz w:val="10"/>
                <w:szCs w:val="10"/>
                <w:color w:val="auto"/>
              </w:rPr>
            </w:pPr>
          </w:p>
        </w:tc>
        <w:tc>
          <w:tcPr>
            <w:tcW w:w="60" w:type="dxa"/>
            <w:vAlign w:val="bottom"/>
            <w:tcBorders>
              <w:top w:val="single" w:sz="8" w:color="auto"/>
            </w:tcBorders>
          </w:tcPr>
          <w:p>
            <w:pPr>
              <w:spacing w:after="0"/>
              <w:rPr>
                <w:sz w:val="10"/>
                <w:szCs w:val="10"/>
                <w:color w:val="auto"/>
              </w:rPr>
            </w:pPr>
          </w:p>
        </w:tc>
        <w:tc>
          <w:tcPr>
            <w:tcW w:w="420" w:type="dxa"/>
            <w:vAlign w:val="bottom"/>
            <w:tcBorders>
              <w:top w:val="single" w:sz="8" w:color="auto"/>
            </w:tcBorders>
          </w:tcPr>
          <w:p>
            <w:pPr>
              <w:spacing w:after="0"/>
              <w:rPr>
                <w:sz w:val="10"/>
                <w:szCs w:val="10"/>
                <w:color w:val="auto"/>
              </w:rPr>
            </w:pPr>
          </w:p>
        </w:tc>
        <w:tc>
          <w:tcPr>
            <w:tcW w:w="420" w:type="dxa"/>
            <w:vAlign w:val="bottom"/>
            <w:tcBorders>
              <w:top w:val="single" w:sz="8" w:color="auto"/>
            </w:tcBorders>
          </w:tcPr>
          <w:p>
            <w:pPr>
              <w:spacing w:after="0"/>
              <w:rPr>
                <w:sz w:val="10"/>
                <w:szCs w:val="10"/>
                <w:color w:val="auto"/>
              </w:rPr>
            </w:pPr>
          </w:p>
        </w:tc>
        <w:tc>
          <w:tcPr>
            <w:tcW w:w="60" w:type="dxa"/>
            <w:vAlign w:val="bottom"/>
            <w:tcBorders>
              <w:top w:val="single" w:sz="8" w:color="auto"/>
            </w:tcBorders>
          </w:tcPr>
          <w:p>
            <w:pPr>
              <w:spacing w:after="0"/>
              <w:rPr>
                <w:sz w:val="10"/>
                <w:szCs w:val="10"/>
                <w:color w:val="auto"/>
              </w:rPr>
            </w:pPr>
          </w:p>
        </w:tc>
        <w:tc>
          <w:tcPr>
            <w:tcW w:w="980" w:type="dxa"/>
            <w:vAlign w:val="bottom"/>
            <w:tcBorders>
              <w:top w:val="single" w:sz="8" w:color="auto"/>
            </w:tcBorders>
            <w:gridSpan w:val="4"/>
          </w:tcPr>
          <w:p>
            <w:pPr>
              <w:jc w:val="center"/>
              <w:ind w:right="140"/>
              <w:spacing w:after="0" w:line="119" w:lineRule="exact"/>
              <w:rPr>
                <w:sz w:val="20"/>
                <w:szCs w:val="20"/>
                <w:color w:val="auto"/>
              </w:rPr>
            </w:pPr>
            <w:r>
              <w:rPr>
                <w:rFonts w:ascii="Arial" w:cs="Arial" w:eastAsia="Arial" w:hAnsi="Arial"/>
                <w:sz w:val="13"/>
                <w:szCs w:val="13"/>
                <w:b w:val="1"/>
                <w:bCs w:val="1"/>
                <w:color w:val="auto"/>
                <w:w w:val="98"/>
              </w:rPr>
              <w:t>Fiscal Year</w:t>
            </w:r>
          </w:p>
        </w:tc>
        <w:tc>
          <w:tcPr>
            <w:tcW w:w="200" w:type="dxa"/>
            <w:vAlign w:val="bottom"/>
            <w:tcBorders>
              <w:top w:val="single" w:sz="8" w:color="auto"/>
            </w:tcBorders>
          </w:tcPr>
          <w:p>
            <w:pPr>
              <w:spacing w:after="0"/>
              <w:rPr>
                <w:sz w:val="10"/>
                <w:szCs w:val="10"/>
                <w:color w:val="auto"/>
              </w:rPr>
            </w:pPr>
          </w:p>
        </w:tc>
        <w:tc>
          <w:tcPr>
            <w:tcW w:w="880" w:type="dxa"/>
            <w:vAlign w:val="bottom"/>
            <w:tcBorders>
              <w:top w:val="single" w:sz="8" w:color="auto"/>
            </w:tcBorders>
            <w:gridSpan w:val="3"/>
          </w:tcPr>
          <w:p>
            <w:pPr>
              <w:jc w:val="center"/>
              <w:spacing w:after="0" w:line="119" w:lineRule="exact"/>
              <w:rPr>
                <w:sz w:val="20"/>
                <w:szCs w:val="20"/>
                <w:color w:val="auto"/>
              </w:rPr>
            </w:pPr>
            <w:r>
              <w:rPr>
                <w:rFonts w:ascii="Arial" w:cs="Arial" w:eastAsia="Arial" w:hAnsi="Arial"/>
                <w:sz w:val="13"/>
                <w:szCs w:val="13"/>
                <w:b w:val="1"/>
                <w:bCs w:val="1"/>
                <w:color w:val="auto"/>
              </w:rPr>
              <w:t>Period from</w:t>
            </w:r>
          </w:p>
        </w:tc>
        <w:tc>
          <w:tcPr>
            <w:tcW w:w="220" w:type="dxa"/>
            <w:vAlign w:val="bottom"/>
            <w:tcBorders>
              <w:right w:val="single" w:sz="8" w:color="auto"/>
            </w:tcBorders>
          </w:tcPr>
          <w:p>
            <w:pPr>
              <w:spacing w:after="0"/>
              <w:rPr>
                <w:sz w:val="10"/>
                <w:szCs w:val="10"/>
                <w:color w:val="auto"/>
              </w:rPr>
            </w:pPr>
          </w:p>
        </w:tc>
        <w:tc>
          <w:tcPr>
            <w:tcW w:w="2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1200" w:type="dxa"/>
            <w:vAlign w:val="bottom"/>
            <w:tcBorders>
              <w:top w:val="single" w:sz="8" w:color="auto"/>
            </w:tcBorders>
            <w:gridSpan w:val="2"/>
          </w:tcPr>
          <w:p>
            <w:pPr>
              <w:jc w:val="center"/>
              <w:ind w:right="100"/>
              <w:spacing w:after="0" w:line="119" w:lineRule="exact"/>
              <w:rPr>
                <w:sz w:val="20"/>
                <w:szCs w:val="20"/>
                <w:color w:val="auto"/>
              </w:rPr>
            </w:pPr>
            <w:r>
              <w:rPr>
                <w:rFonts w:ascii="Arial" w:cs="Arial" w:eastAsia="Arial" w:hAnsi="Arial"/>
                <w:sz w:val="13"/>
                <w:szCs w:val="13"/>
                <w:b w:val="1"/>
                <w:bCs w:val="1"/>
                <w:color w:val="auto"/>
              </w:rPr>
              <w:t>Period from</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8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220" w:type="dxa"/>
            <w:vAlign w:val="bottom"/>
            <w:gridSpan w:val="9"/>
          </w:tcPr>
          <w:p>
            <w:pPr>
              <w:jc w:val="right"/>
              <w:ind w:right="891"/>
              <w:spacing w:after="0" w:line="149" w:lineRule="exact"/>
              <w:rPr>
                <w:sz w:val="20"/>
                <w:szCs w:val="20"/>
                <w:color w:val="auto"/>
              </w:rPr>
            </w:pPr>
            <w:r>
              <w:rPr>
                <w:rFonts w:ascii="Arial" w:cs="Arial" w:eastAsia="Arial" w:hAnsi="Arial"/>
                <w:sz w:val="14"/>
                <w:szCs w:val="14"/>
                <w:b w:val="1"/>
                <w:bCs w:val="1"/>
                <w:color w:val="auto"/>
                <w:w w:val="94"/>
              </w:rPr>
              <w:t>Nine Months Ended</w:t>
            </w:r>
          </w:p>
        </w:tc>
        <w:tc>
          <w:tcPr>
            <w:tcW w:w="800" w:type="dxa"/>
            <w:vAlign w:val="bottom"/>
            <w:gridSpan w:val="3"/>
          </w:tcPr>
          <w:p>
            <w:pPr>
              <w:jc w:val="center"/>
              <w:ind w:right="320"/>
              <w:spacing w:after="0" w:line="149" w:lineRule="exact"/>
              <w:rPr>
                <w:sz w:val="20"/>
                <w:szCs w:val="20"/>
                <w:color w:val="auto"/>
              </w:rPr>
            </w:pPr>
            <w:r>
              <w:rPr>
                <w:rFonts w:ascii="Arial" w:cs="Arial" w:eastAsia="Arial" w:hAnsi="Arial"/>
                <w:sz w:val="14"/>
                <w:szCs w:val="14"/>
                <w:b w:val="1"/>
                <w:bCs w:val="1"/>
                <w:color w:val="auto"/>
                <w:w w:val="93"/>
              </w:rPr>
              <w:t>Ended</w:t>
            </w: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tcBorders>
              <w:right w:val="single" w:sz="8" w:color="auto"/>
            </w:tcBorders>
            <w:gridSpan w:val="3"/>
          </w:tcPr>
          <w:p>
            <w:pPr>
              <w:jc w:val="center"/>
              <w:ind w:right="320"/>
              <w:spacing w:after="0" w:line="149" w:lineRule="exact"/>
              <w:rPr>
                <w:sz w:val="20"/>
                <w:szCs w:val="20"/>
                <w:color w:val="auto"/>
              </w:rPr>
            </w:pPr>
            <w:r>
              <w:rPr>
                <w:rFonts w:ascii="Arial" w:cs="Arial" w:eastAsia="Arial" w:hAnsi="Arial"/>
                <w:sz w:val="14"/>
                <w:szCs w:val="14"/>
                <w:b w:val="1"/>
                <w:bCs w:val="1"/>
                <w:color w:val="auto"/>
                <w:w w:val="93"/>
              </w:rPr>
              <w:t>July 16, to</w:t>
            </w:r>
          </w:p>
        </w:tc>
        <w:tc>
          <w:tcPr>
            <w:tcW w:w="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00" w:type="dxa"/>
            <w:vAlign w:val="bottom"/>
            <w:gridSpan w:val="3"/>
          </w:tcPr>
          <w:p>
            <w:pPr>
              <w:jc w:val="center"/>
              <w:ind w:right="200"/>
              <w:spacing w:after="0" w:line="149" w:lineRule="exact"/>
              <w:rPr>
                <w:sz w:val="20"/>
                <w:szCs w:val="20"/>
                <w:color w:val="auto"/>
              </w:rPr>
            </w:pPr>
            <w:r>
              <w:rPr>
                <w:rFonts w:ascii="Arial" w:cs="Arial" w:eastAsia="Arial" w:hAnsi="Arial"/>
                <w:sz w:val="14"/>
                <w:szCs w:val="14"/>
                <w:b w:val="1"/>
                <w:bCs w:val="1"/>
                <w:color w:val="auto"/>
                <w:w w:val="94"/>
              </w:rPr>
              <w:t>January 1, to</w:t>
            </w:r>
          </w:p>
        </w:tc>
        <w:tc>
          <w:tcPr>
            <w:tcW w:w="0" w:type="dxa"/>
            <w:vAlign w:val="bottom"/>
          </w:tcPr>
          <w:p>
            <w:pPr>
              <w:spacing w:after="0"/>
              <w:rPr>
                <w:sz w:val="1"/>
                <w:szCs w:val="1"/>
                <w:color w:val="auto"/>
              </w:rPr>
            </w:pPr>
          </w:p>
        </w:tc>
      </w:tr>
      <w:tr>
        <w:trPr>
          <w:trHeight w:val="171"/>
        </w:trPr>
        <w:tc>
          <w:tcPr>
            <w:tcW w:w="3000" w:type="dxa"/>
            <w:vAlign w:val="bottom"/>
            <w:gridSpan w:val="4"/>
            <w:vMerge w:val="restart"/>
          </w:tcPr>
          <w:p>
            <w:pPr>
              <w:spacing w:after="0"/>
              <w:rPr>
                <w:sz w:val="20"/>
                <w:szCs w:val="20"/>
                <w:color w:val="auto"/>
              </w:rPr>
            </w:pPr>
            <w:r>
              <w:rPr>
                <w:rFonts w:ascii="Arial" w:cs="Arial" w:eastAsia="Arial" w:hAnsi="Arial"/>
                <w:sz w:val="14"/>
                <w:szCs w:val="14"/>
                <w:color w:val="auto"/>
              </w:rPr>
              <w:t>($ in thousands)</w:t>
            </w:r>
          </w:p>
        </w:tc>
        <w:tc>
          <w:tcPr>
            <w:tcW w:w="4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80" w:type="dxa"/>
            <w:vAlign w:val="bottom"/>
            <w:gridSpan w:val="4"/>
          </w:tcPr>
          <w:p>
            <w:pPr>
              <w:ind w:left="200"/>
              <w:spacing w:after="0"/>
              <w:rPr>
                <w:sz w:val="20"/>
                <w:szCs w:val="20"/>
                <w:color w:val="auto"/>
              </w:rPr>
            </w:pPr>
            <w:r>
              <w:rPr>
                <w:rFonts w:ascii="Arial" w:cs="Arial" w:eastAsia="Arial" w:hAnsi="Arial"/>
                <w:sz w:val="14"/>
                <w:szCs w:val="14"/>
                <w:b w:val="1"/>
                <w:bCs w:val="1"/>
                <w:color w:val="auto"/>
                <w:w w:val="89"/>
              </w:rPr>
              <w:t>September 30,</w:t>
            </w:r>
          </w:p>
        </w:tc>
        <w:tc>
          <w:tcPr>
            <w:tcW w:w="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980" w:type="dxa"/>
            <w:vAlign w:val="bottom"/>
            <w:gridSpan w:val="4"/>
          </w:tcPr>
          <w:p>
            <w:pPr>
              <w:jc w:val="center"/>
              <w:ind w:right="140"/>
              <w:spacing w:after="0"/>
              <w:rPr>
                <w:sz w:val="20"/>
                <w:szCs w:val="20"/>
                <w:color w:val="auto"/>
              </w:rPr>
            </w:pPr>
            <w:r>
              <w:rPr>
                <w:rFonts w:ascii="Arial" w:cs="Arial" w:eastAsia="Arial" w:hAnsi="Arial"/>
                <w:sz w:val="14"/>
                <w:szCs w:val="14"/>
                <w:b w:val="1"/>
                <w:bCs w:val="1"/>
                <w:color w:val="auto"/>
                <w:w w:val="92"/>
              </w:rPr>
              <w:t>December 31,</w:t>
            </w:r>
          </w:p>
        </w:tc>
        <w:tc>
          <w:tcPr>
            <w:tcW w:w="200" w:type="dxa"/>
            <w:vAlign w:val="bottom"/>
          </w:tcPr>
          <w:p>
            <w:pPr>
              <w:spacing w:after="0"/>
              <w:rPr>
                <w:sz w:val="14"/>
                <w:szCs w:val="14"/>
                <w:color w:val="auto"/>
              </w:rPr>
            </w:pPr>
          </w:p>
        </w:tc>
        <w:tc>
          <w:tcPr>
            <w:tcW w:w="1100" w:type="dxa"/>
            <w:vAlign w:val="bottom"/>
            <w:tcBorders>
              <w:right w:val="single" w:sz="8" w:color="auto"/>
            </w:tcBorders>
            <w:gridSpan w:val="4"/>
          </w:tcPr>
          <w:p>
            <w:pPr>
              <w:jc w:val="center"/>
              <w:ind w:right="220"/>
              <w:spacing w:after="0"/>
              <w:rPr>
                <w:sz w:val="20"/>
                <w:szCs w:val="20"/>
                <w:color w:val="auto"/>
              </w:rPr>
            </w:pPr>
            <w:r>
              <w:rPr>
                <w:rFonts w:ascii="Arial" w:cs="Arial" w:eastAsia="Arial" w:hAnsi="Arial"/>
                <w:sz w:val="14"/>
                <w:szCs w:val="14"/>
                <w:b w:val="1"/>
                <w:bCs w:val="1"/>
                <w:color w:val="auto"/>
                <w:w w:val="92"/>
              </w:rPr>
              <w:t>December 31,</w:t>
            </w:r>
          </w:p>
        </w:tc>
        <w:tc>
          <w:tcPr>
            <w:tcW w:w="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00" w:type="dxa"/>
            <w:vAlign w:val="bottom"/>
            <w:gridSpan w:val="3"/>
          </w:tcPr>
          <w:p>
            <w:pPr>
              <w:jc w:val="center"/>
              <w:ind w:right="220"/>
              <w:spacing w:after="0"/>
              <w:rPr>
                <w:sz w:val="20"/>
                <w:szCs w:val="20"/>
                <w:color w:val="auto"/>
              </w:rPr>
            </w:pPr>
            <w:r>
              <w:rPr>
                <w:rFonts w:ascii="Arial" w:cs="Arial" w:eastAsia="Arial" w:hAnsi="Arial"/>
                <w:sz w:val="14"/>
                <w:szCs w:val="14"/>
                <w:b w:val="1"/>
                <w:bCs w:val="1"/>
                <w:color w:val="auto"/>
                <w:w w:val="93"/>
              </w:rPr>
              <w:t>July 15,</w:t>
            </w:r>
          </w:p>
        </w:tc>
        <w:tc>
          <w:tcPr>
            <w:tcW w:w="0" w:type="dxa"/>
            <w:vAlign w:val="bottom"/>
          </w:tcPr>
          <w:p>
            <w:pPr>
              <w:spacing w:after="0"/>
              <w:rPr>
                <w:sz w:val="1"/>
                <w:szCs w:val="1"/>
                <w:color w:val="auto"/>
              </w:rPr>
            </w:pPr>
          </w:p>
        </w:tc>
      </w:tr>
      <w:tr>
        <w:trPr>
          <w:trHeight w:val="142"/>
        </w:trPr>
        <w:tc>
          <w:tcPr>
            <w:tcW w:w="3000" w:type="dxa"/>
            <w:vAlign w:val="bottom"/>
            <w:gridSpan w:val="4"/>
            <w:vMerge w:val="continue"/>
          </w:tcPr>
          <w:p>
            <w:pPr>
              <w:spacing w:after="0"/>
              <w:rPr>
                <w:sz w:val="12"/>
                <w:szCs w:val="12"/>
                <w:color w:val="auto"/>
              </w:rPr>
            </w:pPr>
          </w:p>
        </w:tc>
        <w:tc>
          <w:tcPr>
            <w:tcW w:w="4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540" w:type="dxa"/>
            <w:vAlign w:val="bottom"/>
            <w:tcBorders>
              <w:top w:val="single" w:sz="8" w:color="auto"/>
            </w:tcBorders>
            <w:gridSpan w:val="2"/>
          </w:tcPr>
          <w:p>
            <w:pPr>
              <w:jc w:val="right"/>
              <w:ind w:right="128"/>
              <w:spacing w:after="0" w:line="142" w:lineRule="exact"/>
              <w:rPr>
                <w:sz w:val="20"/>
                <w:szCs w:val="20"/>
                <w:color w:val="auto"/>
              </w:rPr>
            </w:pPr>
            <w:r>
              <w:rPr>
                <w:rFonts w:ascii="Arial" w:cs="Arial" w:eastAsia="Arial" w:hAnsi="Arial"/>
                <w:sz w:val="14"/>
                <w:szCs w:val="14"/>
                <w:b w:val="1"/>
                <w:bCs w:val="1"/>
                <w:color w:val="auto"/>
              </w:rPr>
              <w:t>2021</w:t>
            </w:r>
          </w:p>
        </w:tc>
        <w:tc>
          <w:tcPr>
            <w:tcW w:w="280" w:type="dxa"/>
            <w:vAlign w:val="bottom"/>
            <w:tcBorders>
              <w:top w:val="single" w:sz="8" w:color="auto"/>
            </w:tcBorders>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480" w:type="dxa"/>
            <w:vAlign w:val="bottom"/>
            <w:tcBorders>
              <w:top w:val="single" w:sz="8" w:color="auto"/>
            </w:tcBorders>
            <w:gridSpan w:val="2"/>
          </w:tcPr>
          <w:p>
            <w:pPr>
              <w:jc w:val="right"/>
              <w:ind w:right="128"/>
              <w:spacing w:after="0" w:line="142" w:lineRule="exact"/>
              <w:rPr>
                <w:sz w:val="20"/>
                <w:szCs w:val="20"/>
                <w:color w:val="auto"/>
              </w:rPr>
            </w:pPr>
            <w:r>
              <w:rPr>
                <w:rFonts w:ascii="Arial" w:cs="Arial" w:eastAsia="Arial" w:hAnsi="Arial"/>
                <w:sz w:val="14"/>
                <w:szCs w:val="14"/>
                <w:b w:val="1"/>
                <w:bCs w:val="1"/>
                <w:color w:val="auto"/>
                <w:w w:val="83"/>
              </w:rPr>
              <w:t>2020</w:t>
            </w:r>
          </w:p>
        </w:tc>
        <w:tc>
          <w:tcPr>
            <w:tcW w:w="4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660" w:type="dxa"/>
            <w:vAlign w:val="bottom"/>
            <w:tcBorders>
              <w:top w:val="single" w:sz="8" w:color="auto"/>
            </w:tcBorders>
            <w:gridSpan w:val="2"/>
          </w:tcPr>
          <w:p>
            <w:pPr>
              <w:jc w:val="center"/>
              <w:ind w:right="108"/>
              <w:spacing w:after="0" w:line="142" w:lineRule="exact"/>
              <w:rPr>
                <w:sz w:val="20"/>
                <w:szCs w:val="20"/>
                <w:color w:val="auto"/>
              </w:rPr>
            </w:pPr>
            <w:r>
              <w:rPr>
                <w:rFonts w:ascii="Arial" w:cs="Arial" w:eastAsia="Arial" w:hAnsi="Arial"/>
                <w:sz w:val="14"/>
                <w:szCs w:val="14"/>
                <w:b w:val="1"/>
                <w:bCs w:val="1"/>
                <w:color w:val="auto"/>
                <w:w w:val="89"/>
              </w:rPr>
              <w:t>2020</w:t>
            </w:r>
          </w:p>
        </w:tc>
        <w:tc>
          <w:tcPr>
            <w:tcW w:w="1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780" w:type="dxa"/>
            <w:vAlign w:val="bottom"/>
            <w:tcBorders>
              <w:top w:val="single" w:sz="8" w:color="auto"/>
            </w:tcBorders>
            <w:gridSpan w:val="2"/>
          </w:tcPr>
          <w:p>
            <w:pPr>
              <w:jc w:val="center"/>
              <w:ind w:right="80"/>
              <w:spacing w:after="0" w:line="142" w:lineRule="exact"/>
              <w:rPr>
                <w:sz w:val="20"/>
                <w:szCs w:val="20"/>
                <w:color w:val="auto"/>
              </w:rPr>
            </w:pPr>
            <w:r>
              <w:rPr>
                <w:rFonts w:ascii="Arial" w:cs="Arial" w:eastAsia="Arial" w:hAnsi="Arial"/>
                <w:sz w:val="14"/>
                <w:szCs w:val="14"/>
                <w:b w:val="1"/>
                <w:bCs w:val="1"/>
                <w:color w:val="auto"/>
                <w:w w:val="96"/>
              </w:rPr>
              <w:t>2019</w:t>
            </w:r>
          </w:p>
        </w:tc>
        <w:tc>
          <w:tcPr>
            <w:tcW w:w="220" w:type="dxa"/>
            <w:vAlign w:val="bottom"/>
            <w:tcBorders>
              <w:right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1100" w:type="dxa"/>
            <w:vAlign w:val="bottom"/>
            <w:tcBorders>
              <w:top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96"/>
              </w:rPr>
              <w:t>2019</w:t>
            </w:r>
          </w:p>
        </w:tc>
        <w:tc>
          <w:tcPr>
            <w:tcW w:w="10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2980" w:type="dxa"/>
            <w:vAlign w:val="bottom"/>
            <w:tcBorders>
              <w:top w:val="single" w:sz="8" w:color="CCEEFF"/>
            </w:tcBorders>
            <w:gridSpan w:val="3"/>
            <w:shd w:val="clear" w:color="auto" w:fill="CCEEFF"/>
          </w:tcPr>
          <w:p>
            <w:pPr>
              <w:spacing w:after="0" w:line="196" w:lineRule="exact"/>
              <w:rPr>
                <w:sz w:val="20"/>
                <w:szCs w:val="20"/>
                <w:color w:val="auto"/>
              </w:rPr>
            </w:pPr>
            <w:r>
              <w:rPr>
                <w:rFonts w:ascii="Arial" w:cs="Arial" w:eastAsia="Arial" w:hAnsi="Arial"/>
                <w:sz w:val="18"/>
                <w:szCs w:val="18"/>
                <w:color w:val="auto"/>
              </w:rPr>
              <w:t>Cash provided by (used in):</w:t>
            </w:r>
          </w:p>
        </w:tc>
        <w:tc>
          <w:tcPr>
            <w:tcW w:w="4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54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400" w:type="dxa"/>
            <w:vAlign w:val="bottom"/>
            <w:tcBorders>
              <w:top w:val="single" w:sz="8" w:color="auto"/>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60" w:type="dxa"/>
            <w:vAlign w:val="bottom"/>
            <w:tcBorders>
              <w:top w:val="single" w:sz="8" w:color="auto"/>
            </w:tcBorders>
            <w:shd w:val="clear" w:color="auto" w:fill="CCEEFF"/>
          </w:tcPr>
          <w:p>
            <w:pPr>
              <w:spacing w:after="0"/>
              <w:rPr>
                <w:sz w:val="17"/>
                <w:szCs w:val="17"/>
                <w:color w:val="auto"/>
              </w:rPr>
            </w:pPr>
          </w:p>
        </w:tc>
        <w:tc>
          <w:tcPr>
            <w:tcW w:w="420" w:type="dxa"/>
            <w:vAlign w:val="bottom"/>
            <w:tcBorders>
              <w:top w:val="single" w:sz="8" w:color="auto"/>
            </w:tcBorders>
            <w:shd w:val="clear" w:color="auto" w:fill="CCEEFF"/>
          </w:tcPr>
          <w:p>
            <w:pPr>
              <w:spacing w:after="0"/>
              <w:rPr>
                <w:sz w:val="17"/>
                <w:szCs w:val="17"/>
                <w:color w:val="auto"/>
              </w:rPr>
            </w:pPr>
          </w:p>
        </w:tc>
        <w:tc>
          <w:tcPr>
            <w:tcW w:w="420" w:type="dxa"/>
            <w:vAlign w:val="bottom"/>
            <w:tcBorders>
              <w:top w:val="single" w:sz="8" w:color="CCEEFF"/>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280" w:type="dxa"/>
            <w:vAlign w:val="bottom"/>
            <w:tcBorders>
              <w:top w:val="single" w:sz="8" w:color="auto"/>
            </w:tcBorders>
            <w:shd w:val="clear" w:color="auto" w:fill="CCEEFF"/>
          </w:tcPr>
          <w:p>
            <w:pPr>
              <w:spacing w:after="0"/>
              <w:rPr>
                <w:sz w:val="17"/>
                <w:szCs w:val="17"/>
                <w:color w:val="auto"/>
              </w:rPr>
            </w:pPr>
          </w:p>
        </w:tc>
        <w:tc>
          <w:tcPr>
            <w:tcW w:w="38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340" w:type="dxa"/>
            <w:vAlign w:val="bottom"/>
            <w:tcBorders>
              <w:top w:val="single" w:sz="8" w:color="auto"/>
            </w:tcBorders>
            <w:shd w:val="clear" w:color="auto" w:fill="CCEEFF"/>
          </w:tcPr>
          <w:p>
            <w:pPr>
              <w:spacing w:after="0"/>
              <w:rPr>
                <w:sz w:val="17"/>
                <w:szCs w:val="17"/>
                <w:color w:val="auto"/>
              </w:rPr>
            </w:pPr>
          </w:p>
        </w:tc>
        <w:tc>
          <w:tcPr>
            <w:tcW w:w="44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right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11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720" w:type="dxa"/>
            <w:vAlign w:val="bottom"/>
            <w:gridSpan w:val="2"/>
          </w:tcPr>
          <w:p>
            <w:pPr>
              <w:ind w:left="80"/>
              <w:spacing w:after="0"/>
              <w:rPr>
                <w:sz w:val="20"/>
                <w:szCs w:val="20"/>
                <w:color w:val="auto"/>
              </w:rPr>
            </w:pPr>
            <w:r>
              <w:rPr>
                <w:rFonts w:ascii="Arial" w:cs="Arial" w:eastAsia="Arial" w:hAnsi="Arial"/>
                <w:sz w:val="18"/>
                <w:szCs w:val="18"/>
                <w:color w:val="auto"/>
              </w:rPr>
              <w:t>Operating activities</w:t>
            </w:r>
          </w:p>
        </w:tc>
        <w:tc>
          <w:tcPr>
            <w:tcW w:w="4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gridSpan w:val="3"/>
          </w:tcPr>
          <w:p>
            <w:pPr>
              <w:jc w:val="center"/>
              <w:ind w:left="576"/>
              <w:spacing w:after="0"/>
              <w:rPr>
                <w:sz w:val="20"/>
                <w:szCs w:val="20"/>
                <w:color w:val="auto"/>
              </w:rPr>
            </w:pPr>
            <w:r>
              <w:rPr>
                <w:rFonts w:ascii="Arial" w:cs="Arial" w:eastAsia="Arial" w:hAnsi="Arial"/>
                <w:sz w:val="18"/>
                <w:szCs w:val="18"/>
                <w:color w:val="auto"/>
                <w:w w:val="79"/>
              </w:rPr>
              <w:t>$</w:t>
            </w:r>
          </w:p>
        </w:tc>
        <w:tc>
          <w:tcPr>
            <w:tcW w:w="1220" w:type="dxa"/>
            <w:vAlign w:val="bottom"/>
            <w:gridSpan w:val="5"/>
          </w:tcPr>
          <w:p>
            <w:pPr>
              <w:jc w:val="right"/>
              <w:ind w:right="120"/>
              <w:spacing w:after="0"/>
              <w:rPr>
                <w:sz w:val="20"/>
                <w:szCs w:val="20"/>
                <w:color w:val="auto"/>
              </w:rPr>
            </w:pPr>
            <w:r>
              <w:rPr>
                <w:rFonts w:ascii="Arial" w:cs="Arial" w:eastAsia="Arial" w:hAnsi="Arial"/>
                <w:sz w:val="18"/>
                <w:szCs w:val="18"/>
                <w:color w:val="auto"/>
              </w:rPr>
              <w:t>$</w:t>
            </w:r>
          </w:p>
        </w:tc>
        <w:tc>
          <w:tcPr>
            <w:tcW w:w="1140" w:type="dxa"/>
            <w:vAlign w:val="bottom"/>
            <w:gridSpan w:val="5"/>
          </w:tcPr>
          <w:p>
            <w:pPr>
              <w:jc w:val="right"/>
              <w:ind w:right="31"/>
              <w:spacing w:after="0"/>
              <w:rPr>
                <w:sz w:val="20"/>
                <w:szCs w:val="20"/>
                <w:color w:val="auto"/>
              </w:rPr>
            </w:pPr>
            <w:r>
              <w:rPr>
                <w:rFonts w:ascii="Arial" w:cs="Arial" w:eastAsia="Arial" w:hAnsi="Arial"/>
                <w:sz w:val="18"/>
                <w:szCs w:val="18"/>
                <w:color w:val="auto"/>
              </w:rPr>
              <w:t>$</w:t>
            </w:r>
          </w:p>
        </w:tc>
        <w:tc>
          <w:tcPr>
            <w:tcW w:w="660" w:type="dxa"/>
            <w:vAlign w:val="bottom"/>
            <w:gridSpan w:val="2"/>
          </w:tcPr>
          <w:p>
            <w:pPr>
              <w:jc w:val="right"/>
              <w:spacing w:after="0"/>
              <w:rPr>
                <w:sz w:val="20"/>
                <w:szCs w:val="20"/>
                <w:color w:val="auto"/>
              </w:rPr>
            </w:pPr>
            <w:r>
              <w:rPr>
                <w:rFonts w:ascii="Arial" w:cs="Arial" w:eastAsia="Arial" w:hAnsi="Arial"/>
                <w:sz w:val="18"/>
                <w:szCs w:val="18"/>
                <w:color w:val="auto"/>
              </w:rPr>
              <w:t>23,217</w:t>
            </w:r>
          </w:p>
        </w:tc>
        <w:tc>
          <w:tcPr>
            <w:tcW w:w="140" w:type="dxa"/>
            <w:vAlign w:val="bottom"/>
          </w:tcPr>
          <w:p>
            <w:pPr>
              <w:spacing w:after="0"/>
              <w:rPr>
                <w:sz w:val="18"/>
                <w:szCs w:val="18"/>
                <w:color w:val="auto"/>
              </w:rPr>
            </w:pP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00" w:type="dxa"/>
            <w:vAlign w:val="bottom"/>
            <w:tcBorders>
              <w:right w:val="single" w:sz="8" w:color="auto"/>
            </w:tcBorders>
            <w:gridSpan w:val="3"/>
          </w:tcPr>
          <w:p>
            <w:pPr>
              <w:jc w:val="right"/>
              <w:ind w:right="160"/>
              <w:spacing w:after="0"/>
              <w:rPr>
                <w:sz w:val="20"/>
                <w:szCs w:val="20"/>
                <w:color w:val="auto"/>
              </w:rPr>
            </w:pPr>
            <w:r>
              <w:rPr>
                <w:rFonts w:ascii="Arial" w:cs="Arial" w:eastAsia="Arial" w:hAnsi="Arial"/>
                <w:sz w:val="18"/>
                <w:szCs w:val="18"/>
                <w:color w:val="auto"/>
              </w:rPr>
              <w:t>(7,133)</w:t>
            </w:r>
          </w:p>
        </w:tc>
        <w:tc>
          <w:tcPr>
            <w:tcW w:w="480" w:type="dxa"/>
            <w:vAlign w:val="bottom"/>
            <w:gridSpan w:val="3"/>
          </w:tcPr>
          <w:p>
            <w:pPr>
              <w:ind w:left="380"/>
              <w:spacing w:after="0"/>
              <w:rPr>
                <w:sz w:val="20"/>
                <w:szCs w:val="20"/>
                <w:color w:val="auto"/>
              </w:rPr>
            </w:pPr>
            <w:r>
              <w:rPr>
                <w:rFonts w:ascii="Arial" w:cs="Arial" w:eastAsia="Arial" w:hAnsi="Arial"/>
                <w:sz w:val="18"/>
                <w:szCs w:val="18"/>
                <w:color w:val="auto"/>
                <w:w w:val="79"/>
              </w:rPr>
              <w:t>$</w:t>
            </w:r>
          </w:p>
        </w:tc>
        <w:tc>
          <w:tcPr>
            <w:tcW w:w="1300" w:type="dxa"/>
            <w:vAlign w:val="bottom"/>
            <w:gridSpan w:val="3"/>
          </w:tcPr>
          <w:p>
            <w:pPr>
              <w:jc w:val="right"/>
              <w:ind w:right="100"/>
              <w:spacing w:after="0"/>
              <w:rPr>
                <w:sz w:val="20"/>
                <w:szCs w:val="20"/>
                <w:color w:val="auto"/>
              </w:rPr>
            </w:pPr>
            <w:r>
              <w:rPr>
                <w:rFonts w:ascii="Arial" w:cs="Arial" w:eastAsia="Arial" w:hAnsi="Arial"/>
                <w:sz w:val="18"/>
                <w:szCs w:val="18"/>
                <w:color w:val="auto"/>
              </w:rPr>
              <w:t>28,727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72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Investing activities</w:t>
            </w:r>
            <w:r>
              <w:rPr>
                <w:rFonts w:ascii="Arial" w:cs="Arial" w:eastAsia="Arial" w:hAnsi="Arial"/>
                <w:sz w:val="15"/>
                <w:szCs w:val="15"/>
                <w:color w:val="auto"/>
              </w:rPr>
              <w:t>(1)</w:t>
            </w:r>
          </w:p>
        </w:tc>
        <w:tc>
          <w:tcPr>
            <w:tcW w:w="4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(23,862)</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tcBorders>
              <w:right w:val="single" w:sz="8" w:color="auto"/>
            </w:tcBorders>
            <w:gridSpan w:val="3"/>
            <w:shd w:val="clear" w:color="auto" w:fill="CCEEFF"/>
          </w:tcPr>
          <w:p>
            <w:pPr>
              <w:jc w:val="right"/>
              <w:ind w:right="160"/>
              <w:spacing w:after="0"/>
              <w:rPr>
                <w:sz w:val="20"/>
                <w:szCs w:val="20"/>
                <w:color w:val="auto"/>
              </w:rPr>
            </w:pPr>
            <w:r>
              <w:rPr>
                <w:rFonts w:ascii="Arial" w:cs="Arial" w:eastAsia="Arial" w:hAnsi="Arial"/>
                <w:sz w:val="18"/>
                <w:szCs w:val="18"/>
                <w:color w:val="auto"/>
                <w:w w:val="89"/>
              </w:rPr>
              <w:t>(1,109,368)</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0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(30,560)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720" w:type="dxa"/>
            <w:vAlign w:val="bottom"/>
            <w:gridSpan w:val="2"/>
          </w:tcPr>
          <w:p>
            <w:pPr>
              <w:ind w:left="80"/>
              <w:spacing w:after="0"/>
              <w:rPr>
                <w:sz w:val="20"/>
                <w:szCs w:val="20"/>
                <w:color w:val="auto"/>
              </w:rPr>
            </w:pPr>
            <w:r>
              <w:rPr>
                <w:rFonts w:ascii="Arial" w:cs="Arial" w:eastAsia="Arial" w:hAnsi="Arial"/>
                <w:sz w:val="18"/>
                <w:szCs w:val="18"/>
                <w:color w:val="auto"/>
              </w:rPr>
              <w:t>Financing activities</w:t>
            </w:r>
          </w:p>
        </w:tc>
        <w:tc>
          <w:tcPr>
            <w:tcW w:w="4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60" w:type="dxa"/>
            <w:vAlign w:val="bottom"/>
            <w:gridSpan w:val="2"/>
          </w:tcPr>
          <w:p>
            <w:pPr>
              <w:jc w:val="right"/>
              <w:spacing w:after="0"/>
              <w:rPr>
                <w:sz w:val="20"/>
                <w:szCs w:val="20"/>
                <w:color w:val="auto"/>
              </w:rPr>
            </w:pPr>
            <w:r>
              <w:rPr>
                <w:rFonts w:ascii="Arial" w:cs="Arial" w:eastAsia="Arial" w:hAnsi="Arial"/>
                <w:sz w:val="18"/>
                <w:szCs w:val="18"/>
                <w:color w:val="auto"/>
              </w:rPr>
              <w:t>16,655</w:t>
            </w:r>
          </w:p>
        </w:tc>
        <w:tc>
          <w:tcPr>
            <w:tcW w:w="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80" w:type="dxa"/>
            <w:vAlign w:val="bottom"/>
            <w:gridSpan w:val="2"/>
          </w:tcPr>
          <w:p>
            <w:pPr>
              <w:jc w:val="right"/>
              <w:spacing w:after="0"/>
              <w:rPr>
                <w:sz w:val="20"/>
                <w:szCs w:val="20"/>
                <w:color w:val="auto"/>
              </w:rPr>
            </w:pPr>
            <w:r>
              <w:rPr>
                <w:rFonts w:ascii="Arial" w:cs="Arial" w:eastAsia="Arial" w:hAnsi="Arial"/>
                <w:sz w:val="18"/>
                <w:szCs w:val="18"/>
                <w:color w:val="auto"/>
                <w:w w:val="94"/>
              </w:rPr>
              <w:t>1,125,119</w:t>
            </w:r>
          </w:p>
        </w:tc>
        <w:tc>
          <w:tcPr>
            <w:tcW w:w="220" w:type="dxa"/>
            <w:vAlign w:val="bottom"/>
            <w:tcBorders>
              <w:right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00" w:type="dxa"/>
            <w:vAlign w:val="bottom"/>
            <w:gridSpan w:val="3"/>
          </w:tcPr>
          <w:p>
            <w:pPr>
              <w:jc w:val="right"/>
              <w:ind w:right="40"/>
              <w:spacing w:after="0"/>
              <w:rPr>
                <w:sz w:val="20"/>
                <w:szCs w:val="20"/>
                <w:color w:val="auto"/>
              </w:rPr>
            </w:pPr>
            <w:r>
              <w:rPr>
                <w:rFonts w:ascii="Arial" w:cs="Arial" w:eastAsia="Arial" w:hAnsi="Arial"/>
                <w:sz w:val="18"/>
                <w:szCs w:val="18"/>
                <w:color w:val="auto"/>
              </w:rPr>
              <w:t>(468)</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520" w:type="dxa"/>
            <w:vAlign w:val="bottom"/>
            <w:gridSpan w:val="5"/>
            <w:shd w:val="clear" w:color="auto" w:fill="CCEEFF"/>
          </w:tcPr>
          <w:p>
            <w:pPr>
              <w:spacing w:after="0" w:line="201" w:lineRule="exact"/>
              <w:rPr>
                <w:sz w:val="20"/>
                <w:szCs w:val="20"/>
                <w:color w:val="auto"/>
              </w:rPr>
            </w:pPr>
            <w:r>
              <w:rPr>
                <w:rFonts w:ascii="Arial" w:cs="Arial" w:eastAsia="Arial" w:hAnsi="Arial"/>
                <w:sz w:val="18"/>
                <w:szCs w:val="18"/>
                <w:color w:val="auto"/>
                <w:w w:val="90"/>
              </w:rPr>
              <w:t>Change in cash and cash equivalents (excluding</w:t>
            </w:r>
          </w:p>
        </w:tc>
        <w:tc>
          <w:tcPr>
            <w:tcW w:w="5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400" w:type="dxa"/>
            <w:vAlign w:val="bottom"/>
            <w:tcBorders>
              <w:top w:val="single" w:sz="8" w:color="auto"/>
            </w:tcBorders>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60" w:type="dxa"/>
            <w:vAlign w:val="bottom"/>
            <w:tcBorders>
              <w:top w:val="single" w:sz="8" w:color="auto"/>
            </w:tcBorders>
            <w:shd w:val="clear" w:color="auto" w:fill="CCEEFF"/>
          </w:tcPr>
          <w:p>
            <w:pPr>
              <w:spacing w:after="0"/>
              <w:rPr>
                <w:sz w:val="17"/>
                <w:szCs w:val="17"/>
                <w:color w:val="auto"/>
              </w:rPr>
            </w:pPr>
          </w:p>
        </w:tc>
        <w:tc>
          <w:tcPr>
            <w:tcW w:w="420" w:type="dxa"/>
            <w:vAlign w:val="bottom"/>
            <w:tcBorders>
              <w:top w:val="single" w:sz="8" w:color="auto"/>
            </w:tcBorders>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280" w:type="dxa"/>
            <w:vAlign w:val="bottom"/>
            <w:tcBorders>
              <w:top w:val="single" w:sz="8" w:color="auto"/>
            </w:tcBorders>
            <w:shd w:val="clear" w:color="auto" w:fill="CCEEFF"/>
          </w:tcPr>
          <w:p>
            <w:pPr>
              <w:spacing w:after="0"/>
              <w:rPr>
                <w:sz w:val="17"/>
                <w:szCs w:val="17"/>
                <w:color w:val="auto"/>
              </w:rPr>
            </w:pPr>
          </w:p>
        </w:tc>
        <w:tc>
          <w:tcPr>
            <w:tcW w:w="380" w:type="dxa"/>
            <w:vAlign w:val="bottom"/>
            <w:tcBorders>
              <w:top w:val="single" w:sz="8" w:color="auto"/>
            </w:tcBorders>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340" w:type="dxa"/>
            <w:vAlign w:val="bottom"/>
            <w:tcBorders>
              <w:top w:val="single" w:sz="8" w:color="auto"/>
            </w:tcBorders>
            <w:shd w:val="clear" w:color="auto" w:fill="CCEEFF"/>
          </w:tcPr>
          <w:p>
            <w:pPr>
              <w:spacing w:after="0"/>
              <w:rPr>
                <w:sz w:val="17"/>
                <w:szCs w:val="17"/>
                <w:color w:val="auto"/>
              </w:rPr>
            </w:pPr>
          </w:p>
        </w:tc>
        <w:tc>
          <w:tcPr>
            <w:tcW w:w="440" w:type="dxa"/>
            <w:vAlign w:val="bottom"/>
            <w:tcBorders>
              <w:top w:val="single" w:sz="8" w:color="auto"/>
            </w:tcBorders>
            <w:shd w:val="clear" w:color="auto" w:fill="CCEEFF"/>
          </w:tcPr>
          <w:p>
            <w:pPr>
              <w:spacing w:after="0"/>
              <w:rPr>
                <w:sz w:val="17"/>
                <w:szCs w:val="17"/>
                <w:color w:val="auto"/>
              </w:rPr>
            </w:pPr>
          </w:p>
        </w:tc>
        <w:tc>
          <w:tcPr>
            <w:tcW w:w="220" w:type="dxa"/>
            <w:vAlign w:val="bottom"/>
            <w:tcBorders>
              <w:right w:val="single" w:sz="8" w:color="auto"/>
            </w:tcBorders>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11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980" w:type="dxa"/>
            <w:vAlign w:val="bottom"/>
            <w:gridSpan w:val="3"/>
            <w:shd w:val="clear" w:color="auto" w:fill="CCEEFF"/>
          </w:tcPr>
          <w:p>
            <w:pPr>
              <w:ind w:left="160"/>
              <w:spacing w:after="0"/>
              <w:rPr>
                <w:sz w:val="20"/>
                <w:szCs w:val="20"/>
                <w:color w:val="auto"/>
              </w:rPr>
            </w:pPr>
            <w:r>
              <w:rPr>
                <w:rFonts w:ascii="Arial" w:cs="Arial" w:eastAsia="Arial" w:hAnsi="Arial"/>
                <w:sz w:val="18"/>
                <w:szCs w:val="18"/>
                <w:color w:val="auto"/>
              </w:rPr>
              <w:t>exchange rate changes)</w:t>
            </w:r>
          </w:p>
        </w:tc>
        <w:tc>
          <w:tcPr>
            <w:tcW w:w="4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860" w:type="dxa"/>
            <w:vAlign w:val="bottom"/>
            <w:gridSpan w:val="3"/>
            <w:shd w:val="clear" w:color="auto" w:fill="CCEEFF"/>
          </w:tcPr>
          <w:p>
            <w:pPr>
              <w:jc w:val="center"/>
              <w:ind w:left="576"/>
              <w:spacing w:after="0"/>
              <w:rPr>
                <w:sz w:val="20"/>
                <w:szCs w:val="20"/>
                <w:color w:val="auto"/>
              </w:rPr>
            </w:pPr>
            <w:r>
              <w:rPr>
                <w:rFonts w:ascii="Arial" w:cs="Arial" w:eastAsia="Arial" w:hAnsi="Arial"/>
                <w:sz w:val="18"/>
                <w:szCs w:val="18"/>
                <w:color w:val="auto"/>
                <w:w w:val="79"/>
              </w:rPr>
              <w:t>$</w:t>
            </w:r>
          </w:p>
        </w:tc>
        <w:tc>
          <w:tcPr>
            <w:tcW w:w="1220" w:type="dxa"/>
            <w:vAlign w:val="bottom"/>
            <w:gridSpan w:val="5"/>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140" w:type="dxa"/>
            <w:vAlign w:val="bottom"/>
            <w:gridSpan w:val="5"/>
            <w:shd w:val="clear" w:color="auto" w:fill="CCEEFF"/>
          </w:tcPr>
          <w:p>
            <w:pPr>
              <w:jc w:val="right"/>
              <w:ind w:right="31"/>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16,010</w:t>
            </w:r>
          </w:p>
        </w:tc>
        <w:tc>
          <w:tcPr>
            <w:tcW w:w="140" w:type="dxa"/>
            <w:vAlign w:val="bottom"/>
            <w:shd w:val="clear" w:color="auto" w:fill="CCEEFF"/>
          </w:tcPr>
          <w:p>
            <w:pPr>
              <w:spacing w:after="0"/>
              <w:rPr>
                <w:sz w:val="20"/>
                <w:szCs w:val="20"/>
                <w:color w:val="auto"/>
              </w:rPr>
            </w:pP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8,618</w:t>
            </w:r>
          </w:p>
        </w:tc>
        <w:tc>
          <w:tcPr>
            <w:tcW w:w="220" w:type="dxa"/>
            <w:vAlign w:val="bottom"/>
            <w:tcBorders>
              <w:right w:val="single" w:sz="8" w:color="auto"/>
            </w:tcBorders>
            <w:shd w:val="clear" w:color="auto" w:fill="CCEEFF"/>
          </w:tcPr>
          <w:p>
            <w:pPr>
              <w:spacing w:after="0"/>
              <w:rPr>
                <w:sz w:val="20"/>
                <w:szCs w:val="20"/>
                <w:color w:val="auto"/>
              </w:rPr>
            </w:pPr>
          </w:p>
        </w:tc>
        <w:tc>
          <w:tcPr>
            <w:tcW w:w="480" w:type="dxa"/>
            <w:vAlign w:val="bottom"/>
            <w:gridSpan w:val="3"/>
            <w:shd w:val="clear" w:color="auto" w:fill="CCEEFF"/>
          </w:tcPr>
          <w:p>
            <w:pPr>
              <w:ind w:left="380"/>
              <w:spacing w:after="0"/>
              <w:rPr>
                <w:sz w:val="20"/>
                <w:szCs w:val="20"/>
                <w:color w:val="auto"/>
              </w:rPr>
            </w:pPr>
            <w:r>
              <w:rPr>
                <w:rFonts w:ascii="Arial" w:cs="Arial" w:eastAsia="Arial" w:hAnsi="Arial"/>
                <w:sz w:val="18"/>
                <w:szCs w:val="18"/>
                <w:color w:val="auto"/>
                <w:w w:val="79"/>
              </w:rPr>
              <w:t>$</w:t>
            </w:r>
          </w:p>
        </w:tc>
        <w:tc>
          <w:tcPr>
            <w:tcW w:w="130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(2,301)</w:t>
            </w:r>
          </w:p>
        </w:tc>
        <w:tc>
          <w:tcPr>
            <w:tcW w:w="0" w:type="dxa"/>
            <w:vAlign w:val="bottom"/>
          </w:tcPr>
          <w:p>
            <w:pPr>
              <w:spacing w:after="0"/>
              <w:rPr>
                <w:sz w:val="1"/>
                <w:szCs w:val="1"/>
                <w:color w:val="auto"/>
              </w:rPr>
            </w:pPr>
          </w:p>
        </w:tc>
      </w:tr>
      <w:tr>
        <w:trPr>
          <w:trHeight w:val="20"/>
        </w:trPr>
        <w:tc>
          <w:tcPr>
            <w:tcW w:w="280" w:type="dxa"/>
            <w:vAlign w:val="bottom"/>
            <w:gridSpan w:val="2"/>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240" w:type="dxa"/>
            <w:vAlign w:val="bottom"/>
            <w:gridSpan w:val="2"/>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tcBorders>
              <w:top w:val="single" w:sz="8" w:color="auto"/>
            </w:tcBorders>
            <w:gridSpan w:val="2"/>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Borders>
              <w:top w:val="single" w:sz="8" w:color="auto"/>
            </w:tcBorders>
            <w:gridSpan w:val="2"/>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60" w:type="dxa"/>
            <w:vAlign w:val="bottom"/>
            <w:tcBorders>
              <w:top w:val="single" w:sz="8" w:color="auto"/>
            </w:tcBorders>
            <w:gridSpan w:val="2"/>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bottom w:val="single" w:sz="8" w:color="auto"/>
            </w:tcBorders>
            <w:gridSpan w:val="2"/>
          </w:tcPr>
          <w:p>
            <w:pPr>
              <w:spacing w:after="0" w:line="20" w:lineRule="exact"/>
              <w:rPr>
                <w:sz w:val="1"/>
                <w:szCs w:val="1"/>
                <w:color w:val="auto"/>
              </w:rPr>
            </w:pPr>
          </w:p>
        </w:tc>
        <w:tc>
          <w:tcPr>
            <w:tcW w:w="440" w:type="dxa"/>
            <w:vAlign w:val="bottom"/>
            <w:tcBorders>
              <w:top w:val="single" w:sz="8" w:color="auto"/>
              <w:bottom w:val="single" w:sz="8" w:color="auto"/>
            </w:tcBorders>
            <w:gridSpan w:val="2"/>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bottom w:val="single" w:sz="8" w:color="auto"/>
              <w:right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260" w:type="dxa"/>
            <w:vAlign w:val="bottom"/>
            <w:tcBorders>
              <w:bottom w:val="single" w:sz="8" w:color="auto"/>
            </w:tcBorders>
          </w:tcPr>
          <w:p>
            <w:pPr>
              <w:spacing w:after="0"/>
              <w:rPr>
                <w:sz w:val="11"/>
                <w:szCs w:val="11"/>
                <w:color w:val="auto"/>
              </w:rPr>
            </w:pPr>
          </w:p>
        </w:tc>
        <w:tc>
          <w:tcPr>
            <w:tcW w:w="880" w:type="dxa"/>
            <w:vAlign w:val="bottom"/>
            <w:tcBorders>
              <w:bottom w:val="single" w:sz="8" w:color="auto"/>
            </w:tcBorders>
          </w:tcPr>
          <w:p>
            <w:pPr>
              <w:spacing w:after="0"/>
              <w:rPr>
                <w:sz w:val="11"/>
                <w:szCs w:val="11"/>
                <w:color w:val="auto"/>
              </w:rPr>
            </w:pPr>
          </w:p>
        </w:tc>
        <w:tc>
          <w:tcPr>
            <w:tcW w:w="2240" w:type="dxa"/>
            <w:vAlign w:val="bottom"/>
            <w:gridSpan w:val="2"/>
          </w:tcPr>
          <w:p>
            <w:pPr>
              <w:spacing w:after="0"/>
              <w:rPr>
                <w:sz w:val="11"/>
                <w:szCs w:val="11"/>
                <w:color w:val="auto"/>
              </w:rPr>
            </w:pPr>
          </w:p>
        </w:tc>
        <w:tc>
          <w:tcPr>
            <w:tcW w:w="680" w:type="dxa"/>
            <w:vAlign w:val="bottom"/>
            <w:gridSpan w:val="2"/>
          </w:tcPr>
          <w:p>
            <w:pPr>
              <w:spacing w:after="0"/>
              <w:rPr>
                <w:sz w:val="11"/>
                <w:szCs w:val="11"/>
                <w:color w:val="auto"/>
              </w:rPr>
            </w:pPr>
          </w:p>
        </w:tc>
        <w:tc>
          <w:tcPr>
            <w:tcW w:w="460" w:type="dxa"/>
            <w:vAlign w:val="bottom"/>
            <w:gridSpan w:val="3"/>
          </w:tcPr>
          <w:p>
            <w:pPr>
              <w:spacing w:after="0"/>
              <w:rPr>
                <w:sz w:val="11"/>
                <w:szCs w:val="11"/>
                <w:color w:val="auto"/>
              </w:rPr>
            </w:pPr>
          </w:p>
        </w:tc>
        <w:tc>
          <w:tcPr>
            <w:tcW w:w="680" w:type="dxa"/>
            <w:vAlign w:val="bottom"/>
            <w:gridSpan w:val="2"/>
          </w:tcPr>
          <w:p>
            <w:pPr>
              <w:spacing w:after="0"/>
              <w:rPr>
                <w:sz w:val="11"/>
                <w:szCs w:val="11"/>
                <w:color w:val="auto"/>
              </w:rPr>
            </w:pPr>
          </w:p>
        </w:tc>
        <w:tc>
          <w:tcPr>
            <w:tcW w:w="460" w:type="dxa"/>
            <w:vAlign w:val="bottom"/>
            <w:gridSpan w:val="3"/>
          </w:tcPr>
          <w:p>
            <w:pPr>
              <w:spacing w:after="0"/>
              <w:rPr>
                <w:sz w:val="11"/>
                <w:szCs w:val="11"/>
                <w:color w:val="auto"/>
              </w:rPr>
            </w:pPr>
          </w:p>
        </w:tc>
        <w:tc>
          <w:tcPr>
            <w:tcW w:w="840" w:type="dxa"/>
            <w:vAlign w:val="bottom"/>
            <w:gridSpan w:val="2"/>
          </w:tcPr>
          <w:p>
            <w:pPr>
              <w:spacing w:after="0"/>
              <w:rPr>
                <w:sz w:val="11"/>
                <w:szCs w:val="11"/>
                <w:color w:val="auto"/>
              </w:rPr>
            </w:pPr>
          </w:p>
        </w:tc>
        <w:tc>
          <w:tcPr>
            <w:tcW w:w="520" w:type="dxa"/>
            <w:vAlign w:val="bottom"/>
            <w:gridSpan w:val="3"/>
          </w:tcPr>
          <w:p>
            <w:pPr>
              <w:spacing w:after="0"/>
              <w:rPr>
                <w:sz w:val="11"/>
                <w:szCs w:val="11"/>
                <w:color w:val="auto"/>
              </w:rPr>
            </w:pPr>
          </w:p>
        </w:tc>
        <w:tc>
          <w:tcPr>
            <w:tcW w:w="1160" w:type="dxa"/>
            <w:vAlign w:val="bottom"/>
            <w:gridSpan w:val="5"/>
          </w:tcPr>
          <w:p>
            <w:pPr>
              <w:spacing w:after="0"/>
              <w:rPr>
                <w:sz w:val="11"/>
                <w:szCs w:val="11"/>
                <w:color w:val="auto"/>
              </w:rPr>
            </w:pPr>
          </w:p>
        </w:tc>
        <w:tc>
          <w:tcPr>
            <w:tcW w:w="660" w:type="dxa"/>
            <w:vAlign w:val="bottom"/>
            <w:gridSpan w:val="2"/>
          </w:tcPr>
          <w:p>
            <w:pPr>
              <w:spacing w:after="0"/>
              <w:rPr>
                <w:sz w:val="11"/>
                <w:szCs w:val="11"/>
                <w:color w:val="auto"/>
              </w:rPr>
            </w:pPr>
          </w:p>
        </w:tc>
        <w:tc>
          <w:tcPr>
            <w:tcW w:w="200" w:type="dxa"/>
            <w:vAlign w:val="bottom"/>
          </w:tcPr>
          <w:p>
            <w:pPr>
              <w:spacing w:after="0"/>
              <w:rPr>
                <w:sz w:val="11"/>
                <w:szCs w:val="11"/>
                <w:color w:val="auto"/>
              </w:rPr>
            </w:pPr>
          </w:p>
        </w:tc>
        <w:tc>
          <w:tcPr>
            <w:tcW w:w="280" w:type="dxa"/>
            <w:vAlign w:val="bottom"/>
            <w:gridSpan w:val="2"/>
          </w:tcPr>
          <w:p>
            <w:pPr>
              <w:spacing w:after="0"/>
              <w:rPr>
                <w:sz w:val="11"/>
                <w:szCs w:val="11"/>
                <w:color w:val="auto"/>
              </w:rPr>
            </w:pPr>
          </w:p>
        </w:tc>
        <w:tc>
          <w:tcPr>
            <w:tcW w:w="1100" w:type="dxa"/>
            <w:vAlign w:val="bottom"/>
          </w:tcPr>
          <w:p>
            <w:pPr>
              <w:spacing w:after="0"/>
              <w:rPr>
                <w:sz w:val="11"/>
                <w:szCs w:val="11"/>
                <w:color w:val="auto"/>
              </w:rPr>
            </w:pPr>
          </w:p>
        </w:tc>
        <w:tc>
          <w:tcPr>
            <w:tcW w:w="200" w:type="dxa"/>
            <w:vAlign w:val="bottom"/>
            <w:gridSpan w:val="2"/>
          </w:tcPr>
          <w:p>
            <w:pPr>
              <w:spacing w:after="0"/>
              <w:rPr>
                <w:sz w:val="11"/>
                <w:szCs w:val="11"/>
                <w:color w:val="auto"/>
              </w:rPr>
            </w:pPr>
          </w:p>
        </w:tc>
        <w:tc>
          <w:tcPr>
            <w:tcW w:w="0" w:type="dxa"/>
            <w:vAlign w:val="bottom"/>
          </w:tcPr>
          <w:p>
            <w:pPr>
              <w:spacing w:after="0"/>
              <w:rPr>
                <w:sz w:val="1"/>
                <w:szCs w:val="1"/>
                <w:color w:val="auto"/>
              </w:rPr>
            </w:pPr>
          </w:p>
        </w:tc>
      </w:tr>
      <w:tr>
        <w:trPr>
          <w:trHeight w:val="222"/>
        </w:trPr>
        <w:tc>
          <w:tcPr>
            <w:tcW w:w="280" w:type="dxa"/>
            <w:vAlign w:val="bottom"/>
            <w:gridSpan w:val="2"/>
          </w:tcPr>
          <w:p>
            <w:pPr>
              <w:spacing w:after="0"/>
              <w:rPr>
                <w:sz w:val="20"/>
                <w:szCs w:val="20"/>
                <w:color w:val="auto"/>
              </w:rPr>
            </w:pPr>
            <w:r>
              <w:rPr>
                <w:rFonts w:ascii="Arial" w:cs="Arial" w:eastAsia="Arial" w:hAnsi="Arial"/>
                <w:sz w:val="18"/>
                <w:szCs w:val="18"/>
                <w:color w:val="auto"/>
              </w:rPr>
              <w:t>(1)</w:t>
            </w:r>
          </w:p>
        </w:tc>
        <w:tc>
          <w:tcPr>
            <w:tcW w:w="8580" w:type="dxa"/>
            <w:vAlign w:val="bottom"/>
            <w:gridSpan w:val="25"/>
          </w:tcPr>
          <w:p>
            <w:pPr>
              <w:ind w:left="240"/>
              <w:spacing w:after="0"/>
              <w:rPr>
                <w:sz w:val="20"/>
                <w:szCs w:val="20"/>
                <w:color w:val="auto"/>
              </w:rPr>
            </w:pPr>
            <w:r>
              <w:rPr>
                <w:rFonts w:ascii="Arial" w:cs="Arial" w:eastAsia="Arial" w:hAnsi="Arial"/>
                <w:sz w:val="18"/>
                <w:szCs w:val="18"/>
                <w:color w:val="auto"/>
              </w:rPr>
              <w:t>Cash flows used in investing activities includes purchases of property, equipment, and other assets of $</w:t>
            </w:r>
          </w:p>
        </w:tc>
        <w:tc>
          <w:tcPr>
            <w:tcW w:w="480" w:type="dxa"/>
            <w:vAlign w:val="bottom"/>
            <w:gridSpan w:val="3"/>
          </w:tcPr>
          <w:p>
            <w:pPr>
              <w:ind w:left="20"/>
              <w:spacing w:after="0"/>
              <w:rPr>
                <w:sz w:val="20"/>
                <w:szCs w:val="20"/>
                <w:color w:val="auto"/>
              </w:rPr>
            </w:pPr>
            <w:r>
              <w:rPr>
                <w:rFonts w:ascii="Arial" w:cs="Arial" w:eastAsia="Arial" w:hAnsi="Arial"/>
                <w:sz w:val="18"/>
                <w:szCs w:val="18"/>
                <w:color w:val="auto"/>
                <w:w w:val="97"/>
              </w:rPr>
              <w:t>and $</w:t>
            </w:r>
          </w:p>
        </w:tc>
        <w:tc>
          <w:tcPr>
            <w:tcW w:w="1300" w:type="dxa"/>
            <w:vAlign w:val="bottom"/>
            <w:gridSpan w:val="3"/>
          </w:tcPr>
          <w:p>
            <w:pPr>
              <w:jc w:val="right"/>
              <w:ind w:right="220"/>
              <w:spacing w:after="0"/>
              <w:rPr>
                <w:sz w:val="20"/>
                <w:szCs w:val="20"/>
                <w:color w:val="auto"/>
              </w:rPr>
            </w:pPr>
            <w:r>
              <w:rPr>
                <w:rFonts w:ascii="Arial" w:cs="Arial" w:eastAsia="Arial" w:hAnsi="Arial"/>
                <w:sz w:val="18"/>
                <w:szCs w:val="18"/>
                <w:color w:val="auto"/>
              </w:rPr>
              <w:t>for</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360" w:type="dxa"/>
            <w:vAlign w:val="bottom"/>
            <w:gridSpan w:val="31"/>
          </w:tcPr>
          <w:p>
            <w:pPr>
              <w:ind w:left="240"/>
              <w:spacing w:after="0"/>
              <w:rPr>
                <w:sz w:val="20"/>
                <w:szCs w:val="20"/>
                <w:color w:val="auto"/>
              </w:rPr>
            </w:pPr>
            <w:r>
              <w:rPr>
                <w:rFonts w:ascii="Arial" w:cs="Arial" w:eastAsia="Arial" w:hAnsi="Arial"/>
                <w:sz w:val="18"/>
                <w:szCs w:val="18"/>
                <w:color w:val="auto"/>
                <w:w w:val="93"/>
              </w:rPr>
              <w:t>the nine months ended September 30, 2021 and 2020, respectively, and $1.4 million, $1.2 million, and $0.7 million, in the periods ended</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360" w:type="dxa"/>
            <w:vAlign w:val="bottom"/>
            <w:gridSpan w:val="31"/>
          </w:tcPr>
          <w:p>
            <w:pPr>
              <w:ind w:left="240"/>
              <w:spacing w:after="0"/>
              <w:rPr>
                <w:sz w:val="20"/>
                <w:szCs w:val="20"/>
                <w:color w:val="auto"/>
              </w:rPr>
            </w:pPr>
            <w:r>
              <w:rPr>
                <w:rFonts w:ascii="Arial" w:cs="Arial" w:eastAsia="Arial" w:hAnsi="Arial"/>
                <w:sz w:val="18"/>
                <w:szCs w:val="18"/>
                <w:color w:val="auto"/>
                <w:w w:val="92"/>
              </w:rPr>
              <w:t>December 31, 2020, July 16, 2019 to December 31, 2019 (Successor), and January 1, 2019 to July 15, 2019 (Predecessor), respectively.</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84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540" w:type="dxa"/>
            <w:vAlign w:val="bottom"/>
            <w:gridSpan w:val="7"/>
            <w:vMerge w:val="restart"/>
          </w:tcPr>
          <w:p>
            <w:pPr>
              <w:jc w:val="center"/>
              <w:ind w:right="311"/>
              <w:spacing w:after="0"/>
              <w:rPr>
                <w:sz w:val="20"/>
                <w:szCs w:val="20"/>
                <w:color w:val="auto"/>
              </w:rPr>
            </w:pPr>
            <w:r>
              <w:rPr>
                <w:rFonts w:ascii="Arial" w:cs="Arial" w:eastAsia="Arial" w:hAnsi="Arial"/>
                <w:sz w:val="14"/>
                <w:szCs w:val="14"/>
                <w:b w:val="1"/>
                <w:bCs w:val="1"/>
                <w:color w:val="auto"/>
                <w:w w:val="95"/>
              </w:rPr>
              <w:t>Definitive OpCo</w:t>
            </w:r>
          </w:p>
        </w:tc>
        <w:tc>
          <w:tcPr>
            <w:tcW w:w="2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00" w:type="dxa"/>
            <w:vAlign w:val="bottom"/>
            <w:gridSpan w:val="4"/>
            <w:vMerge w:val="restart"/>
          </w:tcPr>
          <w:p>
            <w:pPr>
              <w:jc w:val="center"/>
              <w:ind w:right="360"/>
              <w:spacing w:after="0"/>
              <w:rPr>
                <w:sz w:val="20"/>
                <w:szCs w:val="20"/>
                <w:color w:val="auto"/>
              </w:rPr>
            </w:pPr>
            <w:r>
              <w:rPr>
                <w:rFonts w:ascii="Arial" w:cs="Arial" w:eastAsia="Arial" w:hAnsi="Arial"/>
                <w:sz w:val="14"/>
                <w:szCs w:val="14"/>
                <w:b w:val="1"/>
                <w:bCs w:val="1"/>
                <w:color w:val="auto"/>
                <w:w w:val="95"/>
              </w:rPr>
              <w:t>Definitive OpCo</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84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540" w:type="dxa"/>
            <w:vAlign w:val="bottom"/>
            <w:gridSpan w:val="7"/>
            <w:vMerge w:val="continue"/>
          </w:tcPr>
          <w:p>
            <w:pPr>
              <w:spacing w:after="0"/>
              <w:rPr>
                <w:sz w:val="10"/>
                <w:szCs w:val="10"/>
                <w:color w:val="auto"/>
              </w:rPr>
            </w:pPr>
          </w:p>
        </w:tc>
        <w:tc>
          <w:tcPr>
            <w:tcW w:w="28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220" w:type="dxa"/>
            <w:vAlign w:val="bottom"/>
            <w:tcBorders>
              <w:right w:val="single" w:sz="8" w:color="auto"/>
            </w:tcBorders>
          </w:tcPr>
          <w:p>
            <w:pPr>
              <w:spacing w:after="0"/>
              <w:rPr>
                <w:sz w:val="10"/>
                <w:szCs w:val="10"/>
                <w:color w:val="auto"/>
              </w:rPr>
            </w:pPr>
          </w:p>
        </w:tc>
        <w:tc>
          <w:tcPr>
            <w:tcW w:w="2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400" w:type="dxa"/>
            <w:vAlign w:val="bottom"/>
            <w:gridSpan w:val="4"/>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8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820" w:type="dxa"/>
            <w:vAlign w:val="bottom"/>
            <w:gridSpan w:val="8"/>
          </w:tcPr>
          <w:p>
            <w:pPr>
              <w:jc w:val="center"/>
              <w:ind w:right="31"/>
              <w:spacing w:after="0" w:line="149" w:lineRule="exact"/>
              <w:rPr>
                <w:sz w:val="20"/>
                <w:szCs w:val="20"/>
                <w:color w:val="auto"/>
              </w:rPr>
            </w:pPr>
            <w:r>
              <w:rPr>
                <w:rFonts w:ascii="Arial" w:cs="Arial" w:eastAsia="Arial" w:hAnsi="Arial"/>
                <w:sz w:val="14"/>
                <w:szCs w:val="14"/>
                <w:b w:val="1"/>
                <w:bCs w:val="1"/>
                <w:color w:val="auto"/>
              </w:rPr>
              <w:t>(AIDH TopCo, LLC)</w:t>
            </w:r>
          </w:p>
        </w:tc>
        <w:tc>
          <w:tcPr>
            <w:tcW w:w="2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20" w:type="dxa"/>
            <w:vAlign w:val="bottom"/>
            <w:tcBorders>
              <w:right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1580" w:type="dxa"/>
            <w:vAlign w:val="bottom"/>
            <w:gridSpan w:val="5"/>
          </w:tcPr>
          <w:p>
            <w:pPr>
              <w:jc w:val="center"/>
              <w:ind w:right="180"/>
              <w:spacing w:after="0" w:line="149" w:lineRule="exact"/>
              <w:rPr>
                <w:sz w:val="20"/>
                <w:szCs w:val="20"/>
                <w:color w:val="auto"/>
              </w:rPr>
            </w:pPr>
            <w:r>
              <w:rPr>
                <w:rFonts w:ascii="Arial" w:cs="Arial" w:eastAsia="Arial" w:hAnsi="Arial"/>
                <w:sz w:val="14"/>
                <w:szCs w:val="14"/>
                <w:b w:val="1"/>
                <w:bCs w:val="1"/>
                <w:color w:val="auto"/>
              </w:rPr>
              <w:t>(AIDH TopCo, LLC)</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8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820" w:type="dxa"/>
            <w:vAlign w:val="bottom"/>
            <w:gridSpan w:val="8"/>
          </w:tcPr>
          <w:p>
            <w:pPr>
              <w:jc w:val="center"/>
              <w:ind w:right="31"/>
              <w:spacing w:after="0"/>
              <w:rPr>
                <w:sz w:val="20"/>
                <w:szCs w:val="20"/>
                <w:color w:val="auto"/>
              </w:rPr>
            </w:pPr>
            <w:r>
              <w:rPr>
                <w:rFonts w:ascii="Arial" w:cs="Arial" w:eastAsia="Arial" w:hAnsi="Arial"/>
                <w:sz w:val="14"/>
                <w:szCs w:val="14"/>
                <w:b w:val="1"/>
                <w:bCs w:val="1"/>
                <w:color w:val="auto"/>
                <w:w w:val="89"/>
              </w:rPr>
              <w:t>Successor Company</w:t>
            </w:r>
          </w:p>
        </w:tc>
        <w:tc>
          <w:tcPr>
            <w:tcW w:w="2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20" w:type="dxa"/>
            <w:vAlign w:val="bottom"/>
            <w:tcBorders>
              <w:right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1580" w:type="dxa"/>
            <w:vAlign w:val="bottom"/>
            <w:gridSpan w:val="5"/>
          </w:tcPr>
          <w:p>
            <w:pPr>
              <w:jc w:val="center"/>
              <w:ind w:right="200"/>
              <w:spacing w:after="0"/>
              <w:rPr>
                <w:sz w:val="20"/>
                <w:szCs w:val="20"/>
                <w:color w:val="auto"/>
              </w:rPr>
            </w:pPr>
            <w:r>
              <w:rPr>
                <w:rFonts w:ascii="Arial" w:cs="Arial" w:eastAsia="Arial" w:hAnsi="Arial"/>
                <w:sz w:val="14"/>
                <w:szCs w:val="14"/>
                <w:b w:val="1"/>
                <w:bCs w:val="1"/>
                <w:color w:val="auto"/>
                <w:w w:val="90"/>
              </w:rPr>
              <w:t>Predecessor Company</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8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2080" w:type="dxa"/>
            <w:vAlign w:val="bottom"/>
            <w:tcBorders>
              <w:top w:val="single" w:sz="8" w:color="auto"/>
            </w:tcBorders>
            <w:gridSpan w:val="8"/>
          </w:tcPr>
          <w:p>
            <w:pPr>
              <w:jc w:val="center"/>
              <w:ind w:right="540"/>
              <w:spacing w:after="0" w:line="129" w:lineRule="exact"/>
              <w:rPr>
                <w:sz w:val="20"/>
                <w:szCs w:val="20"/>
                <w:color w:val="auto"/>
              </w:rPr>
            </w:pPr>
            <w:r>
              <w:rPr>
                <w:rFonts w:ascii="Arial" w:cs="Arial" w:eastAsia="Arial" w:hAnsi="Arial"/>
                <w:sz w:val="14"/>
                <w:szCs w:val="14"/>
                <w:b w:val="1"/>
                <w:bCs w:val="1"/>
                <w:color w:val="auto"/>
                <w:w w:val="93"/>
              </w:rPr>
              <w:t>Nine Months Ended</w:t>
            </w:r>
          </w:p>
        </w:tc>
        <w:tc>
          <w:tcPr>
            <w:tcW w:w="60" w:type="dxa"/>
            <w:vAlign w:val="bottom"/>
            <w:tcBorders>
              <w:top w:val="single" w:sz="8" w:color="auto"/>
            </w:tcBorders>
          </w:tcPr>
          <w:p>
            <w:pPr>
              <w:spacing w:after="0"/>
              <w:rPr>
                <w:sz w:val="11"/>
                <w:szCs w:val="11"/>
                <w:color w:val="auto"/>
              </w:rPr>
            </w:pPr>
          </w:p>
        </w:tc>
        <w:tc>
          <w:tcPr>
            <w:tcW w:w="1080" w:type="dxa"/>
            <w:vAlign w:val="bottom"/>
            <w:tcBorders>
              <w:top w:val="single" w:sz="8" w:color="auto"/>
            </w:tcBorders>
            <w:gridSpan w:val="4"/>
          </w:tcPr>
          <w:p>
            <w:pPr>
              <w:jc w:val="center"/>
              <w:ind w:right="151"/>
              <w:spacing w:after="0" w:line="129" w:lineRule="exact"/>
              <w:rPr>
                <w:sz w:val="20"/>
                <w:szCs w:val="20"/>
                <w:color w:val="auto"/>
              </w:rPr>
            </w:pPr>
            <w:r>
              <w:rPr>
                <w:rFonts w:ascii="Arial" w:cs="Arial" w:eastAsia="Arial" w:hAnsi="Arial"/>
                <w:sz w:val="14"/>
                <w:szCs w:val="14"/>
                <w:b w:val="1"/>
                <w:bCs w:val="1"/>
                <w:color w:val="auto"/>
                <w:w w:val="92"/>
              </w:rPr>
              <w:t>Year ended</w:t>
            </w:r>
          </w:p>
        </w:tc>
        <w:tc>
          <w:tcPr>
            <w:tcW w:w="280" w:type="dxa"/>
            <w:vAlign w:val="bottom"/>
            <w:tcBorders>
              <w:top w:val="single" w:sz="8" w:color="auto"/>
            </w:tcBorders>
          </w:tcPr>
          <w:p>
            <w:pPr>
              <w:spacing w:after="0"/>
              <w:rPr>
                <w:sz w:val="11"/>
                <w:szCs w:val="11"/>
                <w:color w:val="auto"/>
              </w:rPr>
            </w:pPr>
          </w:p>
        </w:tc>
        <w:tc>
          <w:tcPr>
            <w:tcW w:w="1160" w:type="dxa"/>
            <w:vAlign w:val="bottom"/>
            <w:tcBorders>
              <w:top w:val="single" w:sz="8" w:color="auto"/>
            </w:tcBorders>
            <w:gridSpan w:val="5"/>
          </w:tcPr>
          <w:p>
            <w:pPr>
              <w:jc w:val="center"/>
              <w:spacing w:after="0" w:line="129" w:lineRule="exact"/>
              <w:rPr>
                <w:sz w:val="20"/>
                <w:szCs w:val="20"/>
                <w:color w:val="auto"/>
              </w:rPr>
            </w:pPr>
            <w:r>
              <w:rPr>
                <w:rFonts w:ascii="Arial" w:cs="Arial" w:eastAsia="Arial" w:hAnsi="Arial"/>
                <w:sz w:val="14"/>
                <w:szCs w:val="14"/>
                <w:b w:val="1"/>
                <w:bCs w:val="1"/>
                <w:color w:val="auto"/>
                <w:w w:val="96"/>
              </w:rPr>
              <w:t>Period from</w:t>
            </w:r>
          </w:p>
        </w:tc>
        <w:tc>
          <w:tcPr>
            <w:tcW w:w="660" w:type="dxa"/>
            <w:vAlign w:val="bottom"/>
            <w:tcBorders>
              <w:right w:val="single" w:sz="8" w:color="auto"/>
            </w:tcBorders>
            <w:gridSpan w:val="2"/>
          </w:tcPr>
          <w:p>
            <w:pPr>
              <w:spacing w:after="0"/>
              <w:rPr>
                <w:sz w:val="11"/>
                <w:szCs w:val="11"/>
                <w:color w:val="auto"/>
              </w:rPr>
            </w:pPr>
          </w:p>
        </w:tc>
        <w:tc>
          <w:tcPr>
            <w:tcW w:w="200" w:type="dxa"/>
            <w:vAlign w:val="bottom"/>
          </w:tcPr>
          <w:p>
            <w:pPr>
              <w:spacing w:after="0"/>
              <w:rPr>
                <w:sz w:val="11"/>
                <w:szCs w:val="11"/>
                <w:color w:val="auto"/>
              </w:rPr>
            </w:pPr>
          </w:p>
        </w:tc>
        <w:tc>
          <w:tcPr>
            <w:tcW w:w="18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1100" w:type="dxa"/>
            <w:vAlign w:val="bottom"/>
            <w:tcBorders>
              <w:top w:val="single" w:sz="8" w:color="auto"/>
            </w:tcBorders>
          </w:tcPr>
          <w:p>
            <w:pPr>
              <w:jc w:val="center"/>
              <w:ind w:right="196"/>
              <w:spacing w:after="0" w:line="129" w:lineRule="exact"/>
              <w:rPr>
                <w:sz w:val="20"/>
                <w:szCs w:val="20"/>
                <w:color w:val="auto"/>
              </w:rPr>
            </w:pPr>
            <w:r>
              <w:rPr>
                <w:rFonts w:ascii="Arial" w:cs="Arial" w:eastAsia="Arial" w:hAnsi="Arial"/>
                <w:sz w:val="14"/>
                <w:szCs w:val="14"/>
                <w:b w:val="1"/>
                <w:bCs w:val="1"/>
                <w:color w:val="auto"/>
                <w:w w:val="94"/>
              </w:rPr>
              <w:t>Period from</w:t>
            </w:r>
          </w:p>
        </w:tc>
        <w:tc>
          <w:tcPr>
            <w:tcW w:w="200" w:type="dxa"/>
            <w:vAlign w:val="bottom"/>
            <w:gridSpan w:val="2"/>
          </w:tcPr>
          <w:p>
            <w:pPr>
              <w:spacing w:after="0"/>
              <w:rPr>
                <w:sz w:val="11"/>
                <w:szCs w:val="11"/>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8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80" w:type="dxa"/>
            <w:vAlign w:val="bottom"/>
            <w:gridSpan w:val="8"/>
          </w:tcPr>
          <w:p>
            <w:pPr>
              <w:jc w:val="center"/>
              <w:ind w:right="540"/>
              <w:spacing w:after="0"/>
              <w:rPr>
                <w:sz w:val="20"/>
                <w:szCs w:val="20"/>
                <w:color w:val="auto"/>
              </w:rPr>
            </w:pPr>
            <w:r>
              <w:rPr>
                <w:rFonts w:ascii="Arial" w:cs="Arial" w:eastAsia="Arial" w:hAnsi="Arial"/>
                <w:sz w:val="14"/>
                <w:szCs w:val="14"/>
                <w:b w:val="1"/>
                <w:bCs w:val="1"/>
                <w:color w:val="auto"/>
                <w:w w:val="89"/>
              </w:rPr>
              <w:t>September 30,</w:t>
            </w:r>
          </w:p>
        </w:tc>
        <w:tc>
          <w:tcPr>
            <w:tcW w:w="60" w:type="dxa"/>
            <w:vAlign w:val="bottom"/>
          </w:tcPr>
          <w:p>
            <w:pPr>
              <w:spacing w:after="0"/>
              <w:rPr>
                <w:sz w:val="14"/>
                <w:szCs w:val="14"/>
                <w:color w:val="auto"/>
              </w:rPr>
            </w:pPr>
          </w:p>
        </w:tc>
        <w:tc>
          <w:tcPr>
            <w:tcW w:w="1080" w:type="dxa"/>
            <w:vAlign w:val="bottom"/>
            <w:gridSpan w:val="4"/>
          </w:tcPr>
          <w:p>
            <w:pPr>
              <w:jc w:val="center"/>
              <w:ind w:right="171"/>
              <w:spacing w:after="0"/>
              <w:rPr>
                <w:sz w:val="20"/>
                <w:szCs w:val="20"/>
                <w:color w:val="auto"/>
              </w:rPr>
            </w:pPr>
            <w:r>
              <w:rPr>
                <w:rFonts w:ascii="Arial" w:cs="Arial" w:eastAsia="Arial" w:hAnsi="Arial"/>
                <w:sz w:val="14"/>
                <w:szCs w:val="14"/>
                <w:b w:val="1"/>
                <w:bCs w:val="1"/>
                <w:color w:val="auto"/>
                <w:w w:val="92"/>
              </w:rPr>
              <w:t>December 31,</w:t>
            </w:r>
          </w:p>
        </w:tc>
        <w:tc>
          <w:tcPr>
            <w:tcW w:w="280" w:type="dxa"/>
            <w:vAlign w:val="bottom"/>
          </w:tcPr>
          <w:p>
            <w:pPr>
              <w:spacing w:after="0"/>
              <w:rPr>
                <w:sz w:val="14"/>
                <w:szCs w:val="14"/>
                <w:color w:val="auto"/>
              </w:rPr>
            </w:pPr>
          </w:p>
        </w:tc>
        <w:tc>
          <w:tcPr>
            <w:tcW w:w="1820" w:type="dxa"/>
            <w:vAlign w:val="bottom"/>
            <w:tcBorders>
              <w:right w:val="single" w:sz="8" w:color="auto"/>
            </w:tcBorders>
            <w:gridSpan w:val="7"/>
          </w:tcPr>
          <w:p>
            <w:pPr>
              <w:jc w:val="center"/>
              <w:ind w:right="660"/>
              <w:spacing w:after="0"/>
              <w:rPr>
                <w:sz w:val="20"/>
                <w:szCs w:val="20"/>
                <w:color w:val="auto"/>
              </w:rPr>
            </w:pPr>
            <w:r>
              <w:rPr>
                <w:rFonts w:ascii="Arial" w:cs="Arial" w:eastAsia="Arial" w:hAnsi="Arial"/>
                <w:sz w:val="14"/>
                <w:szCs w:val="14"/>
                <w:b w:val="1"/>
                <w:bCs w:val="1"/>
                <w:color w:val="auto"/>
                <w:w w:val="92"/>
              </w:rPr>
              <w:t>July 16, 2019 to</w:t>
            </w:r>
          </w:p>
        </w:tc>
        <w:tc>
          <w:tcPr>
            <w:tcW w:w="200" w:type="dxa"/>
            <w:vAlign w:val="bottom"/>
          </w:tcPr>
          <w:p>
            <w:pPr>
              <w:spacing w:after="0"/>
              <w:rPr>
                <w:sz w:val="14"/>
                <w:szCs w:val="14"/>
                <w:color w:val="auto"/>
              </w:rPr>
            </w:pPr>
          </w:p>
        </w:tc>
        <w:tc>
          <w:tcPr>
            <w:tcW w:w="1580" w:type="dxa"/>
            <w:vAlign w:val="bottom"/>
            <w:gridSpan w:val="5"/>
          </w:tcPr>
          <w:p>
            <w:pPr>
              <w:jc w:val="center"/>
              <w:ind w:right="200"/>
              <w:spacing w:after="0"/>
              <w:rPr>
                <w:sz w:val="20"/>
                <w:szCs w:val="20"/>
                <w:color w:val="auto"/>
              </w:rPr>
            </w:pPr>
            <w:r>
              <w:rPr>
                <w:rFonts w:ascii="Arial" w:cs="Arial" w:eastAsia="Arial" w:hAnsi="Arial"/>
                <w:sz w:val="14"/>
                <w:szCs w:val="14"/>
                <w:b w:val="1"/>
                <w:bCs w:val="1"/>
                <w:color w:val="auto"/>
                <w:w w:val="93"/>
              </w:rPr>
              <w:t>January 1, 2019 to</w:t>
            </w:r>
          </w:p>
        </w:tc>
        <w:tc>
          <w:tcPr>
            <w:tcW w:w="0" w:type="dxa"/>
            <w:vAlign w:val="bottom"/>
          </w:tcPr>
          <w:p>
            <w:pPr>
              <w:spacing w:after="0"/>
              <w:rPr>
                <w:sz w:val="1"/>
                <w:szCs w:val="1"/>
                <w:color w:val="auto"/>
              </w:rPr>
            </w:pPr>
          </w:p>
        </w:tc>
      </w:tr>
      <w:tr>
        <w:trPr>
          <w:trHeight w:val="142"/>
        </w:trPr>
        <w:tc>
          <w:tcPr>
            <w:tcW w:w="3000" w:type="dxa"/>
            <w:vAlign w:val="bottom"/>
            <w:gridSpan w:val="4"/>
          </w:tcPr>
          <w:p>
            <w:pPr>
              <w:spacing w:after="0" w:line="142" w:lineRule="exact"/>
              <w:rPr>
                <w:sz w:val="20"/>
                <w:szCs w:val="20"/>
                <w:color w:val="auto"/>
              </w:rPr>
            </w:pPr>
            <w:r>
              <w:rPr>
                <w:rFonts w:ascii="Arial" w:cs="Arial" w:eastAsia="Arial" w:hAnsi="Arial"/>
                <w:sz w:val="14"/>
                <w:szCs w:val="14"/>
                <w:color w:val="auto"/>
              </w:rPr>
              <w:t>($ in thousands)</w:t>
            </w:r>
          </w:p>
        </w:tc>
        <w:tc>
          <w:tcPr>
            <w:tcW w:w="40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540" w:type="dxa"/>
            <w:vAlign w:val="bottom"/>
            <w:tcBorders>
              <w:top w:val="single" w:sz="8" w:color="auto"/>
            </w:tcBorders>
          </w:tcPr>
          <w:p>
            <w:pPr>
              <w:jc w:val="right"/>
              <w:ind w:right="116"/>
              <w:spacing w:after="0" w:line="142" w:lineRule="exact"/>
              <w:rPr>
                <w:sz w:val="20"/>
                <w:szCs w:val="20"/>
                <w:color w:val="auto"/>
              </w:rPr>
            </w:pPr>
            <w:r>
              <w:rPr>
                <w:rFonts w:ascii="Arial" w:cs="Arial" w:eastAsia="Arial" w:hAnsi="Arial"/>
                <w:sz w:val="14"/>
                <w:szCs w:val="14"/>
                <w:b w:val="1"/>
                <w:bCs w:val="1"/>
                <w:color w:val="auto"/>
              </w:rPr>
              <w:t>2021</w:t>
            </w:r>
          </w:p>
        </w:tc>
        <w:tc>
          <w:tcPr>
            <w:tcW w:w="18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820" w:type="dxa"/>
            <w:vAlign w:val="bottom"/>
            <w:tcBorders>
              <w:top w:val="single" w:sz="8" w:color="auto"/>
            </w:tcBorders>
            <w:gridSpan w:val="3"/>
          </w:tcPr>
          <w:p>
            <w:pPr>
              <w:ind w:left="340"/>
              <w:spacing w:after="0" w:line="142" w:lineRule="exact"/>
              <w:rPr>
                <w:sz w:val="20"/>
                <w:szCs w:val="20"/>
                <w:color w:val="auto"/>
              </w:rPr>
            </w:pPr>
            <w:r>
              <w:rPr>
                <w:rFonts w:ascii="Arial" w:cs="Arial" w:eastAsia="Arial" w:hAnsi="Arial"/>
                <w:sz w:val="14"/>
                <w:szCs w:val="14"/>
                <w:b w:val="1"/>
                <w:bCs w:val="1"/>
                <w:color w:val="auto"/>
              </w:rPr>
              <w:t>2020</w:t>
            </w:r>
          </w:p>
        </w:tc>
        <w:tc>
          <w:tcPr>
            <w:tcW w:w="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00" w:type="dxa"/>
            <w:vAlign w:val="bottom"/>
            <w:gridSpan w:val="3"/>
          </w:tcPr>
          <w:p>
            <w:pPr>
              <w:jc w:val="center"/>
              <w:spacing w:after="0" w:line="142" w:lineRule="exact"/>
              <w:rPr>
                <w:sz w:val="20"/>
                <w:szCs w:val="20"/>
                <w:color w:val="auto"/>
              </w:rPr>
            </w:pPr>
            <w:r>
              <w:rPr>
                <w:rFonts w:ascii="Arial" w:cs="Arial" w:eastAsia="Arial" w:hAnsi="Arial"/>
                <w:sz w:val="14"/>
                <w:szCs w:val="14"/>
                <w:b w:val="1"/>
                <w:bCs w:val="1"/>
                <w:color w:val="auto"/>
                <w:w w:val="96"/>
              </w:rPr>
              <w:t>2020</w:t>
            </w:r>
          </w:p>
        </w:tc>
        <w:tc>
          <w:tcPr>
            <w:tcW w:w="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820" w:type="dxa"/>
            <w:vAlign w:val="bottom"/>
            <w:tcBorders>
              <w:right w:val="single" w:sz="8" w:color="auto"/>
            </w:tcBorders>
            <w:gridSpan w:val="7"/>
          </w:tcPr>
          <w:p>
            <w:pPr>
              <w:jc w:val="center"/>
              <w:ind w:right="660"/>
              <w:spacing w:after="0" w:line="142" w:lineRule="exact"/>
              <w:rPr>
                <w:sz w:val="20"/>
                <w:szCs w:val="20"/>
                <w:color w:val="auto"/>
              </w:rPr>
            </w:pPr>
            <w:r>
              <w:rPr>
                <w:rFonts w:ascii="Arial" w:cs="Arial" w:eastAsia="Arial" w:hAnsi="Arial"/>
                <w:sz w:val="14"/>
                <w:szCs w:val="14"/>
                <w:b w:val="1"/>
                <w:bCs w:val="1"/>
                <w:color w:val="auto"/>
                <w:w w:val="91"/>
              </w:rPr>
              <w:t>December 31, 2019</w:t>
            </w:r>
          </w:p>
        </w:tc>
        <w:tc>
          <w:tcPr>
            <w:tcW w:w="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00" w:type="dxa"/>
            <w:vAlign w:val="bottom"/>
            <w:gridSpan w:val="3"/>
          </w:tcPr>
          <w:p>
            <w:pPr>
              <w:jc w:val="center"/>
              <w:ind w:right="460"/>
              <w:spacing w:after="0" w:line="142" w:lineRule="exact"/>
              <w:rPr>
                <w:sz w:val="20"/>
                <w:szCs w:val="20"/>
                <w:color w:val="auto"/>
              </w:rPr>
            </w:pPr>
            <w:r>
              <w:rPr>
                <w:rFonts w:ascii="Arial" w:cs="Arial" w:eastAsia="Arial" w:hAnsi="Arial"/>
                <w:sz w:val="14"/>
                <w:szCs w:val="14"/>
                <w:b w:val="1"/>
                <w:bCs w:val="1"/>
                <w:color w:val="auto"/>
                <w:w w:val="92"/>
              </w:rPr>
              <w:t>July 15, 2019</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2980" w:type="dxa"/>
            <w:vAlign w:val="bottom"/>
            <w:tcBorders>
              <w:top w:val="single" w:sz="8" w:color="CCEEFF"/>
            </w:tcBorders>
            <w:gridSpan w:val="3"/>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Other Financial Data</w:t>
            </w:r>
            <w:r>
              <w:rPr>
                <w:rFonts w:ascii="Arial" w:cs="Arial" w:eastAsia="Arial" w:hAnsi="Arial"/>
                <w:sz w:val="15"/>
                <w:szCs w:val="15"/>
                <w:b w:val="1"/>
                <w:bCs w:val="1"/>
                <w:color w:val="auto"/>
              </w:rPr>
              <w:t>(1)</w:t>
            </w:r>
          </w:p>
        </w:tc>
        <w:tc>
          <w:tcPr>
            <w:tcW w:w="4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540" w:type="dxa"/>
            <w:vAlign w:val="bottom"/>
            <w:tcBorders>
              <w:top w:val="single" w:sz="8" w:color="auto"/>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400" w:type="dxa"/>
            <w:vAlign w:val="bottom"/>
            <w:tcBorders>
              <w:top w:val="single" w:sz="8" w:color="auto"/>
            </w:tcBorders>
            <w:shd w:val="clear" w:color="auto" w:fill="CCEEFF"/>
          </w:tcPr>
          <w:p>
            <w:pPr>
              <w:spacing w:after="0"/>
              <w:rPr>
                <w:sz w:val="17"/>
                <w:szCs w:val="17"/>
                <w:color w:val="auto"/>
              </w:rPr>
            </w:pPr>
          </w:p>
        </w:tc>
        <w:tc>
          <w:tcPr>
            <w:tcW w:w="28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420" w:type="dxa"/>
            <w:vAlign w:val="bottom"/>
            <w:tcBorders>
              <w:top w:val="single" w:sz="8" w:color="auto"/>
            </w:tcBorders>
            <w:shd w:val="clear" w:color="auto" w:fill="CCEEFF"/>
          </w:tcPr>
          <w:p>
            <w:pPr>
              <w:spacing w:after="0"/>
              <w:rPr>
                <w:sz w:val="17"/>
                <w:szCs w:val="17"/>
                <w:color w:val="auto"/>
              </w:rPr>
            </w:pPr>
          </w:p>
        </w:tc>
        <w:tc>
          <w:tcPr>
            <w:tcW w:w="420" w:type="dxa"/>
            <w:vAlign w:val="bottom"/>
            <w:tcBorders>
              <w:top w:val="single" w:sz="8" w:color="auto"/>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38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340" w:type="dxa"/>
            <w:vAlign w:val="bottom"/>
            <w:tcBorders>
              <w:top w:val="single" w:sz="8" w:color="auto"/>
            </w:tcBorders>
            <w:shd w:val="clear" w:color="auto" w:fill="CCEEFF"/>
          </w:tcPr>
          <w:p>
            <w:pPr>
              <w:spacing w:after="0"/>
              <w:rPr>
                <w:sz w:val="17"/>
                <w:szCs w:val="17"/>
                <w:color w:val="auto"/>
              </w:rPr>
            </w:pPr>
          </w:p>
        </w:tc>
        <w:tc>
          <w:tcPr>
            <w:tcW w:w="44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CCEEFF"/>
              <w:right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11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720" w:type="dxa"/>
            <w:vAlign w:val="bottom"/>
            <w:gridSpan w:val="2"/>
          </w:tcPr>
          <w:p>
            <w:pPr>
              <w:ind w:left="80"/>
              <w:spacing w:after="0"/>
              <w:rPr>
                <w:sz w:val="20"/>
                <w:szCs w:val="20"/>
                <w:color w:val="auto"/>
              </w:rPr>
            </w:pPr>
            <w:r>
              <w:rPr>
                <w:rFonts w:ascii="Arial" w:cs="Arial" w:eastAsia="Arial" w:hAnsi="Arial"/>
                <w:sz w:val="18"/>
                <w:szCs w:val="18"/>
                <w:color w:val="auto"/>
              </w:rPr>
              <w:t>Net (Loss) Income</w:t>
            </w:r>
          </w:p>
        </w:tc>
        <w:tc>
          <w:tcPr>
            <w:tcW w:w="54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5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gridSpan w:val="2"/>
          </w:tcPr>
          <w:p>
            <w:pPr>
              <w:jc w:val="right"/>
              <w:ind w:right="228"/>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gridSpan w:val="5"/>
          </w:tcPr>
          <w:p>
            <w:pPr>
              <w:jc w:val="right"/>
              <w:ind w:right="111"/>
              <w:spacing w:after="0"/>
              <w:rPr>
                <w:sz w:val="20"/>
                <w:szCs w:val="20"/>
                <w:color w:val="auto"/>
              </w:rPr>
            </w:pPr>
            <w:r>
              <w:rPr>
                <w:rFonts w:ascii="Arial" w:cs="Arial" w:eastAsia="Arial" w:hAnsi="Arial"/>
                <w:sz w:val="18"/>
                <w:szCs w:val="18"/>
                <w:color w:val="auto"/>
              </w:rPr>
              <w:t>$  (51,157)</w:t>
            </w:r>
          </w:p>
        </w:tc>
        <w:tc>
          <w:tcPr>
            <w:tcW w:w="660" w:type="dxa"/>
            <w:vAlign w:val="bottom"/>
            <w:gridSpan w:val="2"/>
          </w:tcPr>
          <w:p>
            <w:pPr>
              <w:jc w:val="right"/>
              <w:ind w:right="228"/>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080" w:type="dxa"/>
            <w:vAlign w:val="bottom"/>
            <w:gridSpan w:val="4"/>
          </w:tcPr>
          <w:p>
            <w:pPr>
              <w:jc w:val="right"/>
              <w:ind w:right="380"/>
              <w:spacing w:after="0"/>
              <w:rPr>
                <w:sz w:val="20"/>
                <w:szCs w:val="20"/>
                <w:color w:val="auto"/>
              </w:rPr>
            </w:pPr>
            <w:r>
              <w:rPr>
                <w:rFonts w:ascii="Arial" w:cs="Arial" w:eastAsia="Arial" w:hAnsi="Arial"/>
                <w:sz w:val="18"/>
                <w:szCs w:val="18"/>
                <w:color w:val="auto"/>
              </w:rPr>
              <w:t>(49,266)</w:t>
            </w:r>
          </w:p>
        </w:tc>
        <w:tc>
          <w:tcPr>
            <w:tcW w:w="220" w:type="dxa"/>
            <w:vAlign w:val="bottom"/>
            <w:tcBorders>
              <w:right w:val="single" w:sz="8" w:color="auto"/>
            </w:tcBorders>
          </w:tcPr>
          <w:p>
            <w:pPr>
              <w:spacing w:after="0"/>
              <w:rPr>
                <w:sz w:val="18"/>
                <w:szCs w:val="18"/>
                <w:color w:val="auto"/>
              </w:rPr>
            </w:pPr>
          </w:p>
        </w:tc>
        <w:tc>
          <w:tcPr>
            <w:tcW w:w="380" w:type="dxa"/>
            <w:vAlign w:val="bottom"/>
            <w:gridSpan w:val="2"/>
          </w:tcPr>
          <w:p>
            <w:pPr>
              <w:jc w:val="right"/>
              <w:ind w:right="8"/>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12,868</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72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Reported gross profit</w:t>
            </w:r>
          </w:p>
        </w:tc>
        <w:tc>
          <w:tcPr>
            <w:tcW w:w="4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87,849</w:t>
            </w: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26,763</w:t>
            </w:r>
          </w:p>
        </w:tc>
        <w:tc>
          <w:tcPr>
            <w:tcW w:w="440" w:type="dxa"/>
            <w:vAlign w:val="bottom"/>
            <w:shd w:val="clear" w:color="auto" w:fill="CCEEFF"/>
          </w:tcPr>
          <w:p>
            <w:pPr>
              <w:spacing w:after="0"/>
              <w:rPr>
                <w:sz w:val="18"/>
                <w:szCs w:val="18"/>
                <w:color w:val="auto"/>
              </w:rPr>
            </w:pPr>
          </w:p>
        </w:tc>
        <w:tc>
          <w:tcPr>
            <w:tcW w:w="220" w:type="dxa"/>
            <w:vAlign w:val="bottom"/>
            <w:tcBorders>
              <w:right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40,130</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720" w:type="dxa"/>
            <w:vAlign w:val="bottom"/>
            <w:gridSpan w:val="2"/>
          </w:tcPr>
          <w:p>
            <w:pPr>
              <w:ind w:left="80"/>
              <w:spacing w:after="0"/>
              <w:rPr>
                <w:sz w:val="20"/>
                <w:szCs w:val="20"/>
                <w:color w:val="auto"/>
              </w:rPr>
            </w:pPr>
            <w:r>
              <w:rPr>
                <w:rFonts w:ascii="Arial" w:cs="Arial" w:eastAsia="Arial" w:hAnsi="Arial"/>
                <w:sz w:val="18"/>
                <w:szCs w:val="18"/>
                <w:color w:val="auto"/>
              </w:rPr>
              <w:t>(Loss) Income from operations</w:t>
            </w:r>
          </w:p>
        </w:tc>
        <w:tc>
          <w:tcPr>
            <w:tcW w:w="4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gridSpan w:val="5"/>
          </w:tcPr>
          <w:p>
            <w:pPr>
              <w:jc w:val="right"/>
              <w:ind w:right="111"/>
              <w:spacing w:after="0"/>
              <w:rPr>
                <w:sz w:val="20"/>
                <w:szCs w:val="20"/>
                <w:color w:val="auto"/>
              </w:rPr>
            </w:pPr>
            <w:r>
              <w:rPr>
                <w:rFonts w:ascii="Arial" w:cs="Arial" w:eastAsia="Arial" w:hAnsi="Arial"/>
                <w:sz w:val="18"/>
                <w:szCs w:val="18"/>
                <w:color w:val="auto"/>
              </w:rPr>
              <w:t>(14,445)</w:t>
            </w:r>
          </w:p>
        </w:tc>
        <w:tc>
          <w:tcPr>
            <w:tcW w:w="2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gridSpan w:val="4"/>
          </w:tcPr>
          <w:p>
            <w:pPr>
              <w:jc w:val="right"/>
              <w:ind w:right="380"/>
              <w:spacing w:after="0"/>
              <w:rPr>
                <w:sz w:val="20"/>
                <w:szCs w:val="20"/>
                <w:color w:val="auto"/>
              </w:rPr>
            </w:pPr>
            <w:r>
              <w:rPr>
                <w:rFonts w:ascii="Arial" w:cs="Arial" w:eastAsia="Arial" w:hAnsi="Arial"/>
                <w:sz w:val="18"/>
                <w:szCs w:val="18"/>
                <w:color w:val="auto"/>
              </w:rPr>
              <w:t>(31,062)</w:t>
            </w:r>
          </w:p>
        </w:tc>
        <w:tc>
          <w:tcPr>
            <w:tcW w:w="220" w:type="dxa"/>
            <w:vAlign w:val="bottom"/>
            <w:tcBorders>
              <w:right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13,033</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72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Revenue</w:t>
            </w:r>
          </w:p>
        </w:tc>
        <w:tc>
          <w:tcPr>
            <w:tcW w:w="4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118,317</w:t>
            </w: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40,045</w:t>
            </w:r>
          </w:p>
        </w:tc>
        <w:tc>
          <w:tcPr>
            <w:tcW w:w="440" w:type="dxa"/>
            <w:vAlign w:val="bottom"/>
            <w:shd w:val="clear" w:color="auto" w:fill="CCEEFF"/>
          </w:tcPr>
          <w:p>
            <w:pPr>
              <w:spacing w:after="0"/>
              <w:rPr>
                <w:sz w:val="18"/>
                <w:szCs w:val="18"/>
                <w:color w:val="auto"/>
              </w:rPr>
            </w:pPr>
          </w:p>
        </w:tc>
        <w:tc>
          <w:tcPr>
            <w:tcW w:w="220" w:type="dxa"/>
            <w:vAlign w:val="bottom"/>
            <w:tcBorders>
              <w:right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45,458</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720" w:type="dxa"/>
            <w:vAlign w:val="bottom"/>
            <w:gridSpan w:val="2"/>
          </w:tcPr>
          <w:p>
            <w:pPr>
              <w:ind w:left="80"/>
              <w:spacing w:after="0"/>
              <w:rPr>
                <w:sz w:val="20"/>
                <w:szCs w:val="20"/>
                <w:color w:val="auto"/>
              </w:rPr>
            </w:pPr>
            <w:r>
              <w:rPr>
                <w:rFonts w:ascii="Arial" w:cs="Arial" w:eastAsia="Arial" w:hAnsi="Arial"/>
                <w:sz w:val="18"/>
                <w:szCs w:val="18"/>
                <w:color w:val="auto"/>
              </w:rPr>
              <w:t>Adjusted EBITDA</w:t>
            </w:r>
            <w:r>
              <w:rPr>
                <w:rFonts w:ascii="Arial" w:cs="Arial" w:eastAsia="Arial" w:hAnsi="Arial"/>
                <w:sz w:val="15"/>
                <w:szCs w:val="15"/>
                <w:color w:val="auto"/>
              </w:rPr>
              <w:t>(2)</w:t>
            </w:r>
          </w:p>
        </w:tc>
        <w:tc>
          <w:tcPr>
            <w:tcW w:w="4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gridSpan w:val="3"/>
          </w:tcPr>
          <w:p>
            <w:pPr>
              <w:jc w:val="right"/>
              <w:spacing w:after="0"/>
              <w:rPr>
                <w:sz w:val="20"/>
                <w:szCs w:val="20"/>
                <w:color w:val="auto"/>
              </w:rPr>
            </w:pPr>
            <w:r>
              <w:rPr>
                <w:rFonts w:ascii="Arial" w:cs="Arial" w:eastAsia="Arial" w:hAnsi="Arial"/>
                <w:sz w:val="18"/>
                <w:szCs w:val="18"/>
                <w:color w:val="auto"/>
              </w:rPr>
              <w:t>53,505</w:t>
            </w: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3"/>
          </w:tcPr>
          <w:p>
            <w:pPr>
              <w:jc w:val="right"/>
              <w:spacing w:after="0"/>
              <w:rPr>
                <w:sz w:val="20"/>
                <w:szCs w:val="20"/>
                <w:color w:val="auto"/>
              </w:rPr>
            </w:pPr>
            <w:r>
              <w:rPr>
                <w:rFonts w:ascii="Arial" w:cs="Arial" w:eastAsia="Arial" w:hAnsi="Arial"/>
                <w:sz w:val="18"/>
                <w:szCs w:val="18"/>
                <w:color w:val="auto"/>
              </w:rPr>
              <w:t>18,651</w:t>
            </w:r>
          </w:p>
        </w:tc>
        <w:tc>
          <w:tcPr>
            <w:tcW w:w="440" w:type="dxa"/>
            <w:vAlign w:val="bottom"/>
          </w:tcPr>
          <w:p>
            <w:pPr>
              <w:spacing w:after="0"/>
              <w:rPr>
                <w:sz w:val="18"/>
                <w:szCs w:val="18"/>
                <w:color w:val="auto"/>
              </w:rPr>
            </w:pPr>
          </w:p>
        </w:tc>
        <w:tc>
          <w:tcPr>
            <w:tcW w:w="220" w:type="dxa"/>
            <w:vAlign w:val="bottom"/>
            <w:tcBorders>
              <w:right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23,656</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72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Adjusted Gross Profit</w:t>
            </w:r>
            <w:r>
              <w:rPr>
                <w:rFonts w:ascii="Arial" w:cs="Arial" w:eastAsia="Arial" w:hAnsi="Arial"/>
                <w:sz w:val="15"/>
                <w:szCs w:val="15"/>
                <w:color w:val="auto"/>
              </w:rPr>
              <w:t>(3)</w:t>
            </w:r>
          </w:p>
        </w:tc>
        <w:tc>
          <w:tcPr>
            <w:tcW w:w="4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107,080</w:t>
            </w: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35,393</w:t>
            </w:r>
          </w:p>
        </w:tc>
        <w:tc>
          <w:tcPr>
            <w:tcW w:w="440" w:type="dxa"/>
            <w:vAlign w:val="bottom"/>
            <w:shd w:val="clear" w:color="auto" w:fill="CCEEFF"/>
          </w:tcPr>
          <w:p>
            <w:pPr>
              <w:spacing w:after="0"/>
              <w:rPr>
                <w:sz w:val="18"/>
                <w:szCs w:val="18"/>
                <w:color w:val="auto"/>
              </w:rPr>
            </w:pPr>
          </w:p>
        </w:tc>
        <w:tc>
          <w:tcPr>
            <w:tcW w:w="220" w:type="dxa"/>
            <w:vAlign w:val="bottom"/>
            <w:tcBorders>
              <w:right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40,884</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720" w:type="dxa"/>
            <w:vAlign w:val="bottom"/>
            <w:gridSpan w:val="2"/>
          </w:tcPr>
          <w:p>
            <w:pPr>
              <w:ind w:left="80"/>
              <w:spacing w:after="0"/>
              <w:rPr>
                <w:sz w:val="20"/>
                <w:szCs w:val="20"/>
                <w:color w:val="auto"/>
              </w:rPr>
            </w:pPr>
            <w:r>
              <w:rPr>
                <w:rFonts w:ascii="Arial" w:cs="Arial" w:eastAsia="Arial" w:hAnsi="Arial"/>
                <w:sz w:val="18"/>
                <w:szCs w:val="18"/>
                <w:color w:val="auto"/>
              </w:rPr>
              <w:t>Net (Loss) Income Margin</w:t>
            </w:r>
            <w:r>
              <w:rPr>
                <w:rFonts w:ascii="Arial" w:cs="Arial" w:eastAsia="Arial" w:hAnsi="Arial"/>
                <w:sz w:val="15"/>
                <w:szCs w:val="15"/>
                <w:color w:val="auto"/>
              </w:rPr>
              <w:t>(4)</w:t>
            </w:r>
          </w:p>
        </w:tc>
        <w:tc>
          <w:tcPr>
            <w:tcW w:w="4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020" w:type="dxa"/>
            <w:vAlign w:val="bottom"/>
            <w:gridSpan w:val="4"/>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140" w:type="dxa"/>
            <w:vAlign w:val="bottom"/>
            <w:gridSpan w:val="5"/>
          </w:tcPr>
          <w:p>
            <w:pPr>
              <w:jc w:val="right"/>
              <w:spacing w:after="0"/>
              <w:rPr>
                <w:sz w:val="20"/>
                <w:szCs w:val="20"/>
                <w:color w:val="auto"/>
              </w:rPr>
            </w:pPr>
            <w:r>
              <w:rPr>
                <w:rFonts w:ascii="Arial" w:cs="Arial" w:eastAsia="Arial" w:hAnsi="Arial"/>
                <w:sz w:val="18"/>
                <w:szCs w:val="18"/>
                <w:color w:val="auto"/>
              </w:rPr>
              <w:t>(43)%</w:t>
            </w:r>
          </w:p>
        </w:tc>
        <w:tc>
          <w:tcPr>
            <w:tcW w:w="2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ind w:right="240"/>
              <w:spacing w:after="0"/>
              <w:rPr>
                <w:sz w:val="20"/>
                <w:szCs w:val="20"/>
                <w:color w:val="auto"/>
              </w:rPr>
            </w:pPr>
            <w:r>
              <w:rPr>
                <w:rFonts w:ascii="Arial" w:cs="Arial" w:eastAsia="Arial" w:hAnsi="Arial"/>
                <w:sz w:val="18"/>
                <w:szCs w:val="18"/>
                <w:color w:val="auto"/>
                <w:w w:val="89"/>
              </w:rPr>
              <w:t>(123)%</w:t>
            </w:r>
          </w:p>
        </w:tc>
        <w:tc>
          <w:tcPr>
            <w:tcW w:w="220" w:type="dxa"/>
            <w:vAlign w:val="bottom"/>
            <w:tcBorders>
              <w:right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gridSpan w:val="3"/>
          </w:tcPr>
          <w:p>
            <w:pPr>
              <w:jc w:val="right"/>
              <w:ind w:right="40"/>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72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Gross Margin</w:t>
            </w:r>
            <w:r>
              <w:rPr>
                <w:rFonts w:ascii="Arial" w:cs="Arial" w:eastAsia="Arial" w:hAnsi="Arial"/>
                <w:sz w:val="15"/>
                <w:szCs w:val="15"/>
                <w:color w:val="auto"/>
              </w:rPr>
              <w:t>(5)</w:t>
            </w:r>
          </w:p>
        </w:tc>
        <w:tc>
          <w:tcPr>
            <w:tcW w:w="4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02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140" w:type="dxa"/>
            <w:vAlign w:val="bottom"/>
            <w:gridSpan w:val="5"/>
            <w:shd w:val="clear" w:color="auto" w:fill="CCEEFF"/>
          </w:tcPr>
          <w:p>
            <w:pPr>
              <w:jc w:val="right"/>
              <w:ind w:right="11"/>
              <w:spacing w:after="0"/>
              <w:rPr>
                <w:sz w:val="20"/>
                <w:szCs w:val="20"/>
                <w:color w:val="auto"/>
              </w:rPr>
            </w:pPr>
            <w:r>
              <w:rPr>
                <w:rFonts w:ascii="Arial" w:cs="Arial" w:eastAsia="Arial" w:hAnsi="Arial"/>
                <w:sz w:val="18"/>
                <w:szCs w:val="18"/>
                <w:color w:val="auto"/>
              </w:rPr>
              <w:t>74%</w:t>
            </w:r>
          </w:p>
        </w:tc>
        <w:tc>
          <w:tcPr>
            <w:tcW w:w="2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67%</w:t>
            </w:r>
          </w:p>
        </w:tc>
        <w:tc>
          <w:tcPr>
            <w:tcW w:w="220" w:type="dxa"/>
            <w:vAlign w:val="bottom"/>
            <w:tcBorders>
              <w:right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0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88%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720" w:type="dxa"/>
            <w:vAlign w:val="bottom"/>
            <w:gridSpan w:val="2"/>
          </w:tcPr>
          <w:p>
            <w:pPr>
              <w:ind w:left="80"/>
              <w:spacing w:after="0"/>
              <w:rPr>
                <w:sz w:val="20"/>
                <w:szCs w:val="20"/>
                <w:color w:val="auto"/>
              </w:rPr>
            </w:pPr>
            <w:r>
              <w:rPr>
                <w:rFonts w:ascii="Arial" w:cs="Arial" w:eastAsia="Arial" w:hAnsi="Arial"/>
                <w:sz w:val="18"/>
                <w:szCs w:val="18"/>
                <w:color w:val="auto"/>
              </w:rPr>
              <w:t>Adjusted Gross Margin</w:t>
            </w:r>
            <w:r>
              <w:rPr>
                <w:rFonts w:ascii="Arial" w:cs="Arial" w:eastAsia="Arial" w:hAnsi="Arial"/>
                <w:sz w:val="15"/>
                <w:szCs w:val="15"/>
                <w:color w:val="auto"/>
              </w:rPr>
              <w:t>(6)</w:t>
            </w:r>
          </w:p>
        </w:tc>
        <w:tc>
          <w:tcPr>
            <w:tcW w:w="4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020" w:type="dxa"/>
            <w:vAlign w:val="bottom"/>
            <w:gridSpan w:val="4"/>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140" w:type="dxa"/>
            <w:vAlign w:val="bottom"/>
            <w:gridSpan w:val="5"/>
          </w:tcPr>
          <w:p>
            <w:pPr>
              <w:jc w:val="right"/>
              <w:ind w:right="11"/>
              <w:spacing w:after="0"/>
              <w:rPr>
                <w:sz w:val="20"/>
                <w:szCs w:val="20"/>
                <w:color w:val="auto"/>
              </w:rPr>
            </w:pPr>
            <w:r>
              <w:rPr>
                <w:rFonts w:ascii="Arial" w:cs="Arial" w:eastAsia="Arial" w:hAnsi="Arial"/>
                <w:sz w:val="18"/>
                <w:szCs w:val="18"/>
                <w:color w:val="auto"/>
              </w:rPr>
              <w:t>91%</w:t>
            </w:r>
          </w:p>
        </w:tc>
        <w:tc>
          <w:tcPr>
            <w:tcW w:w="2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ind w:right="300"/>
              <w:spacing w:after="0"/>
              <w:rPr>
                <w:sz w:val="20"/>
                <w:szCs w:val="20"/>
                <w:color w:val="auto"/>
              </w:rPr>
            </w:pPr>
            <w:r>
              <w:rPr>
                <w:rFonts w:ascii="Arial" w:cs="Arial" w:eastAsia="Arial" w:hAnsi="Arial"/>
                <w:sz w:val="18"/>
                <w:szCs w:val="18"/>
                <w:color w:val="auto"/>
              </w:rPr>
              <w:t>88%</w:t>
            </w:r>
          </w:p>
        </w:tc>
        <w:tc>
          <w:tcPr>
            <w:tcW w:w="220" w:type="dxa"/>
            <w:vAlign w:val="bottom"/>
            <w:tcBorders>
              <w:right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gridSpan w:val="3"/>
          </w:tcPr>
          <w:p>
            <w:pPr>
              <w:jc w:val="right"/>
              <w:ind w:right="40"/>
              <w:spacing w:after="0"/>
              <w:rPr>
                <w:sz w:val="20"/>
                <w:szCs w:val="20"/>
                <w:color w:val="auto"/>
              </w:rPr>
            </w:pPr>
            <w:r>
              <w:rPr>
                <w:rFonts w:ascii="Arial" w:cs="Arial" w:eastAsia="Arial" w:hAnsi="Arial"/>
                <w:sz w:val="18"/>
                <w:szCs w:val="18"/>
                <w:color w:val="auto"/>
              </w:rPr>
              <w:t>90%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72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Adjusted Operating Income</w:t>
            </w:r>
            <w:r>
              <w:rPr>
                <w:rFonts w:ascii="Arial" w:cs="Arial" w:eastAsia="Arial" w:hAnsi="Arial"/>
                <w:sz w:val="15"/>
                <w:szCs w:val="15"/>
                <w:color w:val="auto"/>
              </w:rPr>
              <w:t>(7)</w:t>
            </w:r>
          </w:p>
        </w:tc>
        <w:tc>
          <w:tcPr>
            <w:tcW w:w="4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52,139</w:t>
            </w: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18,183</w:t>
            </w:r>
          </w:p>
        </w:tc>
        <w:tc>
          <w:tcPr>
            <w:tcW w:w="440" w:type="dxa"/>
            <w:vAlign w:val="bottom"/>
            <w:shd w:val="clear" w:color="auto" w:fill="CCEEFF"/>
          </w:tcPr>
          <w:p>
            <w:pPr>
              <w:spacing w:after="0"/>
              <w:rPr>
                <w:sz w:val="18"/>
                <w:szCs w:val="18"/>
                <w:color w:val="auto"/>
              </w:rPr>
            </w:pPr>
          </w:p>
        </w:tc>
        <w:tc>
          <w:tcPr>
            <w:tcW w:w="220" w:type="dxa"/>
            <w:vAlign w:val="bottom"/>
            <w:tcBorders>
              <w:right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23,233</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720" w:type="dxa"/>
            <w:vAlign w:val="bottom"/>
            <w:gridSpan w:val="2"/>
          </w:tcPr>
          <w:p>
            <w:pPr>
              <w:ind w:left="80"/>
              <w:spacing w:after="0"/>
              <w:rPr>
                <w:sz w:val="20"/>
                <w:szCs w:val="20"/>
                <w:color w:val="auto"/>
              </w:rPr>
            </w:pPr>
            <w:r>
              <w:rPr>
                <w:rFonts w:ascii="Arial" w:cs="Arial" w:eastAsia="Arial" w:hAnsi="Arial"/>
                <w:sz w:val="18"/>
                <w:szCs w:val="18"/>
                <w:color w:val="auto"/>
              </w:rPr>
              <w:t>Adjusted EBITDA Margin</w:t>
            </w:r>
            <w:r>
              <w:rPr>
                <w:rFonts w:ascii="Arial" w:cs="Arial" w:eastAsia="Arial" w:hAnsi="Arial"/>
                <w:sz w:val="15"/>
                <w:szCs w:val="15"/>
                <w:color w:val="auto"/>
              </w:rPr>
              <w:t>(8)</w:t>
            </w:r>
          </w:p>
        </w:tc>
        <w:tc>
          <w:tcPr>
            <w:tcW w:w="4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020" w:type="dxa"/>
            <w:vAlign w:val="bottom"/>
            <w:gridSpan w:val="4"/>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140" w:type="dxa"/>
            <w:vAlign w:val="bottom"/>
            <w:gridSpan w:val="5"/>
          </w:tcPr>
          <w:p>
            <w:pPr>
              <w:jc w:val="right"/>
              <w:ind w:right="11"/>
              <w:spacing w:after="0"/>
              <w:rPr>
                <w:sz w:val="20"/>
                <w:szCs w:val="20"/>
                <w:color w:val="auto"/>
              </w:rPr>
            </w:pPr>
            <w:r>
              <w:rPr>
                <w:rFonts w:ascii="Arial" w:cs="Arial" w:eastAsia="Arial" w:hAnsi="Arial"/>
                <w:sz w:val="18"/>
                <w:szCs w:val="18"/>
                <w:color w:val="auto"/>
              </w:rPr>
              <w:t>45%</w:t>
            </w:r>
          </w:p>
        </w:tc>
        <w:tc>
          <w:tcPr>
            <w:tcW w:w="2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ind w:right="300"/>
              <w:spacing w:after="0"/>
              <w:rPr>
                <w:sz w:val="20"/>
                <w:szCs w:val="20"/>
                <w:color w:val="auto"/>
              </w:rPr>
            </w:pPr>
            <w:r>
              <w:rPr>
                <w:rFonts w:ascii="Arial" w:cs="Arial" w:eastAsia="Arial" w:hAnsi="Arial"/>
                <w:sz w:val="18"/>
                <w:szCs w:val="18"/>
                <w:color w:val="auto"/>
              </w:rPr>
              <w:t>47%</w:t>
            </w:r>
          </w:p>
        </w:tc>
        <w:tc>
          <w:tcPr>
            <w:tcW w:w="220" w:type="dxa"/>
            <w:vAlign w:val="bottom"/>
            <w:tcBorders>
              <w:right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gridSpan w:val="3"/>
          </w:tcPr>
          <w:p>
            <w:pPr>
              <w:jc w:val="right"/>
              <w:ind w:right="40"/>
              <w:spacing w:after="0"/>
              <w:rPr>
                <w:sz w:val="20"/>
                <w:szCs w:val="20"/>
                <w:color w:val="auto"/>
              </w:rPr>
            </w:pPr>
            <w:r>
              <w:rPr>
                <w:rFonts w:ascii="Arial" w:cs="Arial" w:eastAsia="Arial" w:hAnsi="Arial"/>
                <w:sz w:val="18"/>
                <w:szCs w:val="18"/>
                <w:color w:val="auto"/>
              </w:rPr>
              <w:t>52%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72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Adjusted Net Income (Loss)</w:t>
            </w:r>
            <w:r>
              <w:rPr>
                <w:rFonts w:ascii="Arial" w:cs="Arial" w:eastAsia="Arial" w:hAnsi="Arial"/>
                <w:sz w:val="15"/>
                <w:szCs w:val="15"/>
                <w:color w:val="auto"/>
              </w:rPr>
              <w:t>(9)</w:t>
            </w:r>
          </w:p>
        </w:tc>
        <w:tc>
          <w:tcPr>
            <w:tcW w:w="4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15,427</w:t>
            </w: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(21)</w:t>
            </w:r>
          </w:p>
        </w:tc>
        <w:tc>
          <w:tcPr>
            <w:tcW w:w="220" w:type="dxa"/>
            <w:vAlign w:val="bottom"/>
            <w:tcBorders>
              <w:right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23,068</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175" w:lineRule="exact"/>
        <w:rPr>
          <w:sz w:val="20"/>
          <w:szCs w:val="20"/>
          <w:color w:val="auto"/>
        </w:rPr>
      </w:pPr>
    </w:p>
    <w:p>
      <w:pPr>
        <w:ind w:left="820" w:right="300" w:hanging="522"/>
        <w:spacing w:after="0" w:line="277" w:lineRule="auto"/>
        <w:tabs>
          <w:tab w:leader="none" w:pos="820" w:val="left"/>
        </w:tabs>
        <w:numPr>
          <w:ilvl w:val="0"/>
          <w:numId w:val="35"/>
        </w:numPr>
        <w:rPr>
          <w:rFonts w:ascii="Arial" w:cs="Arial" w:eastAsia="Arial" w:hAnsi="Arial"/>
          <w:sz w:val="18"/>
          <w:szCs w:val="18"/>
          <w:color w:val="auto"/>
        </w:rPr>
      </w:pPr>
      <w:r>
        <w:rPr>
          <w:rFonts w:ascii="Arial" w:cs="Arial" w:eastAsia="Arial" w:hAnsi="Arial"/>
          <w:sz w:val="18"/>
          <w:szCs w:val="18"/>
          <w:color w:val="auto"/>
        </w:rPr>
        <w:t>Adjusted EBITDA, Adjusted Gross Profit, Adjusted Gross Margin, Adjusted Operating Income and Adjusted Net Income (Loss) are not defined under GAAP. Our use of the terms EBITDA and Adjusted</w:t>
      </w:r>
    </w:p>
    <w:p>
      <w:pPr>
        <w:spacing w:after="0" w:line="359" w:lineRule="exact"/>
        <w:rPr>
          <w:sz w:val="20"/>
          <w:szCs w:val="20"/>
          <w:color w:val="auto"/>
        </w:rPr>
      </w:pPr>
    </w:p>
    <w:p>
      <w:pPr>
        <w:jc w:val="center"/>
        <w:ind w:right="-53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0940"/>
          </w:cols>
          <w:pgMar w:left="320" w:top="459" w:right="639" w:bottom="1440" w:gutter="0" w:footer="0" w:header="0"/>
        </w:sectPr>
      </w:pPr>
    </w:p>
    <w:bookmarkStart w:id="30" w:name="page31"/>
    <w:bookmarkEnd w:id="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319"/>
        <w:spacing w:after="0"/>
        <w:rPr>
          <w:sz w:val="20"/>
          <w:szCs w:val="20"/>
          <w:color w:val="auto"/>
        </w:rPr>
      </w:pPr>
      <w:r>
        <w:rPr>
          <w:rFonts w:ascii="Arial" w:cs="Arial" w:eastAsia="Arial" w:hAnsi="Arial"/>
          <w:sz w:val="18"/>
          <w:szCs w:val="18"/>
          <w:b w:val="1"/>
          <w:bCs w:val="1"/>
          <w:color w:val="auto"/>
        </w:rPr>
        <w:t>Confidential Treatment Requested by Definitive Healthcare Corp.</w:t>
      </w:r>
    </w:p>
    <w:p>
      <w:pPr>
        <w:spacing w:after="0" w:line="27" w:lineRule="exact"/>
        <w:rPr>
          <w:sz w:val="20"/>
          <w:szCs w:val="20"/>
          <w:color w:val="auto"/>
        </w:rPr>
      </w:pPr>
    </w:p>
    <w:p>
      <w:pPr>
        <w:jc w:val="center"/>
        <w:ind w:right="-339"/>
        <w:spacing w:after="0"/>
        <w:rPr>
          <w:sz w:val="20"/>
          <w:szCs w:val="20"/>
          <w:color w:val="auto"/>
        </w:rPr>
      </w:pPr>
      <w:r>
        <w:rPr>
          <w:rFonts w:ascii="Arial" w:cs="Arial" w:eastAsia="Arial" w:hAnsi="Arial"/>
          <w:sz w:val="18"/>
          <w:szCs w:val="18"/>
          <w:b w:val="1"/>
          <w:bCs w:val="1"/>
          <w:color w:val="auto"/>
        </w:rPr>
        <w:t>Pursuant to 17 C.F.R. Section 200.83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97790</wp:posOffset>
            </wp:positionV>
            <wp:extent cx="6998970" cy="297878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6998970" cy="2978785"/>
                    </a:xfrm>
                    <a:prstGeom prst="rect">
                      <a:avLst/>
                    </a:prstGeom>
                    <a:noFill/>
                  </pic:spPr>
                </pic:pic>
              </a:graphicData>
            </a:graphic>
          </wp:anchor>
        </w:drawing>
      </w:r>
    </w:p>
    <w:p>
      <w:pPr>
        <w:spacing w:after="0" w:line="312" w:lineRule="exact"/>
        <w:rPr>
          <w:sz w:val="20"/>
          <w:szCs w:val="20"/>
          <w:color w:val="auto"/>
        </w:rPr>
      </w:pPr>
    </w:p>
    <w:p>
      <w:pPr>
        <w:ind w:left="820" w:right="100"/>
        <w:spacing w:after="0" w:line="284" w:lineRule="auto"/>
        <w:rPr>
          <w:sz w:val="20"/>
          <w:szCs w:val="20"/>
          <w:color w:val="auto"/>
        </w:rPr>
      </w:pPr>
      <w:r>
        <w:rPr>
          <w:rFonts w:ascii="Arial" w:cs="Arial" w:eastAsia="Arial" w:hAnsi="Arial"/>
          <w:sz w:val="16"/>
          <w:szCs w:val="16"/>
          <w:color w:val="auto"/>
        </w:rPr>
        <w:t>EBITDA may not be comparable to similarly titled measures of other companies in our industry and are not measures of performance calculated in accordance with GAAP. Our presentation of Adjusted EBITDA, Adjusted Gross Profit, Adjusted Gross Margin, Adjusted (Loss) Operating Income and Adjusted Net Income (Loss) are intended as supplemental measures of our performance that are not required by, or presented in accordance with, GAAP. These measures should not be considered as alternatives to income (loss) from operations, net income (loss), earnings per share or any other performance measures derived in accordance with GAAP, or as measures of operating cash flows or liquidity. See “Non-GAAP Financial Measures” for a discussion of our results of operations for definitions and a reconciliation of our net (loss) income to Adjusted EBITDA, our gross profit to Adjusted Gross Profit and Adjusted Gross Margin, our (loss) income from operations to Adjusted Operating Income and our (loss) income to Adjusted Net Income (Loss).</w:t>
      </w:r>
    </w:p>
    <w:p>
      <w:pPr>
        <w:spacing w:after="0" w:line="1" w:lineRule="exact"/>
        <w:rPr>
          <w:sz w:val="20"/>
          <w:szCs w:val="20"/>
          <w:color w:val="auto"/>
        </w:rPr>
      </w:pPr>
    </w:p>
    <w:p>
      <w:pPr>
        <w:ind w:left="820" w:right="80" w:hanging="522"/>
        <w:spacing w:after="0" w:line="281" w:lineRule="auto"/>
        <w:tabs>
          <w:tab w:leader="none" w:pos="820" w:val="left"/>
        </w:tabs>
        <w:numPr>
          <w:ilvl w:val="0"/>
          <w:numId w:val="36"/>
        </w:numPr>
        <w:rPr>
          <w:rFonts w:ascii="Arial" w:cs="Arial" w:eastAsia="Arial" w:hAnsi="Arial"/>
          <w:sz w:val="16"/>
          <w:szCs w:val="16"/>
          <w:color w:val="auto"/>
        </w:rPr>
      </w:pPr>
      <w:r>
        <w:rPr>
          <w:rFonts w:ascii="Arial" w:cs="Arial" w:eastAsia="Arial" w:hAnsi="Arial"/>
          <w:sz w:val="16"/>
          <w:szCs w:val="16"/>
          <w:color w:val="auto"/>
        </w:rPr>
        <w:t>Adjusted EBITDA is defined as earnings before (i) debt-related costs, including interest expense and (ii) interest income, (iii) provision for taxes and (iv) depreciation and amortization. Management further adjusts EBITDA in its presentation of Adjusted EBITDA to exclude</w:t>
      </w:r>
    </w:p>
    <w:p>
      <w:pPr>
        <w:spacing w:after="0" w:line="1" w:lineRule="exact"/>
        <w:rPr>
          <w:rFonts w:ascii="Arial" w:cs="Arial" w:eastAsia="Arial" w:hAnsi="Arial"/>
          <w:sz w:val="16"/>
          <w:szCs w:val="16"/>
          <w:color w:val="auto"/>
        </w:rPr>
      </w:pPr>
    </w:p>
    <w:p>
      <w:pPr>
        <w:ind w:left="820"/>
        <w:spacing w:after="0"/>
        <w:rPr>
          <w:rFonts w:ascii="Arial" w:cs="Arial" w:eastAsia="Arial" w:hAnsi="Arial"/>
          <w:sz w:val="16"/>
          <w:szCs w:val="16"/>
          <w:color w:val="auto"/>
        </w:rPr>
      </w:pPr>
      <w:r>
        <w:rPr>
          <w:rFonts w:ascii="Arial" w:cs="Arial" w:eastAsia="Arial" w:hAnsi="Arial"/>
          <w:sz w:val="17"/>
          <w:szCs w:val="17"/>
          <w:color w:val="auto"/>
        </w:rPr>
        <w:t>(i) other (income) expense, (ii) stock-based compensation, (iii) acquisition-related expenses and (iv) other non-recurring expenses.</w:t>
      </w:r>
    </w:p>
    <w:p>
      <w:pPr>
        <w:spacing w:after="0" w:line="20" w:lineRule="exact"/>
        <w:rPr>
          <w:rFonts w:ascii="Arial" w:cs="Arial" w:eastAsia="Arial" w:hAnsi="Arial"/>
          <w:sz w:val="16"/>
          <w:szCs w:val="16"/>
          <w:color w:val="auto"/>
        </w:rPr>
      </w:pPr>
    </w:p>
    <w:p>
      <w:pPr>
        <w:ind w:left="820" w:hanging="522"/>
        <w:spacing w:after="0"/>
        <w:tabs>
          <w:tab w:leader="none" w:pos="820" w:val="left"/>
        </w:tabs>
        <w:numPr>
          <w:ilvl w:val="0"/>
          <w:numId w:val="36"/>
        </w:numPr>
        <w:rPr>
          <w:rFonts w:ascii="Arial" w:cs="Arial" w:eastAsia="Arial" w:hAnsi="Arial"/>
          <w:sz w:val="16"/>
          <w:szCs w:val="16"/>
          <w:color w:val="auto"/>
        </w:rPr>
      </w:pPr>
      <w:r>
        <w:rPr>
          <w:rFonts w:ascii="Arial" w:cs="Arial" w:eastAsia="Arial" w:hAnsi="Arial"/>
          <w:sz w:val="16"/>
          <w:szCs w:val="16"/>
          <w:color w:val="auto"/>
        </w:rPr>
        <w:t>Adjusted Gross Profit is defined as revenue less cost of revenue (excluding acquisition-related amortization and equity compensation costs).</w:t>
      </w:r>
    </w:p>
    <w:p>
      <w:pPr>
        <w:spacing w:after="0" w:line="32" w:lineRule="exact"/>
        <w:rPr>
          <w:rFonts w:ascii="Arial" w:cs="Arial" w:eastAsia="Arial" w:hAnsi="Arial"/>
          <w:sz w:val="16"/>
          <w:szCs w:val="16"/>
          <w:color w:val="auto"/>
        </w:rPr>
      </w:pPr>
    </w:p>
    <w:p>
      <w:pPr>
        <w:ind w:left="820" w:hanging="522"/>
        <w:spacing w:after="0"/>
        <w:tabs>
          <w:tab w:leader="none" w:pos="820" w:val="left"/>
        </w:tabs>
        <w:numPr>
          <w:ilvl w:val="0"/>
          <w:numId w:val="36"/>
        </w:numPr>
        <w:rPr>
          <w:rFonts w:ascii="Arial" w:cs="Arial" w:eastAsia="Arial" w:hAnsi="Arial"/>
          <w:sz w:val="18"/>
          <w:szCs w:val="18"/>
          <w:color w:val="auto"/>
        </w:rPr>
      </w:pPr>
      <w:r>
        <w:rPr>
          <w:rFonts w:ascii="Arial" w:cs="Arial" w:eastAsia="Arial" w:hAnsi="Arial"/>
          <w:sz w:val="18"/>
          <w:szCs w:val="18"/>
          <w:color w:val="auto"/>
        </w:rPr>
        <w:t>Net (Loss) Income Margin is defined as net (loss) income as a percentage of revenue for the applicable period.</w:t>
      </w:r>
    </w:p>
    <w:p>
      <w:pPr>
        <w:spacing w:after="0" w:line="9" w:lineRule="exact"/>
        <w:rPr>
          <w:rFonts w:ascii="Arial" w:cs="Arial" w:eastAsia="Arial" w:hAnsi="Arial"/>
          <w:sz w:val="18"/>
          <w:szCs w:val="18"/>
          <w:color w:val="auto"/>
        </w:rPr>
      </w:pPr>
    </w:p>
    <w:p>
      <w:pPr>
        <w:ind w:left="820" w:hanging="522"/>
        <w:spacing w:after="0"/>
        <w:tabs>
          <w:tab w:leader="none" w:pos="820" w:val="left"/>
        </w:tabs>
        <w:numPr>
          <w:ilvl w:val="0"/>
          <w:numId w:val="36"/>
        </w:numPr>
        <w:rPr>
          <w:rFonts w:ascii="Arial" w:cs="Arial" w:eastAsia="Arial" w:hAnsi="Arial"/>
          <w:sz w:val="18"/>
          <w:szCs w:val="18"/>
          <w:color w:val="auto"/>
        </w:rPr>
      </w:pPr>
      <w:r>
        <w:rPr>
          <w:rFonts w:ascii="Arial" w:cs="Arial" w:eastAsia="Arial" w:hAnsi="Arial"/>
          <w:sz w:val="18"/>
          <w:szCs w:val="18"/>
          <w:color w:val="auto"/>
        </w:rPr>
        <w:t>Gross Margin is defined as reported gross profit as a percentage of revenue for the applicable period.</w:t>
      </w:r>
    </w:p>
    <w:p>
      <w:pPr>
        <w:spacing w:after="0" w:line="9" w:lineRule="exact"/>
        <w:rPr>
          <w:rFonts w:ascii="Arial" w:cs="Arial" w:eastAsia="Arial" w:hAnsi="Arial"/>
          <w:sz w:val="18"/>
          <w:szCs w:val="18"/>
          <w:color w:val="auto"/>
        </w:rPr>
      </w:pPr>
    </w:p>
    <w:p>
      <w:pPr>
        <w:ind w:left="820" w:hanging="522"/>
        <w:spacing w:after="0"/>
        <w:tabs>
          <w:tab w:leader="none" w:pos="820" w:val="left"/>
        </w:tabs>
        <w:numPr>
          <w:ilvl w:val="0"/>
          <w:numId w:val="36"/>
        </w:numPr>
        <w:rPr>
          <w:rFonts w:ascii="Arial" w:cs="Arial" w:eastAsia="Arial" w:hAnsi="Arial"/>
          <w:sz w:val="18"/>
          <w:szCs w:val="18"/>
          <w:color w:val="auto"/>
        </w:rPr>
      </w:pPr>
      <w:r>
        <w:rPr>
          <w:rFonts w:ascii="Arial" w:cs="Arial" w:eastAsia="Arial" w:hAnsi="Arial"/>
          <w:sz w:val="18"/>
          <w:szCs w:val="18"/>
          <w:color w:val="auto"/>
        </w:rPr>
        <w:t>Adjusted Gross Margin is defined as Adjusted Gross Profit as a percentage of revenue for the applicable period.</w:t>
      </w:r>
    </w:p>
    <w:p>
      <w:pPr>
        <w:spacing w:after="0" w:line="9" w:lineRule="exact"/>
        <w:rPr>
          <w:rFonts w:ascii="Arial" w:cs="Arial" w:eastAsia="Arial" w:hAnsi="Arial"/>
          <w:sz w:val="18"/>
          <w:szCs w:val="18"/>
          <w:color w:val="auto"/>
        </w:rPr>
      </w:pPr>
    </w:p>
    <w:p>
      <w:pPr>
        <w:ind w:left="820" w:right="60" w:hanging="522"/>
        <w:spacing w:after="0" w:line="250" w:lineRule="auto"/>
        <w:tabs>
          <w:tab w:leader="none" w:pos="820" w:val="left"/>
        </w:tabs>
        <w:numPr>
          <w:ilvl w:val="0"/>
          <w:numId w:val="36"/>
        </w:numPr>
        <w:rPr>
          <w:rFonts w:ascii="Arial" w:cs="Arial" w:eastAsia="Arial" w:hAnsi="Arial"/>
          <w:sz w:val="18"/>
          <w:szCs w:val="18"/>
          <w:color w:val="auto"/>
        </w:rPr>
      </w:pPr>
      <w:r>
        <w:rPr>
          <w:rFonts w:ascii="Arial" w:cs="Arial" w:eastAsia="Arial" w:hAnsi="Arial"/>
          <w:sz w:val="18"/>
          <w:szCs w:val="18"/>
          <w:color w:val="auto"/>
        </w:rPr>
        <w:t>Adjusted Operating Income is defined as (loss) income from operations plus (i) acquisition-related depreciation and amortization (ii) stock-based compensation, (iii) acquisition-related expenses and (iv) other non-recurring adjustments.</w:t>
      </w:r>
    </w:p>
    <w:p>
      <w:pPr>
        <w:ind w:left="820" w:hanging="522"/>
        <w:spacing w:after="0"/>
        <w:tabs>
          <w:tab w:leader="none" w:pos="820" w:val="left"/>
        </w:tabs>
        <w:numPr>
          <w:ilvl w:val="0"/>
          <w:numId w:val="36"/>
        </w:numPr>
        <w:rPr>
          <w:rFonts w:ascii="Arial" w:cs="Arial" w:eastAsia="Arial" w:hAnsi="Arial"/>
          <w:sz w:val="18"/>
          <w:szCs w:val="18"/>
          <w:color w:val="auto"/>
        </w:rPr>
      </w:pPr>
      <w:r>
        <w:rPr>
          <w:rFonts w:ascii="Arial" w:cs="Arial" w:eastAsia="Arial" w:hAnsi="Arial"/>
          <w:sz w:val="18"/>
          <w:szCs w:val="18"/>
          <w:color w:val="auto"/>
        </w:rPr>
        <w:t>Adjusted EBITDA Margin is calculated by dividing Adjusted EBITDA by revenue for the applicable period.</w:t>
      </w:r>
    </w:p>
    <w:p>
      <w:pPr>
        <w:spacing w:after="0" w:line="9" w:lineRule="exact"/>
        <w:rPr>
          <w:rFonts w:ascii="Arial" w:cs="Arial" w:eastAsia="Arial" w:hAnsi="Arial"/>
          <w:sz w:val="18"/>
          <w:szCs w:val="18"/>
          <w:color w:val="auto"/>
        </w:rPr>
      </w:pPr>
    </w:p>
    <w:p>
      <w:pPr>
        <w:ind w:left="820" w:right="20" w:hanging="522"/>
        <w:spacing w:after="0" w:line="260" w:lineRule="auto"/>
        <w:tabs>
          <w:tab w:leader="none" w:pos="820" w:val="left"/>
        </w:tabs>
        <w:numPr>
          <w:ilvl w:val="0"/>
          <w:numId w:val="36"/>
        </w:numPr>
        <w:rPr>
          <w:rFonts w:ascii="Arial" w:cs="Arial" w:eastAsia="Arial" w:hAnsi="Arial"/>
          <w:sz w:val="18"/>
          <w:szCs w:val="18"/>
          <w:color w:val="auto"/>
        </w:rPr>
      </w:pPr>
      <w:r>
        <w:rPr>
          <w:rFonts w:ascii="Arial" w:cs="Arial" w:eastAsia="Arial" w:hAnsi="Arial"/>
          <w:sz w:val="18"/>
          <w:szCs w:val="18"/>
          <w:color w:val="auto"/>
        </w:rPr>
        <w:t>Adjusted Net (Loss) Income is defined as (loss) income from operations plus (i) acquisition-related depreciation and amortization (ii) stock-based compensation, (iii) acquisition-related expenses and (iv) other non-recurring adjustments.</w:t>
      </w:r>
    </w:p>
    <w:p>
      <w:pPr>
        <w:spacing w:after="0" w:line="293" w:lineRule="exact"/>
        <w:rPr>
          <w:sz w:val="20"/>
          <w:szCs w:val="20"/>
          <w:color w:val="auto"/>
        </w:rPr>
      </w:pPr>
    </w:p>
    <w:p>
      <w:pPr>
        <w:jc w:val="center"/>
        <w:ind w:right="-55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0920"/>
          </w:cols>
          <w:pgMar w:left="320" w:top="459" w:right="659" w:bottom="1440" w:gutter="0" w:footer="0" w:header="0"/>
        </w:sectPr>
      </w:pPr>
    </w:p>
    <w:bookmarkStart w:id="31" w:name="page32"/>
    <w:bookmarkEnd w:id="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299"/>
        <w:spacing w:after="0"/>
        <w:rPr>
          <w:sz w:val="20"/>
          <w:szCs w:val="20"/>
          <w:color w:val="auto"/>
        </w:rPr>
      </w:pPr>
      <w:r>
        <w:rPr>
          <w:rFonts w:ascii="Arial" w:cs="Arial" w:eastAsia="Arial" w:hAnsi="Arial"/>
          <w:sz w:val="18"/>
          <w:szCs w:val="18"/>
          <w:b w:val="1"/>
          <w:bCs w:val="1"/>
          <w:color w:val="auto"/>
        </w:rPr>
        <w:t>Confidential Treatment Requested by Definitive Healthcare Corp.</w:t>
      </w:r>
    </w:p>
    <w:p>
      <w:pPr>
        <w:spacing w:after="0" w:line="27" w:lineRule="exact"/>
        <w:rPr>
          <w:sz w:val="20"/>
          <w:szCs w:val="20"/>
          <w:color w:val="auto"/>
        </w:rPr>
      </w:pPr>
    </w:p>
    <w:p>
      <w:pPr>
        <w:jc w:val="center"/>
        <w:ind w:right="-299"/>
        <w:spacing w:after="0"/>
        <w:rPr>
          <w:sz w:val="20"/>
          <w:szCs w:val="20"/>
          <w:color w:val="auto"/>
        </w:rPr>
      </w:pPr>
      <w:r>
        <w:rPr>
          <w:rFonts w:ascii="Arial" w:cs="Arial" w:eastAsia="Arial" w:hAnsi="Arial"/>
          <w:sz w:val="18"/>
          <w:szCs w:val="18"/>
          <w:b w:val="1"/>
          <w:bCs w:val="1"/>
          <w:color w:val="auto"/>
        </w:rPr>
        <w:t>Pursuant to 17 C.F.R. Section 200.83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97790</wp:posOffset>
            </wp:positionV>
            <wp:extent cx="6998970" cy="501015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6998970" cy="5010150"/>
                    </a:xfrm>
                    <a:prstGeom prst="rect">
                      <a:avLst/>
                    </a:prstGeom>
                    <a:noFill/>
                  </pic:spPr>
                </pic:pic>
              </a:graphicData>
            </a:graphic>
          </wp:anchor>
        </w:drawing>
      </w:r>
    </w:p>
    <w:p>
      <w:pPr>
        <w:spacing w:after="0" w:line="312" w:lineRule="exact"/>
        <w:rPr>
          <w:sz w:val="20"/>
          <w:szCs w:val="20"/>
          <w:color w:val="auto"/>
        </w:rPr>
      </w:pPr>
    </w:p>
    <w:p>
      <w:pPr>
        <w:ind w:left="300" w:right="80" w:firstLine="426"/>
        <w:spacing w:after="0" w:line="277" w:lineRule="auto"/>
        <w:rPr>
          <w:sz w:val="20"/>
          <w:szCs w:val="20"/>
          <w:color w:val="auto"/>
        </w:rPr>
      </w:pPr>
      <w:r>
        <w:rPr>
          <w:rFonts w:ascii="Arial" w:cs="Arial" w:eastAsia="Arial" w:hAnsi="Arial"/>
          <w:sz w:val="18"/>
          <w:szCs w:val="18"/>
          <w:color w:val="auto"/>
        </w:rPr>
        <w:t>The following table provides a reconciliation of EBITDA and Adjusted EBITDA to net income (loss), their most directly comparable GAAP measure, for each of the periods presented:</w:t>
      </w:r>
    </w:p>
    <w:p>
      <w:pPr>
        <w:spacing w:after="0" w:line="274"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Adjusted EBITDA</w:t>
      </w:r>
    </w:p>
    <w:p>
      <w:pPr>
        <w:spacing w:after="0" w:line="235" w:lineRule="exact"/>
        <w:rPr>
          <w:sz w:val="20"/>
          <w:szCs w:val="20"/>
          <w:color w:val="auto"/>
        </w:rPr>
      </w:pPr>
    </w:p>
    <w:tbl>
      <w:tblPr>
        <w:tblLayout w:type="fixed"/>
        <w:tblInd w:w="300" w:type="dxa"/>
        <w:tblCellMar>
          <w:top w:w="0" w:type="dxa"/>
          <w:left w:w="0" w:type="dxa"/>
          <w:bottom w:w="0" w:type="dxa"/>
          <w:right w:w="0" w:type="dxa"/>
        </w:tblCellMar>
      </w:tblPr>
      <w:tr>
        <w:trPr>
          <w:trHeight w:val="35"/>
        </w:trPr>
        <w:tc>
          <w:tcPr>
            <w:tcW w:w="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600" w:type="dxa"/>
            <w:vAlign w:val="bottom"/>
          </w:tcPr>
          <w:p>
            <w:pPr>
              <w:spacing w:after="0"/>
              <w:rPr>
                <w:sz w:val="3"/>
                <w:szCs w:val="3"/>
                <w:color w:val="auto"/>
              </w:rPr>
            </w:pPr>
          </w:p>
        </w:tc>
        <w:tc>
          <w:tcPr>
            <w:tcW w:w="360" w:type="dxa"/>
            <w:vAlign w:val="bottom"/>
          </w:tcPr>
          <w:p>
            <w:pPr>
              <w:spacing w:after="0"/>
              <w:rPr>
                <w:sz w:val="3"/>
                <w:szCs w:val="3"/>
                <w:color w:val="auto"/>
              </w:rPr>
            </w:pPr>
          </w:p>
        </w:tc>
        <w:tc>
          <w:tcPr>
            <w:tcW w:w="880" w:type="dxa"/>
            <w:vAlign w:val="bottom"/>
          </w:tcPr>
          <w:p>
            <w:pPr>
              <w:spacing w:after="0"/>
              <w:rPr>
                <w:sz w:val="3"/>
                <w:szCs w:val="3"/>
                <w:color w:val="auto"/>
              </w:rPr>
            </w:pPr>
          </w:p>
        </w:tc>
        <w:tc>
          <w:tcPr>
            <w:tcW w:w="300" w:type="dxa"/>
            <w:vAlign w:val="bottom"/>
          </w:tcPr>
          <w:p>
            <w:pPr>
              <w:spacing w:after="0"/>
              <w:rPr>
                <w:sz w:val="3"/>
                <w:szCs w:val="3"/>
                <w:color w:val="auto"/>
              </w:rPr>
            </w:pPr>
          </w:p>
        </w:tc>
        <w:tc>
          <w:tcPr>
            <w:tcW w:w="160" w:type="dxa"/>
            <w:vAlign w:val="bottom"/>
          </w:tcPr>
          <w:p>
            <w:pPr>
              <w:spacing w:after="0"/>
              <w:rPr>
                <w:sz w:val="3"/>
                <w:szCs w:val="3"/>
                <w:color w:val="auto"/>
              </w:rPr>
            </w:pPr>
          </w:p>
        </w:tc>
        <w:tc>
          <w:tcPr>
            <w:tcW w:w="2480" w:type="dxa"/>
            <w:vAlign w:val="bottom"/>
            <w:gridSpan w:val="5"/>
            <w:vMerge w:val="restart"/>
          </w:tcPr>
          <w:p>
            <w:pPr>
              <w:jc w:val="center"/>
              <w:ind w:right="60"/>
              <w:spacing w:after="0"/>
              <w:rPr>
                <w:sz w:val="20"/>
                <w:szCs w:val="20"/>
                <w:color w:val="auto"/>
              </w:rPr>
            </w:pPr>
            <w:r>
              <w:rPr>
                <w:rFonts w:ascii="Arial" w:cs="Arial" w:eastAsia="Arial" w:hAnsi="Arial"/>
                <w:sz w:val="14"/>
                <w:szCs w:val="14"/>
                <w:b w:val="1"/>
                <w:bCs w:val="1"/>
                <w:color w:val="auto"/>
                <w:w w:val="97"/>
              </w:rPr>
              <w:t>Definitive OpCo</w:t>
            </w:r>
          </w:p>
        </w:tc>
        <w:tc>
          <w:tcPr>
            <w:tcW w:w="160" w:type="dxa"/>
            <w:vAlign w:val="bottom"/>
          </w:tcPr>
          <w:p>
            <w:pPr>
              <w:spacing w:after="0"/>
              <w:rPr>
                <w:sz w:val="3"/>
                <w:szCs w:val="3"/>
                <w:color w:val="auto"/>
              </w:rPr>
            </w:pPr>
          </w:p>
        </w:tc>
        <w:tc>
          <w:tcPr>
            <w:tcW w:w="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560" w:type="dxa"/>
            <w:vAlign w:val="bottom"/>
          </w:tcPr>
          <w:p>
            <w:pPr>
              <w:spacing w:after="0"/>
              <w:rPr>
                <w:sz w:val="3"/>
                <w:szCs w:val="3"/>
                <w:color w:val="auto"/>
              </w:rPr>
            </w:pPr>
          </w:p>
        </w:tc>
        <w:tc>
          <w:tcPr>
            <w:tcW w:w="2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80" w:type="dxa"/>
            <w:vAlign w:val="bottom"/>
            <w:gridSpan w:val="2"/>
            <w:vMerge w:val="restart"/>
          </w:tcPr>
          <w:p>
            <w:pPr>
              <w:jc w:val="center"/>
              <w:ind w:right="280"/>
              <w:spacing w:after="0"/>
              <w:rPr>
                <w:sz w:val="20"/>
                <w:szCs w:val="20"/>
                <w:color w:val="auto"/>
              </w:rPr>
            </w:pPr>
            <w:r>
              <w:rPr>
                <w:rFonts w:ascii="Arial" w:cs="Arial" w:eastAsia="Arial" w:hAnsi="Arial"/>
                <w:sz w:val="14"/>
                <w:szCs w:val="14"/>
                <w:b w:val="1"/>
                <w:bCs w:val="1"/>
                <w:color w:val="auto"/>
                <w:w w:val="95"/>
              </w:rPr>
              <w:t>Definitive OpCo</w:t>
            </w:r>
          </w:p>
        </w:tc>
        <w:tc>
          <w:tcPr>
            <w:tcW w:w="0" w:type="dxa"/>
            <w:vAlign w:val="bottom"/>
          </w:tcPr>
          <w:p>
            <w:pPr>
              <w:spacing w:after="0" w:line="20" w:lineRule="exact"/>
              <w:rPr>
                <w:sz w:val="1"/>
                <w:szCs w:val="1"/>
                <w:color w:val="auto"/>
              </w:rPr>
            </w:pPr>
          </w:p>
        </w:tc>
      </w:tr>
      <w:tr>
        <w:trPr>
          <w:trHeight w:val="126"/>
        </w:trPr>
        <w:tc>
          <w:tcPr>
            <w:tcW w:w="2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160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2480" w:type="dxa"/>
            <w:vAlign w:val="bottom"/>
            <w:gridSpan w:val="5"/>
            <w:vMerge w:val="continue"/>
          </w:tcPr>
          <w:p>
            <w:pPr>
              <w:spacing w:after="0"/>
              <w:rPr>
                <w:sz w:val="10"/>
                <w:szCs w:val="10"/>
                <w:color w:val="auto"/>
              </w:rPr>
            </w:pPr>
          </w:p>
        </w:tc>
        <w:tc>
          <w:tcPr>
            <w:tcW w:w="1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560" w:type="dxa"/>
            <w:vAlign w:val="bottom"/>
            <w:tcBorders>
              <w:right w:val="single" w:sz="8" w:color="auto"/>
            </w:tcBorders>
          </w:tcPr>
          <w:p>
            <w:pPr>
              <w:spacing w:after="0"/>
              <w:rPr>
                <w:sz w:val="10"/>
                <w:szCs w:val="10"/>
                <w:color w:val="auto"/>
              </w:rPr>
            </w:pPr>
          </w:p>
        </w:tc>
        <w:tc>
          <w:tcPr>
            <w:tcW w:w="2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8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6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480" w:type="dxa"/>
            <w:vAlign w:val="bottom"/>
            <w:gridSpan w:val="5"/>
          </w:tcPr>
          <w:p>
            <w:pPr>
              <w:jc w:val="center"/>
              <w:ind w:right="60"/>
              <w:spacing w:after="0" w:line="149" w:lineRule="exact"/>
              <w:rPr>
                <w:sz w:val="20"/>
                <w:szCs w:val="20"/>
                <w:color w:val="auto"/>
              </w:rPr>
            </w:pPr>
            <w:r>
              <w:rPr>
                <w:rFonts w:ascii="Arial" w:cs="Arial" w:eastAsia="Arial" w:hAnsi="Arial"/>
                <w:sz w:val="14"/>
                <w:szCs w:val="14"/>
                <w:b w:val="1"/>
                <w:bCs w:val="1"/>
                <w:color w:val="auto"/>
              </w:rPr>
              <w:t>(AIDH TopCo, LLC)</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560" w:type="dxa"/>
            <w:vAlign w:val="bottom"/>
            <w:tcBorders>
              <w:right w:val="single" w:sz="8" w:color="auto"/>
            </w:tcBorders>
          </w:tcPr>
          <w:p>
            <w:pPr>
              <w:spacing w:after="0"/>
              <w:rPr>
                <w:sz w:val="12"/>
                <w:szCs w:val="12"/>
                <w:color w:val="auto"/>
              </w:rPr>
            </w:pPr>
          </w:p>
        </w:tc>
        <w:tc>
          <w:tcPr>
            <w:tcW w:w="240" w:type="dxa"/>
            <w:vAlign w:val="bottom"/>
          </w:tcPr>
          <w:p>
            <w:pPr>
              <w:spacing w:after="0"/>
              <w:rPr>
                <w:sz w:val="12"/>
                <w:szCs w:val="12"/>
                <w:color w:val="auto"/>
              </w:rPr>
            </w:pPr>
          </w:p>
        </w:tc>
        <w:tc>
          <w:tcPr>
            <w:tcW w:w="1580" w:type="dxa"/>
            <w:vAlign w:val="bottom"/>
            <w:gridSpan w:val="3"/>
          </w:tcPr>
          <w:p>
            <w:pPr>
              <w:jc w:val="center"/>
              <w:ind w:right="220"/>
              <w:spacing w:after="0" w:line="149" w:lineRule="exact"/>
              <w:rPr>
                <w:sz w:val="20"/>
                <w:szCs w:val="20"/>
                <w:color w:val="auto"/>
              </w:rPr>
            </w:pPr>
            <w:r>
              <w:rPr>
                <w:rFonts w:ascii="Arial" w:cs="Arial" w:eastAsia="Arial" w:hAnsi="Arial"/>
                <w:sz w:val="14"/>
                <w:szCs w:val="14"/>
                <w:b w:val="1"/>
                <w:bCs w:val="1"/>
                <w:color w:val="auto"/>
              </w:rPr>
              <w:t>(AIDH TopCo, LLC)</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480" w:type="dxa"/>
            <w:vAlign w:val="bottom"/>
            <w:gridSpan w:val="5"/>
          </w:tcPr>
          <w:p>
            <w:pPr>
              <w:jc w:val="center"/>
              <w:ind w:right="20"/>
              <w:spacing w:after="0"/>
              <w:rPr>
                <w:sz w:val="20"/>
                <w:szCs w:val="20"/>
                <w:color w:val="auto"/>
              </w:rPr>
            </w:pPr>
            <w:r>
              <w:rPr>
                <w:rFonts w:ascii="Arial" w:cs="Arial" w:eastAsia="Arial" w:hAnsi="Arial"/>
                <w:sz w:val="14"/>
                <w:szCs w:val="14"/>
                <w:b w:val="1"/>
                <w:bCs w:val="1"/>
                <w:color w:val="auto"/>
                <w:w w:val="88"/>
              </w:rPr>
              <w:t>Successor Company</w:t>
            </w: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560" w:type="dxa"/>
            <w:vAlign w:val="bottom"/>
            <w:tcBorders>
              <w:right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1580" w:type="dxa"/>
            <w:vAlign w:val="bottom"/>
            <w:gridSpan w:val="3"/>
          </w:tcPr>
          <w:p>
            <w:pPr>
              <w:jc w:val="center"/>
              <w:ind w:right="200"/>
              <w:spacing w:after="0"/>
              <w:rPr>
                <w:sz w:val="20"/>
                <w:szCs w:val="20"/>
                <w:color w:val="auto"/>
              </w:rPr>
            </w:pPr>
            <w:r>
              <w:rPr>
                <w:rFonts w:ascii="Arial" w:cs="Arial" w:eastAsia="Arial" w:hAnsi="Arial"/>
                <w:sz w:val="14"/>
                <w:szCs w:val="14"/>
                <w:b w:val="1"/>
                <w:bCs w:val="1"/>
                <w:color w:val="auto"/>
                <w:w w:val="90"/>
              </w:rPr>
              <w:t>Predecessor Company</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6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520" w:type="dxa"/>
            <w:vAlign w:val="bottom"/>
            <w:tcBorders>
              <w:top w:val="single" w:sz="8" w:color="auto"/>
            </w:tcBorders>
            <w:gridSpan w:val="5"/>
          </w:tcPr>
          <w:p>
            <w:pPr>
              <w:ind w:left="500"/>
              <w:spacing w:after="0" w:line="142" w:lineRule="exact"/>
              <w:rPr>
                <w:sz w:val="20"/>
                <w:szCs w:val="20"/>
                <w:color w:val="auto"/>
              </w:rPr>
            </w:pPr>
            <w:r>
              <w:rPr>
                <w:rFonts w:ascii="Arial" w:cs="Arial" w:eastAsia="Arial" w:hAnsi="Arial"/>
                <w:sz w:val="14"/>
                <w:szCs w:val="14"/>
                <w:b w:val="1"/>
                <w:bCs w:val="1"/>
                <w:color w:val="auto"/>
              </w:rPr>
              <w:t>Nine Months Ended</w:t>
            </w:r>
          </w:p>
        </w:tc>
        <w:tc>
          <w:tcPr>
            <w:tcW w:w="160" w:type="dxa"/>
            <w:vAlign w:val="bottom"/>
            <w:tcBorders>
              <w:top w:val="single" w:sz="8" w:color="auto"/>
            </w:tcBorders>
          </w:tcPr>
          <w:p>
            <w:pPr>
              <w:spacing w:after="0"/>
              <w:rPr>
                <w:sz w:val="12"/>
                <w:szCs w:val="12"/>
                <w:color w:val="auto"/>
              </w:rPr>
            </w:pPr>
          </w:p>
        </w:tc>
        <w:tc>
          <w:tcPr>
            <w:tcW w:w="1140" w:type="dxa"/>
            <w:vAlign w:val="bottom"/>
            <w:tcBorders>
              <w:top w:val="single" w:sz="8" w:color="auto"/>
            </w:tcBorders>
            <w:gridSpan w:val="2"/>
          </w:tcPr>
          <w:p>
            <w:pPr>
              <w:jc w:val="center"/>
              <w:ind w:right="320"/>
              <w:spacing w:after="0" w:line="142" w:lineRule="exact"/>
              <w:rPr>
                <w:sz w:val="20"/>
                <w:szCs w:val="20"/>
                <w:color w:val="auto"/>
              </w:rPr>
            </w:pPr>
            <w:r>
              <w:rPr>
                <w:rFonts w:ascii="Arial" w:cs="Arial" w:eastAsia="Arial" w:hAnsi="Arial"/>
                <w:sz w:val="14"/>
                <w:szCs w:val="14"/>
                <w:b w:val="1"/>
                <w:bCs w:val="1"/>
                <w:color w:val="auto"/>
                <w:w w:val="92"/>
              </w:rPr>
              <w:t>Year ended</w:t>
            </w:r>
          </w:p>
        </w:tc>
        <w:tc>
          <w:tcPr>
            <w:tcW w:w="16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1080" w:type="dxa"/>
            <w:vAlign w:val="bottom"/>
            <w:tcBorders>
              <w:top w:val="single" w:sz="8" w:color="auto"/>
            </w:tcBorders>
          </w:tcPr>
          <w:p>
            <w:pPr>
              <w:jc w:val="center"/>
              <w:ind w:right="13"/>
              <w:spacing w:after="0" w:line="142" w:lineRule="exact"/>
              <w:rPr>
                <w:sz w:val="20"/>
                <w:szCs w:val="20"/>
                <w:color w:val="auto"/>
              </w:rPr>
            </w:pPr>
            <w:r>
              <w:rPr>
                <w:rFonts w:ascii="Arial" w:cs="Arial" w:eastAsia="Arial" w:hAnsi="Arial"/>
                <w:sz w:val="14"/>
                <w:szCs w:val="14"/>
                <w:b w:val="1"/>
                <w:bCs w:val="1"/>
                <w:color w:val="auto"/>
                <w:w w:val="94"/>
              </w:rPr>
              <w:t>Period from</w:t>
            </w:r>
          </w:p>
        </w:tc>
        <w:tc>
          <w:tcPr>
            <w:tcW w:w="560" w:type="dxa"/>
            <w:vAlign w:val="bottom"/>
            <w:tcBorders>
              <w:right w:val="single" w:sz="8" w:color="auto"/>
            </w:tcBorders>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1280" w:type="dxa"/>
            <w:vAlign w:val="bottom"/>
            <w:tcBorders>
              <w:top w:val="single" w:sz="8" w:color="auto"/>
            </w:tcBorders>
          </w:tcPr>
          <w:p>
            <w:pPr>
              <w:jc w:val="center"/>
              <w:ind w:right="15"/>
              <w:spacing w:after="0" w:line="142" w:lineRule="exact"/>
              <w:rPr>
                <w:sz w:val="20"/>
                <w:szCs w:val="20"/>
                <w:color w:val="auto"/>
              </w:rPr>
            </w:pPr>
            <w:r>
              <w:rPr>
                <w:rFonts w:ascii="Arial" w:cs="Arial" w:eastAsia="Arial" w:hAnsi="Arial"/>
                <w:sz w:val="14"/>
                <w:szCs w:val="14"/>
                <w:b w:val="1"/>
                <w:bCs w:val="1"/>
                <w:color w:val="auto"/>
                <w:w w:val="94"/>
              </w:rPr>
              <w:t>Period from</w:t>
            </w: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160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180" w:type="dxa"/>
            <w:vAlign w:val="bottom"/>
            <w:tcBorders>
              <w:top w:val="single" w:sz="8" w:color="auto"/>
            </w:tcBorders>
            <w:gridSpan w:val="2"/>
          </w:tcPr>
          <w:p>
            <w:pPr>
              <w:spacing w:after="0" w:line="119" w:lineRule="exact"/>
              <w:rPr>
                <w:sz w:val="20"/>
                <w:szCs w:val="20"/>
                <w:color w:val="auto"/>
              </w:rPr>
            </w:pPr>
            <w:r>
              <w:rPr>
                <w:rFonts w:ascii="Arial" w:cs="Arial" w:eastAsia="Arial" w:hAnsi="Arial"/>
                <w:sz w:val="13"/>
                <w:szCs w:val="13"/>
                <w:b w:val="1"/>
                <w:bCs w:val="1"/>
                <w:color w:val="auto"/>
              </w:rPr>
              <w:t>September 30,</w:t>
            </w:r>
          </w:p>
        </w:tc>
        <w:tc>
          <w:tcPr>
            <w:tcW w:w="160" w:type="dxa"/>
            <w:vAlign w:val="bottom"/>
            <w:tcBorders>
              <w:top w:val="single" w:sz="8" w:color="auto"/>
            </w:tcBorders>
          </w:tcPr>
          <w:p>
            <w:pPr>
              <w:spacing w:after="0"/>
              <w:rPr>
                <w:sz w:val="10"/>
                <w:szCs w:val="10"/>
                <w:color w:val="auto"/>
              </w:rPr>
            </w:pPr>
          </w:p>
        </w:tc>
        <w:tc>
          <w:tcPr>
            <w:tcW w:w="880" w:type="dxa"/>
            <w:vAlign w:val="bottom"/>
            <w:tcBorders>
              <w:top w:val="single" w:sz="8" w:color="auto"/>
            </w:tcBorders>
          </w:tcPr>
          <w:p>
            <w:pPr>
              <w:spacing w:after="0" w:line="119" w:lineRule="exact"/>
              <w:rPr>
                <w:sz w:val="20"/>
                <w:szCs w:val="20"/>
                <w:color w:val="auto"/>
              </w:rPr>
            </w:pPr>
            <w:r>
              <w:rPr>
                <w:rFonts w:ascii="Arial" w:cs="Arial" w:eastAsia="Arial" w:hAnsi="Arial"/>
                <w:sz w:val="13"/>
                <w:szCs w:val="13"/>
                <w:b w:val="1"/>
                <w:bCs w:val="1"/>
                <w:color w:val="auto"/>
                <w:w w:val="96"/>
              </w:rPr>
              <w:t>September 30,</w:t>
            </w:r>
          </w:p>
        </w:tc>
        <w:tc>
          <w:tcPr>
            <w:tcW w:w="3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140" w:type="dxa"/>
            <w:vAlign w:val="bottom"/>
            <w:gridSpan w:val="2"/>
          </w:tcPr>
          <w:p>
            <w:pPr>
              <w:jc w:val="center"/>
              <w:ind w:right="300"/>
              <w:spacing w:after="0" w:line="119" w:lineRule="exact"/>
              <w:rPr>
                <w:sz w:val="20"/>
                <w:szCs w:val="20"/>
                <w:color w:val="auto"/>
              </w:rPr>
            </w:pPr>
            <w:r>
              <w:rPr>
                <w:rFonts w:ascii="Arial" w:cs="Arial" w:eastAsia="Arial" w:hAnsi="Arial"/>
                <w:sz w:val="13"/>
                <w:szCs w:val="13"/>
                <w:b w:val="1"/>
                <w:bCs w:val="1"/>
                <w:color w:val="auto"/>
                <w:w w:val="99"/>
              </w:rPr>
              <w:t>December 31,</w:t>
            </w:r>
          </w:p>
        </w:tc>
        <w:tc>
          <w:tcPr>
            <w:tcW w:w="1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640" w:type="dxa"/>
            <w:vAlign w:val="bottom"/>
            <w:tcBorders>
              <w:right w:val="single" w:sz="8" w:color="auto"/>
            </w:tcBorders>
            <w:gridSpan w:val="2"/>
          </w:tcPr>
          <w:p>
            <w:pPr>
              <w:jc w:val="center"/>
              <w:ind w:right="640"/>
              <w:spacing w:after="0" w:line="119" w:lineRule="exact"/>
              <w:rPr>
                <w:sz w:val="20"/>
                <w:szCs w:val="20"/>
                <w:color w:val="auto"/>
              </w:rPr>
            </w:pPr>
            <w:r>
              <w:rPr>
                <w:rFonts w:ascii="Arial" w:cs="Arial" w:eastAsia="Arial" w:hAnsi="Arial"/>
                <w:sz w:val="13"/>
                <w:szCs w:val="13"/>
                <w:b w:val="1"/>
                <w:bCs w:val="1"/>
                <w:color w:val="auto"/>
                <w:w w:val="99"/>
              </w:rPr>
              <w:t>July 16, 2019 to</w:t>
            </w:r>
          </w:p>
        </w:tc>
        <w:tc>
          <w:tcPr>
            <w:tcW w:w="2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80" w:type="dxa"/>
            <w:vAlign w:val="bottom"/>
            <w:gridSpan w:val="2"/>
          </w:tcPr>
          <w:p>
            <w:pPr>
              <w:jc w:val="center"/>
              <w:ind w:right="340"/>
              <w:spacing w:after="0" w:line="119" w:lineRule="exact"/>
              <w:rPr>
                <w:sz w:val="20"/>
                <w:szCs w:val="20"/>
                <w:color w:val="auto"/>
              </w:rPr>
            </w:pPr>
            <w:r>
              <w:rPr>
                <w:rFonts w:ascii="Arial" w:cs="Arial" w:eastAsia="Arial" w:hAnsi="Arial"/>
                <w:sz w:val="13"/>
                <w:szCs w:val="13"/>
                <w:b w:val="1"/>
                <w:bCs w:val="1"/>
                <w:color w:val="auto"/>
              </w:rPr>
              <w:t>January 1, 2019 to</w:t>
            </w:r>
          </w:p>
        </w:tc>
        <w:tc>
          <w:tcPr>
            <w:tcW w:w="0" w:type="dxa"/>
            <w:vAlign w:val="bottom"/>
          </w:tcPr>
          <w:p>
            <w:pPr>
              <w:spacing w:after="0"/>
              <w:rPr>
                <w:sz w:val="1"/>
                <w:szCs w:val="1"/>
                <w:color w:val="auto"/>
              </w:rPr>
            </w:pPr>
          </w:p>
        </w:tc>
      </w:tr>
      <w:tr>
        <w:trPr>
          <w:trHeight w:val="171"/>
        </w:trPr>
        <w:tc>
          <w:tcPr>
            <w:tcW w:w="2760" w:type="dxa"/>
            <w:vAlign w:val="bottom"/>
            <w:gridSpan w:val="3"/>
          </w:tcPr>
          <w:p>
            <w:pPr>
              <w:spacing w:after="0"/>
              <w:rPr>
                <w:sz w:val="20"/>
                <w:szCs w:val="20"/>
                <w:color w:val="auto"/>
              </w:rPr>
            </w:pPr>
            <w:r>
              <w:rPr>
                <w:rFonts w:ascii="Arial" w:cs="Arial" w:eastAsia="Arial" w:hAnsi="Arial"/>
                <w:sz w:val="14"/>
                <w:szCs w:val="14"/>
                <w:color w:val="auto"/>
              </w:rPr>
              <w:t>(in thousands)</w:t>
            </w:r>
          </w:p>
        </w:tc>
        <w:tc>
          <w:tcPr>
            <w:tcW w:w="1240" w:type="dxa"/>
            <w:vAlign w:val="bottom"/>
            <w:gridSpan w:val="2"/>
          </w:tcPr>
          <w:p>
            <w:pPr>
              <w:jc w:val="right"/>
              <w:ind w:right="224"/>
              <w:spacing w:after="0"/>
              <w:rPr>
                <w:sz w:val="20"/>
                <w:szCs w:val="20"/>
                <w:color w:val="auto"/>
              </w:rPr>
            </w:pPr>
            <w:r>
              <w:rPr>
                <w:rFonts w:ascii="Arial" w:cs="Arial" w:eastAsia="Arial" w:hAnsi="Arial"/>
                <w:sz w:val="14"/>
                <w:szCs w:val="14"/>
                <w:b w:val="1"/>
                <w:bCs w:val="1"/>
                <w:color w:val="auto"/>
              </w:rPr>
              <w:t>2021</w:t>
            </w:r>
          </w:p>
        </w:tc>
        <w:tc>
          <w:tcPr>
            <w:tcW w:w="300" w:type="dxa"/>
            <w:vAlign w:val="bottom"/>
          </w:tcPr>
          <w:p>
            <w:pPr>
              <w:spacing w:after="0"/>
              <w:rPr>
                <w:sz w:val="14"/>
                <w:szCs w:val="14"/>
                <w:color w:val="auto"/>
              </w:rPr>
            </w:pPr>
          </w:p>
        </w:tc>
        <w:tc>
          <w:tcPr>
            <w:tcW w:w="1040" w:type="dxa"/>
            <w:vAlign w:val="bottom"/>
            <w:gridSpan w:val="2"/>
          </w:tcPr>
          <w:p>
            <w:pPr>
              <w:jc w:val="right"/>
              <w:ind w:right="225"/>
              <w:spacing w:after="0"/>
              <w:rPr>
                <w:sz w:val="20"/>
                <w:szCs w:val="20"/>
                <w:color w:val="auto"/>
              </w:rPr>
            </w:pPr>
            <w:r>
              <w:rPr>
                <w:rFonts w:ascii="Arial" w:cs="Arial" w:eastAsia="Arial" w:hAnsi="Arial"/>
                <w:sz w:val="14"/>
                <w:szCs w:val="14"/>
                <w:b w:val="1"/>
                <w:bCs w:val="1"/>
                <w:color w:val="auto"/>
              </w:rPr>
              <w:t>2020</w:t>
            </w:r>
          </w:p>
        </w:tc>
        <w:tc>
          <w:tcPr>
            <w:tcW w:w="300" w:type="dxa"/>
            <w:vAlign w:val="bottom"/>
          </w:tcPr>
          <w:p>
            <w:pPr>
              <w:spacing w:after="0"/>
              <w:rPr>
                <w:sz w:val="14"/>
                <w:szCs w:val="14"/>
                <w:color w:val="auto"/>
              </w:rPr>
            </w:pPr>
          </w:p>
        </w:tc>
        <w:tc>
          <w:tcPr>
            <w:tcW w:w="1000" w:type="dxa"/>
            <w:vAlign w:val="bottom"/>
            <w:gridSpan w:val="2"/>
          </w:tcPr>
          <w:p>
            <w:pPr>
              <w:jc w:val="center"/>
              <w:ind w:left="72"/>
              <w:spacing w:after="0"/>
              <w:rPr>
                <w:sz w:val="20"/>
                <w:szCs w:val="20"/>
                <w:color w:val="auto"/>
              </w:rPr>
            </w:pPr>
            <w:r>
              <w:rPr>
                <w:rFonts w:ascii="Arial" w:cs="Arial" w:eastAsia="Arial" w:hAnsi="Arial"/>
                <w:sz w:val="14"/>
                <w:szCs w:val="14"/>
                <w:b w:val="1"/>
                <w:bCs w:val="1"/>
                <w:color w:val="auto"/>
                <w:w w:val="89"/>
              </w:rPr>
              <w:t>2020</w:t>
            </w:r>
          </w:p>
        </w:tc>
        <w:tc>
          <w:tcPr>
            <w:tcW w:w="3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720" w:type="dxa"/>
            <w:vAlign w:val="bottom"/>
            <w:tcBorders>
              <w:right w:val="single" w:sz="8" w:color="auto"/>
            </w:tcBorders>
            <w:gridSpan w:val="3"/>
          </w:tcPr>
          <w:p>
            <w:pPr>
              <w:jc w:val="center"/>
              <w:ind w:right="560"/>
              <w:spacing w:after="0"/>
              <w:rPr>
                <w:sz w:val="20"/>
                <w:szCs w:val="20"/>
                <w:color w:val="auto"/>
              </w:rPr>
            </w:pPr>
            <w:r>
              <w:rPr>
                <w:rFonts w:ascii="Arial" w:cs="Arial" w:eastAsia="Arial" w:hAnsi="Arial"/>
                <w:sz w:val="14"/>
                <w:szCs w:val="14"/>
                <w:b w:val="1"/>
                <w:bCs w:val="1"/>
                <w:color w:val="auto"/>
                <w:w w:val="91"/>
              </w:rPr>
              <w:t>December 31, 2019</w:t>
            </w: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8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2"/>
              </w:rPr>
              <w:t>July 15, 2019</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740" w:type="dxa"/>
            <w:vAlign w:val="bottom"/>
            <w:tcBorders>
              <w:top w:val="single" w:sz="8" w:color="CCEEFF"/>
            </w:tcBorders>
            <w:gridSpan w:val="2"/>
            <w:shd w:val="clear" w:color="auto" w:fill="CCEEFF"/>
          </w:tcPr>
          <w:p>
            <w:pPr>
              <w:spacing w:after="0"/>
              <w:rPr>
                <w:sz w:val="20"/>
                <w:szCs w:val="20"/>
                <w:color w:val="auto"/>
              </w:rPr>
            </w:pPr>
            <w:r>
              <w:rPr>
                <w:rFonts w:ascii="Arial" w:cs="Arial" w:eastAsia="Arial" w:hAnsi="Arial"/>
                <w:sz w:val="18"/>
                <w:szCs w:val="18"/>
                <w:b w:val="1"/>
                <w:bCs w:val="1"/>
                <w:color w:val="auto"/>
              </w:rPr>
              <w:t>Net (Loss) Income</w:t>
            </w:r>
          </w:p>
        </w:tc>
        <w:tc>
          <w:tcPr>
            <w:tcW w:w="360" w:type="dxa"/>
            <w:vAlign w:val="bottom"/>
            <w:tcBorders>
              <w:top w:val="single" w:sz="8" w:color="CCEEFF"/>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3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3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  (51,157)</w:t>
            </w:r>
          </w:p>
        </w:tc>
        <w:tc>
          <w:tcPr>
            <w:tcW w:w="3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(49,266)</w:t>
            </w:r>
          </w:p>
        </w:tc>
        <w:tc>
          <w:tcPr>
            <w:tcW w:w="560" w:type="dxa"/>
            <w:vAlign w:val="bottom"/>
            <w:tcBorders>
              <w:top w:val="single" w:sz="8" w:color="CCEEFF"/>
              <w:right w:val="single" w:sz="8" w:color="auto"/>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12,868</w:t>
            </w:r>
          </w:p>
        </w:tc>
        <w:tc>
          <w:tcPr>
            <w:tcW w:w="2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40" w:type="dxa"/>
            <w:vAlign w:val="bottom"/>
            <w:gridSpan w:val="2"/>
          </w:tcPr>
          <w:p>
            <w:pPr>
              <w:spacing w:after="0"/>
              <w:rPr>
                <w:sz w:val="20"/>
                <w:szCs w:val="20"/>
                <w:color w:val="auto"/>
              </w:rPr>
            </w:pPr>
            <w:r>
              <w:rPr>
                <w:rFonts w:ascii="Arial" w:cs="Arial" w:eastAsia="Arial" w:hAnsi="Arial"/>
                <w:sz w:val="18"/>
                <w:szCs w:val="18"/>
                <w:color w:val="auto"/>
              </w:rPr>
              <w:t>Interest expense, net</w:t>
            </w:r>
          </w:p>
        </w:tc>
        <w:tc>
          <w:tcPr>
            <w:tcW w:w="3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36,490</w:t>
            </w: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18,204</w:t>
            </w:r>
          </w:p>
        </w:tc>
        <w:tc>
          <w:tcPr>
            <w:tcW w:w="560" w:type="dxa"/>
            <w:vAlign w:val="bottom"/>
            <w:tcBorders>
              <w:right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165</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Depreciation</w:t>
            </w:r>
          </w:p>
        </w:tc>
        <w:tc>
          <w:tcPr>
            <w:tcW w:w="3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1,152</w:t>
            </w: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456</w:t>
            </w:r>
          </w:p>
        </w:tc>
        <w:tc>
          <w:tcPr>
            <w:tcW w:w="560" w:type="dxa"/>
            <w:vAlign w:val="bottom"/>
            <w:tcBorders>
              <w:right w:val="single" w:sz="8" w:color="auto"/>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423</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2740" w:type="dxa"/>
            <w:vAlign w:val="bottom"/>
            <w:gridSpan w:val="2"/>
          </w:tcPr>
          <w:p>
            <w:pPr>
              <w:spacing w:after="0"/>
              <w:rPr>
                <w:sz w:val="20"/>
                <w:szCs w:val="20"/>
                <w:color w:val="auto"/>
              </w:rPr>
            </w:pPr>
            <w:r>
              <w:rPr>
                <w:rFonts w:ascii="Arial" w:cs="Arial" w:eastAsia="Arial" w:hAnsi="Arial"/>
                <w:sz w:val="18"/>
                <w:szCs w:val="18"/>
                <w:color w:val="auto"/>
              </w:rPr>
              <w:t>Amortization of intangible assets</w:t>
            </w:r>
          </w:p>
        </w:tc>
        <w:tc>
          <w:tcPr>
            <w:tcW w:w="360" w:type="dxa"/>
            <w:vAlign w:val="bottom"/>
          </w:tcPr>
          <w:p>
            <w:pPr>
              <w:spacing w:after="0"/>
              <w:rPr>
                <w:sz w:val="19"/>
                <w:szCs w:val="19"/>
                <w:color w:val="auto"/>
              </w:rPr>
            </w:pPr>
          </w:p>
        </w:tc>
        <w:tc>
          <w:tcPr>
            <w:tcW w:w="880" w:type="dxa"/>
            <w:vAlign w:val="bottom"/>
            <w:tcBorders>
              <w:bottom w:val="single" w:sz="8" w:color="auto"/>
            </w:tcBorders>
          </w:tcPr>
          <w:p>
            <w:pPr>
              <w:spacing w:after="0"/>
              <w:rPr>
                <w:sz w:val="19"/>
                <w:szCs w:val="19"/>
                <w:color w:val="auto"/>
              </w:rPr>
            </w:pPr>
          </w:p>
        </w:tc>
        <w:tc>
          <w:tcPr>
            <w:tcW w:w="3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80" w:type="dxa"/>
            <w:vAlign w:val="bottom"/>
            <w:tcBorders>
              <w:bottom w:val="single" w:sz="8" w:color="auto"/>
            </w:tcBorders>
          </w:tcPr>
          <w:p>
            <w:pPr>
              <w:spacing w:after="0"/>
              <w:rPr>
                <w:sz w:val="19"/>
                <w:szCs w:val="19"/>
                <w:color w:val="auto"/>
              </w:rPr>
            </w:pPr>
          </w:p>
        </w:tc>
        <w:tc>
          <w:tcPr>
            <w:tcW w:w="3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58,428</w:t>
            </w:r>
          </w:p>
        </w:tc>
        <w:tc>
          <w:tcPr>
            <w:tcW w:w="3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30,617</w:t>
            </w:r>
          </w:p>
        </w:tc>
        <w:tc>
          <w:tcPr>
            <w:tcW w:w="560" w:type="dxa"/>
            <w:vAlign w:val="bottom"/>
            <w:tcBorders>
              <w:right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2,042</w:t>
            </w: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4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EBITDA</w:t>
            </w:r>
          </w:p>
        </w:tc>
        <w:tc>
          <w:tcPr>
            <w:tcW w:w="3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44,913</w:t>
            </w: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560" w:type="dxa"/>
            <w:vAlign w:val="bottom"/>
            <w:tcBorders>
              <w:right w:val="single" w:sz="8" w:color="auto"/>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15,498</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40" w:type="dxa"/>
            <w:vAlign w:val="bottom"/>
            <w:gridSpan w:val="2"/>
          </w:tcPr>
          <w:p>
            <w:pPr>
              <w:spacing w:after="0"/>
              <w:rPr>
                <w:sz w:val="20"/>
                <w:szCs w:val="20"/>
                <w:color w:val="auto"/>
              </w:rPr>
            </w:pPr>
            <w:r>
              <w:rPr>
                <w:rFonts w:ascii="Arial" w:cs="Arial" w:eastAsia="Arial" w:hAnsi="Arial"/>
                <w:sz w:val="18"/>
                <w:szCs w:val="18"/>
                <w:color w:val="auto"/>
              </w:rPr>
              <w:t xml:space="preserve">Other (income) expense, net </w:t>
            </w:r>
            <w:r>
              <w:rPr>
                <w:rFonts w:ascii="Arial" w:cs="Arial" w:eastAsia="Arial" w:hAnsi="Arial"/>
                <w:sz w:val="15"/>
                <w:szCs w:val="15"/>
                <w:color w:val="auto"/>
              </w:rPr>
              <w:t>(a)</w:t>
            </w:r>
          </w:p>
        </w:tc>
        <w:tc>
          <w:tcPr>
            <w:tcW w:w="3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222</w:t>
            </w: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40" w:type="dxa"/>
            <w:vAlign w:val="bottom"/>
            <w:tcBorders>
              <w:right w:val="single" w:sz="8" w:color="auto"/>
            </w:tcBorders>
            <w:gridSpan w:val="2"/>
          </w:tcPr>
          <w:p>
            <w:pPr>
              <w:jc w:val="right"/>
              <w:ind w:right="660"/>
              <w:spacing w:after="0"/>
              <w:rPr>
                <w:sz w:val="20"/>
                <w:szCs w:val="20"/>
                <w:color w:val="auto"/>
              </w:rPr>
            </w:pPr>
            <w:r>
              <w:rPr>
                <w:rFonts w:ascii="Arial" w:cs="Arial" w:eastAsia="Arial" w:hAnsi="Arial"/>
                <w:sz w:val="17"/>
                <w:szCs w:val="17"/>
                <w:color w:val="auto"/>
              </w:rPr>
              <w:t>—</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80" w:type="dxa"/>
            <w:vAlign w:val="bottom"/>
            <w:gridSpan w:val="2"/>
          </w:tcPr>
          <w:p>
            <w:pPr>
              <w:jc w:val="right"/>
              <w:ind w:right="28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 xml:space="preserve">Equity compensation costs </w:t>
            </w:r>
            <w:r>
              <w:rPr>
                <w:rFonts w:ascii="Arial" w:cs="Arial" w:eastAsia="Arial" w:hAnsi="Arial"/>
                <w:sz w:val="15"/>
                <w:szCs w:val="15"/>
                <w:color w:val="auto"/>
              </w:rPr>
              <w:t>(b)</w:t>
            </w:r>
          </w:p>
        </w:tc>
        <w:tc>
          <w:tcPr>
            <w:tcW w:w="3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1,747</w:t>
            </w: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744</w:t>
            </w:r>
          </w:p>
        </w:tc>
        <w:tc>
          <w:tcPr>
            <w:tcW w:w="560" w:type="dxa"/>
            <w:vAlign w:val="bottom"/>
            <w:tcBorders>
              <w:right w:val="single" w:sz="8" w:color="auto"/>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5,807</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40" w:type="dxa"/>
            <w:vAlign w:val="bottom"/>
            <w:gridSpan w:val="2"/>
          </w:tcPr>
          <w:p>
            <w:pPr>
              <w:spacing w:after="0"/>
              <w:rPr>
                <w:sz w:val="20"/>
                <w:szCs w:val="20"/>
                <w:color w:val="auto"/>
              </w:rPr>
            </w:pPr>
            <w:r>
              <w:rPr>
                <w:rFonts w:ascii="Arial" w:cs="Arial" w:eastAsia="Arial" w:hAnsi="Arial"/>
                <w:sz w:val="18"/>
                <w:szCs w:val="18"/>
                <w:color w:val="auto"/>
              </w:rPr>
              <w:t xml:space="preserve">Acquisition related expenses </w:t>
            </w:r>
            <w:r>
              <w:rPr>
                <w:rFonts w:ascii="Arial" w:cs="Arial" w:eastAsia="Arial" w:hAnsi="Arial"/>
                <w:sz w:val="15"/>
                <w:szCs w:val="15"/>
                <w:color w:val="auto"/>
              </w:rPr>
              <w:t>(c)</w:t>
            </w:r>
          </w:p>
        </w:tc>
        <w:tc>
          <w:tcPr>
            <w:tcW w:w="3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3,776</w:t>
            </w: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14,703</w:t>
            </w:r>
          </w:p>
        </w:tc>
        <w:tc>
          <w:tcPr>
            <w:tcW w:w="560" w:type="dxa"/>
            <w:vAlign w:val="bottom"/>
            <w:tcBorders>
              <w:right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1,151</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74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Non-recurring and one-time</w:t>
            </w:r>
          </w:p>
        </w:tc>
        <w:tc>
          <w:tcPr>
            <w:tcW w:w="3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560" w:type="dxa"/>
            <w:vAlign w:val="bottom"/>
            <w:tcBorders>
              <w:right w:val="single" w:sz="8" w:color="auto"/>
            </w:tcBorders>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74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 xml:space="preserve">adjustments </w:t>
            </w:r>
            <w:r>
              <w:rPr>
                <w:rFonts w:ascii="Arial" w:cs="Arial" w:eastAsia="Arial" w:hAnsi="Arial"/>
                <w:sz w:val="15"/>
                <w:szCs w:val="15"/>
                <w:color w:val="auto"/>
              </w:rPr>
              <w:t>(d)</w:t>
            </w:r>
          </w:p>
        </w:tc>
        <w:tc>
          <w:tcPr>
            <w:tcW w:w="360" w:type="dxa"/>
            <w:vAlign w:val="bottom"/>
            <w:shd w:val="clear" w:color="auto" w:fill="CCEEFF"/>
          </w:tcPr>
          <w:p>
            <w:pPr>
              <w:spacing w:after="0"/>
              <w:rPr>
                <w:sz w:val="20"/>
                <w:szCs w:val="20"/>
                <w:color w:val="auto"/>
              </w:rPr>
            </w:pPr>
          </w:p>
        </w:tc>
        <w:tc>
          <w:tcPr>
            <w:tcW w:w="88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88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2,847</w:t>
            </w:r>
          </w:p>
        </w:tc>
        <w:tc>
          <w:tcPr>
            <w:tcW w:w="3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3,193</w:t>
            </w:r>
          </w:p>
        </w:tc>
        <w:tc>
          <w:tcPr>
            <w:tcW w:w="560" w:type="dxa"/>
            <w:vAlign w:val="bottom"/>
            <w:tcBorders>
              <w:right w:val="single" w:sz="8" w:color="auto"/>
            </w:tcBorders>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1,200</w:t>
            </w:r>
          </w:p>
        </w:tc>
        <w:tc>
          <w:tcPr>
            <w:tcW w:w="2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760" w:type="dxa"/>
            <w:vAlign w:val="bottom"/>
            <w:gridSpan w:val="3"/>
          </w:tcPr>
          <w:p>
            <w:pPr>
              <w:spacing w:after="0"/>
              <w:rPr>
                <w:sz w:val="20"/>
                <w:szCs w:val="20"/>
                <w:color w:val="auto"/>
              </w:rPr>
            </w:pPr>
            <w:r>
              <w:rPr>
                <w:rFonts w:ascii="Arial" w:cs="Arial" w:eastAsia="Arial" w:hAnsi="Arial"/>
                <w:sz w:val="18"/>
                <w:szCs w:val="18"/>
                <w:b w:val="1"/>
                <w:bCs w:val="1"/>
                <w:color w:val="auto"/>
              </w:rPr>
              <w:t>Adjusted EBITDA</w:t>
            </w:r>
          </w:p>
        </w:tc>
        <w:tc>
          <w:tcPr>
            <w:tcW w:w="360" w:type="dxa"/>
            <w:vAlign w:val="bottom"/>
          </w:tcPr>
          <w:p>
            <w:pPr>
              <w:spacing w:after="0"/>
              <w:rPr>
                <w:sz w:val="19"/>
                <w:szCs w:val="19"/>
                <w:color w:val="auto"/>
              </w:rPr>
            </w:pPr>
          </w:p>
        </w:tc>
        <w:tc>
          <w:tcPr>
            <w:tcW w:w="880" w:type="dxa"/>
            <w:vAlign w:val="bottom"/>
            <w:tcBorders>
              <w:top w:val="single" w:sz="8" w:color="auto"/>
            </w:tcBorders>
          </w:tcPr>
          <w:p>
            <w:pPr>
              <w:spacing w:after="0"/>
              <w:rPr>
                <w:sz w:val="19"/>
                <w:szCs w:val="19"/>
                <w:color w:val="auto"/>
              </w:rPr>
            </w:pPr>
          </w:p>
        </w:tc>
        <w:tc>
          <w:tcPr>
            <w:tcW w:w="3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80" w:type="dxa"/>
            <w:vAlign w:val="bottom"/>
            <w:tcBorders>
              <w:top w:val="single" w:sz="8" w:color="auto"/>
            </w:tcBorders>
          </w:tcPr>
          <w:p>
            <w:pPr>
              <w:spacing w:after="0"/>
              <w:rPr>
                <w:sz w:val="19"/>
                <w:szCs w:val="19"/>
                <w:color w:val="auto"/>
              </w:rPr>
            </w:pPr>
          </w:p>
        </w:tc>
        <w:tc>
          <w:tcPr>
            <w:tcW w:w="3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53,505</w:t>
            </w:r>
          </w:p>
        </w:tc>
        <w:tc>
          <w:tcPr>
            <w:tcW w:w="3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18,651</w:t>
            </w:r>
          </w:p>
        </w:tc>
        <w:tc>
          <w:tcPr>
            <w:tcW w:w="560" w:type="dxa"/>
            <w:vAlign w:val="bottom"/>
            <w:tcBorders>
              <w:right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12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23,656</w:t>
            </w: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Revenue</w:t>
            </w:r>
          </w:p>
        </w:tc>
        <w:tc>
          <w:tcPr>
            <w:tcW w:w="360" w:type="dxa"/>
            <w:vAlign w:val="bottom"/>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118,317</w:t>
            </w: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40,045</w:t>
            </w:r>
          </w:p>
        </w:tc>
        <w:tc>
          <w:tcPr>
            <w:tcW w:w="560" w:type="dxa"/>
            <w:vAlign w:val="bottom"/>
            <w:tcBorders>
              <w:right w:val="single" w:sz="8" w:color="auto"/>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45,458</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760" w:type="dxa"/>
            <w:vAlign w:val="bottom"/>
            <w:gridSpan w:val="3"/>
          </w:tcPr>
          <w:p>
            <w:pPr>
              <w:spacing w:after="0"/>
              <w:rPr>
                <w:sz w:val="20"/>
                <w:szCs w:val="20"/>
                <w:color w:val="auto"/>
              </w:rPr>
            </w:pPr>
            <w:r>
              <w:rPr>
                <w:rFonts w:ascii="Arial" w:cs="Arial" w:eastAsia="Arial" w:hAnsi="Arial"/>
                <w:sz w:val="18"/>
                <w:szCs w:val="18"/>
                <w:b w:val="1"/>
                <w:bCs w:val="1"/>
                <w:color w:val="auto"/>
              </w:rPr>
              <w:t>Adjusted EBITDA Margin</w:t>
            </w:r>
          </w:p>
        </w:tc>
        <w:tc>
          <w:tcPr>
            <w:tcW w:w="3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300" w:type="dxa"/>
            <w:vAlign w:val="bottom"/>
          </w:tcPr>
          <w:p>
            <w:pPr>
              <w:jc w:val="right"/>
              <w:ind w:right="50"/>
              <w:spacing w:after="0"/>
              <w:rPr>
                <w:sz w:val="20"/>
                <w:szCs w:val="20"/>
                <w:color w:val="auto"/>
              </w:rPr>
            </w:pPr>
            <w:r>
              <w:rPr>
                <w:rFonts w:ascii="Arial" w:cs="Arial" w:eastAsia="Arial" w:hAnsi="Arial"/>
                <w:sz w:val="18"/>
                <w:szCs w:val="18"/>
                <w:color w:val="auto"/>
                <w:w w:val="87"/>
              </w:rPr>
              <w:t>%</w:t>
            </w:r>
          </w:p>
        </w:tc>
        <w:tc>
          <w:tcPr>
            <w:tcW w:w="1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300" w:type="dxa"/>
            <w:vAlign w:val="bottom"/>
          </w:tcPr>
          <w:p>
            <w:pPr>
              <w:jc w:val="right"/>
              <w:ind w:right="70"/>
              <w:spacing w:after="0"/>
              <w:rPr>
                <w:sz w:val="20"/>
                <w:szCs w:val="20"/>
                <w:color w:val="auto"/>
              </w:rPr>
            </w:pPr>
            <w:r>
              <w:rPr>
                <w:rFonts w:ascii="Arial" w:cs="Arial" w:eastAsia="Arial" w:hAnsi="Arial"/>
                <w:sz w:val="18"/>
                <w:szCs w:val="18"/>
                <w:color w:val="auto"/>
                <w:w w:val="74"/>
              </w:rPr>
              <w:t>%</w:t>
            </w:r>
          </w:p>
        </w:tc>
        <w:tc>
          <w:tcPr>
            <w:tcW w:w="160" w:type="dxa"/>
            <w:vAlign w:val="bottom"/>
          </w:tcPr>
          <w:p>
            <w:pPr>
              <w:spacing w:after="0"/>
              <w:rPr>
                <w:sz w:val="19"/>
                <w:szCs w:val="19"/>
                <w:color w:val="auto"/>
              </w:rPr>
            </w:pPr>
          </w:p>
        </w:tc>
        <w:tc>
          <w:tcPr>
            <w:tcW w:w="1140" w:type="dxa"/>
            <w:vAlign w:val="bottom"/>
            <w:gridSpan w:val="2"/>
          </w:tcPr>
          <w:p>
            <w:pPr>
              <w:jc w:val="right"/>
              <w:ind w:right="160"/>
              <w:spacing w:after="0"/>
              <w:rPr>
                <w:sz w:val="20"/>
                <w:szCs w:val="20"/>
                <w:color w:val="auto"/>
              </w:rPr>
            </w:pPr>
            <w:r>
              <w:rPr>
                <w:rFonts w:ascii="Arial" w:cs="Arial" w:eastAsia="Arial" w:hAnsi="Arial"/>
                <w:sz w:val="18"/>
                <w:szCs w:val="18"/>
                <w:color w:val="auto"/>
              </w:rPr>
              <w:t>45%</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40" w:type="dxa"/>
            <w:vAlign w:val="bottom"/>
            <w:tcBorders>
              <w:right w:val="single" w:sz="8" w:color="auto"/>
            </w:tcBorders>
            <w:gridSpan w:val="2"/>
          </w:tcPr>
          <w:p>
            <w:pPr>
              <w:jc w:val="right"/>
              <w:ind w:right="420"/>
              <w:spacing w:after="0"/>
              <w:rPr>
                <w:sz w:val="20"/>
                <w:szCs w:val="20"/>
                <w:color w:val="auto"/>
              </w:rPr>
            </w:pPr>
            <w:r>
              <w:rPr>
                <w:rFonts w:ascii="Arial" w:cs="Arial" w:eastAsia="Arial" w:hAnsi="Arial"/>
                <w:sz w:val="18"/>
                <w:szCs w:val="18"/>
                <w:color w:val="auto"/>
              </w:rPr>
              <w:t>47%</w:t>
            </w: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80" w:type="dxa"/>
            <w:vAlign w:val="bottom"/>
            <w:gridSpan w:val="2"/>
          </w:tcPr>
          <w:p>
            <w:pPr>
              <w:jc w:val="right"/>
              <w:ind w:right="40"/>
              <w:spacing w:after="0"/>
              <w:rPr>
                <w:sz w:val="20"/>
                <w:szCs w:val="20"/>
                <w:color w:val="auto"/>
              </w:rPr>
            </w:pPr>
            <w:r>
              <w:rPr>
                <w:rFonts w:ascii="Arial" w:cs="Arial" w:eastAsia="Arial" w:hAnsi="Arial"/>
                <w:sz w:val="18"/>
                <w:szCs w:val="18"/>
                <w:color w:val="auto"/>
              </w:rPr>
              <w:t>52%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right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1140" w:type="dxa"/>
            <w:vAlign w:val="bottom"/>
            <w:tcBorders>
              <w:bottom w:val="single" w:sz="8" w:color="auto"/>
            </w:tcBorders>
          </w:tcPr>
          <w:p>
            <w:pPr>
              <w:spacing w:after="0"/>
              <w:rPr>
                <w:sz w:val="11"/>
                <w:szCs w:val="11"/>
                <w:color w:val="auto"/>
              </w:rPr>
            </w:pPr>
          </w:p>
        </w:tc>
        <w:tc>
          <w:tcPr>
            <w:tcW w:w="16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6" w:lineRule="exact"/>
        <w:rPr>
          <w:sz w:val="20"/>
          <w:szCs w:val="20"/>
          <w:color w:val="auto"/>
        </w:rPr>
      </w:pPr>
    </w:p>
    <w:p>
      <w:pPr>
        <w:ind w:left="720" w:hanging="422"/>
        <w:spacing w:after="0"/>
        <w:tabs>
          <w:tab w:leader="none" w:pos="720" w:val="left"/>
        </w:tabs>
        <w:numPr>
          <w:ilvl w:val="0"/>
          <w:numId w:val="37"/>
        </w:numPr>
        <w:rPr>
          <w:rFonts w:ascii="Arial" w:cs="Arial" w:eastAsia="Arial" w:hAnsi="Arial"/>
          <w:sz w:val="18"/>
          <w:szCs w:val="18"/>
          <w:color w:val="auto"/>
        </w:rPr>
      </w:pPr>
      <w:r>
        <w:rPr>
          <w:rFonts w:ascii="Arial" w:cs="Arial" w:eastAsia="Arial" w:hAnsi="Arial"/>
          <w:sz w:val="18"/>
          <w:szCs w:val="18"/>
          <w:color w:val="auto"/>
        </w:rPr>
        <w:t>Primarily represents foreign exchange remeasurement gains and losses.</w:t>
      </w:r>
    </w:p>
    <w:p>
      <w:pPr>
        <w:spacing w:after="0" w:line="23" w:lineRule="exact"/>
        <w:rPr>
          <w:rFonts w:ascii="Arial" w:cs="Arial" w:eastAsia="Arial" w:hAnsi="Arial"/>
          <w:sz w:val="18"/>
          <w:szCs w:val="18"/>
          <w:color w:val="auto"/>
        </w:rPr>
      </w:pPr>
    </w:p>
    <w:p>
      <w:pPr>
        <w:ind w:left="720" w:right="140" w:hanging="422"/>
        <w:spacing w:after="0" w:line="250" w:lineRule="auto"/>
        <w:tabs>
          <w:tab w:leader="none" w:pos="720" w:val="left"/>
        </w:tabs>
        <w:numPr>
          <w:ilvl w:val="0"/>
          <w:numId w:val="37"/>
        </w:numPr>
        <w:rPr>
          <w:rFonts w:ascii="Arial" w:cs="Arial" w:eastAsia="Arial" w:hAnsi="Arial"/>
          <w:sz w:val="18"/>
          <w:szCs w:val="18"/>
          <w:color w:val="auto"/>
        </w:rPr>
      </w:pPr>
      <w:r>
        <w:rPr>
          <w:rFonts w:ascii="Arial" w:cs="Arial" w:eastAsia="Arial" w:hAnsi="Arial"/>
          <w:sz w:val="18"/>
          <w:szCs w:val="18"/>
          <w:color w:val="auto"/>
        </w:rPr>
        <w:t>Stock-based compensation represents non-cash compensation expense recognized in association with equity awards made to employees and directors.</w:t>
      </w:r>
    </w:p>
    <w:p>
      <w:pPr>
        <w:ind w:left="720" w:right="660" w:hanging="422"/>
        <w:spacing w:after="0" w:line="250" w:lineRule="auto"/>
        <w:tabs>
          <w:tab w:leader="none" w:pos="720" w:val="left"/>
        </w:tabs>
        <w:numPr>
          <w:ilvl w:val="0"/>
          <w:numId w:val="37"/>
        </w:numPr>
        <w:rPr>
          <w:rFonts w:ascii="Arial" w:cs="Arial" w:eastAsia="Arial" w:hAnsi="Arial"/>
          <w:sz w:val="18"/>
          <w:szCs w:val="18"/>
          <w:color w:val="auto"/>
        </w:rPr>
      </w:pPr>
      <w:r>
        <w:rPr>
          <w:rFonts w:ascii="Arial" w:cs="Arial" w:eastAsia="Arial" w:hAnsi="Arial"/>
          <w:sz w:val="18"/>
          <w:szCs w:val="18"/>
          <w:color w:val="auto"/>
        </w:rPr>
        <w:t>Acquisition related expenses primarily represent legal, accounting and consulting expenses and fair value adjustments for contingent consideration related to our acquisitions.</w:t>
      </w:r>
    </w:p>
    <w:p>
      <w:pPr>
        <w:ind w:left="720" w:hanging="422"/>
        <w:spacing w:after="0" w:line="253" w:lineRule="auto"/>
        <w:tabs>
          <w:tab w:leader="none" w:pos="720" w:val="left"/>
        </w:tabs>
        <w:numPr>
          <w:ilvl w:val="0"/>
          <w:numId w:val="37"/>
        </w:numPr>
        <w:rPr>
          <w:rFonts w:ascii="Arial" w:cs="Arial" w:eastAsia="Arial" w:hAnsi="Arial"/>
          <w:sz w:val="18"/>
          <w:szCs w:val="18"/>
          <w:color w:val="auto"/>
        </w:rPr>
      </w:pPr>
      <w:r>
        <w:rPr>
          <w:rFonts w:ascii="Arial" w:cs="Arial" w:eastAsia="Arial" w:hAnsi="Arial"/>
          <w:sz w:val="18"/>
          <w:szCs w:val="18"/>
          <w:color w:val="auto"/>
        </w:rPr>
        <w:t>Non-recurring items represent expenses that are typically one-time or non-operational in nature. One-time expenses are comprised primarily of the following items: professional fees related to IPO readiness in the nine months ended September 30, 2021, a pricing study initiated by our sponsors and IPO costs in the year ended December 31, 2020, a sales-tax voluntary disclosure agreement in the period from July 16, 2019 to December 31, 2019, and the costs of exiting certain contracts assumed as part of an acquisition in the period from January 1, 2019 to July 15, 2019.</w:t>
      </w:r>
    </w:p>
    <w:p>
      <w:pPr>
        <w:spacing w:after="0" w:line="380" w:lineRule="exact"/>
        <w:rPr>
          <w:sz w:val="20"/>
          <w:szCs w:val="20"/>
          <w:color w:val="auto"/>
        </w:rPr>
      </w:pPr>
    </w:p>
    <w:p>
      <w:pPr>
        <w:jc w:val="center"/>
        <w:ind w:right="-53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0940"/>
          </w:cols>
          <w:pgMar w:left="320" w:top="459" w:right="639" w:bottom="1440" w:gutter="0" w:footer="0" w:header="0"/>
        </w:sectPr>
      </w:pPr>
    </w:p>
    <w:bookmarkStart w:id="32" w:name="page33"/>
    <w:bookmarkEnd w:id="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299"/>
        <w:spacing w:after="0"/>
        <w:rPr>
          <w:sz w:val="20"/>
          <w:szCs w:val="20"/>
          <w:color w:val="auto"/>
        </w:rPr>
      </w:pPr>
      <w:r>
        <w:rPr>
          <w:rFonts w:ascii="Arial" w:cs="Arial" w:eastAsia="Arial" w:hAnsi="Arial"/>
          <w:sz w:val="18"/>
          <w:szCs w:val="18"/>
          <w:b w:val="1"/>
          <w:bCs w:val="1"/>
          <w:color w:val="auto"/>
        </w:rPr>
        <w:t>Confidential Treatment Requested by Definitive Healthcare Corp.</w:t>
      </w:r>
    </w:p>
    <w:p>
      <w:pPr>
        <w:spacing w:after="0" w:line="27" w:lineRule="exact"/>
        <w:rPr>
          <w:sz w:val="20"/>
          <w:szCs w:val="20"/>
          <w:color w:val="auto"/>
        </w:rPr>
      </w:pPr>
    </w:p>
    <w:p>
      <w:pPr>
        <w:jc w:val="center"/>
        <w:ind w:right="-299"/>
        <w:spacing w:after="0"/>
        <w:rPr>
          <w:sz w:val="20"/>
          <w:szCs w:val="20"/>
          <w:color w:val="auto"/>
        </w:rPr>
      </w:pPr>
      <w:r>
        <w:rPr>
          <w:rFonts w:ascii="Arial" w:cs="Arial" w:eastAsia="Arial" w:hAnsi="Arial"/>
          <w:sz w:val="18"/>
          <w:szCs w:val="18"/>
          <w:b w:val="1"/>
          <w:bCs w:val="1"/>
          <w:color w:val="auto"/>
        </w:rPr>
        <w:t>Pursuant to 17 C.F.R. Section 200.83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97790</wp:posOffset>
            </wp:positionV>
            <wp:extent cx="6998970" cy="62020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6998970" cy="6202045"/>
                    </a:xfrm>
                    <a:prstGeom prst="rect">
                      <a:avLst/>
                    </a:prstGeom>
                    <a:noFill/>
                  </pic:spPr>
                </pic:pic>
              </a:graphicData>
            </a:graphic>
          </wp:anchor>
        </w:drawing>
      </w:r>
    </w:p>
    <w:p>
      <w:pPr>
        <w:spacing w:after="0" w:line="312" w:lineRule="exact"/>
        <w:rPr>
          <w:sz w:val="20"/>
          <w:szCs w:val="20"/>
          <w:color w:val="auto"/>
        </w:rPr>
      </w:pPr>
    </w:p>
    <w:p>
      <w:pPr>
        <w:ind w:left="300" w:right="820" w:firstLine="426"/>
        <w:spacing w:after="0" w:line="277" w:lineRule="auto"/>
        <w:rPr>
          <w:sz w:val="20"/>
          <w:szCs w:val="20"/>
          <w:color w:val="auto"/>
        </w:rPr>
      </w:pPr>
      <w:r>
        <w:rPr>
          <w:rFonts w:ascii="Arial" w:cs="Arial" w:eastAsia="Arial" w:hAnsi="Arial"/>
          <w:sz w:val="18"/>
          <w:szCs w:val="18"/>
          <w:color w:val="auto"/>
        </w:rPr>
        <w:t>The following table provides a reconciliation of Adjusted Gross Profit and Adjusted Gross Margin to gross profit, its most directly comparable GAAP measure, for each of the periods presented:</w:t>
      </w:r>
    </w:p>
    <w:p>
      <w:pPr>
        <w:spacing w:after="0" w:line="176" w:lineRule="exact"/>
        <w:rPr>
          <w:sz w:val="20"/>
          <w:szCs w:val="20"/>
          <w:color w:val="auto"/>
        </w:rPr>
      </w:pPr>
    </w:p>
    <w:tbl>
      <w:tblPr>
        <w:tblLayout w:type="fixed"/>
        <w:tblInd w:w="300" w:type="dxa"/>
        <w:tblCellMar>
          <w:top w:w="0" w:type="dxa"/>
          <w:left w:w="0" w:type="dxa"/>
          <w:bottom w:w="0" w:type="dxa"/>
          <w:right w:w="0" w:type="dxa"/>
        </w:tblCellMar>
      </w:tblPr>
      <w:tr>
        <w:trPr>
          <w:trHeight w:val="35"/>
        </w:trPr>
        <w:tc>
          <w:tcPr>
            <w:tcW w:w="1160" w:type="dxa"/>
            <w:vAlign w:val="bottom"/>
          </w:tcPr>
          <w:p>
            <w:pPr>
              <w:spacing w:after="0"/>
              <w:rPr>
                <w:sz w:val="3"/>
                <w:szCs w:val="3"/>
                <w:color w:val="auto"/>
              </w:rPr>
            </w:pPr>
          </w:p>
        </w:tc>
        <w:tc>
          <w:tcPr>
            <w:tcW w:w="1520" w:type="dxa"/>
            <w:vAlign w:val="bottom"/>
          </w:tcPr>
          <w:p>
            <w:pPr>
              <w:spacing w:after="0"/>
              <w:rPr>
                <w:sz w:val="3"/>
                <w:szCs w:val="3"/>
                <w:color w:val="auto"/>
              </w:rPr>
            </w:pPr>
          </w:p>
        </w:tc>
        <w:tc>
          <w:tcPr>
            <w:tcW w:w="400" w:type="dxa"/>
            <w:vAlign w:val="bottom"/>
          </w:tcPr>
          <w:p>
            <w:pPr>
              <w:spacing w:after="0"/>
              <w:rPr>
                <w:sz w:val="3"/>
                <w:szCs w:val="3"/>
                <w:color w:val="auto"/>
              </w:rPr>
            </w:pPr>
          </w:p>
        </w:tc>
        <w:tc>
          <w:tcPr>
            <w:tcW w:w="880" w:type="dxa"/>
            <w:vAlign w:val="bottom"/>
          </w:tcPr>
          <w:p>
            <w:pPr>
              <w:spacing w:after="0"/>
              <w:rPr>
                <w:sz w:val="3"/>
                <w:szCs w:val="3"/>
                <w:color w:val="auto"/>
              </w:rPr>
            </w:pPr>
          </w:p>
        </w:tc>
        <w:tc>
          <w:tcPr>
            <w:tcW w:w="360" w:type="dxa"/>
            <w:vAlign w:val="bottom"/>
          </w:tcPr>
          <w:p>
            <w:pPr>
              <w:spacing w:after="0"/>
              <w:rPr>
                <w:sz w:val="3"/>
                <w:szCs w:val="3"/>
                <w:color w:val="auto"/>
              </w:rPr>
            </w:pPr>
          </w:p>
        </w:tc>
        <w:tc>
          <w:tcPr>
            <w:tcW w:w="220" w:type="dxa"/>
            <w:vAlign w:val="bottom"/>
          </w:tcPr>
          <w:p>
            <w:pPr>
              <w:spacing w:after="0"/>
              <w:rPr>
                <w:sz w:val="3"/>
                <w:szCs w:val="3"/>
                <w:color w:val="auto"/>
              </w:rPr>
            </w:pPr>
          </w:p>
        </w:tc>
        <w:tc>
          <w:tcPr>
            <w:tcW w:w="1680" w:type="dxa"/>
            <w:vAlign w:val="bottom"/>
            <w:gridSpan w:val="4"/>
            <w:vMerge w:val="restart"/>
          </w:tcPr>
          <w:p>
            <w:pPr>
              <w:jc w:val="center"/>
              <w:ind w:left="526"/>
              <w:spacing w:after="0"/>
              <w:rPr>
                <w:sz w:val="20"/>
                <w:szCs w:val="20"/>
                <w:color w:val="auto"/>
              </w:rPr>
            </w:pPr>
            <w:r>
              <w:rPr>
                <w:rFonts w:ascii="Arial" w:cs="Arial" w:eastAsia="Arial" w:hAnsi="Arial"/>
                <w:sz w:val="14"/>
                <w:szCs w:val="14"/>
                <w:b w:val="1"/>
                <w:bCs w:val="1"/>
                <w:color w:val="auto"/>
                <w:w w:val="95"/>
              </w:rPr>
              <w:t>Definitive OpCo</w:t>
            </w:r>
          </w:p>
        </w:tc>
        <w:tc>
          <w:tcPr>
            <w:tcW w:w="620" w:type="dxa"/>
            <w:vAlign w:val="bottom"/>
          </w:tcPr>
          <w:p>
            <w:pPr>
              <w:spacing w:after="0"/>
              <w:rPr>
                <w:sz w:val="3"/>
                <w:szCs w:val="3"/>
                <w:color w:val="auto"/>
              </w:rPr>
            </w:pPr>
          </w:p>
        </w:tc>
        <w:tc>
          <w:tcPr>
            <w:tcW w:w="22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60" w:type="dxa"/>
            <w:vAlign w:val="bottom"/>
          </w:tcPr>
          <w:p>
            <w:pPr>
              <w:spacing w:after="0"/>
              <w:rPr>
                <w:sz w:val="3"/>
                <w:szCs w:val="3"/>
                <w:color w:val="auto"/>
              </w:rPr>
            </w:pPr>
          </w:p>
        </w:tc>
        <w:tc>
          <w:tcPr>
            <w:tcW w:w="400" w:type="dxa"/>
            <w:vAlign w:val="bottom"/>
          </w:tcPr>
          <w:p>
            <w:pPr>
              <w:spacing w:after="0"/>
              <w:rPr>
                <w:sz w:val="3"/>
                <w:szCs w:val="3"/>
                <w:color w:val="auto"/>
              </w:rPr>
            </w:pPr>
          </w:p>
        </w:tc>
        <w:tc>
          <w:tcPr>
            <w:tcW w:w="4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40" w:type="dxa"/>
            <w:vAlign w:val="bottom"/>
            <w:gridSpan w:val="2"/>
            <w:vMerge w:val="restart"/>
          </w:tcPr>
          <w:p>
            <w:pPr>
              <w:jc w:val="center"/>
              <w:ind w:right="320"/>
              <w:spacing w:after="0"/>
              <w:rPr>
                <w:sz w:val="20"/>
                <w:szCs w:val="20"/>
                <w:color w:val="auto"/>
              </w:rPr>
            </w:pPr>
            <w:r>
              <w:rPr>
                <w:rFonts w:ascii="Arial" w:cs="Arial" w:eastAsia="Arial" w:hAnsi="Arial"/>
                <w:sz w:val="14"/>
                <w:szCs w:val="14"/>
                <w:b w:val="1"/>
                <w:bCs w:val="1"/>
                <w:color w:val="auto"/>
                <w:w w:val="95"/>
              </w:rPr>
              <w:t>Definitive OpCo</w:t>
            </w:r>
          </w:p>
        </w:tc>
        <w:tc>
          <w:tcPr>
            <w:tcW w:w="0" w:type="dxa"/>
            <w:vAlign w:val="bottom"/>
          </w:tcPr>
          <w:p>
            <w:pPr>
              <w:spacing w:after="0" w:line="20" w:lineRule="exact"/>
              <w:rPr>
                <w:sz w:val="1"/>
                <w:szCs w:val="1"/>
                <w:color w:val="auto"/>
              </w:rPr>
            </w:pPr>
          </w:p>
        </w:tc>
      </w:tr>
      <w:tr>
        <w:trPr>
          <w:trHeight w:val="126"/>
        </w:trPr>
        <w:tc>
          <w:tcPr>
            <w:tcW w:w="1160" w:type="dxa"/>
            <w:vAlign w:val="bottom"/>
          </w:tcPr>
          <w:p>
            <w:pPr>
              <w:spacing w:after="0"/>
              <w:rPr>
                <w:sz w:val="10"/>
                <w:szCs w:val="10"/>
                <w:color w:val="auto"/>
              </w:rPr>
            </w:pPr>
          </w:p>
        </w:tc>
        <w:tc>
          <w:tcPr>
            <w:tcW w:w="152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680" w:type="dxa"/>
            <w:vAlign w:val="bottom"/>
            <w:gridSpan w:val="4"/>
            <w:vMerge w:val="continue"/>
          </w:tcPr>
          <w:p>
            <w:pPr>
              <w:spacing w:after="0"/>
              <w:rPr>
                <w:sz w:val="10"/>
                <w:szCs w:val="10"/>
                <w:color w:val="auto"/>
              </w:rPr>
            </w:pPr>
          </w:p>
        </w:tc>
        <w:tc>
          <w:tcPr>
            <w:tcW w:w="6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400" w:type="dxa"/>
            <w:vAlign w:val="bottom"/>
            <w:tcBorders>
              <w:right w:val="single" w:sz="8" w:color="auto"/>
            </w:tcBorders>
          </w:tcPr>
          <w:p>
            <w:pPr>
              <w:spacing w:after="0"/>
              <w:rPr>
                <w:sz w:val="10"/>
                <w:szCs w:val="10"/>
                <w:color w:val="auto"/>
              </w:rPr>
            </w:pPr>
          </w:p>
        </w:tc>
        <w:tc>
          <w:tcPr>
            <w:tcW w:w="4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4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1160" w:type="dxa"/>
            <w:vAlign w:val="bottom"/>
          </w:tcPr>
          <w:p>
            <w:pPr>
              <w:spacing w:after="0"/>
              <w:rPr>
                <w:sz w:val="12"/>
                <w:szCs w:val="12"/>
                <w:color w:val="auto"/>
              </w:rPr>
            </w:pPr>
          </w:p>
        </w:tc>
        <w:tc>
          <w:tcPr>
            <w:tcW w:w="15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520" w:type="dxa"/>
            <w:vAlign w:val="bottom"/>
            <w:gridSpan w:val="6"/>
          </w:tcPr>
          <w:p>
            <w:pPr>
              <w:jc w:val="center"/>
              <w:ind w:right="240"/>
              <w:spacing w:after="0" w:line="149" w:lineRule="exact"/>
              <w:rPr>
                <w:sz w:val="20"/>
                <w:szCs w:val="20"/>
                <w:color w:val="auto"/>
              </w:rPr>
            </w:pPr>
            <w:r>
              <w:rPr>
                <w:rFonts w:ascii="Arial" w:cs="Arial" w:eastAsia="Arial" w:hAnsi="Arial"/>
                <w:sz w:val="14"/>
                <w:szCs w:val="14"/>
                <w:b w:val="1"/>
                <w:bCs w:val="1"/>
                <w:color w:val="auto"/>
              </w:rPr>
              <w:t>(AIDH TopCo, LLC)</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400" w:type="dxa"/>
            <w:vAlign w:val="bottom"/>
            <w:tcBorders>
              <w:right w:val="single" w:sz="8" w:color="auto"/>
            </w:tcBorders>
          </w:tcPr>
          <w:p>
            <w:pPr>
              <w:spacing w:after="0"/>
              <w:rPr>
                <w:sz w:val="12"/>
                <w:szCs w:val="12"/>
                <w:color w:val="auto"/>
              </w:rPr>
            </w:pPr>
          </w:p>
        </w:tc>
        <w:tc>
          <w:tcPr>
            <w:tcW w:w="400" w:type="dxa"/>
            <w:vAlign w:val="bottom"/>
          </w:tcPr>
          <w:p>
            <w:pPr>
              <w:spacing w:after="0"/>
              <w:rPr>
                <w:sz w:val="12"/>
                <w:szCs w:val="12"/>
                <w:color w:val="auto"/>
              </w:rPr>
            </w:pPr>
          </w:p>
        </w:tc>
        <w:tc>
          <w:tcPr>
            <w:tcW w:w="1540" w:type="dxa"/>
            <w:vAlign w:val="bottom"/>
            <w:gridSpan w:val="3"/>
          </w:tcPr>
          <w:p>
            <w:pPr>
              <w:jc w:val="center"/>
              <w:ind w:right="220"/>
              <w:spacing w:after="0" w:line="149" w:lineRule="exact"/>
              <w:rPr>
                <w:sz w:val="20"/>
                <w:szCs w:val="20"/>
                <w:color w:val="auto"/>
              </w:rPr>
            </w:pPr>
            <w:r>
              <w:rPr>
                <w:rFonts w:ascii="Arial" w:cs="Arial" w:eastAsia="Arial" w:hAnsi="Arial"/>
                <w:sz w:val="14"/>
                <w:szCs w:val="14"/>
                <w:b w:val="1"/>
                <w:bCs w:val="1"/>
                <w:color w:val="auto"/>
              </w:rPr>
              <w:t>(AIDH TopCo, LLC)</w:t>
            </w:r>
          </w:p>
        </w:tc>
        <w:tc>
          <w:tcPr>
            <w:tcW w:w="0" w:type="dxa"/>
            <w:vAlign w:val="bottom"/>
          </w:tcPr>
          <w:p>
            <w:pPr>
              <w:spacing w:after="0"/>
              <w:rPr>
                <w:sz w:val="1"/>
                <w:szCs w:val="1"/>
                <w:color w:val="auto"/>
              </w:rPr>
            </w:pPr>
          </w:p>
        </w:tc>
      </w:tr>
      <w:tr>
        <w:trPr>
          <w:trHeight w:val="171"/>
        </w:trPr>
        <w:tc>
          <w:tcPr>
            <w:tcW w:w="116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520" w:type="dxa"/>
            <w:vAlign w:val="bottom"/>
            <w:gridSpan w:val="6"/>
          </w:tcPr>
          <w:p>
            <w:pPr>
              <w:jc w:val="center"/>
              <w:ind w:right="200"/>
              <w:spacing w:after="0"/>
              <w:rPr>
                <w:sz w:val="20"/>
                <w:szCs w:val="20"/>
                <w:color w:val="auto"/>
              </w:rPr>
            </w:pPr>
            <w:r>
              <w:rPr>
                <w:rFonts w:ascii="Arial" w:cs="Arial" w:eastAsia="Arial" w:hAnsi="Arial"/>
                <w:sz w:val="14"/>
                <w:szCs w:val="14"/>
                <w:b w:val="1"/>
                <w:bCs w:val="1"/>
                <w:color w:val="auto"/>
                <w:w w:val="89"/>
              </w:rPr>
              <w:t>Successor Company</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400" w:type="dxa"/>
            <w:vAlign w:val="bottom"/>
            <w:tcBorders>
              <w:right w:val="single" w:sz="8" w:color="auto"/>
            </w:tcBorders>
          </w:tcPr>
          <w:p>
            <w:pPr>
              <w:spacing w:after="0"/>
              <w:rPr>
                <w:sz w:val="14"/>
                <w:szCs w:val="14"/>
                <w:color w:val="auto"/>
              </w:rPr>
            </w:pPr>
          </w:p>
        </w:tc>
        <w:tc>
          <w:tcPr>
            <w:tcW w:w="400" w:type="dxa"/>
            <w:vAlign w:val="bottom"/>
          </w:tcPr>
          <w:p>
            <w:pPr>
              <w:spacing w:after="0"/>
              <w:rPr>
                <w:sz w:val="14"/>
                <w:szCs w:val="14"/>
                <w:color w:val="auto"/>
              </w:rPr>
            </w:pPr>
          </w:p>
        </w:tc>
        <w:tc>
          <w:tcPr>
            <w:tcW w:w="1540" w:type="dxa"/>
            <w:vAlign w:val="bottom"/>
            <w:gridSpan w:val="3"/>
          </w:tcPr>
          <w:p>
            <w:pPr>
              <w:jc w:val="center"/>
              <w:ind w:right="180"/>
              <w:spacing w:after="0"/>
              <w:rPr>
                <w:sz w:val="20"/>
                <w:szCs w:val="20"/>
                <w:color w:val="auto"/>
              </w:rPr>
            </w:pPr>
            <w:r>
              <w:rPr>
                <w:rFonts w:ascii="Arial" w:cs="Arial" w:eastAsia="Arial" w:hAnsi="Arial"/>
                <w:sz w:val="14"/>
                <w:szCs w:val="14"/>
                <w:b w:val="1"/>
                <w:bCs w:val="1"/>
                <w:color w:val="auto"/>
                <w:w w:val="89"/>
              </w:rPr>
              <w:t>Predecessor Company</w:t>
            </w:r>
          </w:p>
        </w:tc>
        <w:tc>
          <w:tcPr>
            <w:tcW w:w="0" w:type="dxa"/>
            <w:vAlign w:val="bottom"/>
          </w:tcPr>
          <w:p>
            <w:pPr>
              <w:spacing w:after="0"/>
              <w:rPr>
                <w:sz w:val="1"/>
                <w:szCs w:val="1"/>
                <w:color w:val="auto"/>
              </w:rPr>
            </w:pPr>
          </w:p>
        </w:tc>
      </w:tr>
      <w:tr>
        <w:trPr>
          <w:trHeight w:val="119"/>
        </w:trPr>
        <w:tc>
          <w:tcPr>
            <w:tcW w:w="1160" w:type="dxa"/>
            <w:vAlign w:val="bottom"/>
          </w:tcPr>
          <w:p>
            <w:pPr>
              <w:spacing w:after="0"/>
              <w:rPr>
                <w:sz w:val="10"/>
                <w:szCs w:val="10"/>
                <w:color w:val="auto"/>
              </w:rPr>
            </w:pPr>
          </w:p>
        </w:tc>
        <w:tc>
          <w:tcPr>
            <w:tcW w:w="152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2700" w:type="dxa"/>
            <w:vAlign w:val="bottom"/>
            <w:tcBorders>
              <w:top w:val="single" w:sz="8" w:color="auto"/>
            </w:tcBorders>
            <w:gridSpan w:val="5"/>
          </w:tcPr>
          <w:p>
            <w:pPr>
              <w:ind w:left="560"/>
              <w:spacing w:after="0" w:line="119" w:lineRule="exact"/>
              <w:rPr>
                <w:sz w:val="20"/>
                <w:szCs w:val="20"/>
                <w:color w:val="auto"/>
              </w:rPr>
            </w:pPr>
            <w:r>
              <w:rPr>
                <w:rFonts w:ascii="Arial" w:cs="Arial" w:eastAsia="Arial" w:hAnsi="Arial"/>
                <w:sz w:val="13"/>
                <w:szCs w:val="13"/>
                <w:b w:val="1"/>
                <w:bCs w:val="1"/>
                <w:color w:val="auto"/>
              </w:rPr>
              <w:t>Nine Months Ended</w:t>
            </w:r>
          </w:p>
        </w:tc>
        <w:tc>
          <w:tcPr>
            <w:tcW w:w="220" w:type="dxa"/>
            <w:vAlign w:val="bottom"/>
            <w:tcBorders>
              <w:top w:val="single" w:sz="8" w:color="auto"/>
            </w:tcBorders>
          </w:tcPr>
          <w:p>
            <w:pPr>
              <w:spacing w:after="0"/>
              <w:rPr>
                <w:sz w:val="10"/>
                <w:szCs w:val="10"/>
                <w:color w:val="auto"/>
              </w:rPr>
            </w:pPr>
          </w:p>
        </w:tc>
        <w:tc>
          <w:tcPr>
            <w:tcW w:w="1060" w:type="dxa"/>
            <w:vAlign w:val="bottom"/>
            <w:tcBorders>
              <w:top w:val="single" w:sz="8" w:color="auto"/>
            </w:tcBorders>
            <w:gridSpan w:val="3"/>
          </w:tcPr>
          <w:p>
            <w:pPr>
              <w:ind w:left="80"/>
              <w:spacing w:after="0" w:line="119" w:lineRule="exact"/>
              <w:rPr>
                <w:sz w:val="20"/>
                <w:szCs w:val="20"/>
                <w:color w:val="auto"/>
              </w:rPr>
            </w:pPr>
            <w:r>
              <w:rPr>
                <w:rFonts w:ascii="Arial" w:cs="Arial" w:eastAsia="Arial" w:hAnsi="Arial"/>
                <w:sz w:val="13"/>
                <w:szCs w:val="13"/>
                <w:b w:val="1"/>
                <w:bCs w:val="1"/>
                <w:color w:val="auto"/>
              </w:rPr>
              <w:t>Year ended</w:t>
            </w:r>
          </w:p>
        </w:tc>
        <w:tc>
          <w:tcPr>
            <w:tcW w:w="80" w:type="dxa"/>
            <w:vAlign w:val="bottom"/>
            <w:tcBorders>
              <w:top w:val="single" w:sz="8" w:color="auto"/>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1060" w:type="dxa"/>
            <w:vAlign w:val="bottom"/>
            <w:tcBorders>
              <w:top w:val="single" w:sz="8" w:color="auto"/>
            </w:tcBorders>
          </w:tcPr>
          <w:p>
            <w:pPr>
              <w:jc w:val="center"/>
              <w:ind w:right="42"/>
              <w:spacing w:after="0" w:line="119" w:lineRule="exact"/>
              <w:rPr>
                <w:sz w:val="20"/>
                <w:szCs w:val="20"/>
                <w:color w:val="auto"/>
              </w:rPr>
            </w:pPr>
            <w:r>
              <w:rPr>
                <w:rFonts w:ascii="Arial" w:cs="Arial" w:eastAsia="Arial" w:hAnsi="Arial"/>
                <w:sz w:val="13"/>
                <w:szCs w:val="13"/>
                <w:b w:val="1"/>
                <w:bCs w:val="1"/>
                <w:color w:val="auto"/>
              </w:rPr>
              <w:t>Period from</w:t>
            </w:r>
          </w:p>
        </w:tc>
        <w:tc>
          <w:tcPr>
            <w:tcW w:w="400" w:type="dxa"/>
            <w:vAlign w:val="bottom"/>
            <w:tcBorders>
              <w:right w:val="single" w:sz="8" w:color="auto"/>
            </w:tcBorders>
          </w:tcPr>
          <w:p>
            <w:pPr>
              <w:spacing w:after="0"/>
              <w:rPr>
                <w:sz w:val="10"/>
                <w:szCs w:val="10"/>
                <w:color w:val="auto"/>
              </w:rPr>
            </w:pPr>
          </w:p>
        </w:tc>
        <w:tc>
          <w:tcPr>
            <w:tcW w:w="40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1260" w:type="dxa"/>
            <w:vAlign w:val="bottom"/>
            <w:tcBorders>
              <w:top w:val="single" w:sz="8" w:color="auto"/>
            </w:tcBorders>
          </w:tcPr>
          <w:p>
            <w:pPr>
              <w:jc w:val="center"/>
              <w:ind w:right="63"/>
              <w:spacing w:after="0" w:line="119" w:lineRule="exact"/>
              <w:rPr>
                <w:sz w:val="20"/>
                <w:szCs w:val="20"/>
                <w:color w:val="auto"/>
              </w:rPr>
            </w:pPr>
            <w:r>
              <w:rPr>
                <w:rFonts w:ascii="Arial" w:cs="Arial" w:eastAsia="Arial" w:hAnsi="Arial"/>
                <w:sz w:val="13"/>
                <w:szCs w:val="13"/>
                <w:b w:val="1"/>
                <w:bCs w:val="1"/>
                <w:color w:val="auto"/>
              </w:rPr>
              <w:t>Period from</w:t>
            </w:r>
          </w:p>
        </w:tc>
        <w:tc>
          <w:tcPr>
            <w:tcW w:w="1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2680" w:type="dxa"/>
            <w:vAlign w:val="bottom"/>
            <w:gridSpan w:val="2"/>
            <w:vMerge w:val="restart"/>
          </w:tcPr>
          <w:p>
            <w:pPr>
              <w:spacing w:after="0"/>
              <w:rPr>
                <w:sz w:val="20"/>
                <w:szCs w:val="20"/>
                <w:color w:val="auto"/>
              </w:rPr>
            </w:pPr>
            <w:r>
              <w:rPr>
                <w:rFonts w:ascii="Arial" w:cs="Arial" w:eastAsia="Arial" w:hAnsi="Arial"/>
                <w:sz w:val="14"/>
                <w:szCs w:val="14"/>
                <w:color w:val="auto"/>
              </w:rPr>
              <w:t>(in thousands)</w:t>
            </w:r>
          </w:p>
        </w:tc>
        <w:tc>
          <w:tcPr>
            <w:tcW w:w="400" w:type="dxa"/>
            <w:vAlign w:val="bottom"/>
          </w:tcPr>
          <w:p>
            <w:pPr>
              <w:spacing w:after="0"/>
              <w:rPr>
                <w:sz w:val="12"/>
                <w:szCs w:val="12"/>
                <w:color w:val="auto"/>
              </w:rPr>
            </w:pPr>
          </w:p>
        </w:tc>
        <w:tc>
          <w:tcPr>
            <w:tcW w:w="1240" w:type="dxa"/>
            <w:vAlign w:val="bottom"/>
            <w:gridSpan w:val="2"/>
          </w:tcPr>
          <w:p>
            <w:pPr>
              <w:spacing w:after="0" w:line="149" w:lineRule="exact"/>
              <w:rPr>
                <w:sz w:val="20"/>
                <w:szCs w:val="20"/>
                <w:color w:val="auto"/>
              </w:rPr>
            </w:pPr>
            <w:r>
              <w:rPr>
                <w:rFonts w:ascii="Arial" w:cs="Arial" w:eastAsia="Arial" w:hAnsi="Arial"/>
                <w:sz w:val="14"/>
                <w:szCs w:val="14"/>
                <w:b w:val="1"/>
                <w:bCs w:val="1"/>
                <w:color w:val="auto"/>
              </w:rPr>
              <w:t>September 30,</w:t>
            </w:r>
          </w:p>
        </w:tc>
        <w:tc>
          <w:tcPr>
            <w:tcW w:w="220" w:type="dxa"/>
            <w:vAlign w:val="bottom"/>
          </w:tcPr>
          <w:p>
            <w:pPr>
              <w:spacing w:after="0"/>
              <w:rPr>
                <w:sz w:val="12"/>
                <w:szCs w:val="12"/>
                <w:color w:val="auto"/>
              </w:rPr>
            </w:pPr>
          </w:p>
        </w:tc>
        <w:tc>
          <w:tcPr>
            <w:tcW w:w="1240" w:type="dxa"/>
            <w:vAlign w:val="bottom"/>
            <w:gridSpan w:val="2"/>
          </w:tcPr>
          <w:p>
            <w:pPr>
              <w:spacing w:after="0" w:line="149" w:lineRule="exact"/>
              <w:rPr>
                <w:sz w:val="20"/>
                <w:szCs w:val="20"/>
                <w:color w:val="auto"/>
              </w:rPr>
            </w:pPr>
            <w:r>
              <w:rPr>
                <w:rFonts w:ascii="Arial" w:cs="Arial" w:eastAsia="Arial" w:hAnsi="Arial"/>
                <w:sz w:val="14"/>
                <w:szCs w:val="14"/>
                <w:b w:val="1"/>
                <w:bCs w:val="1"/>
                <w:color w:val="auto"/>
              </w:rPr>
              <w:t>September 30,</w:t>
            </w:r>
          </w:p>
        </w:tc>
        <w:tc>
          <w:tcPr>
            <w:tcW w:w="220" w:type="dxa"/>
            <w:vAlign w:val="bottom"/>
          </w:tcPr>
          <w:p>
            <w:pPr>
              <w:spacing w:after="0"/>
              <w:rPr>
                <w:sz w:val="12"/>
                <w:szCs w:val="12"/>
                <w:color w:val="auto"/>
              </w:rPr>
            </w:pPr>
          </w:p>
        </w:tc>
        <w:tc>
          <w:tcPr>
            <w:tcW w:w="106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December 31,</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60" w:type="dxa"/>
            <w:vAlign w:val="bottom"/>
            <w:tcBorders>
              <w:right w:val="single" w:sz="8" w:color="auto"/>
            </w:tcBorders>
            <w:gridSpan w:val="2"/>
          </w:tcPr>
          <w:p>
            <w:pPr>
              <w:jc w:val="center"/>
              <w:ind w:right="500"/>
              <w:spacing w:after="0" w:line="149" w:lineRule="exact"/>
              <w:rPr>
                <w:sz w:val="20"/>
                <w:szCs w:val="20"/>
                <w:color w:val="auto"/>
              </w:rPr>
            </w:pPr>
            <w:r>
              <w:rPr>
                <w:rFonts w:ascii="Arial" w:cs="Arial" w:eastAsia="Arial" w:hAnsi="Arial"/>
                <w:sz w:val="14"/>
                <w:szCs w:val="14"/>
                <w:b w:val="1"/>
                <w:bCs w:val="1"/>
                <w:color w:val="auto"/>
                <w:w w:val="92"/>
              </w:rPr>
              <w:t>July 16, 2019 to</w:t>
            </w:r>
          </w:p>
        </w:tc>
        <w:tc>
          <w:tcPr>
            <w:tcW w:w="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4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2"/>
              </w:rPr>
              <w:t>January 1, 2019 to</w:t>
            </w:r>
          </w:p>
        </w:tc>
        <w:tc>
          <w:tcPr>
            <w:tcW w:w="0" w:type="dxa"/>
            <w:vAlign w:val="bottom"/>
          </w:tcPr>
          <w:p>
            <w:pPr>
              <w:spacing w:after="0"/>
              <w:rPr>
                <w:sz w:val="1"/>
                <w:szCs w:val="1"/>
                <w:color w:val="auto"/>
              </w:rPr>
            </w:pPr>
          </w:p>
        </w:tc>
      </w:tr>
      <w:tr>
        <w:trPr>
          <w:trHeight w:val="171"/>
        </w:trPr>
        <w:tc>
          <w:tcPr>
            <w:tcW w:w="2680" w:type="dxa"/>
            <w:vAlign w:val="bottom"/>
            <w:gridSpan w:val="2"/>
            <w:vMerge w:val="continue"/>
          </w:tcPr>
          <w:p>
            <w:pPr>
              <w:spacing w:after="0"/>
              <w:rPr>
                <w:sz w:val="14"/>
                <w:szCs w:val="14"/>
                <w:color w:val="auto"/>
              </w:rPr>
            </w:pPr>
          </w:p>
        </w:tc>
        <w:tc>
          <w:tcPr>
            <w:tcW w:w="1280" w:type="dxa"/>
            <w:vAlign w:val="bottom"/>
            <w:gridSpan w:val="2"/>
          </w:tcPr>
          <w:p>
            <w:pPr>
              <w:jc w:val="right"/>
              <w:ind w:right="227"/>
              <w:spacing w:after="0"/>
              <w:rPr>
                <w:sz w:val="20"/>
                <w:szCs w:val="20"/>
                <w:color w:val="auto"/>
              </w:rPr>
            </w:pPr>
            <w:r>
              <w:rPr>
                <w:rFonts w:ascii="Arial" w:cs="Arial" w:eastAsia="Arial" w:hAnsi="Arial"/>
                <w:sz w:val="14"/>
                <w:szCs w:val="14"/>
                <w:b w:val="1"/>
                <w:bCs w:val="1"/>
                <w:color w:val="auto"/>
              </w:rPr>
              <w:t>2021</w:t>
            </w:r>
          </w:p>
        </w:tc>
        <w:tc>
          <w:tcPr>
            <w:tcW w:w="360" w:type="dxa"/>
            <w:vAlign w:val="bottom"/>
          </w:tcPr>
          <w:p>
            <w:pPr>
              <w:spacing w:after="0"/>
              <w:rPr>
                <w:sz w:val="14"/>
                <w:szCs w:val="14"/>
                <w:color w:val="auto"/>
              </w:rPr>
            </w:pPr>
          </w:p>
        </w:tc>
        <w:tc>
          <w:tcPr>
            <w:tcW w:w="1100" w:type="dxa"/>
            <w:vAlign w:val="bottom"/>
            <w:gridSpan w:val="2"/>
          </w:tcPr>
          <w:p>
            <w:pPr>
              <w:jc w:val="right"/>
              <w:ind w:right="226"/>
              <w:spacing w:after="0"/>
              <w:rPr>
                <w:sz w:val="20"/>
                <w:szCs w:val="20"/>
                <w:color w:val="auto"/>
              </w:rPr>
            </w:pPr>
            <w:r>
              <w:rPr>
                <w:rFonts w:ascii="Arial" w:cs="Arial" w:eastAsia="Arial" w:hAnsi="Arial"/>
                <w:sz w:val="14"/>
                <w:szCs w:val="14"/>
                <w:b w:val="1"/>
                <w:bCs w:val="1"/>
                <w:color w:val="auto"/>
              </w:rPr>
              <w:t>2020</w:t>
            </w:r>
          </w:p>
        </w:tc>
        <w:tc>
          <w:tcPr>
            <w:tcW w:w="3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20" w:type="dxa"/>
            <w:vAlign w:val="bottom"/>
          </w:tcPr>
          <w:p>
            <w:pPr>
              <w:jc w:val="right"/>
              <w:ind w:right="200"/>
              <w:spacing w:after="0"/>
              <w:rPr>
                <w:sz w:val="20"/>
                <w:szCs w:val="20"/>
                <w:color w:val="auto"/>
              </w:rPr>
            </w:pPr>
            <w:r>
              <w:rPr>
                <w:rFonts w:ascii="Arial" w:cs="Arial" w:eastAsia="Arial" w:hAnsi="Arial"/>
                <w:sz w:val="14"/>
                <w:szCs w:val="14"/>
                <w:b w:val="1"/>
                <w:bCs w:val="1"/>
                <w:color w:val="auto"/>
              </w:rPr>
              <w:t>2020</w:t>
            </w: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560" w:type="dxa"/>
            <w:vAlign w:val="bottom"/>
            <w:tcBorders>
              <w:right w:val="single" w:sz="8" w:color="auto"/>
            </w:tcBorders>
            <w:gridSpan w:val="3"/>
          </w:tcPr>
          <w:p>
            <w:pPr>
              <w:spacing w:after="0"/>
              <w:rPr>
                <w:sz w:val="20"/>
                <w:szCs w:val="20"/>
                <w:color w:val="auto"/>
              </w:rPr>
            </w:pPr>
            <w:r>
              <w:rPr>
                <w:rFonts w:ascii="Arial" w:cs="Arial" w:eastAsia="Arial" w:hAnsi="Arial"/>
                <w:sz w:val="14"/>
                <w:szCs w:val="14"/>
                <w:b w:val="1"/>
                <w:bCs w:val="1"/>
                <w:color w:val="auto"/>
              </w:rPr>
              <w:t>December 31, 2019</w:t>
            </w:r>
          </w:p>
        </w:tc>
        <w:tc>
          <w:tcPr>
            <w:tcW w:w="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4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2"/>
              </w:rPr>
              <w:t>July 15, 2019</w:t>
            </w:r>
          </w:p>
        </w:tc>
        <w:tc>
          <w:tcPr>
            <w:tcW w:w="0" w:type="dxa"/>
            <w:vAlign w:val="bottom"/>
          </w:tcPr>
          <w:p>
            <w:pPr>
              <w:spacing w:after="0"/>
              <w:rPr>
                <w:sz w:val="1"/>
                <w:szCs w:val="1"/>
                <w:color w:val="auto"/>
              </w:rPr>
            </w:pPr>
          </w:p>
        </w:tc>
      </w:tr>
      <w:tr>
        <w:trPr>
          <w:trHeight w:val="196"/>
        </w:trPr>
        <w:tc>
          <w:tcPr>
            <w:tcW w:w="2680" w:type="dxa"/>
            <w:vAlign w:val="bottom"/>
            <w:tcBorders>
              <w:top w:val="single" w:sz="8" w:color="auto"/>
            </w:tcBorders>
            <w:gridSpan w:val="2"/>
            <w:shd w:val="clear" w:color="auto" w:fill="CCEEFF"/>
          </w:tcPr>
          <w:p>
            <w:pPr>
              <w:spacing w:after="0"/>
              <w:rPr>
                <w:sz w:val="20"/>
                <w:szCs w:val="20"/>
                <w:color w:val="auto"/>
              </w:rPr>
            </w:pPr>
            <w:r>
              <w:rPr>
                <w:rFonts w:ascii="Arial" w:cs="Arial" w:eastAsia="Arial" w:hAnsi="Arial"/>
                <w:sz w:val="16"/>
                <w:szCs w:val="16"/>
                <w:b w:val="1"/>
                <w:bCs w:val="1"/>
                <w:color w:val="auto"/>
              </w:rPr>
              <w:t>Reported gross profit</w:t>
            </w:r>
          </w:p>
        </w:tc>
        <w:tc>
          <w:tcPr>
            <w:tcW w:w="400" w:type="dxa"/>
            <w:vAlign w:val="bottom"/>
            <w:tcBorders>
              <w:top w:val="single" w:sz="8" w:color="CCEEFF"/>
            </w:tcBorders>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6"/>
                <w:szCs w:val="16"/>
                <w:color w:val="auto"/>
              </w:rPr>
              <w:t>$</w:t>
            </w:r>
          </w:p>
        </w:tc>
        <w:tc>
          <w:tcPr>
            <w:tcW w:w="36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6"/>
                <w:szCs w:val="16"/>
                <w:color w:val="auto"/>
              </w:rPr>
              <w:t>$</w:t>
            </w:r>
          </w:p>
        </w:tc>
        <w:tc>
          <w:tcPr>
            <w:tcW w:w="36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6"/>
                <w:szCs w:val="16"/>
                <w:color w:val="auto"/>
              </w:rPr>
              <w:t>$</w:t>
            </w: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87,849</w:t>
            </w:r>
          </w:p>
        </w:tc>
        <w:tc>
          <w:tcPr>
            <w:tcW w:w="2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6"/>
                <w:szCs w:val="16"/>
                <w:color w:val="auto"/>
                <w:w w:val="89"/>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26,763</w:t>
            </w:r>
          </w:p>
        </w:tc>
        <w:tc>
          <w:tcPr>
            <w:tcW w:w="400" w:type="dxa"/>
            <w:vAlign w:val="bottom"/>
            <w:tcBorders>
              <w:top w:val="single" w:sz="8" w:color="CCEEFF"/>
              <w:right w:val="single" w:sz="8" w:color="auto"/>
            </w:tcBorders>
            <w:shd w:val="clear" w:color="auto" w:fill="CCEEFF"/>
          </w:tcPr>
          <w:p>
            <w:pPr>
              <w:spacing w:after="0"/>
              <w:rPr>
                <w:sz w:val="17"/>
                <w:szCs w:val="17"/>
                <w:color w:val="auto"/>
              </w:rPr>
            </w:pPr>
          </w:p>
        </w:tc>
        <w:tc>
          <w:tcPr>
            <w:tcW w:w="4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40,130</w:t>
            </w:r>
          </w:p>
        </w:tc>
        <w:tc>
          <w:tcPr>
            <w:tcW w:w="18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3"/>
        </w:trPr>
        <w:tc>
          <w:tcPr>
            <w:tcW w:w="2680" w:type="dxa"/>
            <w:vAlign w:val="bottom"/>
            <w:gridSpan w:val="2"/>
          </w:tcPr>
          <w:p>
            <w:pPr>
              <w:spacing w:after="0"/>
              <w:rPr>
                <w:sz w:val="20"/>
                <w:szCs w:val="20"/>
                <w:color w:val="auto"/>
              </w:rPr>
            </w:pPr>
            <w:r>
              <w:rPr>
                <w:rFonts w:ascii="Arial" w:cs="Arial" w:eastAsia="Arial" w:hAnsi="Arial"/>
                <w:sz w:val="16"/>
                <w:szCs w:val="16"/>
                <w:color w:val="auto"/>
              </w:rPr>
              <w:t>Amortization of intangible assets</w:t>
            </w:r>
          </w:p>
        </w:tc>
        <w:tc>
          <w:tcPr>
            <w:tcW w:w="4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400" w:type="dxa"/>
            <w:vAlign w:val="bottom"/>
            <w:tcBorders>
              <w:right w:val="single" w:sz="8" w:color="auto"/>
            </w:tcBorders>
          </w:tcPr>
          <w:p>
            <w:pPr>
              <w:spacing w:after="0"/>
              <w:rPr>
                <w:sz w:val="16"/>
                <w:szCs w:val="16"/>
                <w:color w:val="auto"/>
              </w:rPr>
            </w:pPr>
          </w:p>
        </w:tc>
        <w:tc>
          <w:tcPr>
            <w:tcW w:w="4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9"/>
        </w:trPr>
        <w:tc>
          <w:tcPr>
            <w:tcW w:w="2680" w:type="dxa"/>
            <w:vAlign w:val="bottom"/>
            <w:gridSpan w:val="2"/>
          </w:tcPr>
          <w:p>
            <w:pPr>
              <w:ind w:left="160"/>
              <w:spacing w:after="0"/>
              <w:rPr>
                <w:sz w:val="20"/>
                <w:szCs w:val="20"/>
                <w:color w:val="auto"/>
              </w:rPr>
            </w:pPr>
            <w:r>
              <w:rPr>
                <w:rFonts w:ascii="Arial" w:cs="Arial" w:eastAsia="Arial" w:hAnsi="Arial"/>
                <w:sz w:val="16"/>
                <w:szCs w:val="16"/>
                <w:color w:val="auto"/>
              </w:rPr>
              <w:t>resulting from acquisition-related</w:t>
            </w:r>
          </w:p>
        </w:tc>
        <w:tc>
          <w:tcPr>
            <w:tcW w:w="4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400" w:type="dxa"/>
            <w:vAlign w:val="bottom"/>
            <w:tcBorders>
              <w:right w:val="single" w:sz="8" w:color="auto"/>
            </w:tcBorders>
          </w:tcPr>
          <w:p>
            <w:pPr>
              <w:spacing w:after="0"/>
              <w:rPr>
                <w:sz w:val="17"/>
                <w:szCs w:val="17"/>
                <w:color w:val="auto"/>
              </w:rPr>
            </w:pPr>
          </w:p>
        </w:tc>
        <w:tc>
          <w:tcPr>
            <w:tcW w:w="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680" w:type="dxa"/>
            <w:vAlign w:val="bottom"/>
            <w:gridSpan w:val="2"/>
          </w:tcPr>
          <w:p>
            <w:pPr>
              <w:ind w:left="160"/>
              <w:spacing w:after="0" w:line="216" w:lineRule="exact"/>
              <w:rPr>
                <w:sz w:val="20"/>
                <w:szCs w:val="20"/>
                <w:color w:val="auto"/>
              </w:rPr>
            </w:pPr>
            <w:r>
              <w:rPr>
                <w:rFonts w:ascii="Arial" w:cs="Arial" w:eastAsia="Arial" w:hAnsi="Arial"/>
                <w:sz w:val="15"/>
                <w:szCs w:val="15"/>
                <w:color w:val="auto"/>
              </w:rPr>
              <w:t xml:space="preserve">purchase accounting adjustments </w:t>
            </w:r>
            <w:r>
              <w:rPr>
                <w:rFonts w:ascii="Arial" w:cs="Arial" w:eastAsia="Arial" w:hAnsi="Arial"/>
                <w:sz w:val="25"/>
                <w:szCs w:val="25"/>
                <w:color w:val="auto"/>
                <w:vertAlign w:val="superscript"/>
              </w:rPr>
              <w:t>(a)</w:t>
            </w:r>
          </w:p>
        </w:tc>
        <w:tc>
          <w:tcPr>
            <w:tcW w:w="4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19,169</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8,602</w:t>
            </w:r>
          </w:p>
        </w:tc>
        <w:tc>
          <w:tcPr>
            <w:tcW w:w="400" w:type="dxa"/>
            <w:vAlign w:val="bottom"/>
            <w:tcBorders>
              <w:right w:val="single" w:sz="8" w:color="auto"/>
            </w:tcBorders>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498</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68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Equity compensation costs</w:t>
            </w:r>
          </w:p>
        </w:tc>
        <w:tc>
          <w:tcPr>
            <w:tcW w:w="400" w:type="dxa"/>
            <w:vAlign w:val="bottom"/>
            <w:shd w:val="clear" w:color="auto" w:fill="CCEEFF"/>
          </w:tcPr>
          <w:p>
            <w:pPr>
              <w:spacing w:after="0"/>
              <w:rPr>
                <w:sz w:val="17"/>
                <w:szCs w:val="17"/>
                <w:color w:val="auto"/>
              </w:rPr>
            </w:pPr>
          </w:p>
        </w:tc>
        <w:tc>
          <w:tcPr>
            <w:tcW w:w="880" w:type="dxa"/>
            <w:vAlign w:val="bottom"/>
            <w:tcBorders>
              <w:bottom w:val="single" w:sz="8" w:color="auto"/>
            </w:tcBorders>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80" w:type="dxa"/>
            <w:vAlign w:val="bottom"/>
            <w:tcBorders>
              <w:bottom w:val="single" w:sz="8" w:color="auto"/>
            </w:tcBorders>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spacing w:after="0"/>
              <w:rPr>
                <w:sz w:val="17"/>
                <w:szCs w:val="17"/>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62</w:t>
            </w:r>
          </w:p>
        </w:tc>
        <w:tc>
          <w:tcPr>
            <w:tcW w:w="2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28</w:t>
            </w:r>
          </w:p>
        </w:tc>
        <w:tc>
          <w:tcPr>
            <w:tcW w:w="400" w:type="dxa"/>
            <w:vAlign w:val="bottom"/>
            <w:tcBorders>
              <w:right w:val="single" w:sz="8" w:color="auto"/>
            </w:tcBorders>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256</w:t>
            </w:r>
          </w:p>
        </w:tc>
        <w:tc>
          <w:tcPr>
            <w:tcW w:w="1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2680" w:type="dxa"/>
            <w:vAlign w:val="bottom"/>
            <w:gridSpan w:val="2"/>
          </w:tcPr>
          <w:p>
            <w:pPr>
              <w:spacing w:after="0"/>
              <w:rPr>
                <w:sz w:val="20"/>
                <w:szCs w:val="20"/>
                <w:color w:val="auto"/>
              </w:rPr>
            </w:pPr>
            <w:r>
              <w:rPr>
                <w:rFonts w:ascii="Arial" w:cs="Arial" w:eastAsia="Arial" w:hAnsi="Arial"/>
                <w:sz w:val="16"/>
                <w:szCs w:val="16"/>
                <w:b w:val="1"/>
                <w:bCs w:val="1"/>
                <w:color w:val="auto"/>
              </w:rPr>
              <w:t>Adjusted Gross Profit</w:t>
            </w:r>
          </w:p>
        </w:tc>
        <w:tc>
          <w:tcPr>
            <w:tcW w:w="1280" w:type="dxa"/>
            <w:vAlign w:val="bottom"/>
            <w:gridSpan w:val="2"/>
          </w:tcPr>
          <w:p>
            <w:pPr>
              <w:ind w:left="400"/>
              <w:spacing w:after="0"/>
              <w:rPr>
                <w:sz w:val="20"/>
                <w:szCs w:val="20"/>
                <w:color w:val="auto"/>
              </w:rPr>
            </w:pPr>
            <w:r>
              <w:rPr>
                <w:rFonts w:ascii="Arial" w:cs="Arial" w:eastAsia="Arial" w:hAnsi="Arial"/>
                <w:sz w:val="16"/>
                <w:szCs w:val="16"/>
                <w:color w:val="auto"/>
              </w:rPr>
              <w:t>$</w:t>
            </w:r>
          </w:p>
        </w:tc>
        <w:tc>
          <w:tcPr>
            <w:tcW w:w="360" w:type="dxa"/>
            <w:vAlign w:val="bottom"/>
          </w:tcPr>
          <w:p>
            <w:pPr>
              <w:spacing w:after="0"/>
              <w:rPr>
                <w:sz w:val="17"/>
                <w:szCs w:val="17"/>
                <w:color w:val="auto"/>
              </w:rPr>
            </w:pPr>
          </w:p>
        </w:tc>
        <w:tc>
          <w:tcPr>
            <w:tcW w:w="1100" w:type="dxa"/>
            <w:vAlign w:val="bottom"/>
            <w:gridSpan w:val="2"/>
          </w:tcPr>
          <w:p>
            <w:pPr>
              <w:ind w:left="220"/>
              <w:spacing w:after="0"/>
              <w:rPr>
                <w:sz w:val="20"/>
                <w:szCs w:val="20"/>
                <w:color w:val="auto"/>
              </w:rPr>
            </w:pPr>
            <w:r>
              <w:rPr>
                <w:rFonts w:ascii="Arial" w:cs="Arial" w:eastAsia="Arial" w:hAnsi="Arial"/>
                <w:sz w:val="16"/>
                <w:szCs w:val="16"/>
                <w:color w:val="auto"/>
              </w:rPr>
              <w:t>$</w:t>
            </w:r>
          </w:p>
        </w:tc>
        <w:tc>
          <w:tcPr>
            <w:tcW w:w="360" w:type="dxa"/>
            <w:vAlign w:val="bottom"/>
          </w:tcPr>
          <w:p>
            <w:pPr>
              <w:spacing w:after="0"/>
              <w:rPr>
                <w:sz w:val="17"/>
                <w:szCs w:val="17"/>
                <w:color w:val="auto"/>
              </w:rPr>
            </w:pPr>
          </w:p>
        </w:tc>
        <w:tc>
          <w:tcPr>
            <w:tcW w:w="440" w:type="dxa"/>
            <w:vAlign w:val="bottom"/>
            <w:gridSpan w:val="2"/>
          </w:tcPr>
          <w:p>
            <w:pPr>
              <w:ind w:left="220"/>
              <w:spacing w:after="0"/>
              <w:rPr>
                <w:sz w:val="20"/>
                <w:szCs w:val="20"/>
                <w:color w:val="auto"/>
              </w:rPr>
            </w:pPr>
            <w:r>
              <w:rPr>
                <w:rFonts w:ascii="Arial" w:cs="Arial" w:eastAsia="Arial" w:hAnsi="Arial"/>
                <w:sz w:val="16"/>
                <w:szCs w:val="16"/>
                <w:color w:val="auto"/>
              </w:rPr>
              <w:t>$</w:t>
            </w:r>
          </w:p>
        </w:tc>
        <w:tc>
          <w:tcPr>
            <w:tcW w:w="620" w:type="dxa"/>
            <w:vAlign w:val="bottom"/>
          </w:tcPr>
          <w:p>
            <w:pPr>
              <w:jc w:val="right"/>
              <w:spacing w:after="0"/>
              <w:rPr>
                <w:sz w:val="20"/>
                <w:szCs w:val="20"/>
                <w:color w:val="auto"/>
              </w:rPr>
            </w:pPr>
            <w:r>
              <w:rPr>
                <w:rFonts w:ascii="Arial" w:cs="Arial" w:eastAsia="Arial" w:hAnsi="Arial"/>
                <w:sz w:val="16"/>
                <w:szCs w:val="16"/>
                <w:color w:val="auto"/>
              </w:rPr>
              <w:t>107,080</w:t>
            </w:r>
          </w:p>
        </w:tc>
        <w:tc>
          <w:tcPr>
            <w:tcW w:w="220" w:type="dxa"/>
            <w:vAlign w:val="bottom"/>
          </w:tcPr>
          <w:p>
            <w:pPr>
              <w:spacing w:after="0"/>
              <w:rPr>
                <w:sz w:val="17"/>
                <w:szCs w:val="17"/>
                <w:color w:val="auto"/>
              </w:rPr>
            </w:pPr>
          </w:p>
        </w:tc>
        <w:tc>
          <w:tcPr>
            <w:tcW w:w="180" w:type="dxa"/>
            <w:vAlign w:val="bottom"/>
            <w:gridSpan w:val="2"/>
          </w:tcPr>
          <w:p>
            <w:pPr>
              <w:ind w:left="80"/>
              <w:spacing w:after="0"/>
              <w:rPr>
                <w:sz w:val="20"/>
                <w:szCs w:val="20"/>
                <w:color w:val="auto"/>
              </w:rPr>
            </w:pPr>
            <w:r>
              <w:rPr>
                <w:rFonts w:ascii="Arial" w:cs="Arial" w:eastAsia="Arial" w:hAnsi="Arial"/>
                <w:sz w:val="16"/>
                <w:szCs w:val="16"/>
                <w:color w:val="auto"/>
                <w:w w:val="89"/>
              </w:rPr>
              <w:t>$</w:t>
            </w:r>
          </w:p>
        </w:tc>
        <w:tc>
          <w:tcPr>
            <w:tcW w:w="1060" w:type="dxa"/>
            <w:vAlign w:val="bottom"/>
          </w:tcPr>
          <w:p>
            <w:pPr>
              <w:jc w:val="right"/>
              <w:spacing w:after="0"/>
              <w:rPr>
                <w:sz w:val="20"/>
                <w:szCs w:val="20"/>
                <w:color w:val="auto"/>
              </w:rPr>
            </w:pPr>
            <w:r>
              <w:rPr>
                <w:rFonts w:ascii="Arial" w:cs="Arial" w:eastAsia="Arial" w:hAnsi="Arial"/>
                <w:sz w:val="16"/>
                <w:szCs w:val="16"/>
                <w:color w:val="auto"/>
              </w:rPr>
              <w:t>35,393</w:t>
            </w:r>
          </w:p>
        </w:tc>
        <w:tc>
          <w:tcPr>
            <w:tcW w:w="400" w:type="dxa"/>
            <w:vAlign w:val="bottom"/>
            <w:tcBorders>
              <w:right w:val="single" w:sz="8" w:color="auto"/>
            </w:tcBorders>
          </w:tcPr>
          <w:p>
            <w:pPr>
              <w:spacing w:after="0"/>
              <w:rPr>
                <w:sz w:val="17"/>
                <w:szCs w:val="17"/>
                <w:color w:val="auto"/>
              </w:rPr>
            </w:pPr>
          </w:p>
        </w:tc>
        <w:tc>
          <w:tcPr>
            <w:tcW w:w="50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260" w:type="dxa"/>
            <w:vAlign w:val="bottom"/>
          </w:tcPr>
          <w:p>
            <w:pPr>
              <w:jc w:val="right"/>
              <w:spacing w:after="0"/>
              <w:rPr>
                <w:sz w:val="20"/>
                <w:szCs w:val="20"/>
                <w:color w:val="auto"/>
              </w:rPr>
            </w:pPr>
            <w:r>
              <w:rPr>
                <w:rFonts w:ascii="Arial" w:cs="Arial" w:eastAsia="Arial" w:hAnsi="Arial"/>
                <w:sz w:val="16"/>
                <w:szCs w:val="16"/>
                <w:color w:val="auto"/>
              </w:rPr>
              <w:t>40,884</w:t>
            </w: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8"/>
        </w:trPr>
        <w:tc>
          <w:tcPr>
            <w:tcW w:w="268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Revenue</w:t>
            </w:r>
          </w:p>
        </w:tc>
        <w:tc>
          <w:tcPr>
            <w:tcW w:w="400" w:type="dxa"/>
            <w:vAlign w:val="bottom"/>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118,317</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40,045</w:t>
            </w:r>
          </w:p>
        </w:tc>
        <w:tc>
          <w:tcPr>
            <w:tcW w:w="400" w:type="dxa"/>
            <w:vAlign w:val="bottom"/>
            <w:tcBorders>
              <w:right w:val="single" w:sz="8" w:color="auto"/>
            </w:tcBorders>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45,458</w:t>
            </w: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2680" w:type="dxa"/>
            <w:vAlign w:val="bottom"/>
            <w:gridSpan w:val="2"/>
          </w:tcPr>
          <w:p>
            <w:pPr>
              <w:spacing w:after="0"/>
              <w:rPr>
                <w:sz w:val="20"/>
                <w:szCs w:val="20"/>
                <w:color w:val="auto"/>
              </w:rPr>
            </w:pPr>
            <w:r>
              <w:rPr>
                <w:rFonts w:ascii="Arial" w:cs="Arial" w:eastAsia="Arial" w:hAnsi="Arial"/>
                <w:sz w:val="16"/>
                <w:szCs w:val="16"/>
                <w:b w:val="1"/>
                <w:bCs w:val="1"/>
                <w:color w:val="auto"/>
              </w:rPr>
              <w:t>Adjusted Gross Margin</w:t>
            </w:r>
          </w:p>
        </w:tc>
        <w:tc>
          <w:tcPr>
            <w:tcW w:w="1640" w:type="dxa"/>
            <w:vAlign w:val="bottom"/>
            <w:gridSpan w:val="3"/>
          </w:tcPr>
          <w:p>
            <w:pPr>
              <w:jc w:val="right"/>
              <w:ind w:right="220"/>
              <w:spacing w:after="0"/>
              <w:rPr>
                <w:sz w:val="20"/>
                <w:szCs w:val="20"/>
                <w:color w:val="auto"/>
              </w:rPr>
            </w:pPr>
            <w:r>
              <w:rPr>
                <w:rFonts w:ascii="Arial" w:cs="Arial" w:eastAsia="Arial" w:hAnsi="Arial"/>
                <w:sz w:val="16"/>
                <w:szCs w:val="16"/>
                <w:color w:val="auto"/>
              </w:rPr>
              <w:t>%</w:t>
            </w:r>
          </w:p>
        </w:tc>
        <w:tc>
          <w:tcPr>
            <w:tcW w:w="1460" w:type="dxa"/>
            <w:vAlign w:val="bottom"/>
            <w:gridSpan w:val="3"/>
          </w:tcPr>
          <w:p>
            <w:pPr>
              <w:jc w:val="right"/>
              <w:ind w:right="22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40" w:type="dxa"/>
            <w:vAlign w:val="bottom"/>
            <w:gridSpan w:val="2"/>
          </w:tcPr>
          <w:p>
            <w:pPr>
              <w:jc w:val="right"/>
              <w:ind w:right="80"/>
              <w:spacing w:after="0"/>
              <w:rPr>
                <w:sz w:val="20"/>
                <w:szCs w:val="20"/>
                <w:color w:val="auto"/>
              </w:rPr>
            </w:pPr>
            <w:r>
              <w:rPr>
                <w:rFonts w:ascii="Arial" w:cs="Arial" w:eastAsia="Arial" w:hAnsi="Arial"/>
                <w:sz w:val="16"/>
                <w:szCs w:val="16"/>
                <w:color w:val="auto"/>
              </w:rPr>
              <w:t>91%</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60" w:type="dxa"/>
            <w:vAlign w:val="bottom"/>
            <w:tcBorders>
              <w:right w:val="single" w:sz="8" w:color="auto"/>
            </w:tcBorders>
            <w:gridSpan w:val="2"/>
          </w:tcPr>
          <w:p>
            <w:pPr>
              <w:jc w:val="right"/>
              <w:ind w:right="260"/>
              <w:spacing w:after="0"/>
              <w:rPr>
                <w:sz w:val="20"/>
                <w:szCs w:val="20"/>
                <w:color w:val="auto"/>
              </w:rPr>
            </w:pPr>
            <w:r>
              <w:rPr>
                <w:rFonts w:ascii="Arial" w:cs="Arial" w:eastAsia="Arial" w:hAnsi="Arial"/>
                <w:sz w:val="16"/>
                <w:szCs w:val="16"/>
                <w:color w:val="auto"/>
              </w:rPr>
              <w:t>88%</w:t>
            </w:r>
          </w:p>
        </w:tc>
        <w:tc>
          <w:tcPr>
            <w:tcW w:w="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40" w:type="dxa"/>
            <w:vAlign w:val="bottom"/>
            <w:gridSpan w:val="2"/>
          </w:tcPr>
          <w:p>
            <w:pPr>
              <w:jc w:val="right"/>
              <w:ind w:right="40"/>
              <w:spacing w:after="0"/>
              <w:rPr>
                <w:sz w:val="20"/>
                <w:szCs w:val="20"/>
                <w:color w:val="auto"/>
              </w:rPr>
            </w:pPr>
            <w:r>
              <w:rPr>
                <w:rFonts w:ascii="Arial" w:cs="Arial" w:eastAsia="Arial" w:hAnsi="Arial"/>
                <w:sz w:val="16"/>
                <w:szCs w:val="16"/>
                <w:color w:val="auto"/>
              </w:rPr>
              <w:t>90%</w:t>
            </w: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right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2"/>
        </w:trPr>
        <w:tc>
          <w:tcPr>
            <w:tcW w:w="1160" w:type="dxa"/>
            <w:vAlign w:val="bottom"/>
            <w:tcBorders>
              <w:bottom w:val="single" w:sz="8" w:color="auto"/>
            </w:tcBorders>
          </w:tcPr>
          <w:p>
            <w:pPr>
              <w:spacing w:after="0"/>
              <w:rPr>
                <w:sz w:val="11"/>
                <w:szCs w:val="11"/>
                <w:color w:val="auto"/>
              </w:rPr>
            </w:pPr>
          </w:p>
        </w:tc>
        <w:tc>
          <w:tcPr>
            <w:tcW w:w="15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6" w:lineRule="exact"/>
        <w:rPr>
          <w:sz w:val="20"/>
          <w:szCs w:val="20"/>
          <w:color w:val="auto"/>
        </w:rPr>
      </w:pPr>
    </w:p>
    <w:p>
      <w:pPr>
        <w:ind w:left="820" w:right="80" w:hanging="522"/>
        <w:spacing w:after="0" w:line="277" w:lineRule="auto"/>
        <w:tabs>
          <w:tab w:leader="none" w:pos="820" w:val="left"/>
        </w:tabs>
        <w:numPr>
          <w:ilvl w:val="0"/>
          <w:numId w:val="38"/>
        </w:numPr>
        <w:rPr>
          <w:rFonts w:ascii="Arial" w:cs="Arial" w:eastAsia="Arial" w:hAnsi="Arial"/>
          <w:sz w:val="18"/>
          <w:szCs w:val="18"/>
          <w:color w:val="auto"/>
        </w:rPr>
      </w:pPr>
      <w:r>
        <w:rPr>
          <w:rFonts w:ascii="Arial" w:cs="Arial" w:eastAsia="Arial" w:hAnsi="Arial"/>
          <w:sz w:val="18"/>
          <w:szCs w:val="18"/>
          <w:color w:val="auto"/>
        </w:rPr>
        <w:t>Amortization of intangible assets resulting from purchase accounting adjustments represents non-cash amortization of acquired intangibles, primarily resulting from the Advent acquisition.</w:t>
      </w:r>
    </w:p>
    <w:p>
      <w:pPr>
        <w:spacing w:after="0" w:line="170" w:lineRule="exact"/>
        <w:rPr>
          <w:sz w:val="20"/>
          <w:szCs w:val="20"/>
          <w:color w:val="auto"/>
        </w:rPr>
      </w:pPr>
    </w:p>
    <w:p>
      <w:pPr>
        <w:ind w:left="720"/>
        <w:spacing w:after="0"/>
        <w:rPr>
          <w:sz w:val="20"/>
          <w:szCs w:val="20"/>
          <w:color w:val="auto"/>
        </w:rPr>
      </w:pPr>
      <w:r>
        <w:rPr>
          <w:rFonts w:ascii="Arial" w:cs="Arial" w:eastAsia="Arial" w:hAnsi="Arial"/>
          <w:sz w:val="17"/>
          <w:szCs w:val="17"/>
          <w:color w:val="auto"/>
        </w:rPr>
        <w:t>The following table presents a reconciliation of (Loss) Income from Operations to Adjusted Operating Income for the periods presented:</w:t>
      </w:r>
    </w:p>
    <w:p>
      <w:pPr>
        <w:spacing w:after="0" w:line="243" w:lineRule="exact"/>
        <w:rPr>
          <w:sz w:val="20"/>
          <w:szCs w:val="20"/>
          <w:color w:val="auto"/>
        </w:rPr>
      </w:pPr>
    </w:p>
    <w:tbl>
      <w:tblPr>
        <w:tblLayout w:type="fixed"/>
        <w:tblInd w:w="300" w:type="dxa"/>
        <w:tblCellMar>
          <w:top w:w="0" w:type="dxa"/>
          <w:left w:w="0" w:type="dxa"/>
          <w:bottom w:w="0" w:type="dxa"/>
          <w:right w:w="0" w:type="dxa"/>
        </w:tblCellMar>
      </w:tblPr>
      <w:tr>
        <w:trPr>
          <w:trHeight w:val="35"/>
        </w:trPr>
        <w:tc>
          <w:tcPr>
            <w:tcW w:w="1160" w:type="dxa"/>
            <w:vAlign w:val="bottom"/>
          </w:tcPr>
          <w:p>
            <w:pPr>
              <w:spacing w:after="0"/>
              <w:rPr>
                <w:sz w:val="3"/>
                <w:szCs w:val="3"/>
                <w:color w:val="auto"/>
              </w:rPr>
            </w:pPr>
          </w:p>
        </w:tc>
        <w:tc>
          <w:tcPr>
            <w:tcW w:w="1660" w:type="dxa"/>
            <w:vAlign w:val="bottom"/>
          </w:tcPr>
          <w:p>
            <w:pPr>
              <w:spacing w:after="0"/>
              <w:rPr>
                <w:sz w:val="3"/>
                <w:szCs w:val="3"/>
                <w:color w:val="auto"/>
              </w:rPr>
            </w:pPr>
          </w:p>
        </w:tc>
        <w:tc>
          <w:tcPr>
            <w:tcW w:w="480" w:type="dxa"/>
            <w:vAlign w:val="bottom"/>
          </w:tcPr>
          <w:p>
            <w:pPr>
              <w:spacing w:after="0"/>
              <w:rPr>
                <w:sz w:val="3"/>
                <w:szCs w:val="3"/>
                <w:color w:val="auto"/>
              </w:rPr>
            </w:pPr>
          </w:p>
        </w:tc>
        <w:tc>
          <w:tcPr>
            <w:tcW w:w="20" w:type="dxa"/>
            <w:vAlign w:val="bottom"/>
          </w:tcPr>
          <w:p>
            <w:pPr>
              <w:spacing w:after="0"/>
              <w:rPr>
                <w:sz w:val="3"/>
                <w:szCs w:val="3"/>
                <w:color w:val="auto"/>
              </w:rPr>
            </w:pPr>
          </w:p>
        </w:tc>
        <w:tc>
          <w:tcPr>
            <w:tcW w:w="860" w:type="dxa"/>
            <w:vAlign w:val="bottom"/>
          </w:tcPr>
          <w:p>
            <w:pPr>
              <w:spacing w:after="0"/>
              <w:rPr>
                <w:sz w:val="3"/>
                <w:szCs w:val="3"/>
                <w:color w:val="auto"/>
              </w:rPr>
            </w:pPr>
          </w:p>
        </w:tc>
        <w:tc>
          <w:tcPr>
            <w:tcW w:w="520" w:type="dxa"/>
            <w:vAlign w:val="bottom"/>
          </w:tcPr>
          <w:p>
            <w:pPr>
              <w:spacing w:after="0"/>
              <w:rPr>
                <w:sz w:val="3"/>
                <w:szCs w:val="3"/>
                <w:color w:val="auto"/>
              </w:rPr>
            </w:pPr>
          </w:p>
        </w:tc>
        <w:tc>
          <w:tcPr>
            <w:tcW w:w="1680" w:type="dxa"/>
            <w:vAlign w:val="bottom"/>
            <w:gridSpan w:val="3"/>
            <w:vMerge w:val="restart"/>
          </w:tcPr>
          <w:p>
            <w:pPr>
              <w:jc w:val="center"/>
              <w:ind w:left="566"/>
              <w:spacing w:after="0"/>
              <w:rPr>
                <w:sz w:val="20"/>
                <w:szCs w:val="20"/>
                <w:color w:val="auto"/>
              </w:rPr>
            </w:pPr>
            <w:r>
              <w:rPr>
                <w:rFonts w:ascii="Arial" w:cs="Arial" w:eastAsia="Arial" w:hAnsi="Arial"/>
                <w:sz w:val="14"/>
                <w:szCs w:val="14"/>
                <w:b w:val="1"/>
                <w:bCs w:val="1"/>
                <w:color w:val="auto"/>
                <w:w w:val="95"/>
              </w:rPr>
              <w:t>Definitive OpCo</w:t>
            </w:r>
          </w:p>
        </w:tc>
        <w:tc>
          <w:tcPr>
            <w:tcW w:w="560" w:type="dxa"/>
            <w:vAlign w:val="bottom"/>
          </w:tcPr>
          <w:p>
            <w:pPr>
              <w:spacing w:after="0"/>
              <w:rPr>
                <w:sz w:val="3"/>
                <w:szCs w:val="3"/>
                <w:color w:val="auto"/>
              </w:rPr>
            </w:pPr>
          </w:p>
        </w:tc>
        <w:tc>
          <w:tcPr>
            <w:tcW w:w="180" w:type="dxa"/>
            <w:vAlign w:val="bottom"/>
          </w:tcPr>
          <w:p>
            <w:pPr>
              <w:spacing w:after="0"/>
              <w:rPr>
                <w:sz w:val="3"/>
                <w:szCs w:val="3"/>
                <w:color w:val="auto"/>
              </w:rPr>
            </w:pPr>
          </w:p>
        </w:tc>
        <w:tc>
          <w:tcPr>
            <w:tcW w:w="140" w:type="dxa"/>
            <w:vAlign w:val="bottom"/>
          </w:tcPr>
          <w:p>
            <w:pPr>
              <w:spacing w:after="0"/>
              <w:rPr>
                <w:sz w:val="3"/>
                <w:szCs w:val="3"/>
                <w:color w:val="auto"/>
              </w:rPr>
            </w:pPr>
          </w:p>
        </w:tc>
        <w:tc>
          <w:tcPr>
            <w:tcW w:w="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320" w:type="dxa"/>
            <w:vAlign w:val="bottom"/>
          </w:tcPr>
          <w:p>
            <w:pPr>
              <w:spacing w:after="0"/>
              <w:rPr>
                <w:sz w:val="3"/>
                <w:szCs w:val="3"/>
                <w:color w:val="auto"/>
              </w:rPr>
            </w:pPr>
          </w:p>
        </w:tc>
        <w:tc>
          <w:tcPr>
            <w:tcW w:w="4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320" w:type="dxa"/>
            <w:vAlign w:val="bottom"/>
            <w:gridSpan w:val="2"/>
            <w:vMerge w:val="restart"/>
          </w:tcPr>
          <w:p>
            <w:pPr>
              <w:jc w:val="center"/>
              <w:ind w:right="120"/>
              <w:spacing w:after="0"/>
              <w:rPr>
                <w:sz w:val="20"/>
                <w:szCs w:val="20"/>
                <w:color w:val="auto"/>
              </w:rPr>
            </w:pPr>
            <w:r>
              <w:rPr>
                <w:rFonts w:ascii="Arial" w:cs="Arial" w:eastAsia="Arial" w:hAnsi="Arial"/>
                <w:sz w:val="14"/>
                <w:szCs w:val="14"/>
                <w:b w:val="1"/>
                <w:bCs w:val="1"/>
                <w:color w:val="auto"/>
                <w:w w:val="95"/>
              </w:rPr>
              <w:t>Definitive OpCo</w:t>
            </w:r>
          </w:p>
        </w:tc>
        <w:tc>
          <w:tcPr>
            <w:tcW w:w="0" w:type="dxa"/>
            <w:vAlign w:val="bottom"/>
          </w:tcPr>
          <w:p>
            <w:pPr>
              <w:spacing w:after="0" w:line="20" w:lineRule="exact"/>
              <w:rPr>
                <w:sz w:val="1"/>
                <w:szCs w:val="1"/>
                <w:color w:val="auto"/>
              </w:rPr>
            </w:pPr>
          </w:p>
        </w:tc>
      </w:tr>
      <w:tr>
        <w:trPr>
          <w:trHeight w:val="126"/>
        </w:trPr>
        <w:tc>
          <w:tcPr>
            <w:tcW w:w="1160" w:type="dxa"/>
            <w:vAlign w:val="bottom"/>
          </w:tcPr>
          <w:p>
            <w:pPr>
              <w:spacing w:after="0"/>
              <w:rPr>
                <w:sz w:val="10"/>
                <w:szCs w:val="10"/>
                <w:color w:val="auto"/>
              </w:rPr>
            </w:pPr>
          </w:p>
        </w:tc>
        <w:tc>
          <w:tcPr>
            <w:tcW w:w="166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680" w:type="dxa"/>
            <w:vAlign w:val="bottom"/>
            <w:gridSpan w:val="3"/>
            <w:vMerge w:val="continue"/>
          </w:tcPr>
          <w:p>
            <w:pPr>
              <w:spacing w:after="0"/>
              <w:rPr>
                <w:sz w:val="10"/>
                <w:szCs w:val="10"/>
                <w:color w:val="auto"/>
              </w:rPr>
            </w:pPr>
          </w:p>
        </w:tc>
        <w:tc>
          <w:tcPr>
            <w:tcW w:w="5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320" w:type="dxa"/>
            <w:vAlign w:val="bottom"/>
            <w:tcBorders>
              <w:right w:val="single" w:sz="8" w:color="auto"/>
            </w:tcBorders>
          </w:tcPr>
          <w:p>
            <w:pPr>
              <w:spacing w:after="0"/>
              <w:rPr>
                <w:sz w:val="10"/>
                <w:szCs w:val="10"/>
                <w:color w:val="auto"/>
              </w:rPr>
            </w:pPr>
          </w:p>
        </w:tc>
        <w:tc>
          <w:tcPr>
            <w:tcW w:w="4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32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1160" w:type="dxa"/>
            <w:vAlign w:val="bottom"/>
          </w:tcPr>
          <w:p>
            <w:pPr>
              <w:spacing w:after="0"/>
              <w:rPr>
                <w:sz w:val="12"/>
                <w:szCs w:val="12"/>
                <w:color w:val="auto"/>
              </w:rPr>
            </w:pPr>
          </w:p>
        </w:tc>
        <w:tc>
          <w:tcPr>
            <w:tcW w:w="16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420" w:type="dxa"/>
            <w:vAlign w:val="bottom"/>
            <w:gridSpan w:val="5"/>
          </w:tcPr>
          <w:p>
            <w:pPr>
              <w:jc w:val="center"/>
              <w:ind w:right="100"/>
              <w:spacing w:after="0" w:line="149" w:lineRule="exact"/>
              <w:rPr>
                <w:sz w:val="20"/>
                <w:szCs w:val="20"/>
                <w:color w:val="auto"/>
              </w:rPr>
            </w:pPr>
            <w:r>
              <w:rPr>
                <w:rFonts w:ascii="Arial" w:cs="Arial" w:eastAsia="Arial" w:hAnsi="Arial"/>
                <w:sz w:val="14"/>
                <w:szCs w:val="14"/>
                <w:b w:val="1"/>
                <w:bCs w:val="1"/>
                <w:color w:val="auto"/>
              </w:rPr>
              <w:t>(AIDH TopCo, LLC)</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320" w:type="dxa"/>
            <w:vAlign w:val="bottom"/>
            <w:tcBorders>
              <w:right w:val="single" w:sz="8" w:color="auto"/>
            </w:tcBorders>
          </w:tcPr>
          <w:p>
            <w:pPr>
              <w:spacing w:after="0"/>
              <w:rPr>
                <w:sz w:val="12"/>
                <w:szCs w:val="12"/>
                <w:color w:val="auto"/>
              </w:rPr>
            </w:pPr>
          </w:p>
        </w:tc>
        <w:tc>
          <w:tcPr>
            <w:tcW w:w="480" w:type="dxa"/>
            <w:vAlign w:val="bottom"/>
          </w:tcPr>
          <w:p>
            <w:pPr>
              <w:spacing w:after="0"/>
              <w:rPr>
                <w:sz w:val="12"/>
                <w:szCs w:val="12"/>
                <w:color w:val="auto"/>
              </w:rPr>
            </w:pPr>
          </w:p>
        </w:tc>
        <w:tc>
          <w:tcPr>
            <w:tcW w:w="1420" w:type="dxa"/>
            <w:vAlign w:val="bottom"/>
            <w:gridSpan w:val="3"/>
          </w:tcPr>
          <w:p>
            <w:pPr>
              <w:jc w:val="center"/>
              <w:ind w:right="20"/>
              <w:spacing w:after="0" w:line="149" w:lineRule="exact"/>
              <w:rPr>
                <w:sz w:val="20"/>
                <w:szCs w:val="20"/>
                <w:color w:val="auto"/>
              </w:rPr>
            </w:pPr>
            <w:r>
              <w:rPr>
                <w:rFonts w:ascii="Arial" w:cs="Arial" w:eastAsia="Arial" w:hAnsi="Arial"/>
                <w:sz w:val="14"/>
                <w:szCs w:val="14"/>
                <w:b w:val="1"/>
                <w:bCs w:val="1"/>
                <w:color w:val="auto"/>
              </w:rPr>
              <w:t>(AIDH TopCo, LLC)</w:t>
            </w:r>
          </w:p>
        </w:tc>
        <w:tc>
          <w:tcPr>
            <w:tcW w:w="0" w:type="dxa"/>
            <w:vAlign w:val="bottom"/>
          </w:tcPr>
          <w:p>
            <w:pPr>
              <w:spacing w:after="0"/>
              <w:rPr>
                <w:sz w:val="1"/>
                <w:szCs w:val="1"/>
                <w:color w:val="auto"/>
              </w:rPr>
            </w:pPr>
          </w:p>
        </w:tc>
      </w:tr>
      <w:tr>
        <w:trPr>
          <w:trHeight w:val="171"/>
        </w:trPr>
        <w:tc>
          <w:tcPr>
            <w:tcW w:w="116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420" w:type="dxa"/>
            <w:vAlign w:val="bottom"/>
            <w:gridSpan w:val="5"/>
          </w:tcPr>
          <w:p>
            <w:pPr>
              <w:jc w:val="center"/>
              <w:ind w:right="100"/>
              <w:spacing w:after="0"/>
              <w:rPr>
                <w:sz w:val="20"/>
                <w:szCs w:val="20"/>
                <w:color w:val="auto"/>
              </w:rPr>
            </w:pPr>
            <w:r>
              <w:rPr>
                <w:rFonts w:ascii="Arial" w:cs="Arial" w:eastAsia="Arial" w:hAnsi="Arial"/>
                <w:sz w:val="14"/>
                <w:szCs w:val="14"/>
                <w:b w:val="1"/>
                <w:bCs w:val="1"/>
                <w:color w:val="auto"/>
                <w:w w:val="89"/>
              </w:rPr>
              <w:t>Successor Company</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320" w:type="dxa"/>
            <w:vAlign w:val="bottom"/>
            <w:tcBorders>
              <w:right w:val="single" w:sz="8" w:color="auto"/>
            </w:tcBorders>
          </w:tcPr>
          <w:p>
            <w:pPr>
              <w:spacing w:after="0"/>
              <w:rPr>
                <w:sz w:val="14"/>
                <w:szCs w:val="14"/>
                <w:color w:val="auto"/>
              </w:rPr>
            </w:pPr>
          </w:p>
        </w:tc>
        <w:tc>
          <w:tcPr>
            <w:tcW w:w="480" w:type="dxa"/>
            <w:vAlign w:val="bottom"/>
          </w:tcPr>
          <w:p>
            <w:pPr>
              <w:spacing w:after="0"/>
              <w:rPr>
                <w:sz w:val="14"/>
                <w:szCs w:val="14"/>
                <w:color w:val="auto"/>
              </w:rPr>
            </w:pPr>
          </w:p>
        </w:tc>
        <w:tc>
          <w:tcPr>
            <w:tcW w:w="1420" w:type="dxa"/>
            <w:vAlign w:val="bottom"/>
            <w:gridSpan w:val="3"/>
          </w:tcPr>
          <w:p>
            <w:pPr>
              <w:jc w:val="center"/>
              <w:ind w:right="20"/>
              <w:spacing w:after="0"/>
              <w:rPr>
                <w:sz w:val="20"/>
                <w:szCs w:val="20"/>
                <w:color w:val="auto"/>
              </w:rPr>
            </w:pPr>
            <w:r>
              <w:rPr>
                <w:rFonts w:ascii="Arial" w:cs="Arial" w:eastAsia="Arial" w:hAnsi="Arial"/>
                <w:sz w:val="14"/>
                <w:szCs w:val="14"/>
                <w:b w:val="1"/>
                <w:bCs w:val="1"/>
                <w:color w:val="auto"/>
                <w:w w:val="89"/>
              </w:rPr>
              <w:t>Predecessor Company</w:t>
            </w:r>
          </w:p>
        </w:tc>
        <w:tc>
          <w:tcPr>
            <w:tcW w:w="0" w:type="dxa"/>
            <w:vAlign w:val="bottom"/>
          </w:tcPr>
          <w:p>
            <w:pPr>
              <w:spacing w:after="0"/>
              <w:rPr>
                <w:sz w:val="1"/>
                <w:szCs w:val="1"/>
                <w:color w:val="auto"/>
              </w:rPr>
            </w:pPr>
          </w:p>
        </w:tc>
      </w:tr>
      <w:tr>
        <w:trPr>
          <w:trHeight w:val="119"/>
        </w:trPr>
        <w:tc>
          <w:tcPr>
            <w:tcW w:w="1160" w:type="dxa"/>
            <w:vAlign w:val="bottom"/>
          </w:tcPr>
          <w:p>
            <w:pPr>
              <w:spacing w:after="0"/>
              <w:rPr>
                <w:sz w:val="10"/>
                <w:szCs w:val="10"/>
                <w:color w:val="auto"/>
              </w:rPr>
            </w:pPr>
          </w:p>
        </w:tc>
        <w:tc>
          <w:tcPr>
            <w:tcW w:w="166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260" w:type="dxa"/>
            <w:vAlign w:val="bottom"/>
            <w:tcBorders>
              <w:top w:val="single" w:sz="8" w:color="auto"/>
            </w:tcBorders>
            <w:gridSpan w:val="3"/>
          </w:tcPr>
          <w:p>
            <w:pPr>
              <w:jc w:val="right"/>
              <w:ind w:right="446"/>
              <w:spacing w:after="0" w:line="119" w:lineRule="exact"/>
              <w:rPr>
                <w:sz w:val="20"/>
                <w:szCs w:val="20"/>
                <w:color w:val="auto"/>
              </w:rPr>
            </w:pPr>
            <w:r>
              <w:rPr>
                <w:rFonts w:ascii="Arial" w:cs="Arial" w:eastAsia="Arial" w:hAnsi="Arial"/>
                <w:sz w:val="13"/>
                <w:szCs w:val="13"/>
                <w:b w:val="1"/>
                <w:bCs w:val="1"/>
                <w:color w:val="auto"/>
              </w:rPr>
              <w:t>Nine Months Ended</w:t>
            </w:r>
          </w:p>
        </w:tc>
        <w:tc>
          <w:tcPr>
            <w:tcW w:w="520" w:type="dxa"/>
            <w:vAlign w:val="bottom"/>
            <w:tcBorders>
              <w:top w:val="single" w:sz="8" w:color="auto"/>
            </w:tcBorders>
          </w:tcPr>
          <w:p>
            <w:pPr>
              <w:spacing w:after="0"/>
              <w:rPr>
                <w:sz w:val="10"/>
                <w:szCs w:val="10"/>
                <w:color w:val="auto"/>
              </w:rPr>
            </w:pPr>
          </w:p>
        </w:tc>
        <w:tc>
          <w:tcPr>
            <w:tcW w:w="1020" w:type="dxa"/>
            <w:vAlign w:val="bottom"/>
            <w:tcBorders>
              <w:top w:val="single" w:sz="8" w:color="auto"/>
            </w:tcBorders>
            <w:gridSpan w:val="3"/>
          </w:tcPr>
          <w:p>
            <w:pPr>
              <w:ind w:left="80"/>
              <w:spacing w:after="0" w:line="119" w:lineRule="exact"/>
              <w:rPr>
                <w:sz w:val="20"/>
                <w:szCs w:val="20"/>
                <w:color w:val="auto"/>
              </w:rPr>
            </w:pPr>
            <w:r>
              <w:rPr>
                <w:rFonts w:ascii="Arial" w:cs="Arial" w:eastAsia="Arial" w:hAnsi="Arial"/>
                <w:sz w:val="13"/>
                <w:szCs w:val="13"/>
                <w:b w:val="1"/>
                <w:bCs w:val="1"/>
                <w:color w:val="auto"/>
              </w:rPr>
              <w:t>Year ended</w:t>
            </w:r>
          </w:p>
        </w:tc>
        <w:tc>
          <w:tcPr>
            <w:tcW w:w="140" w:type="dxa"/>
            <w:vAlign w:val="bottom"/>
            <w:tcBorders>
              <w:top w:val="single" w:sz="8" w:color="auto"/>
            </w:tcBorders>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1080" w:type="dxa"/>
            <w:vAlign w:val="bottom"/>
            <w:tcBorders>
              <w:top w:val="single" w:sz="8" w:color="auto"/>
            </w:tcBorders>
          </w:tcPr>
          <w:p>
            <w:pPr>
              <w:jc w:val="center"/>
              <w:ind w:right="22"/>
              <w:spacing w:after="0" w:line="119" w:lineRule="exact"/>
              <w:rPr>
                <w:sz w:val="20"/>
                <w:szCs w:val="20"/>
                <w:color w:val="auto"/>
              </w:rPr>
            </w:pPr>
            <w:r>
              <w:rPr>
                <w:rFonts w:ascii="Arial" w:cs="Arial" w:eastAsia="Arial" w:hAnsi="Arial"/>
                <w:sz w:val="13"/>
                <w:szCs w:val="13"/>
                <w:b w:val="1"/>
                <w:bCs w:val="1"/>
                <w:color w:val="auto"/>
              </w:rPr>
              <w:t>Period from</w:t>
            </w:r>
          </w:p>
        </w:tc>
        <w:tc>
          <w:tcPr>
            <w:tcW w:w="320" w:type="dxa"/>
            <w:vAlign w:val="bottom"/>
            <w:tcBorders>
              <w:right w:val="single" w:sz="8" w:color="auto"/>
            </w:tcBorders>
          </w:tcPr>
          <w:p>
            <w:pPr>
              <w:spacing w:after="0"/>
              <w:rPr>
                <w:sz w:val="10"/>
                <w:szCs w:val="10"/>
                <w:color w:val="auto"/>
              </w:rPr>
            </w:pPr>
          </w:p>
        </w:tc>
        <w:tc>
          <w:tcPr>
            <w:tcW w:w="48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1280" w:type="dxa"/>
            <w:vAlign w:val="bottom"/>
            <w:tcBorders>
              <w:top w:val="single" w:sz="8" w:color="auto"/>
            </w:tcBorders>
          </w:tcPr>
          <w:p>
            <w:pPr>
              <w:jc w:val="center"/>
              <w:ind w:right="23"/>
              <w:spacing w:after="0" w:line="119" w:lineRule="exact"/>
              <w:rPr>
                <w:sz w:val="20"/>
                <w:szCs w:val="20"/>
                <w:color w:val="auto"/>
              </w:rPr>
            </w:pPr>
            <w:r>
              <w:rPr>
                <w:rFonts w:ascii="Arial" w:cs="Arial" w:eastAsia="Arial" w:hAnsi="Arial"/>
                <w:sz w:val="13"/>
                <w:szCs w:val="13"/>
                <w:b w:val="1"/>
                <w:bCs w:val="1"/>
                <w:color w:val="auto"/>
              </w:rPr>
              <w:t>Period from</w:t>
            </w: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3300" w:type="dxa"/>
            <w:vAlign w:val="bottom"/>
            <w:gridSpan w:val="3"/>
            <w:vMerge w:val="restart"/>
          </w:tcPr>
          <w:p>
            <w:pPr>
              <w:spacing w:after="0"/>
              <w:rPr>
                <w:sz w:val="20"/>
                <w:szCs w:val="20"/>
                <w:color w:val="auto"/>
              </w:rPr>
            </w:pPr>
            <w:r>
              <w:rPr>
                <w:rFonts w:ascii="Arial" w:cs="Arial" w:eastAsia="Arial" w:hAnsi="Arial"/>
                <w:sz w:val="14"/>
                <w:szCs w:val="14"/>
                <w:color w:val="auto"/>
              </w:rPr>
              <w:t>(in thousands)</w:t>
            </w:r>
          </w:p>
        </w:tc>
        <w:tc>
          <w:tcPr>
            <w:tcW w:w="20" w:type="dxa"/>
            <w:vAlign w:val="bottom"/>
          </w:tcPr>
          <w:p>
            <w:pPr>
              <w:spacing w:after="0"/>
              <w:rPr>
                <w:sz w:val="12"/>
                <w:szCs w:val="12"/>
                <w:color w:val="auto"/>
              </w:rPr>
            </w:pPr>
          </w:p>
        </w:tc>
        <w:tc>
          <w:tcPr>
            <w:tcW w:w="860" w:type="dxa"/>
            <w:vAlign w:val="bottom"/>
          </w:tcPr>
          <w:p>
            <w:pPr>
              <w:spacing w:after="0" w:line="149" w:lineRule="exact"/>
              <w:rPr>
                <w:sz w:val="20"/>
                <w:szCs w:val="20"/>
                <w:color w:val="auto"/>
              </w:rPr>
            </w:pPr>
            <w:r>
              <w:rPr>
                <w:rFonts w:ascii="Arial" w:cs="Arial" w:eastAsia="Arial" w:hAnsi="Arial"/>
                <w:sz w:val="14"/>
                <w:szCs w:val="14"/>
                <w:b w:val="1"/>
                <w:bCs w:val="1"/>
                <w:color w:val="auto"/>
                <w:w w:val="87"/>
              </w:rPr>
              <w:t>September 30,</w:t>
            </w:r>
          </w:p>
        </w:tc>
        <w:tc>
          <w:tcPr>
            <w:tcW w:w="520" w:type="dxa"/>
            <w:vAlign w:val="bottom"/>
          </w:tcPr>
          <w:p>
            <w:pPr>
              <w:spacing w:after="0"/>
              <w:rPr>
                <w:sz w:val="12"/>
                <w:szCs w:val="12"/>
                <w:color w:val="auto"/>
              </w:rPr>
            </w:pPr>
          </w:p>
        </w:tc>
        <w:tc>
          <w:tcPr>
            <w:tcW w:w="880" w:type="dxa"/>
            <w:vAlign w:val="bottom"/>
          </w:tcPr>
          <w:p>
            <w:pPr>
              <w:spacing w:after="0" w:line="149" w:lineRule="exact"/>
              <w:rPr>
                <w:sz w:val="20"/>
                <w:szCs w:val="20"/>
                <w:color w:val="auto"/>
              </w:rPr>
            </w:pPr>
            <w:r>
              <w:rPr>
                <w:rFonts w:ascii="Arial" w:cs="Arial" w:eastAsia="Arial" w:hAnsi="Arial"/>
                <w:sz w:val="14"/>
                <w:szCs w:val="14"/>
                <w:b w:val="1"/>
                <w:bCs w:val="1"/>
                <w:color w:val="auto"/>
                <w:w w:val="89"/>
              </w:rPr>
              <w:t>September 30,</w:t>
            </w:r>
          </w:p>
        </w:tc>
        <w:tc>
          <w:tcPr>
            <w:tcW w:w="520" w:type="dxa"/>
            <w:vAlign w:val="bottom"/>
          </w:tcPr>
          <w:p>
            <w:pPr>
              <w:spacing w:after="0"/>
              <w:rPr>
                <w:sz w:val="12"/>
                <w:szCs w:val="12"/>
                <w:color w:val="auto"/>
              </w:rPr>
            </w:pPr>
          </w:p>
        </w:tc>
        <w:tc>
          <w:tcPr>
            <w:tcW w:w="102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December 31,</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0" w:type="dxa"/>
            <w:vAlign w:val="bottom"/>
            <w:tcBorders>
              <w:right w:val="single" w:sz="8" w:color="auto"/>
            </w:tcBorders>
            <w:gridSpan w:val="2"/>
          </w:tcPr>
          <w:p>
            <w:pPr>
              <w:jc w:val="center"/>
              <w:ind w:right="400"/>
              <w:spacing w:after="0" w:line="149" w:lineRule="exact"/>
              <w:rPr>
                <w:sz w:val="20"/>
                <w:szCs w:val="20"/>
                <w:color w:val="auto"/>
              </w:rPr>
            </w:pPr>
            <w:r>
              <w:rPr>
                <w:rFonts w:ascii="Arial" w:cs="Arial" w:eastAsia="Arial" w:hAnsi="Arial"/>
                <w:sz w:val="14"/>
                <w:szCs w:val="14"/>
                <w:b w:val="1"/>
                <w:bCs w:val="1"/>
                <w:color w:val="auto"/>
                <w:w w:val="92"/>
              </w:rPr>
              <w:t>July 16, 2019 to</w:t>
            </w: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2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93"/>
              </w:rPr>
              <w:t>January 1, 2019 to</w:t>
            </w:r>
          </w:p>
        </w:tc>
        <w:tc>
          <w:tcPr>
            <w:tcW w:w="0" w:type="dxa"/>
            <w:vAlign w:val="bottom"/>
          </w:tcPr>
          <w:p>
            <w:pPr>
              <w:spacing w:after="0"/>
              <w:rPr>
                <w:sz w:val="1"/>
                <w:szCs w:val="1"/>
                <w:color w:val="auto"/>
              </w:rPr>
            </w:pPr>
          </w:p>
        </w:tc>
      </w:tr>
      <w:tr>
        <w:trPr>
          <w:trHeight w:val="171"/>
        </w:trPr>
        <w:tc>
          <w:tcPr>
            <w:tcW w:w="3300" w:type="dxa"/>
            <w:vAlign w:val="bottom"/>
            <w:gridSpan w:val="3"/>
            <w:vMerge w:val="continue"/>
          </w:tcPr>
          <w:p>
            <w:pPr>
              <w:spacing w:after="0"/>
              <w:rPr>
                <w:sz w:val="14"/>
                <w:szCs w:val="14"/>
                <w:color w:val="auto"/>
              </w:rPr>
            </w:pPr>
          </w:p>
        </w:tc>
        <w:tc>
          <w:tcPr>
            <w:tcW w:w="880" w:type="dxa"/>
            <w:vAlign w:val="bottom"/>
            <w:gridSpan w:val="2"/>
          </w:tcPr>
          <w:p>
            <w:pPr>
              <w:jc w:val="right"/>
              <w:ind w:right="227"/>
              <w:spacing w:after="0"/>
              <w:rPr>
                <w:sz w:val="20"/>
                <w:szCs w:val="20"/>
                <w:color w:val="auto"/>
              </w:rPr>
            </w:pPr>
            <w:r>
              <w:rPr>
                <w:rFonts w:ascii="Arial" w:cs="Arial" w:eastAsia="Arial" w:hAnsi="Arial"/>
                <w:sz w:val="14"/>
                <w:szCs w:val="14"/>
                <w:b w:val="1"/>
                <w:bCs w:val="1"/>
                <w:color w:val="auto"/>
              </w:rPr>
              <w:t>2021</w:t>
            </w:r>
          </w:p>
        </w:tc>
        <w:tc>
          <w:tcPr>
            <w:tcW w:w="1400" w:type="dxa"/>
            <w:vAlign w:val="bottom"/>
            <w:gridSpan w:val="2"/>
          </w:tcPr>
          <w:p>
            <w:pPr>
              <w:jc w:val="right"/>
              <w:ind w:right="226"/>
              <w:spacing w:after="0"/>
              <w:rPr>
                <w:sz w:val="20"/>
                <w:szCs w:val="20"/>
                <w:color w:val="auto"/>
              </w:rPr>
            </w:pPr>
            <w:r>
              <w:rPr>
                <w:rFonts w:ascii="Arial" w:cs="Arial" w:eastAsia="Arial" w:hAnsi="Arial"/>
                <w:sz w:val="14"/>
                <w:szCs w:val="14"/>
                <w:b w:val="1"/>
                <w:bCs w:val="1"/>
                <w:color w:val="auto"/>
              </w:rPr>
              <w:t>2020</w:t>
            </w:r>
          </w:p>
        </w:tc>
        <w:tc>
          <w:tcPr>
            <w:tcW w:w="5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560" w:type="dxa"/>
            <w:vAlign w:val="bottom"/>
          </w:tcPr>
          <w:p>
            <w:pPr>
              <w:jc w:val="right"/>
              <w:ind w:right="200"/>
              <w:spacing w:after="0"/>
              <w:rPr>
                <w:sz w:val="20"/>
                <w:szCs w:val="20"/>
                <w:color w:val="auto"/>
              </w:rPr>
            </w:pPr>
            <w:r>
              <w:rPr>
                <w:rFonts w:ascii="Arial" w:cs="Arial" w:eastAsia="Arial" w:hAnsi="Arial"/>
                <w:sz w:val="14"/>
                <w:szCs w:val="14"/>
                <w:b w:val="1"/>
                <w:bCs w:val="1"/>
                <w:color w:val="auto"/>
                <w:w w:val="83"/>
              </w:rPr>
              <w:t>2020</w:t>
            </w: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80" w:type="dxa"/>
            <w:vAlign w:val="bottom"/>
            <w:tcBorders>
              <w:right w:val="single" w:sz="8" w:color="auto"/>
            </w:tcBorders>
            <w:gridSpan w:val="3"/>
          </w:tcPr>
          <w:p>
            <w:pPr>
              <w:spacing w:after="0"/>
              <w:rPr>
                <w:sz w:val="20"/>
                <w:szCs w:val="20"/>
                <w:color w:val="auto"/>
              </w:rPr>
            </w:pPr>
            <w:r>
              <w:rPr>
                <w:rFonts w:ascii="Arial" w:cs="Arial" w:eastAsia="Arial" w:hAnsi="Arial"/>
                <w:sz w:val="14"/>
                <w:szCs w:val="14"/>
                <w:b w:val="1"/>
                <w:bCs w:val="1"/>
                <w:color w:val="auto"/>
              </w:rPr>
              <w:t>December 31, 2019</w:t>
            </w:r>
          </w:p>
        </w:tc>
        <w:tc>
          <w:tcPr>
            <w:tcW w:w="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2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2"/>
              </w:rPr>
              <w:t>July 15, 2019</w:t>
            </w:r>
          </w:p>
        </w:tc>
        <w:tc>
          <w:tcPr>
            <w:tcW w:w="0" w:type="dxa"/>
            <w:vAlign w:val="bottom"/>
          </w:tcPr>
          <w:p>
            <w:pPr>
              <w:spacing w:after="0"/>
              <w:rPr>
                <w:sz w:val="1"/>
                <w:szCs w:val="1"/>
                <w:color w:val="auto"/>
              </w:rPr>
            </w:pPr>
          </w:p>
        </w:tc>
      </w:tr>
      <w:tr>
        <w:trPr>
          <w:trHeight w:val="196"/>
        </w:trPr>
        <w:tc>
          <w:tcPr>
            <w:tcW w:w="2820" w:type="dxa"/>
            <w:vAlign w:val="bottom"/>
            <w:tcBorders>
              <w:top w:val="single" w:sz="8" w:color="auto"/>
            </w:tcBorders>
            <w:gridSpan w:val="2"/>
            <w:shd w:val="clear" w:color="auto" w:fill="CCEEFF"/>
          </w:tcPr>
          <w:p>
            <w:pPr>
              <w:spacing w:after="0"/>
              <w:rPr>
                <w:sz w:val="20"/>
                <w:szCs w:val="20"/>
                <w:color w:val="auto"/>
              </w:rPr>
            </w:pPr>
            <w:r>
              <w:rPr>
                <w:rFonts w:ascii="Arial" w:cs="Arial" w:eastAsia="Arial" w:hAnsi="Arial"/>
                <w:sz w:val="16"/>
                <w:szCs w:val="16"/>
                <w:b w:val="1"/>
                <w:bCs w:val="1"/>
                <w:color w:val="auto"/>
              </w:rPr>
              <w:t>(Loss) income from operations</w:t>
            </w:r>
          </w:p>
        </w:tc>
        <w:tc>
          <w:tcPr>
            <w:tcW w:w="48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8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6"/>
                <w:szCs w:val="16"/>
                <w:color w:val="auto"/>
              </w:rPr>
              <w:t>$</w:t>
            </w:r>
          </w:p>
        </w:tc>
        <w:tc>
          <w:tcPr>
            <w:tcW w:w="520" w:type="dxa"/>
            <w:vAlign w:val="bottom"/>
            <w:tcBorders>
              <w:top w:val="single" w:sz="8" w:color="CCEEFF"/>
            </w:tcBorders>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6"/>
                <w:szCs w:val="16"/>
                <w:color w:val="auto"/>
              </w:rPr>
              <w:t>$</w:t>
            </w:r>
          </w:p>
        </w:tc>
        <w:tc>
          <w:tcPr>
            <w:tcW w:w="52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6"/>
                <w:szCs w:val="16"/>
                <w:color w:val="auto"/>
              </w:rPr>
              <w:t>$</w:t>
            </w: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90"/>
              </w:rPr>
              <w:t>(14,445)</w:t>
            </w:r>
          </w:p>
        </w:tc>
        <w:tc>
          <w:tcPr>
            <w:tcW w:w="18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5"/>
                <w:szCs w:val="15"/>
                <w:color w:val="auto"/>
                <w:w w:val="71"/>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(31,062)</w:t>
            </w:r>
          </w:p>
        </w:tc>
        <w:tc>
          <w:tcPr>
            <w:tcW w:w="320" w:type="dxa"/>
            <w:vAlign w:val="bottom"/>
            <w:tcBorders>
              <w:top w:val="single" w:sz="8" w:color="CCEEFF"/>
              <w:right w:val="single" w:sz="8" w:color="auto"/>
            </w:tcBorders>
            <w:shd w:val="clear" w:color="auto" w:fill="CCEEFF"/>
          </w:tcPr>
          <w:p>
            <w:pPr>
              <w:spacing w:after="0"/>
              <w:rPr>
                <w:sz w:val="17"/>
                <w:szCs w:val="17"/>
                <w:color w:val="auto"/>
              </w:rPr>
            </w:pPr>
          </w:p>
        </w:tc>
        <w:tc>
          <w:tcPr>
            <w:tcW w:w="4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13,033</w:t>
            </w:r>
          </w:p>
        </w:tc>
        <w:tc>
          <w:tcPr>
            <w:tcW w:w="4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300" w:type="dxa"/>
            <w:vAlign w:val="bottom"/>
            <w:gridSpan w:val="3"/>
          </w:tcPr>
          <w:p>
            <w:pPr>
              <w:spacing w:after="0" w:line="202" w:lineRule="exact"/>
              <w:rPr>
                <w:sz w:val="20"/>
                <w:szCs w:val="20"/>
                <w:color w:val="auto"/>
              </w:rPr>
            </w:pPr>
            <w:r>
              <w:rPr>
                <w:rFonts w:ascii="Arial" w:cs="Arial" w:eastAsia="Arial" w:hAnsi="Arial"/>
                <w:sz w:val="14"/>
                <w:szCs w:val="14"/>
                <w:color w:val="auto"/>
              </w:rPr>
              <w:t>Amortization of intangible assets</w:t>
            </w:r>
            <w:r>
              <w:rPr>
                <w:rFonts w:ascii="Arial" w:cs="Arial" w:eastAsia="Arial" w:hAnsi="Arial"/>
                <w:sz w:val="23"/>
                <w:szCs w:val="23"/>
                <w:color w:val="auto"/>
                <w:vertAlign w:val="superscript"/>
              </w:rPr>
              <w:t>(a)</w:t>
            </w:r>
          </w:p>
        </w:tc>
        <w:tc>
          <w:tcPr>
            <w:tcW w:w="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58,214</w:t>
            </w: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30,605</w:t>
            </w:r>
          </w:p>
        </w:tc>
        <w:tc>
          <w:tcPr>
            <w:tcW w:w="320" w:type="dxa"/>
            <w:vAlign w:val="bottom"/>
            <w:tcBorders>
              <w:right w:val="single" w:sz="8" w:color="auto"/>
            </w:tcBorders>
          </w:tcPr>
          <w:p>
            <w:pPr>
              <w:spacing w:after="0"/>
              <w:rPr>
                <w:sz w:val="17"/>
                <w:szCs w:val="17"/>
                <w:color w:val="auto"/>
              </w:rPr>
            </w:pPr>
          </w:p>
        </w:tc>
        <w:tc>
          <w:tcPr>
            <w:tcW w:w="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2,042</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300" w:type="dxa"/>
            <w:vAlign w:val="bottom"/>
            <w:gridSpan w:val="3"/>
            <w:shd w:val="clear" w:color="auto" w:fill="CCEEFF"/>
          </w:tcPr>
          <w:p>
            <w:pPr>
              <w:spacing w:after="0" w:line="202" w:lineRule="exact"/>
              <w:rPr>
                <w:sz w:val="20"/>
                <w:szCs w:val="20"/>
                <w:color w:val="auto"/>
              </w:rPr>
            </w:pPr>
            <w:r>
              <w:rPr>
                <w:rFonts w:ascii="Arial" w:cs="Arial" w:eastAsia="Arial" w:hAnsi="Arial"/>
                <w:sz w:val="14"/>
                <w:szCs w:val="14"/>
                <w:color w:val="auto"/>
              </w:rPr>
              <w:t>Equity compensation costs</w:t>
            </w:r>
            <w:r>
              <w:rPr>
                <w:rFonts w:ascii="Arial" w:cs="Arial" w:eastAsia="Arial" w:hAnsi="Arial"/>
                <w:sz w:val="23"/>
                <w:szCs w:val="23"/>
                <w:color w:val="auto"/>
                <w:vertAlign w:val="superscript"/>
              </w:rPr>
              <w:t>(b)</w:t>
            </w:r>
          </w:p>
        </w:tc>
        <w:tc>
          <w:tcPr>
            <w:tcW w:w="2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1,747</w:t>
            </w: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744</w:t>
            </w:r>
          </w:p>
        </w:tc>
        <w:tc>
          <w:tcPr>
            <w:tcW w:w="320" w:type="dxa"/>
            <w:vAlign w:val="bottom"/>
            <w:tcBorders>
              <w:right w:val="single" w:sz="8" w:color="auto"/>
            </w:tcBorders>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5,807</w:t>
            </w: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300" w:type="dxa"/>
            <w:vAlign w:val="bottom"/>
            <w:gridSpan w:val="3"/>
          </w:tcPr>
          <w:p>
            <w:pPr>
              <w:spacing w:after="0" w:line="202" w:lineRule="exact"/>
              <w:rPr>
                <w:sz w:val="20"/>
                <w:szCs w:val="20"/>
                <w:color w:val="auto"/>
              </w:rPr>
            </w:pPr>
            <w:r>
              <w:rPr>
                <w:rFonts w:ascii="Arial" w:cs="Arial" w:eastAsia="Arial" w:hAnsi="Arial"/>
                <w:sz w:val="14"/>
                <w:szCs w:val="14"/>
                <w:color w:val="auto"/>
              </w:rPr>
              <w:t>Acquisition-related expenses</w:t>
            </w:r>
            <w:r>
              <w:rPr>
                <w:rFonts w:ascii="Arial" w:cs="Arial" w:eastAsia="Arial" w:hAnsi="Arial"/>
                <w:sz w:val="23"/>
                <w:szCs w:val="23"/>
                <w:color w:val="auto"/>
                <w:vertAlign w:val="superscript"/>
              </w:rPr>
              <w:t>(c)</w:t>
            </w:r>
          </w:p>
        </w:tc>
        <w:tc>
          <w:tcPr>
            <w:tcW w:w="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3,776</w:t>
            </w: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14,703</w:t>
            </w:r>
          </w:p>
        </w:tc>
        <w:tc>
          <w:tcPr>
            <w:tcW w:w="320" w:type="dxa"/>
            <w:vAlign w:val="bottom"/>
            <w:tcBorders>
              <w:right w:val="single" w:sz="8" w:color="auto"/>
            </w:tcBorders>
          </w:tcPr>
          <w:p>
            <w:pPr>
              <w:spacing w:after="0"/>
              <w:rPr>
                <w:sz w:val="17"/>
                <w:szCs w:val="17"/>
                <w:color w:val="auto"/>
              </w:rPr>
            </w:pPr>
          </w:p>
        </w:tc>
        <w:tc>
          <w:tcPr>
            <w:tcW w:w="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1,151</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300" w:type="dxa"/>
            <w:vAlign w:val="bottom"/>
            <w:gridSpan w:val="3"/>
            <w:shd w:val="clear" w:color="auto" w:fill="CCEEFF"/>
          </w:tcPr>
          <w:p>
            <w:pPr>
              <w:spacing w:after="0" w:line="202" w:lineRule="exact"/>
              <w:rPr>
                <w:sz w:val="20"/>
                <w:szCs w:val="20"/>
                <w:color w:val="auto"/>
              </w:rPr>
            </w:pPr>
            <w:r>
              <w:rPr>
                <w:rFonts w:ascii="Arial" w:cs="Arial" w:eastAsia="Arial" w:hAnsi="Arial"/>
                <w:sz w:val="14"/>
                <w:szCs w:val="14"/>
                <w:color w:val="auto"/>
              </w:rPr>
              <w:t>Other non-recurring adjustments</w:t>
            </w:r>
            <w:r>
              <w:rPr>
                <w:rFonts w:ascii="Arial" w:cs="Arial" w:eastAsia="Arial" w:hAnsi="Arial"/>
                <w:sz w:val="23"/>
                <w:szCs w:val="23"/>
                <w:color w:val="auto"/>
                <w:vertAlign w:val="superscript"/>
              </w:rPr>
              <w:t>(d)</w:t>
            </w:r>
          </w:p>
        </w:tc>
        <w:tc>
          <w:tcPr>
            <w:tcW w:w="20" w:type="dxa"/>
            <w:vAlign w:val="bottom"/>
            <w:shd w:val="clear" w:color="auto" w:fill="CCEEFF"/>
          </w:tcPr>
          <w:p>
            <w:pPr>
              <w:spacing w:after="0"/>
              <w:rPr>
                <w:sz w:val="17"/>
                <w:szCs w:val="17"/>
                <w:color w:val="auto"/>
              </w:rPr>
            </w:pPr>
          </w:p>
        </w:tc>
        <w:tc>
          <w:tcPr>
            <w:tcW w:w="860" w:type="dxa"/>
            <w:vAlign w:val="bottom"/>
            <w:tcBorders>
              <w:bottom w:val="single" w:sz="8" w:color="auto"/>
            </w:tcBorders>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880" w:type="dxa"/>
            <w:vAlign w:val="bottom"/>
            <w:tcBorders>
              <w:bottom w:val="single" w:sz="8" w:color="auto"/>
            </w:tcBorders>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280" w:type="dxa"/>
            <w:vAlign w:val="bottom"/>
            <w:tcBorders>
              <w:bottom w:val="single" w:sz="8" w:color="auto"/>
            </w:tcBorders>
            <w:shd w:val="clear" w:color="auto" w:fill="CCEEFF"/>
          </w:tcPr>
          <w:p>
            <w:pPr>
              <w:spacing w:after="0"/>
              <w:rPr>
                <w:sz w:val="17"/>
                <w:szCs w:val="17"/>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2,847</w:t>
            </w: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tcBorders>
              <w:bottom w:val="single" w:sz="8" w:color="auto"/>
            </w:tcBorders>
            <w:shd w:val="clear" w:color="auto" w:fill="CCEEFF"/>
          </w:tcPr>
          <w:p>
            <w:pPr>
              <w:spacing w:after="0"/>
              <w:rPr>
                <w:sz w:val="17"/>
                <w:szCs w:val="17"/>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3,193</w:t>
            </w:r>
          </w:p>
        </w:tc>
        <w:tc>
          <w:tcPr>
            <w:tcW w:w="320" w:type="dxa"/>
            <w:vAlign w:val="bottom"/>
            <w:tcBorders>
              <w:right w:val="single" w:sz="8" w:color="auto"/>
            </w:tcBorders>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1,200</w:t>
            </w: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3300" w:type="dxa"/>
            <w:vAlign w:val="bottom"/>
            <w:gridSpan w:val="3"/>
          </w:tcPr>
          <w:p>
            <w:pPr>
              <w:spacing w:after="0"/>
              <w:rPr>
                <w:sz w:val="20"/>
                <w:szCs w:val="20"/>
                <w:color w:val="auto"/>
              </w:rPr>
            </w:pPr>
            <w:r>
              <w:rPr>
                <w:rFonts w:ascii="Arial" w:cs="Arial" w:eastAsia="Arial" w:hAnsi="Arial"/>
                <w:sz w:val="16"/>
                <w:szCs w:val="16"/>
                <w:b w:val="1"/>
                <w:bCs w:val="1"/>
                <w:color w:val="auto"/>
              </w:rPr>
              <w:t>Adjusted Operating Income</w:t>
            </w:r>
          </w:p>
        </w:tc>
        <w:tc>
          <w:tcPr>
            <w:tcW w:w="880" w:type="dxa"/>
            <w:vAlign w:val="bottom"/>
            <w:gridSpan w:val="2"/>
          </w:tcPr>
          <w:p>
            <w:pPr>
              <w:spacing w:after="0"/>
              <w:rPr>
                <w:sz w:val="20"/>
                <w:szCs w:val="20"/>
                <w:color w:val="auto"/>
              </w:rPr>
            </w:pPr>
            <w:r>
              <w:rPr>
                <w:rFonts w:ascii="Arial" w:cs="Arial" w:eastAsia="Arial" w:hAnsi="Arial"/>
                <w:sz w:val="16"/>
                <w:szCs w:val="16"/>
                <w:color w:val="auto"/>
              </w:rPr>
              <w:t>$</w:t>
            </w:r>
          </w:p>
        </w:tc>
        <w:tc>
          <w:tcPr>
            <w:tcW w:w="1400" w:type="dxa"/>
            <w:vAlign w:val="bottom"/>
            <w:gridSpan w:val="2"/>
          </w:tcPr>
          <w:p>
            <w:pPr>
              <w:ind w:left="520"/>
              <w:spacing w:after="0"/>
              <w:rPr>
                <w:sz w:val="20"/>
                <w:szCs w:val="20"/>
                <w:color w:val="auto"/>
              </w:rPr>
            </w:pPr>
            <w:r>
              <w:rPr>
                <w:rFonts w:ascii="Arial" w:cs="Arial" w:eastAsia="Arial" w:hAnsi="Arial"/>
                <w:sz w:val="16"/>
                <w:szCs w:val="16"/>
                <w:color w:val="auto"/>
              </w:rPr>
              <w:t>$</w:t>
            </w:r>
          </w:p>
        </w:tc>
        <w:tc>
          <w:tcPr>
            <w:tcW w:w="800" w:type="dxa"/>
            <w:vAlign w:val="bottom"/>
            <w:gridSpan w:val="2"/>
          </w:tcPr>
          <w:p>
            <w:pPr>
              <w:ind w:left="520"/>
              <w:spacing w:after="0"/>
              <w:rPr>
                <w:sz w:val="20"/>
                <w:szCs w:val="20"/>
                <w:color w:val="auto"/>
              </w:rPr>
            </w:pPr>
            <w:r>
              <w:rPr>
                <w:rFonts w:ascii="Arial" w:cs="Arial" w:eastAsia="Arial" w:hAnsi="Arial"/>
                <w:sz w:val="16"/>
                <w:szCs w:val="16"/>
                <w:color w:val="auto"/>
              </w:rPr>
              <w:t>$</w:t>
            </w:r>
          </w:p>
        </w:tc>
        <w:tc>
          <w:tcPr>
            <w:tcW w:w="560" w:type="dxa"/>
            <w:vAlign w:val="bottom"/>
          </w:tcPr>
          <w:p>
            <w:pPr>
              <w:jc w:val="right"/>
              <w:spacing w:after="0"/>
              <w:rPr>
                <w:sz w:val="20"/>
                <w:szCs w:val="20"/>
                <w:color w:val="auto"/>
              </w:rPr>
            </w:pPr>
            <w:r>
              <w:rPr>
                <w:rFonts w:ascii="Arial" w:cs="Arial" w:eastAsia="Arial" w:hAnsi="Arial"/>
                <w:sz w:val="16"/>
                <w:szCs w:val="16"/>
                <w:color w:val="auto"/>
              </w:rPr>
              <w:t>52,139</w:t>
            </w:r>
          </w:p>
        </w:tc>
        <w:tc>
          <w:tcPr>
            <w:tcW w:w="180" w:type="dxa"/>
            <w:vAlign w:val="bottom"/>
          </w:tcPr>
          <w:p>
            <w:pPr>
              <w:spacing w:after="0"/>
              <w:rPr>
                <w:sz w:val="17"/>
                <w:szCs w:val="17"/>
                <w:color w:val="auto"/>
              </w:rPr>
            </w:pPr>
          </w:p>
        </w:tc>
        <w:tc>
          <w:tcPr>
            <w:tcW w:w="220" w:type="dxa"/>
            <w:vAlign w:val="bottom"/>
            <w:gridSpan w:val="2"/>
          </w:tcPr>
          <w:p>
            <w:pPr>
              <w:ind w:left="140"/>
              <w:spacing w:after="0"/>
              <w:rPr>
                <w:sz w:val="20"/>
                <w:szCs w:val="20"/>
                <w:color w:val="auto"/>
              </w:rPr>
            </w:pPr>
            <w:r>
              <w:rPr>
                <w:rFonts w:ascii="Arial" w:cs="Arial" w:eastAsia="Arial" w:hAnsi="Arial"/>
                <w:sz w:val="15"/>
                <w:szCs w:val="15"/>
                <w:color w:val="auto"/>
                <w:w w:val="71"/>
              </w:rPr>
              <w:t>$</w:t>
            </w:r>
          </w:p>
        </w:tc>
        <w:tc>
          <w:tcPr>
            <w:tcW w:w="1080" w:type="dxa"/>
            <w:vAlign w:val="bottom"/>
          </w:tcPr>
          <w:p>
            <w:pPr>
              <w:jc w:val="right"/>
              <w:spacing w:after="0"/>
              <w:rPr>
                <w:sz w:val="20"/>
                <w:szCs w:val="20"/>
                <w:color w:val="auto"/>
              </w:rPr>
            </w:pPr>
            <w:r>
              <w:rPr>
                <w:rFonts w:ascii="Arial" w:cs="Arial" w:eastAsia="Arial" w:hAnsi="Arial"/>
                <w:sz w:val="16"/>
                <w:szCs w:val="16"/>
                <w:color w:val="auto"/>
              </w:rPr>
              <w:t>18,183</w:t>
            </w:r>
          </w:p>
        </w:tc>
        <w:tc>
          <w:tcPr>
            <w:tcW w:w="320" w:type="dxa"/>
            <w:vAlign w:val="bottom"/>
            <w:tcBorders>
              <w:right w:val="single" w:sz="8" w:color="auto"/>
            </w:tcBorders>
          </w:tcPr>
          <w:p>
            <w:pPr>
              <w:spacing w:after="0"/>
              <w:rPr>
                <w:sz w:val="17"/>
                <w:szCs w:val="17"/>
                <w:color w:val="auto"/>
              </w:rPr>
            </w:pPr>
          </w:p>
        </w:tc>
        <w:tc>
          <w:tcPr>
            <w:tcW w:w="58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280" w:type="dxa"/>
            <w:vAlign w:val="bottom"/>
          </w:tcPr>
          <w:p>
            <w:pPr>
              <w:jc w:val="right"/>
              <w:spacing w:after="0"/>
              <w:rPr>
                <w:sz w:val="20"/>
                <w:szCs w:val="20"/>
                <w:color w:val="auto"/>
              </w:rPr>
            </w:pPr>
            <w:r>
              <w:rPr>
                <w:rFonts w:ascii="Arial" w:cs="Arial" w:eastAsia="Arial" w:hAnsi="Arial"/>
                <w:sz w:val="16"/>
                <w:szCs w:val="16"/>
                <w:color w:val="auto"/>
              </w:rPr>
              <w:t>23,233</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right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2"/>
        </w:trPr>
        <w:tc>
          <w:tcPr>
            <w:tcW w:w="1160" w:type="dxa"/>
            <w:vAlign w:val="bottom"/>
            <w:tcBorders>
              <w:bottom w:val="single" w:sz="8" w:color="auto"/>
            </w:tcBorders>
          </w:tcPr>
          <w:p>
            <w:pPr>
              <w:spacing w:after="0"/>
              <w:rPr>
                <w:sz w:val="11"/>
                <w:szCs w:val="11"/>
                <w:color w:val="auto"/>
              </w:rPr>
            </w:pPr>
          </w:p>
        </w:tc>
        <w:tc>
          <w:tcPr>
            <w:tcW w:w="16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13" w:lineRule="exact"/>
        <w:rPr>
          <w:sz w:val="20"/>
          <w:szCs w:val="20"/>
          <w:color w:val="auto"/>
        </w:rPr>
      </w:pPr>
    </w:p>
    <w:p>
      <w:pPr>
        <w:ind w:left="820" w:right="80" w:hanging="522"/>
        <w:spacing w:after="0" w:line="258" w:lineRule="auto"/>
        <w:tabs>
          <w:tab w:leader="none" w:pos="820" w:val="left"/>
        </w:tabs>
        <w:numPr>
          <w:ilvl w:val="0"/>
          <w:numId w:val="39"/>
        </w:numPr>
        <w:rPr>
          <w:rFonts w:ascii="Arial" w:cs="Arial" w:eastAsia="Arial" w:hAnsi="Arial"/>
          <w:sz w:val="18"/>
          <w:szCs w:val="18"/>
          <w:color w:val="auto"/>
        </w:rPr>
      </w:pPr>
      <w:r>
        <w:rPr>
          <w:rFonts w:ascii="Arial" w:cs="Arial" w:eastAsia="Arial" w:hAnsi="Arial"/>
          <w:sz w:val="18"/>
          <w:szCs w:val="18"/>
          <w:color w:val="auto"/>
        </w:rPr>
        <w:t>Amortization of intangible assets resulting from purchase accounting adjustments represents non-cash amortization of acquired intangibles, primarily resulting from the Advent acquisition.</w:t>
      </w:r>
    </w:p>
    <w:p>
      <w:pPr>
        <w:spacing w:after="0" w:line="1" w:lineRule="exact"/>
        <w:rPr>
          <w:rFonts w:ascii="Arial" w:cs="Arial" w:eastAsia="Arial" w:hAnsi="Arial"/>
          <w:sz w:val="18"/>
          <w:szCs w:val="18"/>
          <w:color w:val="auto"/>
        </w:rPr>
      </w:pPr>
    </w:p>
    <w:p>
      <w:pPr>
        <w:ind w:left="820" w:right="40" w:hanging="522"/>
        <w:spacing w:after="0" w:line="250" w:lineRule="auto"/>
        <w:tabs>
          <w:tab w:leader="none" w:pos="820" w:val="left"/>
        </w:tabs>
        <w:numPr>
          <w:ilvl w:val="0"/>
          <w:numId w:val="39"/>
        </w:numPr>
        <w:rPr>
          <w:rFonts w:ascii="Arial" w:cs="Arial" w:eastAsia="Arial" w:hAnsi="Arial"/>
          <w:sz w:val="18"/>
          <w:szCs w:val="18"/>
          <w:color w:val="auto"/>
        </w:rPr>
      </w:pPr>
      <w:r>
        <w:rPr>
          <w:rFonts w:ascii="Arial" w:cs="Arial" w:eastAsia="Arial" w:hAnsi="Arial"/>
          <w:sz w:val="18"/>
          <w:szCs w:val="18"/>
          <w:color w:val="auto"/>
        </w:rPr>
        <w:t>Stock-based compensation represents non-cash compensation expense recognized in association with equity awards made to employees and directors.</w:t>
      </w:r>
    </w:p>
    <w:p>
      <w:pPr>
        <w:ind w:left="820" w:right="240" w:hanging="522"/>
        <w:spacing w:after="0" w:line="250" w:lineRule="auto"/>
        <w:tabs>
          <w:tab w:leader="none" w:pos="820" w:val="left"/>
        </w:tabs>
        <w:numPr>
          <w:ilvl w:val="0"/>
          <w:numId w:val="39"/>
        </w:numPr>
        <w:rPr>
          <w:rFonts w:ascii="Arial" w:cs="Arial" w:eastAsia="Arial" w:hAnsi="Arial"/>
          <w:sz w:val="18"/>
          <w:szCs w:val="18"/>
          <w:color w:val="auto"/>
        </w:rPr>
      </w:pPr>
      <w:r>
        <w:rPr>
          <w:rFonts w:ascii="Arial" w:cs="Arial" w:eastAsia="Arial" w:hAnsi="Arial"/>
          <w:sz w:val="18"/>
          <w:szCs w:val="18"/>
          <w:color w:val="auto"/>
        </w:rPr>
        <w:t>Acquisition-related expenses represent legal, accounting and consulting expenses and fair value adjustments for contingent consideration related to our acquisitions.</w:t>
      </w:r>
    </w:p>
    <w:p>
      <w:pPr>
        <w:ind w:left="820" w:right="20" w:hanging="522"/>
        <w:spacing w:after="0" w:line="253" w:lineRule="auto"/>
        <w:tabs>
          <w:tab w:leader="none" w:pos="820" w:val="left"/>
        </w:tabs>
        <w:numPr>
          <w:ilvl w:val="0"/>
          <w:numId w:val="39"/>
        </w:numPr>
        <w:rPr>
          <w:rFonts w:ascii="Arial" w:cs="Arial" w:eastAsia="Arial" w:hAnsi="Arial"/>
          <w:sz w:val="18"/>
          <w:szCs w:val="18"/>
          <w:color w:val="auto"/>
        </w:rPr>
      </w:pPr>
      <w:r>
        <w:rPr>
          <w:rFonts w:ascii="Arial" w:cs="Arial" w:eastAsia="Arial" w:hAnsi="Arial"/>
          <w:sz w:val="18"/>
          <w:szCs w:val="18"/>
          <w:color w:val="auto"/>
        </w:rPr>
        <w:t>Non-recurring items represent expenses that are typically one-time or non-operational in nature. One-time expenses are comprised primarily of the following items: professional fees related to IPO readiness in the nine months ended September 30, 2021, a pricing study initiated by our sponsors and IPO costs in the year ended December 31, 2020, a sales-tax voluntary disclosure agreement in the period from July 16, 2019 to December 31, 2019, and the costs of exiting certain contracts assumed as part of an acquisition in the period from January 1, 2019 to July 15, 2019.</w:t>
      </w:r>
    </w:p>
    <w:p>
      <w:pPr>
        <w:spacing w:after="0" w:line="312" w:lineRule="exact"/>
        <w:rPr>
          <w:sz w:val="20"/>
          <w:szCs w:val="20"/>
          <w:color w:val="auto"/>
        </w:rPr>
      </w:pPr>
    </w:p>
    <w:p>
      <w:pPr>
        <w:jc w:val="center"/>
        <w:ind w:right="-53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0940"/>
          </w:cols>
          <w:pgMar w:left="320" w:top="459" w:right="639" w:bottom="1440" w:gutter="0" w:footer="0" w:header="0"/>
        </w:sectPr>
      </w:pPr>
    </w:p>
    <w:bookmarkStart w:id="33" w:name="page34"/>
    <w:bookmarkEnd w:id="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299"/>
        <w:spacing w:after="0"/>
        <w:rPr>
          <w:sz w:val="20"/>
          <w:szCs w:val="20"/>
          <w:color w:val="auto"/>
        </w:rPr>
      </w:pPr>
      <w:r>
        <w:rPr>
          <w:rFonts w:ascii="Arial" w:cs="Arial" w:eastAsia="Arial" w:hAnsi="Arial"/>
          <w:sz w:val="18"/>
          <w:szCs w:val="18"/>
          <w:b w:val="1"/>
          <w:bCs w:val="1"/>
          <w:color w:val="auto"/>
        </w:rPr>
        <w:t>Confidential Treatment Requested by Definitive Healthcare Corp.</w:t>
      </w:r>
    </w:p>
    <w:p>
      <w:pPr>
        <w:spacing w:after="0" w:line="27" w:lineRule="exact"/>
        <w:rPr>
          <w:sz w:val="20"/>
          <w:szCs w:val="20"/>
          <w:color w:val="auto"/>
        </w:rPr>
      </w:pPr>
    </w:p>
    <w:p>
      <w:pPr>
        <w:jc w:val="center"/>
        <w:ind w:right="-299"/>
        <w:spacing w:after="0"/>
        <w:rPr>
          <w:sz w:val="20"/>
          <w:szCs w:val="20"/>
          <w:color w:val="auto"/>
        </w:rPr>
      </w:pPr>
      <w:r>
        <w:rPr>
          <w:rFonts w:ascii="Arial" w:cs="Arial" w:eastAsia="Arial" w:hAnsi="Arial"/>
          <w:sz w:val="18"/>
          <w:szCs w:val="18"/>
          <w:b w:val="1"/>
          <w:bCs w:val="1"/>
          <w:color w:val="auto"/>
        </w:rPr>
        <w:t>Pursuant to 17 C.F.R. Section 200.83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97790</wp:posOffset>
            </wp:positionV>
            <wp:extent cx="6998970" cy="356171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6998970" cy="3561715"/>
                    </a:xfrm>
                    <a:prstGeom prst="rect">
                      <a:avLst/>
                    </a:prstGeom>
                    <a:noFill/>
                  </pic:spPr>
                </pic:pic>
              </a:graphicData>
            </a:graphic>
          </wp:anchor>
        </w:drawing>
      </w:r>
    </w:p>
    <w:p>
      <w:pPr>
        <w:spacing w:after="0" w:line="312" w:lineRule="exact"/>
        <w:rPr>
          <w:sz w:val="20"/>
          <w:szCs w:val="20"/>
          <w:color w:val="auto"/>
        </w:rPr>
      </w:pPr>
    </w:p>
    <w:p>
      <w:pPr>
        <w:ind w:left="720"/>
        <w:spacing w:after="0"/>
        <w:rPr>
          <w:sz w:val="20"/>
          <w:szCs w:val="20"/>
          <w:color w:val="auto"/>
        </w:rPr>
      </w:pPr>
      <w:r>
        <w:rPr>
          <w:rFonts w:ascii="Arial" w:cs="Arial" w:eastAsia="Arial" w:hAnsi="Arial"/>
          <w:sz w:val="18"/>
          <w:szCs w:val="18"/>
          <w:color w:val="auto"/>
        </w:rPr>
        <w:t>The following table presents a reconciliation of Net (Loss) Income to Adjusted Net Income (Loss) for the periods presented:</w:t>
      </w:r>
    </w:p>
    <w:p>
      <w:pPr>
        <w:spacing w:after="0" w:line="231" w:lineRule="exact"/>
        <w:rPr>
          <w:sz w:val="20"/>
          <w:szCs w:val="20"/>
          <w:color w:val="auto"/>
        </w:rPr>
      </w:pPr>
    </w:p>
    <w:tbl>
      <w:tblPr>
        <w:tblLayout w:type="fixed"/>
        <w:tblInd w:w="300" w:type="dxa"/>
        <w:tblCellMar>
          <w:top w:w="0" w:type="dxa"/>
          <w:left w:w="0" w:type="dxa"/>
          <w:bottom w:w="0" w:type="dxa"/>
          <w:right w:w="0" w:type="dxa"/>
        </w:tblCellMar>
      </w:tblPr>
      <w:tr>
        <w:trPr>
          <w:trHeight w:val="35"/>
        </w:trPr>
        <w:tc>
          <w:tcPr>
            <w:tcW w:w="1160" w:type="dxa"/>
            <w:vAlign w:val="bottom"/>
          </w:tcPr>
          <w:p>
            <w:pPr>
              <w:spacing w:after="0"/>
              <w:rPr>
                <w:sz w:val="3"/>
                <w:szCs w:val="3"/>
                <w:color w:val="auto"/>
              </w:rPr>
            </w:pPr>
          </w:p>
        </w:tc>
        <w:tc>
          <w:tcPr>
            <w:tcW w:w="1620" w:type="dxa"/>
            <w:vAlign w:val="bottom"/>
          </w:tcPr>
          <w:p>
            <w:pPr>
              <w:spacing w:after="0"/>
              <w:rPr>
                <w:sz w:val="3"/>
                <w:szCs w:val="3"/>
                <w:color w:val="auto"/>
              </w:rPr>
            </w:pPr>
          </w:p>
        </w:tc>
        <w:tc>
          <w:tcPr>
            <w:tcW w:w="500" w:type="dxa"/>
            <w:vAlign w:val="bottom"/>
          </w:tcPr>
          <w:p>
            <w:pPr>
              <w:spacing w:after="0"/>
              <w:rPr>
                <w:sz w:val="3"/>
                <w:szCs w:val="3"/>
                <w:color w:val="auto"/>
              </w:rPr>
            </w:pPr>
          </w:p>
        </w:tc>
        <w:tc>
          <w:tcPr>
            <w:tcW w:w="20" w:type="dxa"/>
            <w:vAlign w:val="bottom"/>
          </w:tcPr>
          <w:p>
            <w:pPr>
              <w:spacing w:after="0"/>
              <w:rPr>
                <w:sz w:val="3"/>
                <w:szCs w:val="3"/>
                <w:color w:val="auto"/>
              </w:rPr>
            </w:pPr>
          </w:p>
        </w:tc>
        <w:tc>
          <w:tcPr>
            <w:tcW w:w="840" w:type="dxa"/>
            <w:vAlign w:val="bottom"/>
          </w:tcPr>
          <w:p>
            <w:pPr>
              <w:spacing w:after="0"/>
              <w:rPr>
                <w:sz w:val="3"/>
                <w:szCs w:val="3"/>
                <w:color w:val="auto"/>
              </w:rPr>
            </w:pPr>
          </w:p>
        </w:tc>
        <w:tc>
          <w:tcPr>
            <w:tcW w:w="540" w:type="dxa"/>
            <w:vAlign w:val="bottom"/>
          </w:tcPr>
          <w:p>
            <w:pPr>
              <w:spacing w:after="0"/>
              <w:rPr>
                <w:sz w:val="3"/>
                <w:szCs w:val="3"/>
                <w:color w:val="auto"/>
              </w:rPr>
            </w:pPr>
          </w:p>
        </w:tc>
        <w:tc>
          <w:tcPr>
            <w:tcW w:w="1680" w:type="dxa"/>
            <w:vAlign w:val="bottom"/>
            <w:gridSpan w:val="3"/>
            <w:vMerge w:val="restart"/>
          </w:tcPr>
          <w:p>
            <w:pPr>
              <w:jc w:val="center"/>
              <w:ind w:left="526"/>
              <w:spacing w:after="0"/>
              <w:rPr>
                <w:sz w:val="20"/>
                <w:szCs w:val="20"/>
                <w:color w:val="auto"/>
              </w:rPr>
            </w:pPr>
            <w:r>
              <w:rPr>
                <w:rFonts w:ascii="Arial" w:cs="Arial" w:eastAsia="Arial" w:hAnsi="Arial"/>
                <w:sz w:val="14"/>
                <w:szCs w:val="14"/>
                <w:b w:val="1"/>
                <w:bCs w:val="1"/>
                <w:color w:val="auto"/>
                <w:w w:val="95"/>
              </w:rPr>
              <w:t>Definitive OpCo</w:t>
            </w:r>
          </w:p>
        </w:tc>
        <w:tc>
          <w:tcPr>
            <w:tcW w:w="5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40" w:type="dxa"/>
            <w:vAlign w:val="bottom"/>
          </w:tcPr>
          <w:p>
            <w:pPr>
              <w:spacing w:after="0"/>
              <w:rPr>
                <w:sz w:val="3"/>
                <w:szCs w:val="3"/>
                <w:color w:val="auto"/>
              </w:rPr>
            </w:pPr>
          </w:p>
        </w:tc>
        <w:tc>
          <w:tcPr>
            <w:tcW w:w="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320" w:type="dxa"/>
            <w:vAlign w:val="bottom"/>
          </w:tcPr>
          <w:p>
            <w:pPr>
              <w:spacing w:after="0"/>
              <w:rPr>
                <w:sz w:val="3"/>
                <w:szCs w:val="3"/>
                <w:color w:val="auto"/>
              </w:rPr>
            </w:pPr>
          </w:p>
        </w:tc>
        <w:tc>
          <w:tcPr>
            <w:tcW w:w="4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320" w:type="dxa"/>
            <w:vAlign w:val="bottom"/>
            <w:gridSpan w:val="2"/>
            <w:vMerge w:val="restart"/>
          </w:tcPr>
          <w:p>
            <w:pPr>
              <w:jc w:val="center"/>
              <w:ind w:right="160"/>
              <w:spacing w:after="0"/>
              <w:rPr>
                <w:sz w:val="20"/>
                <w:szCs w:val="20"/>
                <w:color w:val="auto"/>
              </w:rPr>
            </w:pPr>
            <w:r>
              <w:rPr>
                <w:rFonts w:ascii="Arial" w:cs="Arial" w:eastAsia="Arial" w:hAnsi="Arial"/>
                <w:sz w:val="14"/>
                <w:szCs w:val="14"/>
                <w:b w:val="1"/>
                <w:bCs w:val="1"/>
                <w:color w:val="auto"/>
                <w:w w:val="95"/>
              </w:rPr>
              <w:t>Definitive OpCo</w:t>
            </w:r>
          </w:p>
        </w:tc>
        <w:tc>
          <w:tcPr>
            <w:tcW w:w="0" w:type="dxa"/>
            <w:vAlign w:val="bottom"/>
          </w:tcPr>
          <w:p>
            <w:pPr>
              <w:spacing w:after="0" w:line="20" w:lineRule="exact"/>
              <w:rPr>
                <w:sz w:val="1"/>
                <w:szCs w:val="1"/>
                <w:color w:val="auto"/>
              </w:rPr>
            </w:pPr>
          </w:p>
        </w:tc>
      </w:tr>
      <w:tr>
        <w:trPr>
          <w:trHeight w:val="126"/>
        </w:trPr>
        <w:tc>
          <w:tcPr>
            <w:tcW w:w="1160" w:type="dxa"/>
            <w:vAlign w:val="bottom"/>
          </w:tcPr>
          <w:p>
            <w:pPr>
              <w:spacing w:after="0"/>
              <w:rPr>
                <w:sz w:val="10"/>
                <w:szCs w:val="10"/>
                <w:color w:val="auto"/>
              </w:rPr>
            </w:pPr>
          </w:p>
        </w:tc>
        <w:tc>
          <w:tcPr>
            <w:tcW w:w="162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680" w:type="dxa"/>
            <w:vAlign w:val="bottom"/>
            <w:gridSpan w:val="3"/>
            <w:vMerge w:val="continue"/>
          </w:tcPr>
          <w:p>
            <w:pPr>
              <w:spacing w:after="0"/>
              <w:rPr>
                <w:sz w:val="10"/>
                <w:szCs w:val="10"/>
                <w:color w:val="auto"/>
              </w:rPr>
            </w:pPr>
          </w:p>
        </w:tc>
        <w:tc>
          <w:tcPr>
            <w:tcW w:w="5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320" w:type="dxa"/>
            <w:vAlign w:val="bottom"/>
            <w:tcBorders>
              <w:right w:val="single" w:sz="8" w:color="auto"/>
            </w:tcBorders>
          </w:tcPr>
          <w:p>
            <w:pPr>
              <w:spacing w:after="0"/>
              <w:rPr>
                <w:sz w:val="10"/>
                <w:szCs w:val="10"/>
                <w:color w:val="auto"/>
              </w:rPr>
            </w:pPr>
          </w:p>
        </w:tc>
        <w:tc>
          <w:tcPr>
            <w:tcW w:w="4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32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116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440" w:type="dxa"/>
            <w:vAlign w:val="bottom"/>
            <w:gridSpan w:val="5"/>
          </w:tcPr>
          <w:p>
            <w:pPr>
              <w:jc w:val="center"/>
              <w:ind w:right="160"/>
              <w:spacing w:after="0" w:line="149" w:lineRule="exact"/>
              <w:rPr>
                <w:sz w:val="20"/>
                <w:szCs w:val="20"/>
                <w:color w:val="auto"/>
              </w:rPr>
            </w:pPr>
            <w:r>
              <w:rPr>
                <w:rFonts w:ascii="Arial" w:cs="Arial" w:eastAsia="Arial" w:hAnsi="Arial"/>
                <w:sz w:val="14"/>
                <w:szCs w:val="14"/>
                <w:b w:val="1"/>
                <w:bCs w:val="1"/>
                <w:color w:val="auto"/>
              </w:rPr>
              <w:t>(AIDH TopCo, LLC)</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320" w:type="dxa"/>
            <w:vAlign w:val="bottom"/>
            <w:tcBorders>
              <w:right w:val="single" w:sz="8" w:color="auto"/>
            </w:tcBorders>
          </w:tcPr>
          <w:p>
            <w:pPr>
              <w:spacing w:after="0"/>
              <w:rPr>
                <w:sz w:val="12"/>
                <w:szCs w:val="12"/>
                <w:color w:val="auto"/>
              </w:rPr>
            </w:pPr>
          </w:p>
        </w:tc>
        <w:tc>
          <w:tcPr>
            <w:tcW w:w="480" w:type="dxa"/>
            <w:vAlign w:val="bottom"/>
          </w:tcPr>
          <w:p>
            <w:pPr>
              <w:spacing w:after="0"/>
              <w:rPr>
                <w:sz w:val="12"/>
                <w:szCs w:val="12"/>
                <w:color w:val="auto"/>
              </w:rPr>
            </w:pPr>
          </w:p>
        </w:tc>
        <w:tc>
          <w:tcPr>
            <w:tcW w:w="1420" w:type="dxa"/>
            <w:vAlign w:val="bottom"/>
            <w:gridSpan w:val="3"/>
          </w:tcPr>
          <w:p>
            <w:pPr>
              <w:jc w:val="center"/>
              <w:ind w:right="60"/>
              <w:spacing w:after="0" w:line="149" w:lineRule="exact"/>
              <w:rPr>
                <w:sz w:val="20"/>
                <w:szCs w:val="20"/>
                <w:color w:val="auto"/>
              </w:rPr>
            </w:pPr>
            <w:r>
              <w:rPr>
                <w:rFonts w:ascii="Arial" w:cs="Arial" w:eastAsia="Arial" w:hAnsi="Arial"/>
                <w:sz w:val="14"/>
                <w:szCs w:val="14"/>
                <w:b w:val="1"/>
                <w:bCs w:val="1"/>
                <w:color w:val="auto"/>
              </w:rPr>
              <w:t>(AIDH TopCo, LLC)</w:t>
            </w:r>
          </w:p>
        </w:tc>
        <w:tc>
          <w:tcPr>
            <w:tcW w:w="0" w:type="dxa"/>
            <w:vAlign w:val="bottom"/>
          </w:tcPr>
          <w:p>
            <w:pPr>
              <w:spacing w:after="0"/>
              <w:rPr>
                <w:sz w:val="1"/>
                <w:szCs w:val="1"/>
                <w:color w:val="auto"/>
              </w:rPr>
            </w:pPr>
          </w:p>
        </w:tc>
      </w:tr>
      <w:tr>
        <w:trPr>
          <w:trHeight w:val="171"/>
        </w:trPr>
        <w:tc>
          <w:tcPr>
            <w:tcW w:w="116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440" w:type="dxa"/>
            <w:vAlign w:val="bottom"/>
            <w:gridSpan w:val="5"/>
          </w:tcPr>
          <w:p>
            <w:pPr>
              <w:jc w:val="center"/>
              <w:ind w:right="120"/>
              <w:spacing w:after="0"/>
              <w:rPr>
                <w:sz w:val="20"/>
                <w:szCs w:val="20"/>
                <w:color w:val="auto"/>
              </w:rPr>
            </w:pPr>
            <w:r>
              <w:rPr>
                <w:rFonts w:ascii="Arial" w:cs="Arial" w:eastAsia="Arial" w:hAnsi="Arial"/>
                <w:sz w:val="14"/>
                <w:szCs w:val="14"/>
                <w:b w:val="1"/>
                <w:bCs w:val="1"/>
                <w:color w:val="auto"/>
                <w:w w:val="89"/>
              </w:rPr>
              <w:t>Successor Company</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320" w:type="dxa"/>
            <w:vAlign w:val="bottom"/>
            <w:tcBorders>
              <w:right w:val="single" w:sz="8" w:color="auto"/>
            </w:tcBorders>
          </w:tcPr>
          <w:p>
            <w:pPr>
              <w:spacing w:after="0"/>
              <w:rPr>
                <w:sz w:val="14"/>
                <w:szCs w:val="14"/>
                <w:color w:val="auto"/>
              </w:rPr>
            </w:pPr>
          </w:p>
        </w:tc>
        <w:tc>
          <w:tcPr>
            <w:tcW w:w="480" w:type="dxa"/>
            <w:vAlign w:val="bottom"/>
          </w:tcPr>
          <w:p>
            <w:pPr>
              <w:spacing w:after="0"/>
              <w:rPr>
                <w:sz w:val="14"/>
                <w:szCs w:val="14"/>
                <w:color w:val="auto"/>
              </w:rPr>
            </w:pPr>
          </w:p>
        </w:tc>
        <w:tc>
          <w:tcPr>
            <w:tcW w:w="1420" w:type="dxa"/>
            <w:vAlign w:val="bottom"/>
            <w:gridSpan w:val="3"/>
          </w:tcPr>
          <w:p>
            <w:pPr>
              <w:jc w:val="center"/>
              <w:ind w:right="20"/>
              <w:spacing w:after="0"/>
              <w:rPr>
                <w:sz w:val="20"/>
                <w:szCs w:val="20"/>
                <w:color w:val="auto"/>
              </w:rPr>
            </w:pPr>
            <w:r>
              <w:rPr>
                <w:rFonts w:ascii="Arial" w:cs="Arial" w:eastAsia="Arial" w:hAnsi="Arial"/>
                <w:sz w:val="14"/>
                <w:szCs w:val="14"/>
                <w:b w:val="1"/>
                <w:bCs w:val="1"/>
                <w:color w:val="auto"/>
                <w:w w:val="89"/>
              </w:rPr>
              <w:t>Predecessor Company</w:t>
            </w:r>
          </w:p>
        </w:tc>
        <w:tc>
          <w:tcPr>
            <w:tcW w:w="0" w:type="dxa"/>
            <w:vAlign w:val="bottom"/>
          </w:tcPr>
          <w:p>
            <w:pPr>
              <w:spacing w:after="0"/>
              <w:rPr>
                <w:sz w:val="1"/>
                <w:szCs w:val="1"/>
                <w:color w:val="auto"/>
              </w:rPr>
            </w:pPr>
          </w:p>
        </w:tc>
      </w:tr>
      <w:tr>
        <w:trPr>
          <w:trHeight w:val="119"/>
        </w:trPr>
        <w:tc>
          <w:tcPr>
            <w:tcW w:w="1160" w:type="dxa"/>
            <w:vAlign w:val="bottom"/>
          </w:tcPr>
          <w:p>
            <w:pPr>
              <w:spacing w:after="0"/>
              <w:rPr>
                <w:sz w:val="10"/>
                <w:szCs w:val="10"/>
                <w:color w:val="auto"/>
              </w:rPr>
            </w:pPr>
          </w:p>
        </w:tc>
        <w:tc>
          <w:tcPr>
            <w:tcW w:w="162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260" w:type="dxa"/>
            <w:vAlign w:val="bottom"/>
            <w:tcBorders>
              <w:top w:val="single" w:sz="8" w:color="auto"/>
            </w:tcBorders>
            <w:gridSpan w:val="3"/>
          </w:tcPr>
          <w:p>
            <w:pPr>
              <w:jc w:val="right"/>
              <w:ind w:right="446"/>
              <w:spacing w:after="0" w:line="119" w:lineRule="exact"/>
              <w:rPr>
                <w:sz w:val="20"/>
                <w:szCs w:val="20"/>
                <w:color w:val="auto"/>
              </w:rPr>
            </w:pPr>
            <w:r>
              <w:rPr>
                <w:rFonts w:ascii="Arial" w:cs="Arial" w:eastAsia="Arial" w:hAnsi="Arial"/>
                <w:sz w:val="13"/>
                <w:szCs w:val="13"/>
                <w:b w:val="1"/>
                <w:bCs w:val="1"/>
                <w:color w:val="auto"/>
              </w:rPr>
              <w:t>Nine Months Ended</w:t>
            </w:r>
          </w:p>
        </w:tc>
        <w:tc>
          <w:tcPr>
            <w:tcW w:w="540" w:type="dxa"/>
            <w:vAlign w:val="bottom"/>
            <w:tcBorders>
              <w:top w:val="single" w:sz="8" w:color="auto"/>
            </w:tcBorders>
          </w:tcPr>
          <w:p>
            <w:pPr>
              <w:spacing w:after="0"/>
              <w:rPr>
                <w:sz w:val="10"/>
                <w:szCs w:val="10"/>
                <w:color w:val="auto"/>
              </w:rPr>
            </w:pPr>
          </w:p>
        </w:tc>
        <w:tc>
          <w:tcPr>
            <w:tcW w:w="1020" w:type="dxa"/>
            <w:vAlign w:val="bottom"/>
            <w:tcBorders>
              <w:top w:val="single" w:sz="8" w:color="auto"/>
            </w:tcBorders>
            <w:gridSpan w:val="3"/>
          </w:tcPr>
          <w:p>
            <w:pPr>
              <w:ind w:left="80"/>
              <w:spacing w:after="0" w:line="119" w:lineRule="exact"/>
              <w:rPr>
                <w:sz w:val="20"/>
                <w:szCs w:val="20"/>
                <w:color w:val="auto"/>
              </w:rPr>
            </w:pPr>
            <w:r>
              <w:rPr>
                <w:rFonts w:ascii="Arial" w:cs="Arial" w:eastAsia="Arial" w:hAnsi="Arial"/>
                <w:sz w:val="13"/>
                <w:szCs w:val="13"/>
                <w:b w:val="1"/>
                <w:bCs w:val="1"/>
                <w:color w:val="auto"/>
              </w:rPr>
              <w:t>Year ended</w:t>
            </w:r>
          </w:p>
        </w:tc>
        <w:tc>
          <w:tcPr>
            <w:tcW w:w="140" w:type="dxa"/>
            <w:vAlign w:val="bottom"/>
            <w:tcBorders>
              <w:top w:val="single" w:sz="8" w:color="auto"/>
            </w:tcBorders>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1080" w:type="dxa"/>
            <w:vAlign w:val="bottom"/>
            <w:tcBorders>
              <w:top w:val="single" w:sz="8" w:color="auto"/>
            </w:tcBorders>
          </w:tcPr>
          <w:p>
            <w:pPr>
              <w:jc w:val="right"/>
              <w:ind w:right="142"/>
              <w:spacing w:after="0" w:line="119" w:lineRule="exact"/>
              <w:rPr>
                <w:sz w:val="20"/>
                <w:szCs w:val="20"/>
                <w:color w:val="auto"/>
              </w:rPr>
            </w:pPr>
            <w:r>
              <w:rPr>
                <w:rFonts w:ascii="Arial" w:cs="Arial" w:eastAsia="Arial" w:hAnsi="Arial"/>
                <w:sz w:val="13"/>
                <w:szCs w:val="13"/>
                <w:b w:val="1"/>
                <w:bCs w:val="1"/>
                <w:color w:val="auto"/>
              </w:rPr>
              <w:t>Period from</w:t>
            </w:r>
          </w:p>
        </w:tc>
        <w:tc>
          <w:tcPr>
            <w:tcW w:w="320" w:type="dxa"/>
            <w:vAlign w:val="bottom"/>
            <w:tcBorders>
              <w:right w:val="single" w:sz="8" w:color="auto"/>
            </w:tcBorders>
          </w:tcPr>
          <w:p>
            <w:pPr>
              <w:spacing w:after="0"/>
              <w:rPr>
                <w:sz w:val="10"/>
                <w:szCs w:val="10"/>
                <w:color w:val="auto"/>
              </w:rPr>
            </w:pPr>
          </w:p>
        </w:tc>
        <w:tc>
          <w:tcPr>
            <w:tcW w:w="48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1280" w:type="dxa"/>
            <w:vAlign w:val="bottom"/>
            <w:tcBorders>
              <w:top w:val="single" w:sz="8" w:color="auto"/>
            </w:tcBorders>
          </w:tcPr>
          <w:p>
            <w:pPr>
              <w:jc w:val="center"/>
              <w:ind w:right="23"/>
              <w:spacing w:after="0" w:line="119" w:lineRule="exact"/>
              <w:rPr>
                <w:sz w:val="20"/>
                <w:szCs w:val="20"/>
                <w:color w:val="auto"/>
              </w:rPr>
            </w:pPr>
            <w:r>
              <w:rPr>
                <w:rFonts w:ascii="Arial" w:cs="Arial" w:eastAsia="Arial" w:hAnsi="Arial"/>
                <w:sz w:val="13"/>
                <w:szCs w:val="13"/>
                <w:b w:val="1"/>
                <w:bCs w:val="1"/>
                <w:color w:val="auto"/>
              </w:rPr>
              <w:t>Period from</w:t>
            </w: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3280" w:type="dxa"/>
            <w:vAlign w:val="bottom"/>
            <w:gridSpan w:val="3"/>
            <w:vMerge w:val="restart"/>
          </w:tcPr>
          <w:p>
            <w:pPr>
              <w:spacing w:after="0"/>
              <w:rPr>
                <w:sz w:val="20"/>
                <w:szCs w:val="20"/>
                <w:color w:val="auto"/>
              </w:rPr>
            </w:pPr>
            <w:r>
              <w:rPr>
                <w:rFonts w:ascii="Arial" w:cs="Arial" w:eastAsia="Arial" w:hAnsi="Arial"/>
                <w:sz w:val="14"/>
                <w:szCs w:val="14"/>
                <w:color w:val="auto"/>
              </w:rPr>
              <w:t>(in thousands)</w:t>
            </w:r>
          </w:p>
        </w:tc>
        <w:tc>
          <w:tcPr>
            <w:tcW w:w="20" w:type="dxa"/>
            <w:vAlign w:val="bottom"/>
          </w:tcPr>
          <w:p>
            <w:pPr>
              <w:spacing w:after="0"/>
              <w:rPr>
                <w:sz w:val="12"/>
                <w:szCs w:val="12"/>
                <w:color w:val="auto"/>
              </w:rPr>
            </w:pPr>
          </w:p>
        </w:tc>
        <w:tc>
          <w:tcPr>
            <w:tcW w:w="840" w:type="dxa"/>
            <w:vAlign w:val="bottom"/>
          </w:tcPr>
          <w:p>
            <w:pPr>
              <w:spacing w:after="0" w:line="149" w:lineRule="exact"/>
              <w:rPr>
                <w:sz w:val="20"/>
                <w:szCs w:val="20"/>
                <w:color w:val="auto"/>
              </w:rPr>
            </w:pPr>
            <w:r>
              <w:rPr>
                <w:rFonts w:ascii="Arial" w:cs="Arial" w:eastAsia="Arial" w:hAnsi="Arial"/>
                <w:sz w:val="14"/>
                <w:szCs w:val="14"/>
                <w:b w:val="1"/>
                <w:bCs w:val="1"/>
                <w:color w:val="auto"/>
                <w:w w:val="85"/>
              </w:rPr>
              <w:t>September 30,</w:t>
            </w:r>
          </w:p>
        </w:tc>
        <w:tc>
          <w:tcPr>
            <w:tcW w:w="540" w:type="dxa"/>
            <w:vAlign w:val="bottom"/>
          </w:tcPr>
          <w:p>
            <w:pPr>
              <w:spacing w:after="0"/>
              <w:rPr>
                <w:sz w:val="12"/>
                <w:szCs w:val="12"/>
                <w:color w:val="auto"/>
              </w:rPr>
            </w:pPr>
          </w:p>
        </w:tc>
        <w:tc>
          <w:tcPr>
            <w:tcW w:w="880" w:type="dxa"/>
            <w:vAlign w:val="bottom"/>
          </w:tcPr>
          <w:p>
            <w:pPr>
              <w:ind w:left="20"/>
              <w:spacing w:after="0" w:line="149" w:lineRule="exact"/>
              <w:rPr>
                <w:sz w:val="20"/>
                <w:szCs w:val="20"/>
                <w:color w:val="auto"/>
              </w:rPr>
            </w:pPr>
            <w:r>
              <w:rPr>
                <w:rFonts w:ascii="Arial" w:cs="Arial" w:eastAsia="Arial" w:hAnsi="Arial"/>
                <w:sz w:val="14"/>
                <w:szCs w:val="14"/>
                <w:b w:val="1"/>
                <w:bCs w:val="1"/>
                <w:color w:val="auto"/>
                <w:w w:val="87"/>
              </w:rPr>
              <w:t>September 30,</w:t>
            </w:r>
          </w:p>
        </w:tc>
        <w:tc>
          <w:tcPr>
            <w:tcW w:w="540" w:type="dxa"/>
            <w:vAlign w:val="bottom"/>
          </w:tcPr>
          <w:p>
            <w:pPr>
              <w:spacing w:after="0"/>
              <w:rPr>
                <w:sz w:val="12"/>
                <w:szCs w:val="12"/>
                <w:color w:val="auto"/>
              </w:rPr>
            </w:pPr>
          </w:p>
        </w:tc>
        <w:tc>
          <w:tcPr>
            <w:tcW w:w="102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December 31,</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0" w:type="dxa"/>
            <w:vAlign w:val="bottom"/>
            <w:tcBorders>
              <w:right w:val="single" w:sz="8" w:color="auto"/>
            </w:tcBorders>
            <w:gridSpan w:val="2"/>
          </w:tcPr>
          <w:p>
            <w:pPr>
              <w:jc w:val="right"/>
              <w:ind w:right="420"/>
              <w:spacing w:after="0" w:line="149" w:lineRule="exact"/>
              <w:rPr>
                <w:sz w:val="20"/>
                <w:szCs w:val="20"/>
                <w:color w:val="auto"/>
              </w:rPr>
            </w:pPr>
            <w:r>
              <w:rPr>
                <w:rFonts w:ascii="Arial" w:cs="Arial" w:eastAsia="Arial" w:hAnsi="Arial"/>
                <w:sz w:val="14"/>
                <w:szCs w:val="14"/>
                <w:b w:val="1"/>
                <w:bCs w:val="1"/>
                <w:color w:val="auto"/>
                <w:w w:val="92"/>
              </w:rPr>
              <w:t>July 16, 2019 to</w:t>
            </w: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2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93"/>
              </w:rPr>
              <w:t>January 1, 2019 to</w:t>
            </w:r>
          </w:p>
        </w:tc>
        <w:tc>
          <w:tcPr>
            <w:tcW w:w="0" w:type="dxa"/>
            <w:vAlign w:val="bottom"/>
          </w:tcPr>
          <w:p>
            <w:pPr>
              <w:spacing w:after="0"/>
              <w:rPr>
                <w:sz w:val="1"/>
                <w:szCs w:val="1"/>
                <w:color w:val="auto"/>
              </w:rPr>
            </w:pPr>
          </w:p>
        </w:tc>
      </w:tr>
      <w:tr>
        <w:trPr>
          <w:trHeight w:val="171"/>
        </w:trPr>
        <w:tc>
          <w:tcPr>
            <w:tcW w:w="3280" w:type="dxa"/>
            <w:vAlign w:val="bottom"/>
            <w:gridSpan w:val="3"/>
            <w:vMerge w:val="continue"/>
          </w:tcPr>
          <w:p>
            <w:pPr>
              <w:spacing w:after="0"/>
              <w:rPr>
                <w:sz w:val="14"/>
                <w:szCs w:val="14"/>
                <w:color w:val="auto"/>
              </w:rPr>
            </w:pPr>
          </w:p>
        </w:tc>
        <w:tc>
          <w:tcPr>
            <w:tcW w:w="860" w:type="dxa"/>
            <w:vAlign w:val="bottom"/>
            <w:gridSpan w:val="2"/>
          </w:tcPr>
          <w:p>
            <w:pPr>
              <w:jc w:val="right"/>
              <w:ind w:right="207"/>
              <w:spacing w:after="0"/>
              <w:rPr>
                <w:sz w:val="20"/>
                <w:szCs w:val="20"/>
                <w:color w:val="auto"/>
              </w:rPr>
            </w:pPr>
            <w:r>
              <w:rPr>
                <w:rFonts w:ascii="Arial" w:cs="Arial" w:eastAsia="Arial" w:hAnsi="Arial"/>
                <w:sz w:val="14"/>
                <w:szCs w:val="14"/>
                <w:b w:val="1"/>
                <w:bCs w:val="1"/>
                <w:color w:val="auto"/>
              </w:rPr>
              <w:t>2021</w:t>
            </w:r>
          </w:p>
        </w:tc>
        <w:tc>
          <w:tcPr>
            <w:tcW w:w="1420" w:type="dxa"/>
            <w:vAlign w:val="bottom"/>
            <w:gridSpan w:val="2"/>
          </w:tcPr>
          <w:p>
            <w:pPr>
              <w:jc w:val="right"/>
              <w:ind w:right="206"/>
              <w:spacing w:after="0"/>
              <w:rPr>
                <w:sz w:val="20"/>
                <w:szCs w:val="20"/>
                <w:color w:val="auto"/>
              </w:rPr>
            </w:pPr>
            <w:r>
              <w:rPr>
                <w:rFonts w:ascii="Arial" w:cs="Arial" w:eastAsia="Arial" w:hAnsi="Arial"/>
                <w:sz w:val="14"/>
                <w:szCs w:val="14"/>
                <w:b w:val="1"/>
                <w:bCs w:val="1"/>
                <w:color w:val="auto"/>
              </w:rPr>
              <w:t>2020</w:t>
            </w:r>
          </w:p>
        </w:tc>
        <w:tc>
          <w:tcPr>
            <w:tcW w:w="5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80" w:type="dxa"/>
            <w:vAlign w:val="bottom"/>
          </w:tcPr>
          <w:p>
            <w:pPr>
              <w:jc w:val="right"/>
              <w:ind w:right="200"/>
              <w:spacing w:after="0"/>
              <w:rPr>
                <w:sz w:val="20"/>
                <w:szCs w:val="20"/>
                <w:color w:val="auto"/>
              </w:rPr>
            </w:pPr>
            <w:r>
              <w:rPr>
                <w:rFonts w:ascii="Arial" w:cs="Arial" w:eastAsia="Arial" w:hAnsi="Arial"/>
                <w:sz w:val="14"/>
                <w:szCs w:val="14"/>
                <w:b w:val="1"/>
                <w:bCs w:val="1"/>
                <w:color w:val="auto"/>
                <w:w w:val="89"/>
              </w:rPr>
              <w:t>2020</w:t>
            </w: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80" w:type="dxa"/>
            <w:vAlign w:val="bottom"/>
            <w:tcBorders>
              <w:right w:val="single" w:sz="8" w:color="auto"/>
            </w:tcBorders>
            <w:gridSpan w:val="3"/>
          </w:tcPr>
          <w:p>
            <w:pPr>
              <w:spacing w:after="0"/>
              <w:rPr>
                <w:sz w:val="20"/>
                <w:szCs w:val="20"/>
                <w:color w:val="auto"/>
              </w:rPr>
            </w:pPr>
            <w:r>
              <w:rPr>
                <w:rFonts w:ascii="Arial" w:cs="Arial" w:eastAsia="Arial" w:hAnsi="Arial"/>
                <w:sz w:val="14"/>
                <w:szCs w:val="14"/>
                <w:b w:val="1"/>
                <w:bCs w:val="1"/>
                <w:color w:val="auto"/>
              </w:rPr>
              <w:t>December 31, 2019</w:t>
            </w:r>
          </w:p>
        </w:tc>
        <w:tc>
          <w:tcPr>
            <w:tcW w:w="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2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2"/>
              </w:rPr>
              <w:t>July 15, 2019</w:t>
            </w:r>
          </w:p>
        </w:tc>
        <w:tc>
          <w:tcPr>
            <w:tcW w:w="0" w:type="dxa"/>
            <w:vAlign w:val="bottom"/>
          </w:tcPr>
          <w:p>
            <w:pPr>
              <w:spacing w:after="0"/>
              <w:rPr>
                <w:sz w:val="1"/>
                <w:szCs w:val="1"/>
                <w:color w:val="auto"/>
              </w:rPr>
            </w:pPr>
          </w:p>
        </w:tc>
      </w:tr>
      <w:tr>
        <w:trPr>
          <w:trHeight w:val="196"/>
        </w:trPr>
        <w:tc>
          <w:tcPr>
            <w:tcW w:w="2780" w:type="dxa"/>
            <w:vAlign w:val="bottom"/>
            <w:tcBorders>
              <w:top w:val="single" w:sz="8" w:color="auto"/>
            </w:tcBorders>
            <w:gridSpan w:val="2"/>
            <w:shd w:val="clear" w:color="auto" w:fill="CCEEFF"/>
          </w:tcPr>
          <w:p>
            <w:pPr>
              <w:spacing w:after="0"/>
              <w:rPr>
                <w:sz w:val="20"/>
                <w:szCs w:val="20"/>
                <w:color w:val="auto"/>
              </w:rPr>
            </w:pPr>
            <w:r>
              <w:rPr>
                <w:rFonts w:ascii="Arial" w:cs="Arial" w:eastAsia="Arial" w:hAnsi="Arial"/>
                <w:sz w:val="16"/>
                <w:szCs w:val="16"/>
                <w:b w:val="1"/>
                <w:bCs w:val="1"/>
                <w:color w:val="auto"/>
              </w:rPr>
              <w:t>Net (loss) income</w:t>
            </w:r>
          </w:p>
        </w:tc>
        <w:tc>
          <w:tcPr>
            <w:tcW w:w="50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8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6"/>
                <w:szCs w:val="16"/>
                <w:color w:val="auto"/>
              </w:rPr>
              <w:t>$</w:t>
            </w:r>
          </w:p>
        </w:tc>
        <w:tc>
          <w:tcPr>
            <w:tcW w:w="540" w:type="dxa"/>
            <w:vAlign w:val="bottom"/>
            <w:tcBorders>
              <w:top w:val="single" w:sz="8" w:color="CCEEFF"/>
            </w:tcBorders>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6"/>
                <w:szCs w:val="16"/>
                <w:color w:val="auto"/>
              </w:rPr>
              <w:t>$</w:t>
            </w:r>
          </w:p>
        </w:tc>
        <w:tc>
          <w:tcPr>
            <w:tcW w:w="54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6"/>
                <w:szCs w:val="16"/>
                <w:color w:val="auto"/>
              </w:rPr>
              <w:t>$</w:t>
            </w: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93"/>
              </w:rPr>
              <w:t>(51,157)</w:t>
            </w:r>
          </w:p>
        </w:tc>
        <w:tc>
          <w:tcPr>
            <w:tcW w:w="18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5"/>
                <w:szCs w:val="15"/>
                <w:color w:val="auto"/>
                <w:w w:val="71"/>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(49,266)</w:t>
            </w:r>
          </w:p>
        </w:tc>
        <w:tc>
          <w:tcPr>
            <w:tcW w:w="320" w:type="dxa"/>
            <w:vAlign w:val="bottom"/>
            <w:tcBorders>
              <w:top w:val="single" w:sz="8" w:color="CCEEFF"/>
              <w:right w:val="single" w:sz="8" w:color="auto"/>
            </w:tcBorders>
            <w:shd w:val="clear" w:color="auto" w:fill="CCEEFF"/>
          </w:tcPr>
          <w:p>
            <w:pPr>
              <w:spacing w:after="0"/>
              <w:rPr>
                <w:sz w:val="17"/>
                <w:szCs w:val="17"/>
                <w:color w:val="auto"/>
              </w:rPr>
            </w:pPr>
          </w:p>
        </w:tc>
        <w:tc>
          <w:tcPr>
            <w:tcW w:w="4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12,868</w:t>
            </w:r>
          </w:p>
        </w:tc>
        <w:tc>
          <w:tcPr>
            <w:tcW w:w="4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280" w:type="dxa"/>
            <w:vAlign w:val="bottom"/>
            <w:gridSpan w:val="3"/>
          </w:tcPr>
          <w:p>
            <w:pPr>
              <w:spacing w:after="0" w:line="202" w:lineRule="exact"/>
              <w:rPr>
                <w:sz w:val="20"/>
                <w:szCs w:val="20"/>
                <w:color w:val="auto"/>
              </w:rPr>
            </w:pPr>
            <w:r>
              <w:rPr>
                <w:rFonts w:ascii="Arial" w:cs="Arial" w:eastAsia="Arial" w:hAnsi="Arial"/>
                <w:sz w:val="14"/>
                <w:szCs w:val="14"/>
                <w:color w:val="auto"/>
              </w:rPr>
              <w:t xml:space="preserve">Amortization of intangible assets </w:t>
            </w:r>
            <w:r>
              <w:rPr>
                <w:rFonts w:ascii="Arial" w:cs="Arial" w:eastAsia="Arial" w:hAnsi="Arial"/>
                <w:sz w:val="23"/>
                <w:szCs w:val="23"/>
                <w:color w:val="auto"/>
                <w:vertAlign w:val="superscript"/>
              </w:rPr>
              <w:t>(a)</w:t>
            </w:r>
          </w:p>
        </w:tc>
        <w:tc>
          <w:tcPr>
            <w:tcW w:w="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58,214</w:t>
            </w: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30,605</w:t>
            </w:r>
          </w:p>
        </w:tc>
        <w:tc>
          <w:tcPr>
            <w:tcW w:w="320" w:type="dxa"/>
            <w:vAlign w:val="bottom"/>
            <w:tcBorders>
              <w:right w:val="single" w:sz="8" w:color="auto"/>
            </w:tcBorders>
          </w:tcPr>
          <w:p>
            <w:pPr>
              <w:spacing w:after="0"/>
              <w:rPr>
                <w:sz w:val="17"/>
                <w:szCs w:val="17"/>
                <w:color w:val="auto"/>
              </w:rPr>
            </w:pPr>
          </w:p>
        </w:tc>
        <w:tc>
          <w:tcPr>
            <w:tcW w:w="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2,042</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280" w:type="dxa"/>
            <w:vAlign w:val="bottom"/>
            <w:gridSpan w:val="3"/>
            <w:shd w:val="clear" w:color="auto" w:fill="CCEEFF"/>
          </w:tcPr>
          <w:p>
            <w:pPr>
              <w:spacing w:after="0" w:line="202" w:lineRule="exact"/>
              <w:rPr>
                <w:sz w:val="20"/>
                <w:szCs w:val="20"/>
                <w:color w:val="auto"/>
              </w:rPr>
            </w:pPr>
            <w:r>
              <w:rPr>
                <w:rFonts w:ascii="Arial" w:cs="Arial" w:eastAsia="Arial" w:hAnsi="Arial"/>
                <w:sz w:val="14"/>
                <w:szCs w:val="14"/>
                <w:color w:val="auto"/>
              </w:rPr>
              <w:t xml:space="preserve">Equity compensation costs </w:t>
            </w:r>
            <w:r>
              <w:rPr>
                <w:rFonts w:ascii="Arial" w:cs="Arial" w:eastAsia="Arial" w:hAnsi="Arial"/>
                <w:sz w:val="23"/>
                <w:szCs w:val="23"/>
                <w:color w:val="auto"/>
                <w:vertAlign w:val="superscript"/>
              </w:rPr>
              <w:t>(b)</w:t>
            </w:r>
          </w:p>
        </w:tc>
        <w:tc>
          <w:tcPr>
            <w:tcW w:w="2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1,747</w:t>
            </w: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744</w:t>
            </w:r>
          </w:p>
        </w:tc>
        <w:tc>
          <w:tcPr>
            <w:tcW w:w="320" w:type="dxa"/>
            <w:vAlign w:val="bottom"/>
            <w:tcBorders>
              <w:right w:val="single" w:sz="8" w:color="auto"/>
            </w:tcBorders>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5,807</w:t>
            </w: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280" w:type="dxa"/>
            <w:vAlign w:val="bottom"/>
            <w:gridSpan w:val="3"/>
          </w:tcPr>
          <w:p>
            <w:pPr>
              <w:spacing w:after="0" w:line="202" w:lineRule="exact"/>
              <w:rPr>
                <w:sz w:val="20"/>
                <w:szCs w:val="20"/>
                <w:color w:val="auto"/>
              </w:rPr>
            </w:pPr>
            <w:r>
              <w:rPr>
                <w:rFonts w:ascii="Arial" w:cs="Arial" w:eastAsia="Arial" w:hAnsi="Arial"/>
                <w:sz w:val="14"/>
                <w:szCs w:val="14"/>
                <w:color w:val="auto"/>
              </w:rPr>
              <w:t xml:space="preserve">Acquisition-related expenses </w:t>
            </w:r>
            <w:r>
              <w:rPr>
                <w:rFonts w:ascii="Arial" w:cs="Arial" w:eastAsia="Arial" w:hAnsi="Arial"/>
                <w:sz w:val="23"/>
                <w:szCs w:val="23"/>
                <w:color w:val="auto"/>
                <w:vertAlign w:val="superscript"/>
              </w:rPr>
              <w:t>(c)</w:t>
            </w:r>
          </w:p>
        </w:tc>
        <w:tc>
          <w:tcPr>
            <w:tcW w:w="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3,776</w:t>
            </w: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14,703</w:t>
            </w:r>
          </w:p>
        </w:tc>
        <w:tc>
          <w:tcPr>
            <w:tcW w:w="320" w:type="dxa"/>
            <w:vAlign w:val="bottom"/>
            <w:tcBorders>
              <w:right w:val="single" w:sz="8" w:color="auto"/>
            </w:tcBorders>
          </w:tcPr>
          <w:p>
            <w:pPr>
              <w:spacing w:after="0"/>
              <w:rPr>
                <w:sz w:val="17"/>
                <w:szCs w:val="17"/>
                <w:color w:val="auto"/>
              </w:rPr>
            </w:pPr>
          </w:p>
        </w:tc>
        <w:tc>
          <w:tcPr>
            <w:tcW w:w="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1,151</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280" w:type="dxa"/>
            <w:vAlign w:val="bottom"/>
            <w:gridSpan w:val="3"/>
            <w:shd w:val="clear" w:color="auto" w:fill="CCEEFF"/>
          </w:tcPr>
          <w:p>
            <w:pPr>
              <w:spacing w:after="0" w:line="202" w:lineRule="exact"/>
              <w:rPr>
                <w:sz w:val="20"/>
                <w:szCs w:val="20"/>
                <w:color w:val="auto"/>
              </w:rPr>
            </w:pPr>
            <w:r>
              <w:rPr>
                <w:rFonts w:ascii="Arial" w:cs="Arial" w:eastAsia="Arial" w:hAnsi="Arial"/>
                <w:sz w:val="14"/>
                <w:szCs w:val="14"/>
                <w:color w:val="auto"/>
              </w:rPr>
              <w:t xml:space="preserve">Other non-recurring adjustments </w:t>
            </w:r>
            <w:r>
              <w:rPr>
                <w:rFonts w:ascii="Arial" w:cs="Arial" w:eastAsia="Arial" w:hAnsi="Arial"/>
                <w:sz w:val="23"/>
                <w:szCs w:val="23"/>
                <w:color w:val="auto"/>
                <w:vertAlign w:val="superscript"/>
              </w:rPr>
              <w:t>(d)</w:t>
            </w:r>
          </w:p>
        </w:tc>
        <w:tc>
          <w:tcPr>
            <w:tcW w:w="20" w:type="dxa"/>
            <w:vAlign w:val="bottom"/>
            <w:shd w:val="clear" w:color="auto" w:fill="CCEEFF"/>
          </w:tcPr>
          <w:p>
            <w:pPr>
              <w:spacing w:after="0"/>
              <w:rPr>
                <w:sz w:val="17"/>
                <w:szCs w:val="17"/>
                <w:color w:val="auto"/>
              </w:rPr>
            </w:pPr>
          </w:p>
        </w:tc>
        <w:tc>
          <w:tcPr>
            <w:tcW w:w="840" w:type="dxa"/>
            <w:vAlign w:val="bottom"/>
            <w:tcBorders>
              <w:bottom w:val="single" w:sz="8" w:color="auto"/>
            </w:tcBorders>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880" w:type="dxa"/>
            <w:vAlign w:val="bottom"/>
            <w:tcBorders>
              <w:bottom w:val="single" w:sz="8" w:color="auto"/>
            </w:tcBorders>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spacing w:after="0"/>
              <w:rPr>
                <w:sz w:val="17"/>
                <w:szCs w:val="17"/>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2,847</w:t>
            </w: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tcBorders>
              <w:bottom w:val="single" w:sz="8" w:color="auto"/>
            </w:tcBorders>
            <w:shd w:val="clear" w:color="auto" w:fill="CCEEFF"/>
          </w:tcPr>
          <w:p>
            <w:pPr>
              <w:spacing w:after="0"/>
              <w:rPr>
                <w:sz w:val="17"/>
                <w:szCs w:val="17"/>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3,193</w:t>
            </w:r>
          </w:p>
        </w:tc>
        <w:tc>
          <w:tcPr>
            <w:tcW w:w="320" w:type="dxa"/>
            <w:vAlign w:val="bottom"/>
            <w:tcBorders>
              <w:right w:val="single" w:sz="8" w:color="auto"/>
            </w:tcBorders>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1,200</w:t>
            </w: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3280" w:type="dxa"/>
            <w:vAlign w:val="bottom"/>
            <w:gridSpan w:val="3"/>
          </w:tcPr>
          <w:p>
            <w:pPr>
              <w:spacing w:after="0"/>
              <w:rPr>
                <w:sz w:val="20"/>
                <w:szCs w:val="20"/>
                <w:color w:val="auto"/>
              </w:rPr>
            </w:pPr>
            <w:r>
              <w:rPr>
                <w:rFonts w:ascii="Arial" w:cs="Arial" w:eastAsia="Arial" w:hAnsi="Arial"/>
                <w:sz w:val="16"/>
                <w:szCs w:val="16"/>
                <w:b w:val="1"/>
                <w:bCs w:val="1"/>
                <w:color w:val="auto"/>
              </w:rPr>
              <w:t>Adjusted Net Income (Loss)</w:t>
            </w:r>
          </w:p>
        </w:tc>
        <w:tc>
          <w:tcPr>
            <w:tcW w:w="860" w:type="dxa"/>
            <w:vAlign w:val="bottom"/>
            <w:gridSpan w:val="2"/>
          </w:tcPr>
          <w:p>
            <w:pPr>
              <w:spacing w:after="0"/>
              <w:rPr>
                <w:sz w:val="20"/>
                <w:szCs w:val="20"/>
                <w:color w:val="auto"/>
              </w:rPr>
            </w:pPr>
            <w:r>
              <w:rPr>
                <w:rFonts w:ascii="Arial" w:cs="Arial" w:eastAsia="Arial" w:hAnsi="Arial"/>
                <w:sz w:val="16"/>
                <w:szCs w:val="16"/>
                <w:color w:val="auto"/>
              </w:rPr>
              <w:t>$</w:t>
            </w:r>
          </w:p>
        </w:tc>
        <w:tc>
          <w:tcPr>
            <w:tcW w:w="1420" w:type="dxa"/>
            <w:vAlign w:val="bottom"/>
            <w:gridSpan w:val="2"/>
          </w:tcPr>
          <w:p>
            <w:pPr>
              <w:ind w:left="540"/>
              <w:spacing w:after="0"/>
              <w:rPr>
                <w:sz w:val="20"/>
                <w:szCs w:val="20"/>
                <w:color w:val="auto"/>
              </w:rPr>
            </w:pPr>
            <w:r>
              <w:rPr>
                <w:rFonts w:ascii="Arial" w:cs="Arial" w:eastAsia="Arial" w:hAnsi="Arial"/>
                <w:sz w:val="16"/>
                <w:szCs w:val="16"/>
                <w:color w:val="auto"/>
              </w:rPr>
              <w:t>$</w:t>
            </w:r>
          </w:p>
        </w:tc>
        <w:tc>
          <w:tcPr>
            <w:tcW w:w="800" w:type="dxa"/>
            <w:vAlign w:val="bottom"/>
            <w:gridSpan w:val="2"/>
          </w:tcPr>
          <w:p>
            <w:pPr>
              <w:ind w:left="540"/>
              <w:spacing w:after="0"/>
              <w:rPr>
                <w:sz w:val="20"/>
                <w:szCs w:val="20"/>
                <w:color w:val="auto"/>
              </w:rPr>
            </w:pPr>
            <w:r>
              <w:rPr>
                <w:rFonts w:ascii="Arial" w:cs="Arial" w:eastAsia="Arial" w:hAnsi="Arial"/>
                <w:sz w:val="16"/>
                <w:szCs w:val="16"/>
                <w:color w:val="auto"/>
              </w:rPr>
              <w:t>$</w:t>
            </w:r>
          </w:p>
        </w:tc>
        <w:tc>
          <w:tcPr>
            <w:tcW w:w="580" w:type="dxa"/>
            <w:vAlign w:val="bottom"/>
          </w:tcPr>
          <w:p>
            <w:pPr>
              <w:jc w:val="right"/>
              <w:spacing w:after="0"/>
              <w:rPr>
                <w:sz w:val="20"/>
                <w:szCs w:val="20"/>
                <w:color w:val="auto"/>
              </w:rPr>
            </w:pPr>
            <w:r>
              <w:rPr>
                <w:rFonts w:ascii="Arial" w:cs="Arial" w:eastAsia="Arial" w:hAnsi="Arial"/>
                <w:sz w:val="16"/>
                <w:szCs w:val="16"/>
                <w:color w:val="auto"/>
              </w:rPr>
              <w:t>15,427</w:t>
            </w:r>
          </w:p>
        </w:tc>
        <w:tc>
          <w:tcPr>
            <w:tcW w:w="180" w:type="dxa"/>
            <w:vAlign w:val="bottom"/>
          </w:tcPr>
          <w:p>
            <w:pPr>
              <w:spacing w:after="0"/>
              <w:rPr>
                <w:sz w:val="17"/>
                <w:szCs w:val="17"/>
                <w:color w:val="auto"/>
              </w:rPr>
            </w:pPr>
          </w:p>
        </w:tc>
        <w:tc>
          <w:tcPr>
            <w:tcW w:w="220" w:type="dxa"/>
            <w:vAlign w:val="bottom"/>
            <w:gridSpan w:val="2"/>
          </w:tcPr>
          <w:p>
            <w:pPr>
              <w:ind w:left="140"/>
              <w:spacing w:after="0"/>
              <w:rPr>
                <w:sz w:val="20"/>
                <w:szCs w:val="20"/>
                <w:color w:val="auto"/>
              </w:rPr>
            </w:pPr>
            <w:r>
              <w:rPr>
                <w:rFonts w:ascii="Arial" w:cs="Arial" w:eastAsia="Arial" w:hAnsi="Arial"/>
                <w:sz w:val="15"/>
                <w:szCs w:val="15"/>
                <w:color w:val="auto"/>
                <w:w w:val="71"/>
              </w:rPr>
              <w:t>$</w:t>
            </w:r>
          </w:p>
        </w:tc>
        <w:tc>
          <w:tcPr>
            <w:tcW w:w="1400" w:type="dxa"/>
            <w:vAlign w:val="bottom"/>
            <w:tcBorders>
              <w:right w:val="single" w:sz="8" w:color="auto"/>
            </w:tcBorders>
            <w:gridSpan w:val="2"/>
          </w:tcPr>
          <w:p>
            <w:pPr>
              <w:jc w:val="right"/>
              <w:ind w:right="280"/>
              <w:spacing w:after="0"/>
              <w:rPr>
                <w:sz w:val="20"/>
                <w:szCs w:val="20"/>
                <w:color w:val="auto"/>
              </w:rPr>
            </w:pPr>
            <w:r>
              <w:rPr>
                <w:rFonts w:ascii="Arial" w:cs="Arial" w:eastAsia="Arial" w:hAnsi="Arial"/>
                <w:sz w:val="16"/>
                <w:szCs w:val="16"/>
                <w:color w:val="auto"/>
              </w:rPr>
              <w:t>(21)</w:t>
            </w:r>
          </w:p>
        </w:tc>
        <w:tc>
          <w:tcPr>
            <w:tcW w:w="58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280" w:type="dxa"/>
            <w:vAlign w:val="bottom"/>
          </w:tcPr>
          <w:p>
            <w:pPr>
              <w:jc w:val="right"/>
              <w:spacing w:after="0"/>
              <w:rPr>
                <w:sz w:val="20"/>
                <w:szCs w:val="20"/>
                <w:color w:val="auto"/>
              </w:rPr>
            </w:pPr>
            <w:r>
              <w:rPr>
                <w:rFonts w:ascii="Arial" w:cs="Arial" w:eastAsia="Arial" w:hAnsi="Arial"/>
                <w:sz w:val="16"/>
                <w:szCs w:val="16"/>
                <w:color w:val="auto"/>
              </w:rPr>
              <w:t>23,068</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right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2"/>
        </w:trPr>
        <w:tc>
          <w:tcPr>
            <w:tcW w:w="1160" w:type="dxa"/>
            <w:vAlign w:val="bottom"/>
            <w:tcBorders>
              <w:bottom w:val="single" w:sz="8" w:color="auto"/>
            </w:tcBorders>
          </w:tcPr>
          <w:p>
            <w:pPr>
              <w:spacing w:after="0"/>
              <w:rPr>
                <w:sz w:val="11"/>
                <w:szCs w:val="11"/>
                <w:color w:val="auto"/>
              </w:rPr>
            </w:pPr>
          </w:p>
        </w:tc>
        <w:tc>
          <w:tcPr>
            <w:tcW w:w="16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6" w:lineRule="exact"/>
        <w:rPr>
          <w:sz w:val="20"/>
          <w:szCs w:val="20"/>
          <w:color w:val="auto"/>
        </w:rPr>
      </w:pPr>
    </w:p>
    <w:p>
      <w:pPr>
        <w:ind w:left="820" w:right="80" w:hanging="522"/>
        <w:spacing w:after="0" w:line="258" w:lineRule="auto"/>
        <w:tabs>
          <w:tab w:leader="none" w:pos="820" w:val="left"/>
        </w:tabs>
        <w:numPr>
          <w:ilvl w:val="0"/>
          <w:numId w:val="40"/>
        </w:numPr>
        <w:rPr>
          <w:rFonts w:ascii="Arial" w:cs="Arial" w:eastAsia="Arial" w:hAnsi="Arial"/>
          <w:sz w:val="18"/>
          <w:szCs w:val="18"/>
          <w:color w:val="auto"/>
        </w:rPr>
      </w:pPr>
      <w:r>
        <w:rPr>
          <w:rFonts w:ascii="Arial" w:cs="Arial" w:eastAsia="Arial" w:hAnsi="Arial"/>
          <w:sz w:val="18"/>
          <w:szCs w:val="18"/>
          <w:color w:val="auto"/>
        </w:rPr>
        <w:t>Amortization of intangible assets resulting from purchase accounting adjustments represents non-cash amortization of acquired intangibles, primarily resulting from the Advent acquisition.</w:t>
      </w:r>
    </w:p>
    <w:p>
      <w:pPr>
        <w:spacing w:after="0" w:line="1" w:lineRule="exact"/>
        <w:rPr>
          <w:rFonts w:ascii="Arial" w:cs="Arial" w:eastAsia="Arial" w:hAnsi="Arial"/>
          <w:sz w:val="18"/>
          <w:szCs w:val="18"/>
          <w:color w:val="auto"/>
        </w:rPr>
      </w:pPr>
    </w:p>
    <w:p>
      <w:pPr>
        <w:ind w:left="820" w:right="40" w:hanging="522"/>
        <w:spacing w:after="0" w:line="250" w:lineRule="auto"/>
        <w:tabs>
          <w:tab w:leader="none" w:pos="820" w:val="left"/>
        </w:tabs>
        <w:numPr>
          <w:ilvl w:val="0"/>
          <w:numId w:val="40"/>
        </w:numPr>
        <w:rPr>
          <w:rFonts w:ascii="Arial" w:cs="Arial" w:eastAsia="Arial" w:hAnsi="Arial"/>
          <w:sz w:val="18"/>
          <w:szCs w:val="18"/>
          <w:color w:val="auto"/>
        </w:rPr>
      </w:pPr>
      <w:r>
        <w:rPr>
          <w:rFonts w:ascii="Arial" w:cs="Arial" w:eastAsia="Arial" w:hAnsi="Arial"/>
          <w:sz w:val="18"/>
          <w:szCs w:val="18"/>
          <w:color w:val="auto"/>
        </w:rPr>
        <w:t>Stock-based compensation represents non-cash compensation expense recognized in association with equity awards made to employees and directors.</w:t>
      </w:r>
    </w:p>
    <w:p>
      <w:pPr>
        <w:ind w:left="820" w:right="240" w:hanging="522"/>
        <w:spacing w:after="0" w:line="250" w:lineRule="auto"/>
        <w:tabs>
          <w:tab w:leader="none" w:pos="820" w:val="left"/>
        </w:tabs>
        <w:numPr>
          <w:ilvl w:val="0"/>
          <w:numId w:val="40"/>
        </w:numPr>
        <w:rPr>
          <w:rFonts w:ascii="Arial" w:cs="Arial" w:eastAsia="Arial" w:hAnsi="Arial"/>
          <w:sz w:val="18"/>
          <w:szCs w:val="18"/>
          <w:color w:val="auto"/>
        </w:rPr>
      </w:pPr>
      <w:r>
        <w:rPr>
          <w:rFonts w:ascii="Arial" w:cs="Arial" w:eastAsia="Arial" w:hAnsi="Arial"/>
          <w:sz w:val="18"/>
          <w:szCs w:val="18"/>
          <w:color w:val="auto"/>
        </w:rPr>
        <w:t>Acquisition-related expenses represent legal, accounting and consulting expenses and fair value adjustments for contingent consideration related to our acquisitions.</w:t>
      </w:r>
    </w:p>
    <w:p>
      <w:pPr>
        <w:ind w:left="820" w:right="20" w:hanging="522"/>
        <w:spacing w:after="0" w:line="253" w:lineRule="auto"/>
        <w:tabs>
          <w:tab w:leader="none" w:pos="820" w:val="left"/>
        </w:tabs>
        <w:numPr>
          <w:ilvl w:val="0"/>
          <w:numId w:val="40"/>
        </w:numPr>
        <w:rPr>
          <w:rFonts w:ascii="Arial" w:cs="Arial" w:eastAsia="Arial" w:hAnsi="Arial"/>
          <w:sz w:val="18"/>
          <w:szCs w:val="18"/>
          <w:color w:val="auto"/>
        </w:rPr>
      </w:pPr>
      <w:r>
        <w:rPr>
          <w:rFonts w:ascii="Arial" w:cs="Arial" w:eastAsia="Arial" w:hAnsi="Arial"/>
          <w:sz w:val="18"/>
          <w:szCs w:val="18"/>
          <w:color w:val="auto"/>
        </w:rPr>
        <w:t>Non-recurring items represent expenses that are typically one-time or non-operational in nature. One-time expenses are comprised primarily of the following items: professional fees related to IPO readiness in the nine months ended September 30, 2021, a pricing study initiated by our sponsors and IPO costs in the year ended December 31, 2020, a sales-tax voluntary disclosure agreement in the period from July 16, 2019 to December 31, 2019, and the costs of exiting certain contracts assumed as part of an acquisition in the period from January 1, 2019 to July 15, 2019.</w:t>
      </w:r>
    </w:p>
    <w:p>
      <w:pPr>
        <w:spacing w:after="0" w:line="299" w:lineRule="exact"/>
        <w:rPr>
          <w:sz w:val="20"/>
          <w:szCs w:val="20"/>
          <w:color w:val="auto"/>
        </w:rPr>
      </w:pPr>
    </w:p>
    <w:p>
      <w:pPr>
        <w:jc w:val="center"/>
        <w:ind w:right="-53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0940"/>
          </w:cols>
          <w:pgMar w:left="320" w:top="459" w:right="639" w:bottom="1440" w:gutter="0" w:footer="0" w:header="0"/>
        </w:sectPr>
      </w:pPr>
    </w:p>
    <w:bookmarkStart w:id="34" w:name="page35"/>
    <w:bookmarkEnd w:id="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Confidential Treatment Requested by Definitive Healthcare Corp.</w:t>
      </w:r>
    </w:p>
    <w:p>
      <w:pPr>
        <w:spacing w:after="0" w:line="27"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Pursuant to 17 C.F.R. Section 200.83</w:t>
      </w:r>
    </w:p>
    <w:p>
      <w:pPr>
        <w:spacing w:after="0" w:line="139"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RISK FACTORS</w:t>
      </w:r>
    </w:p>
    <w:p>
      <w:pPr>
        <w:spacing w:after="0" w:line="229" w:lineRule="exact"/>
        <w:rPr>
          <w:sz w:val="20"/>
          <w:szCs w:val="20"/>
          <w:color w:val="auto"/>
        </w:rPr>
      </w:pPr>
    </w:p>
    <w:p>
      <w:pPr>
        <w:ind w:left="120" w:firstLine="440"/>
        <w:spacing w:after="0" w:line="257" w:lineRule="auto"/>
        <w:rPr>
          <w:sz w:val="20"/>
          <w:szCs w:val="20"/>
          <w:color w:val="auto"/>
        </w:rPr>
      </w:pPr>
      <w:r>
        <w:rPr>
          <w:rFonts w:ascii="Arial" w:cs="Arial" w:eastAsia="Arial" w:hAnsi="Arial"/>
          <w:sz w:val="18"/>
          <w:szCs w:val="18"/>
          <w:i w:val="1"/>
          <w:iCs w:val="1"/>
          <w:color w:val="auto"/>
        </w:rPr>
        <w:t>An investment in our Class A common stock involves a high degree of risk. You should carefully consider each of the following risk factors, as well as other information contained in this prospectus, including “Management’s Discussion and Analysis of Financial Condition and Results of Operations” and our audited consolidated financial statements and related notes, before investing in our Class A common stock. The occurrence of any of the following risks could have a material adverse effect on our business, financial condition and results of operations, in which case the trading price of our Class A common stock could decline and you could lose all or part of your investment.</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Risks Related to Our Business and Industry</w:t>
      </w:r>
    </w:p>
    <w:p>
      <w:pPr>
        <w:spacing w:after="0" w:line="121" w:lineRule="exact"/>
        <w:rPr>
          <w:sz w:val="20"/>
          <w:szCs w:val="20"/>
          <w:color w:val="auto"/>
        </w:rPr>
      </w:pPr>
    </w:p>
    <w:p>
      <w:pPr>
        <w:ind w:left="120" w:right="100"/>
        <w:spacing w:after="0" w:line="308" w:lineRule="auto"/>
        <w:rPr>
          <w:sz w:val="20"/>
          <w:szCs w:val="20"/>
          <w:color w:val="auto"/>
        </w:rPr>
      </w:pPr>
      <w:r>
        <w:rPr>
          <w:rFonts w:ascii="Arial" w:cs="Arial" w:eastAsia="Arial" w:hAnsi="Arial"/>
          <w:sz w:val="17"/>
          <w:szCs w:val="17"/>
          <w:b w:val="1"/>
          <w:bCs w:val="1"/>
          <w:i w:val="1"/>
          <w:iCs w:val="1"/>
          <w:color w:val="auto"/>
        </w:rPr>
        <w:t>We generate substantially all of our revenue and cash flows from sales of subscriptions to our platform and any decline in demand for our platform and the data we offer could have a material adverse effect on our business, financial condition and results of operations.</w:t>
      </w:r>
    </w:p>
    <w:p>
      <w:pPr>
        <w:spacing w:after="0" w:line="38" w:lineRule="exact"/>
        <w:rPr>
          <w:sz w:val="20"/>
          <w:szCs w:val="20"/>
          <w:color w:val="auto"/>
        </w:rPr>
      </w:pPr>
    </w:p>
    <w:p>
      <w:pPr>
        <w:ind w:left="120" w:right="60" w:firstLine="440"/>
        <w:spacing w:after="0" w:line="275" w:lineRule="auto"/>
        <w:rPr>
          <w:sz w:val="20"/>
          <w:szCs w:val="20"/>
          <w:color w:val="auto"/>
        </w:rPr>
      </w:pPr>
      <w:r>
        <w:rPr>
          <w:rFonts w:ascii="Arial" w:cs="Arial" w:eastAsia="Arial" w:hAnsi="Arial"/>
          <w:sz w:val="17"/>
          <w:szCs w:val="17"/>
          <w:color w:val="auto"/>
        </w:rPr>
        <w:t>For the year ended December 31, 2020 and the six months ended June 30, 2021, we derived 99% of our revenue and cash flows from subscription services, and we expect to continue to generate substantially all of our revenue from the sale of subscriptions to our platform. As a result, the continued use of healthcare provider data, sales intelligence and healthcare market analytics by the healthcare ecosystem is critical to our future growth and success. If the healthcare data market fails to grow, or grows more slowly than we currently anticipate, or if there is a decrease in the use of healthcare commercial intelligence, demand for our platform would be negatively affected.</w:t>
      </w:r>
    </w:p>
    <w:p>
      <w:pPr>
        <w:spacing w:after="0" w:line="176" w:lineRule="exact"/>
        <w:rPr>
          <w:sz w:val="20"/>
          <w:szCs w:val="20"/>
          <w:color w:val="auto"/>
        </w:rPr>
      </w:pPr>
    </w:p>
    <w:p>
      <w:pPr>
        <w:ind w:left="120" w:right="200" w:firstLine="440"/>
        <w:spacing w:after="0" w:line="263" w:lineRule="auto"/>
        <w:rPr>
          <w:sz w:val="20"/>
          <w:szCs w:val="20"/>
          <w:color w:val="auto"/>
        </w:rPr>
      </w:pPr>
      <w:r>
        <w:rPr>
          <w:rFonts w:ascii="Arial" w:cs="Arial" w:eastAsia="Arial" w:hAnsi="Arial"/>
          <w:sz w:val="18"/>
          <w:szCs w:val="18"/>
          <w:color w:val="auto"/>
        </w:rPr>
        <w:t>Changes in preferences for healthcare commercial intelligence may have a disproportionately greater impact on us than if we offered diversified solutions. Demand for healthcare data in general, and our platform in particular, is affected by a number of factors, many of which are beyond our control. Some of these factors include:</w:t>
      </w:r>
    </w:p>
    <w:p>
      <w:pPr>
        <w:spacing w:after="0" w:line="89" w:lineRule="exact"/>
        <w:rPr>
          <w:sz w:val="20"/>
          <w:szCs w:val="20"/>
          <w:color w:val="auto"/>
        </w:rPr>
      </w:pPr>
    </w:p>
    <w:p>
      <w:pPr>
        <w:ind w:left="1080" w:right="440" w:hanging="532"/>
        <w:spacing w:after="0" w:line="277" w:lineRule="auto"/>
        <w:tabs>
          <w:tab w:leader="none" w:pos="1080" w:val="left"/>
        </w:tabs>
        <w:numPr>
          <w:ilvl w:val="0"/>
          <w:numId w:val="41"/>
        </w:numPr>
        <w:rPr>
          <w:rFonts w:ascii="Arial" w:cs="Arial" w:eastAsia="Arial" w:hAnsi="Arial"/>
          <w:sz w:val="18"/>
          <w:szCs w:val="18"/>
          <w:color w:val="auto"/>
        </w:rPr>
      </w:pPr>
      <w:r>
        <w:rPr>
          <w:rFonts w:ascii="Arial" w:cs="Arial" w:eastAsia="Arial" w:hAnsi="Arial"/>
          <w:sz w:val="18"/>
          <w:szCs w:val="18"/>
          <w:color w:val="auto"/>
        </w:rPr>
        <w:t>awareness and acceptance of the healthcare commercial intelligence platform category generally, and the growth and evolution of the category and our addressable market;</w:t>
      </w:r>
    </w:p>
    <w:p>
      <w:pPr>
        <w:spacing w:after="0" w:line="75" w:lineRule="exact"/>
        <w:rPr>
          <w:rFonts w:ascii="Arial" w:cs="Arial" w:eastAsia="Arial" w:hAnsi="Arial"/>
          <w:sz w:val="18"/>
          <w:szCs w:val="18"/>
          <w:color w:val="auto"/>
        </w:rPr>
      </w:pPr>
    </w:p>
    <w:p>
      <w:pPr>
        <w:ind w:left="1080" w:hanging="532"/>
        <w:spacing w:after="0"/>
        <w:tabs>
          <w:tab w:leader="none" w:pos="1080" w:val="left"/>
        </w:tabs>
        <w:numPr>
          <w:ilvl w:val="0"/>
          <w:numId w:val="41"/>
        </w:numPr>
        <w:rPr>
          <w:rFonts w:ascii="Arial" w:cs="Arial" w:eastAsia="Arial" w:hAnsi="Arial"/>
          <w:sz w:val="18"/>
          <w:szCs w:val="18"/>
          <w:color w:val="auto"/>
        </w:rPr>
      </w:pPr>
      <w:r>
        <w:rPr>
          <w:rFonts w:ascii="Arial" w:cs="Arial" w:eastAsia="Arial" w:hAnsi="Arial"/>
          <w:sz w:val="18"/>
          <w:szCs w:val="18"/>
          <w:color w:val="auto"/>
        </w:rPr>
        <w:t>availability of products and services that compete with our platform;</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41"/>
        </w:numPr>
        <w:rPr>
          <w:rFonts w:ascii="Arial" w:cs="Arial" w:eastAsia="Arial" w:hAnsi="Arial"/>
          <w:sz w:val="18"/>
          <w:szCs w:val="18"/>
          <w:color w:val="auto"/>
        </w:rPr>
      </w:pPr>
      <w:r>
        <w:rPr>
          <w:rFonts w:ascii="Arial" w:cs="Arial" w:eastAsia="Arial" w:hAnsi="Arial"/>
          <w:sz w:val="18"/>
          <w:szCs w:val="18"/>
          <w:color w:val="auto"/>
        </w:rPr>
        <w:t>brand recognition;</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41"/>
        </w:numPr>
        <w:rPr>
          <w:rFonts w:ascii="Arial" w:cs="Arial" w:eastAsia="Arial" w:hAnsi="Arial"/>
          <w:sz w:val="18"/>
          <w:szCs w:val="18"/>
          <w:color w:val="auto"/>
        </w:rPr>
      </w:pPr>
      <w:r>
        <w:rPr>
          <w:rFonts w:ascii="Arial" w:cs="Arial" w:eastAsia="Arial" w:hAnsi="Arial"/>
          <w:sz w:val="18"/>
          <w:szCs w:val="18"/>
          <w:color w:val="auto"/>
        </w:rPr>
        <w:t>pricing;</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41"/>
        </w:numPr>
        <w:rPr>
          <w:rFonts w:ascii="Arial" w:cs="Arial" w:eastAsia="Arial" w:hAnsi="Arial"/>
          <w:sz w:val="18"/>
          <w:szCs w:val="18"/>
          <w:color w:val="auto"/>
        </w:rPr>
      </w:pPr>
      <w:r>
        <w:rPr>
          <w:rFonts w:ascii="Arial" w:cs="Arial" w:eastAsia="Arial" w:hAnsi="Arial"/>
          <w:sz w:val="18"/>
          <w:szCs w:val="18"/>
          <w:color w:val="auto"/>
        </w:rPr>
        <w:t>ease of adoption and use;</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41"/>
        </w:numPr>
        <w:rPr>
          <w:rFonts w:ascii="Arial" w:cs="Arial" w:eastAsia="Arial" w:hAnsi="Arial"/>
          <w:sz w:val="17"/>
          <w:szCs w:val="17"/>
          <w:color w:val="auto"/>
        </w:rPr>
      </w:pPr>
      <w:r>
        <w:rPr>
          <w:rFonts w:ascii="Arial" w:cs="Arial" w:eastAsia="Arial" w:hAnsi="Arial"/>
          <w:sz w:val="17"/>
          <w:szCs w:val="17"/>
          <w:color w:val="auto"/>
        </w:rPr>
        <w:t>performance, features and user experience, and the development and acceptance of new features, integrations and capabilities;</w:t>
      </w:r>
    </w:p>
    <w:p>
      <w:pPr>
        <w:spacing w:after="0" w:line="142" w:lineRule="exact"/>
        <w:rPr>
          <w:rFonts w:ascii="Arial" w:cs="Arial" w:eastAsia="Arial" w:hAnsi="Arial"/>
          <w:sz w:val="17"/>
          <w:szCs w:val="17"/>
          <w:color w:val="auto"/>
        </w:rPr>
      </w:pPr>
    </w:p>
    <w:p>
      <w:pPr>
        <w:ind w:left="1080" w:hanging="532"/>
        <w:spacing w:after="0"/>
        <w:tabs>
          <w:tab w:leader="none" w:pos="1080" w:val="left"/>
        </w:tabs>
        <w:numPr>
          <w:ilvl w:val="0"/>
          <w:numId w:val="41"/>
        </w:numPr>
        <w:rPr>
          <w:rFonts w:ascii="Arial" w:cs="Arial" w:eastAsia="Arial" w:hAnsi="Arial"/>
          <w:sz w:val="18"/>
          <w:szCs w:val="18"/>
          <w:color w:val="auto"/>
        </w:rPr>
      </w:pPr>
      <w:r>
        <w:rPr>
          <w:rFonts w:ascii="Arial" w:cs="Arial" w:eastAsia="Arial" w:hAnsi="Arial"/>
          <w:sz w:val="18"/>
          <w:szCs w:val="18"/>
          <w:color w:val="auto"/>
        </w:rPr>
        <w:t>ability to consistently procure high-quality and useful data;</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41"/>
        </w:numPr>
        <w:rPr>
          <w:rFonts w:ascii="Arial" w:cs="Arial" w:eastAsia="Arial" w:hAnsi="Arial"/>
          <w:sz w:val="18"/>
          <w:szCs w:val="18"/>
          <w:color w:val="auto"/>
        </w:rPr>
      </w:pPr>
      <w:r>
        <w:rPr>
          <w:rFonts w:ascii="Arial" w:cs="Arial" w:eastAsia="Arial" w:hAnsi="Arial"/>
          <w:sz w:val="18"/>
          <w:szCs w:val="18"/>
          <w:color w:val="auto"/>
        </w:rPr>
        <w:t>the level of customer support we provide;</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41"/>
        </w:numPr>
        <w:rPr>
          <w:rFonts w:ascii="Arial" w:cs="Arial" w:eastAsia="Arial" w:hAnsi="Arial"/>
          <w:sz w:val="18"/>
          <w:szCs w:val="18"/>
          <w:color w:val="auto"/>
        </w:rPr>
      </w:pPr>
      <w:r>
        <w:rPr>
          <w:rFonts w:ascii="Arial" w:cs="Arial" w:eastAsia="Arial" w:hAnsi="Arial"/>
          <w:sz w:val="18"/>
          <w:szCs w:val="18"/>
          <w:color w:val="auto"/>
        </w:rPr>
        <w:t>accessibility across several operating system and applications; and</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41"/>
        </w:numPr>
        <w:rPr>
          <w:rFonts w:ascii="Arial" w:cs="Arial" w:eastAsia="Arial" w:hAnsi="Arial"/>
          <w:sz w:val="18"/>
          <w:szCs w:val="18"/>
          <w:color w:val="auto"/>
        </w:rPr>
      </w:pPr>
      <w:r>
        <w:rPr>
          <w:rFonts w:ascii="Arial" w:cs="Arial" w:eastAsia="Arial" w:hAnsi="Arial"/>
          <w:sz w:val="18"/>
          <w:szCs w:val="18"/>
          <w:color w:val="auto"/>
        </w:rPr>
        <w:t>integration with workflow insights and technologies.</w:t>
      </w:r>
    </w:p>
    <w:p>
      <w:pPr>
        <w:spacing w:after="0" w:line="225" w:lineRule="exact"/>
        <w:rPr>
          <w:sz w:val="20"/>
          <w:szCs w:val="20"/>
          <w:color w:val="auto"/>
        </w:rPr>
      </w:pPr>
    </w:p>
    <w:p>
      <w:pPr>
        <w:ind w:left="120" w:right="240" w:firstLine="440"/>
        <w:spacing w:after="0" w:line="263" w:lineRule="auto"/>
        <w:rPr>
          <w:sz w:val="20"/>
          <w:szCs w:val="20"/>
          <w:color w:val="auto"/>
        </w:rPr>
      </w:pPr>
      <w:r>
        <w:rPr>
          <w:rFonts w:ascii="Arial" w:cs="Arial" w:eastAsia="Arial" w:hAnsi="Arial"/>
          <w:sz w:val="18"/>
          <w:szCs w:val="18"/>
          <w:color w:val="auto"/>
        </w:rPr>
        <w:t>The market in which we operate is subject to rapidly changing user demand and preference trends. Failure to successfully predict and address these trends, meet user demands or achieve more widespread market acceptance of our platform could have a material adverse effect on our business, financial condition and results of operations.</w:t>
      </w:r>
    </w:p>
    <w:p>
      <w:pPr>
        <w:spacing w:after="0" w:line="116" w:lineRule="exact"/>
        <w:rPr>
          <w:sz w:val="20"/>
          <w:szCs w:val="20"/>
          <w:color w:val="auto"/>
        </w:rPr>
      </w:pPr>
    </w:p>
    <w:p>
      <w:pPr>
        <w:jc w:val="center"/>
        <w:ind w:right="-359"/>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120"/>
          </w:cols>
          <w:pgMar w:left="320" w:top="459" w:right="459" w:bottom="1440" w:gutter="0" w:footer="0" w:header="0"/>
        </w:sectPr>
      </w:pPr>
    </w:p>
    <w:bookmarkStart w:id="35" w:name="page36"/>
    <w:bookmarkEnd w:id="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Confidential Treatment Requested by Definitive Healthcare Corp.</w:t>
      </w:r>
    </w:p>
    <w:p>
      <w:pPr>
        <w:spacing w:after="0" w:line="27"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Pursuant to 17 C.F.R. Section 200.83</w:t>
      </w:r>
    </w:p>
    <w:p>
      <w:pPr>
        <w:spacing w:after="0" w:line="143" w:lineRule="exact"/>
        <w:rPr>
          <w:sz w:val="20"/>
          <w:szCs w:val="20"/>
          <w:color w:val="auto"/>
        </w:rPr>
      </w:pPr>
    </w:p>
    <w:p>
      <w:pPr>
        <w:ind w:left="120" w:right="500"/>
        <w:spacing w:after="0" w:line="277" w:lineRule="auto"/>
        <w:rPr>
          <w:sz w:val="20"/>
          <w:szCs w:val="20"/>
          <w:color w:val="auto"/>
        </w:rPr>
      </w:pPr>
      <w:r>
        <w:rPr>
          <w:rFonts w:ascii="Arial" w:cs="Arial" w:eastAsia="Arial" w:hAnsi="Arial"/>
          <w:sz w:val="18"/>
          <w:szCs w:val="18"/>
          <w:b w:val="1"/>
          <w:bCs w:val="1"/>
          <w:i w:val="1"/>
          <w:iCs w:val="1"/>
          <w:color w:val="auto"/>
        </w:rPr>
        <w:t>The market in which we operate is highly competitive, such that if we do not compete effectively, it could have a material adverse effect on our business, financial condition and results of operations.</w:t>
      </w:r>
    </w:p>
    <w:p>
      <w:pPr>
        <w:spacing w:after="0" w:line="62" w:lineRule="exact"/>
        <w:rPr>
          <w:sz w:val="20"/>
          <w:szCs w:val="20"/>
          <w:color w:val="auto"/>
        </w:rPr>
      </w:pPr>
    </w:p>
    <w:p>
      <w:pPr>
        <w:ind w:left="120" w:right="60" w:firstLine="440"/>
        <w:spacing w:after="0" w:line="287" w:lineRule="auto"/>
        <w:rPr>
          <w:sz w:val="20"/>
          <w:szCs w:val="20"/>
          <w:color w:val="auto"/>
        </w:rPr>
      </w:pPr>
      <w:r>
        <w:rPr>
          <w:rFonts w:ascii="Arial" w:cs="Arial" w:eastAsia="Arial" w:hAnsi="Arial"/>
          <w:sz w:val="16"/>
          <w:szCs w:val="16"/>
          <w:color w:val="auto"/>
        </w:rPr>
        <w:t>The market in which we operate is becoming increasingly competitive as large, well-funded organizations in the healthcare ecosystem, including Life Sciences companies, healthcare providers and HCIT companies, among others, develop internal technologies to create healthcare commercial intelligence. Demand for our platform is also price sensitive. Many factors, including our marketing, customer acquisition and technology costs, and the pricing and marketing strategies of our competitors, can significantly affect our pricing strategies. Such competition may result in pricing pressures, reduced profit margins or lost market share, or a failure to grow or maintain our market share, any of which could have a material adverse effect on our business, financial condition and results of operations. Our competitors may expand their operations to internally analyze data relating to the healthcare ecosystem. Many of our competitors have significant competitive advantages over us, including longer operating histories, internal datasets and greater financial, sales and marketing, research and development and other resources. In addition, some of our competitors may make acquisitions or enter into strategic relationships to offer a more comprehensive or affordable range of solutions and platform than we do. We also expect that there will be significant competition as we continue to expand our intelligence modules and enter new verticals. Our inability to compete successfully against our competitors and maintain our gross margin could have a material adverse effect on our business, financial condition and results of operations.</w:t>
      </w:r>
    </w:p>
    <w:p>
      <w:pPr>
        <w:spacing w:after="0" w:line="280" w:lineRule="exact"/>
        <w:rPr>
          <w:sz w:val="20"/>
          <w:szCs w:val="20"/>
          <w:color w:val="auto"/>
        </w:rPr>
      </w:pPr>
    </w:p>
    <w:p>
      <w:pPr>
        <w:ind w:left="120"/>
        <w:spacing w:after="0"/>
        <w:rPr>
          <w:sz w:val="20"/>
          <w:szCs w:val="20"/>
          <w:color w:val="auto"/>
        </w:rPr>
      </w:pPr>
      <w:r>
        <w:rPr>
          <w:rFonts w:ascii="Arial" w:cs="Arial" w:eastAsia="Arial" w:hAnsi="Arial"/>
          <w:sz w:val="15"/>
          <w:szCs w:val="15"/>
          <w:b w:val="1"/>
          <w:bCs w:val="1"/>
          <w:i w:val="1"/>
          <w:iCs w:val="1"/>
          <w:color w:val="auto"/>
        </w:rPr>
        <w:t>If we fail to respond to advances in healthcare commercial intelligence, competitors could surpass the depth, breadth or accuracy of our platform.</w:t>
      </w:r>
    </w:p>
    <w:p>
      <w:pPr>
        <w:spacing w:after="0" w:line="152" w:lineRule="exact"/>
        <w:rPr>
          <w:sz w:val="20"/>
          <w:szCs w:val="20"/>
          <w:color w:val="auto"/>
        </w:rPr>
      </w:pPr>
    </w:p>
    <w:p>
      <w:pPr>
        <w:ind w:left="120" w:firstLine="440"/>
        <w:spacing w:after="0" w:line="288" w:lineRule="auto"/>
        <w:rPr>
          <w:sz w:val="20"/>
          <w:szCs w:val="20"/>
          <w:color w:val="auto"/>
        </w:rPr>
      </w:pPr>
      <w:r>
        <w:rPr>
          <w:rFonts w:ascii="Arial" w:cs="Arial" w:eastAsia="Arial" w:hAnsi="Arial"/>
          <w:sz w:val="16"/>
          <w:szCs w:val="16"/>
          <w:color w:val="auto"/>
        </w:rPr>
        <w:t>Current or future competitors may seek to develop new solutions for more efficiently transforming, cleansing and linking data and creating healthcare commercial intelligence. Such actions may enable a competitor to create a platform that is comparable or superior to ours, that takes substantial market share from us, or that creates or maintains healthcare commercial intelligence at a lower cost than we currently provide. We expect continuous improvements in computer hardware, network operating systems, programming tools, programming languages, operating systems, data matching, data filtering, data predicting and other database technologies and the use of the Internet. These improvements, as well as changes in customer preferences or regulatory requirements, may require changes in the technology used to process and analyze data. Our future success will depend, in part, upon our ability to internally develop and implement new and competitive intelligence modules and features, use third-party technologies to source data effectively, and respond to advances in healthcare commercial intelligence. If we fail to respond to changes in healthcare commercial intelligence, our competitors may be able to develop solutions that will take market share from us, and the demand for our platform, the delivery of our solutions or our market reputation could be adversely impacted, which could have a material adverse effect on our business, financial condition and results of operations.</w:t>
      </w:r>
    </w:p>
    <w:p>
      <w:pPr>
        <w:spacing w:after="0" w:line="276" w:lineRule="exact"/>
        <w:rPr>
          <w:sz w:val="20"/>
          <w:szCs w:val="20"/>
          <w:color w:val="auto"/>
        </w:rPr>
      </w:pPr>
    </w:p>
    <w:p>
      <w:pPr>
        <w:ind w:left="120"/>
        <w:spacing w:after="0"/>
        <w:rPr>
          <w:sz w:val="20"/>
          <w:szCs w:val="20"/>
          <w:color w:val="auto"/>
        </w:rPr>
      </w:pPr>
      <w:r>
        <w:rPr>
          <w:rFonts w:ascii="Arial" w:cs="Arial" w:eastAsia="Arial" w:hAnsi="Arial"/>
          <w:sz w:val="16"/>
          <w:szCs w:val="16"/>
          <w:b w:val="1"/>
          <w:bCs w:val="1"/>
          <w:i w:val="1"/>
          <w:iCs w:val="1"/>
          <w:color w:val="auto"/>
        </w:rPr>
        <w:t>If we are not able to obtain and maintain accurate, comprehensive or reliable data, we could experience reduced demand for our platform.</w:t>
      </w:r>
    </w:p>
    <w:p>
      <w:pPr>
        <w:spacing w:after="0" w:line="140" w:lineRule="exact"/>
        <w:rPr>
          <w:sz w:val="20"/>
          <w:szCs w:val="20"/>
          <w:color w:val="auto"/>
        </w:rPr>
      </w:pPr>
    </w:p>
    <w:p>
      <w:pPr>
        <w:ind w:left="120" w:right="100" w:firstLine="440"/>
        <w:spacing w:after="0" w:line="269" w:lineRule="auto"/>
        <w:rPr>
          <w:sz w:val="20"/>
          <w:szCs w:val="20"/>
          <w:color w:val="auto"/>
        </w:rPr>
      </w:pPr>
      <w:r>
        <w:rPr>
          <w:rFonts w:ascii="Arial" w:cs="Arial" w:eastAsia="Arial" w:hAnsi="Arial"/>
          <w:sz w:val="17"/>
          <w:szCs w:val="17"/>
          <w:color w:val="auto"/>
        </w:rPr>
        <w:t>The healthcare landscape is complex, opaque and evolving and our success depends in large part on our customers’ confidence in the depth, breadth and accuracy of our data and analytics. The task of providing a comprehensive view of the healthcare ecosystem, including information on healthcare providers, physicians and how they are affiliated and interconnected, how they refer patients to each other, the quality of care they provide and procedure and diagnosis volumes, is challenging and expensive. Many of our contracts with our customers include a contractual right pursuant to which our customers may unilaterally terminate their subscription with us and we could be obligated to reimburse certain payments if customers experience any issues with the availability of the platform. Unavailability of our platform for scheduled maintenance does not trigger the termination right. If the data we obtain from third parties and our own first party research cannot be obtained on a timely basis, or at all, or maintained, customers may be dissatisfied with our platform reducing the likelihood of customers to renew or upgrade their subscriptions. In addition, if we are no longer able to maintain accuracy in our data and analytics, we may face legal claims by our customers, which could have a material adverse effect on our business, financial condition and results of operations.</w:t>
      </w:r>
    </w:p>
    <w:p>
      <w:pPr>
        <w:spacing w:after="0" w:line="118" w:lineRule="exact"/>
        <w:rPr>
          <w:sz w:val="20"/>
          <w:szCs w:val="20"/>
          <w:color w:val="auto"/>
        </w:rPr>
      </w:pPr>
    </w:p>
    <w:p>
      <w:pPr>
        <w:jc w:val="center"/>
        <w:ind w:right="-359"/>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120"/>
          </w:cols>
          <w:pgMar w:left="320" w:top="459" w:right="459" w:bottom="1440" w:gutter="0" w:footer="0" w:header="0"/>
        </w:sectPr>
      </w:pPr>
    </w:p>
    <w:bookmarkStart w:id="36" w:name="page37"/>
    <w:bookmarkEnd w:id="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Confidential Treatment Requested by Definitive Healthcare Corp.</w:t>
      </w:r>
    </w:p>
    <w:p>
      <w:pPr>
        <w:spacing w:after="0" w:line="27"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Pursuant to 17 C.F.R. Section 200.83</w:t>
      </w:r>
    </w:p>
    <w:p>
      <w:pPr>
        <w:spacing w:after="0" w:line="143"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We have experienced rapid growth in recent periods, and our recent growth rates may not be indicative of our future growth.</w:t>
      </w:r>
    </w:p>
    <w:p>
      <w:pPr>
        <w:spacing w:after="0" w:line="117" w:lineRule="exact"/>
        <w:rPr>
          <w:sz w:val="20"/>
          <w:szCs w:val="20"/>
          <w:color w:val="auto"/>
        </w:rPr>
      </w:pPr>
    </w:p>
    <w:p>
      <w:pPr>
        <w:ind w:left="560"/>
        <w:spacing w:after="0"/>
        <w:rPr>
          <w:sz w:val="20"/>
          <w:szCs w:val="20"/>
          <w:color w:val="auto"/>
        </w:rPr>
      </w:pPr>
      <w:r>
        <w:rPr>
          <w:rFonts w:ascii="Arial" w:cs="Arial" w:eastAsia="Arial" w:hAnsi="Arial"/>
          <w:sz w:val="16"/>
          <w:szCs w:val="16"/>
          <w:color w:val="auto"/>
        </w:rPr>
        <w:t>We have experienced rapid organic and acquisition-driven growth in recent periods. For the year ended December 31, 2020, our revenue was</w:t>
      </w:r>
    </w:p>
    <w:p>
      <w:pPr>
        <w:spacing w:after="0" w:line="46" w:lineRule="exact"/>
        <w:rPr>
          <w:sz w:val="20"/>
          <w:szCs w:val="20"/>
          <w:color w:val="auto"/>
        </w:rPr>
      </w:pPr>
    </w:p>
    <w:p>
      <w:pPr>
        <w:ind w:left="120"/>
        <w:spacing w:after="0"/>
        <w:rPr>
          <w:sz w:val="20"/>
          <w:szCs w:val="20"/>
          <w:color w:val="auto"/>
        </w:rPr>
      </w:pPr>
      <w:r>
        <w:rPr>
          <w:rFonts w:ascii="Arial" w:cs="Arial" w:eastAsia="Arial" w:hAnsi="Arial"/>
          <w:sz w:val="17"/>
          <w:szCs w:val="17"/>
          <w:color w:val="auto"/>
        </w:rPr>
        <w:t>$118.3 million, an increase of 38% as compared to our revenue of $85.5 million for the year ended December 31, 2019. For the six months ended</w:t>
      </w:r>
    </w:p>
    <w:p>
      <w:pPr>
        <w:spacing w:after="0" w:line="21" w:lineRule="exact"/>
        <w:rPr>
          <w:sz w:val="20"/>
          <w:szCs w:val="20"/>
          <w:color w:val="auto"/>
        </w:rPr>
      </w:pPr>
    </w:p>
    <w:p>
      <w:pPr>
        <w:ind w:left="120"/>
        <w:spacing w:after="0"/>
        <w:rPr>
          <w:sz w:val="20"/>
          <w:szCs w:val="20"/>
          <w:color w:val="auto"/>
        </w:rPr>
      </w:pPr>
      <w:r>
        <w:rPr>
          <w:rFonts w:ascii="Arial" w:cs="Arial" w:eastAsia="Arial" w:hAnsi="Arial"/>
          <w:sz w:val="16"/>
          <w:szCs w:val="16"/>
          <w:color w:val="auto"/>
        </w:rPr>
        <w:t>June 30, 2021, our revenue was $76.8 million, an increase of 41% as compared to our revenue of $54.6 million for the six months ended June 30, 2020.</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6"/>
          <w:szCs w:val="16"/>
          <w:color w:val="auto"/>
        </w:rPr>
        <w:t>We cannot guarantee that we will sustain our recent revenue growth rate in future periods. Further, as we operate in a new and rapidly changing market,</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6"/>
          <w:szCs w:val="16"/>
          <w:color w:val="auto"/>
        </w:rPr>
        <w:t>widespread acceptance and use of our platform is critical to our future growth and success. Our revenue growth may slow or our revenue may decline</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6"/>
          <w:szCs w:val="16"/>
          <w:color w:val="auto"/>
        </w:rPr>
        <w:t>for a number of other reasons, including reduced demand for our platform, increased competition, a decrease in the growth or reduction in size of our</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8"/>
          <w:szCs w:val="18"/>
          <w:color w:val="auto"/>
        </w:rPr>
        <w:t>overall market, the impacts to our business from the COVID-19 pandemic, or if we cannot capitalize on growth opportunities.</w:t>
      </w:r>
    </w:p>
    <w:p>
      <w:pPr>
        <w:spacing w:after="0" w:line="211" w:lineRule="exact"/>
        <w:rPr>
          <w:sz w:val="20"/>
          <w:szCs w:val="20"/>
          <w:color w:val="auto"/>
        </w:rPr>
      </w:pPr>
    </w:p>
    <w:p>
      <w:pPr>
        <w:ind w:left="120" w:right="20" w:firstLine="440"/>
        <w:spacing w:after="0" w:line="273" w:lineRule="auto"/>
        <w:rPr>
          <w:sz w:val="20"/>
          <w:szCs w:val="20"/>
          <w:color w:val="auto"/>
        </w:rPr>
      </w:pPr>
      <w:r>
        <w:rPr>
          <w:rFonts w:ascii="Arial" w:cs="Arial" w:eastAsia="Arial" w:hAnsi="Arial"/>
          <w:sz w:val="17"/>
          <w:szCs w:val="17"/>
          <w:color w:val="auto"/>
        </w:rPr>
        <w:t>We expect our operating expenses to increase in future periods, and if our revenue growth does not increase to offset these anticipated increases in our operating expenses, it will have a material adverse effect on our business, financial condition and results of operations and we may not be able to achieve or maintain profitability. Further, our rapid growth may make it difficult to evaluate our future prospects. Our ability to forecast our future results of operations is subject to a number of uncertainties, including our ability to effectively plan for and model future growth. If we fail to achieve the necessary level of efficiency in our organization as it grows, or if we are not able to accurately forecast future growth, it could have a material adverse effect on our business, financial condition and results of operations.</w:t>
      </w:r>
    </w:p>
    <w:p>
      <w:pPr>
        <w:spacing w:after="0" w:line="286" w:lineRule="exact"/>
        <w:rPr>
          <w:sz w:val="20"/>
          <w:szCs w:val="20"/>
          <w:color w:val="auto"/>
        </w:rPr>
      </w:pPr>
    </w:p>
    <w:p>
      <w:pPr>
        <w:ind w:left="120"/>
        <w:spacing w:after="0"/>
        <w:rPr>
          <w:sz w:val="20"/>
          <w:szCs w:val="20"/>
          <w:color w:val="auto"/>
        </w:rPr>
      </w:pPr>
      <w:r>
        <w:rPr>
          <w:rFonts w:ascii="Arial" w:cs="Arial" w:eastAsia="Arial" w:hAnsi="Arial"/>
          <w:sz w:val="17"/>
          <w:szCs w:val="17"/>
          <w:b w:val="1"/>
          <w:bCs w:val="1"/>
          <w:i w:val="1"/>
          <w:iCs w:val="1"/>
          <w:color w:val="auto"/>
        </w:rPr>
        <w:t>We may not achieve or sustain profitability in the future compared to historical levels as we increase investments in our business.</w:t>
      </w:r>
    </w:p>
    <w:p>
      <w:pPr>
        <w:spacing w:after="0" w:line="129" w:lineRule="exact"/>
        <w:rPr>
          <w:sz w:val="20"/>
          <w:szCs w:val="20"/>
          <w:color w:val="auto"/>
        </w:rPr>
      </w:pPr>
    </w:p>
    <w:p>
      <w:pPr>
        <w:ind w:left="120" w:firstLine="440"/>
        <w:spacing w:after="0" w:line="286" w:lineRule="auto"/>
        <w:rPr>
          <w:sz w:val="20"/>
          <w:szCs w:val="20"/>
          <w:color w:val="auto"/>
        </w:rPr>
      </w:pPr>
      <w:r>
        <w:rPr>
          <w:rFonts w:ascii="Arial" w:cs="Arial" w:eastAsia="Arial" w:hAnsi="Arial"/>
          <w:sz w:val="16"/>
          <w:szCs w:val="16"/>
          <w:color w:val="auto"/>
        </w:rPr>
        <w:t>We have incurred operating losses in the past and may continue to incur net losses in the future. For the year ended December 31, 2020, we had a net loss of $51.2 million, compared to a net loss of $36.4 million for the year ended December 31, 2019. For the six months ended June 30, 2021, we had a net loss of $25.5 million, compared to a net loss of $25.3 million for the six months ended June 30, 2020. We expect our operating expenses to increase in the future as we invest capital to make acquisitions, develop new features, add to our existing intelligence modules and invest in new products and data sources. Further, our administrative costs will significantly increase relative to prior periods due to the incremental costs associated with operating as a public company, including corporate insurance costs, additional accounting and legal expenses, and additional resources associated with controls, reporting, and disclosure. We may not be able to achieve or sustain profitability in subsequent periods. Our efforts to grow our business may be more costly than we expect and we may not be able to increase our revenue enough to offset higher operating expenses. We may incur significant losses in the future for a number of reasons, including as a result of unforeseen expenses, difficulties, complications and delays, the other risks described in this prospectus and other unknown events. The amount of any future net losses will depend, in part, on the growth of our future expenses and our ability to generate revenue. If we incur losses in the future, any such future losses will have an adverse effect on our stockholders’ equity and working capital. If we are unable to achieve or sustain profitability, the market price of our Class A common stock may significantly decrease and our ability to raise capital, expand our business or continue our operations may be impaired. A decline in the price of our Class A common stock may cause you to lose all or part of your investment.</w:t>
      </w:r>
    </w:p>
    <w:p>
      <w:pPr>
        <w:spacing w:after="0" w:line="279" w:lineRule="exact"/>
        <w:rPr>
          <w:sz w:val="20"/>
          <w:szCs w:val="20"/>
          <w:color w:val="auto"/>
        </w:rPr>
      </w:pPr>
    </w:p>
    <w:p>
      <w:pPr>
        <w:ind w:left="120" w:right="660"/>
        <w:spacing w:after="0" w:line="277" w:lineRule="auto"/>
        <w:rPr>
          <w:sz w:val="20"/>
          <w:szCs w:val="20"/>
          <w:color w:val="auto"/>
        </w:rPr>
      </w:pPr>
      <w:r>
        <w:rPr>
          <w:rFonts w:ascii="Arial" w:cs="Arial" w:eastAsia="Arial" w:hAnsi="Arial"/>
          <w:sz w:val="18"/>
          <w:szCs w:val="18"/>
          <w:b w:val="1"/>
          <w:bCs w:val="1"/>
          <w:i w:val="1"/>
          <w:iCs w:val="1"/>
          <w:color w:val="auto"/>
        </w:rPr>
        <w:t>We could lose our access to our data providers, which could negatively impact our platform and could have a material adverse effect on our business, financial condition and results of operations.</w:t>
      </w:r>
    </w:p>
    <w:p>
      <w:pPr>
        <w:spacing w:after="0" w:line="62" w:lineRule="exact"/>
        <w:rPr>
          <w:sz w:val="20"/>
          <w:szCs w:val="20"/>
          <w:color w:val="auto"/>
        </w:rPr>
      </w:pPr>
    </w:p>
    <w:p>
      <w:pPr>
        <w:ind w:left="120" w:right="160" w:firstLine="440"/>
        <w:spacing w:after="0" w:line="311" w:lineRule="auto"/>
        <w:rPr>
          <w:sz w:val="20"/>
          <w:szCs w:val="20"/>
          <w:color w:val="auto"/>
        </w:rPr>
      </w:pPr>
      <w:r>
        <w:rPr>
          <w:rFonts w:ascii="Arial" w:cs="Arial" w:eastAsia="Arial" w:hAnsi="Arial"/>
          <w:sz w:val="16"/>
          <w:szCs w:val="16"/>
          <w:color w:val="auto"/>
        </w:rPr>
        <w:t>Our platform depends extensively upon continued access to and receipt of data from external sources, including real-time claims data, as well as data received from customers, strategic partners and various government and public records repositories. In some cases, we compete with our data providers. Our data providers could stop providing data, provide outdated data or inaccurate data or increase the costs for their data</w:t>
      </w:r>
    </w:p>
    <w:p>
      <w:pPr>
        <w:spacing w:after="0" w:line="81" w:lineRule="exact"/>
        <w:rPr>
          <w:sz w:val="20"/>
          <w:szCs w:val="20"/>
          <w:color w:val="auto"/>
        </w:rPr>
      </w:pPr>
    </w:p>
    <w:p>
      <w:pPr>
        <w:jc w:val="center"/>
        <w:ind w:right="-379"/>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100"/>
          </w:cols>
          <w:pgMar w:left="320" w:top="459" w:right="479" w:bottom="1440" w:gutter="0" w:footer="0" w:header="0"/>
        </w:sectPr>
      </w:pPr>
    </w:p>
    <w:bookmarkStart w:id="37" w:name="page38"/>
    <w:bookmarkEnd w:id="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Confidential Treatment Requested by Definitive Healthcare Corp.</w:t>
      </w:r>
    </w:p>
    <w:p>
      <w:pPr>
        <w:spacing w:after="0" w:line="27"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Pursuant to 17 C.F.R. Section 200.83</w:t>
      </w:r>
    </w:p>
    <w:p>
      <w:pPr>
        <w:spacing w:after="0" w:line="143" w:lineRule="exact"/>
        <w:rPr>
          <w:sz w:val="20"/>
          <w:szCs w:val="20"/>
          <w:color w:val="auto"/>
        </w:rPr>
      </w:pPr>
    </w:p>
    <w:p>
      <w:pPr>
        <w:ind w:left="120" w:right="60"/>
        <w:spacing w:after="0" w:line="270" w:lineRule="auto"/>
        <w:rPr>
          <w:sz w:val="20"/>
          <w:szCs w:val="20"/>
          <w:color w:val="auto"/>
        </w:rPr>
      </w:pPr>
      <w:r>
        <w:rPr>
          <w:rFonts w:ascii="Arial" w:cs="Arial" w:eastAsia="Arial" w:hAnsi="Arial"/>
          <w:sz w:val="17"/>
          <w:szCs w:val="17"/>
          <w:color w:val="auto"/>
        </w:rPr>
        <w:t>for a variety of reasons, including a perception that our systems are insecure as a result of a data security breach, budgetary constraints, a desire to generate additional revenue or for regulatory or competitive reasons. We could also become subject to increased legislative, regulatory or judicial restrictions or mandates on the collection, disclosure or use of such data, in particular if such data is not collected by our data providers in a way that allows us to legally use the data. If we were to lose access to this external data, either temporarily or permanently, or if our access or use were restricted or were to become less economical or desirable, our ability to provide the full breadth of our healthcare commercial intelligence on our platform could be negatively impacted, which could have a material adverse effect on our business, financial condition and results of operations. We cannot provide assurance that we will be successful in maintaining our relationships with these external data providers or that we will be able to continue to obtain data from them on acceptable terms or at all. Further, we cannot provide assurance that we will be able to obtain adequate data on commercially acceptable terms from alternative sources if our current sources become unavailable.</w:t>
      </w:r>
    </w:p>
    <w:p>
      <w:pPr>
        <w:spacing w:after="0" w:line="289" w:lineRule="exact"/>
        <w:rPr>
          <w:sz w:val="20"/>
          <w:szCs w:val="20"/>
          <w:color w:val="auto"/>
        </w:rPr>
      </w:pPr>
    </w:p>
    <w:p>
      <w:pPr>
        <w:ind w:left="120" w:right="60"/>
        <w:spacing w:after="0" w:line="279" w:lineRule="auto"/>
        <w:rPr>
          <w:sz w:val="20"/>
          <w:szCs w:val="20"/>
          <w:color w:val="auto"/>
        </w:rPr>
      </w:pPr>
      <w:r>
        <w:rPr>
          <w:rFonts w:ascii="Arial" w:cs="Arial" w:eastAsia="Arial" w:hAnsi="Arial"/>
          <w:sz w:val="17"/>
          <w:szCs w:val="17"/>
          <w:b w:val="1"/>
          <w:bCs w:val="1"/>
          <w:i w:val="1"/>
          <w:iCs w:val="1"/>
          <w:color w:val="auto"/>
        </w:rPr>
        <w:t>Our ability to introduce new features, intelligence modules, updates, integrations, capabilities and enhancements to our existing platform is dependent on innovation and our research and product development resources. If our investments in innovation do not translate into material enhancements to our platform or if those investments are more costly than we expect, we may not be able to effectively compete, which could have a material adverse effect on our business, financial condition and results of operations.</w:t>
      </w:r>
    </w:p>
    <w:p>
      <w:pPr>
        <w:spacing w:after="0" w:line="63" w:lineRule="exact"/>
        <w:rPr>
          <w:sz w:val="20"/>
          <w:szCs w:val="20"/>
          <w:color w:val="auto"/>
        </w:rPr>
      </w:pPr>
    </w:p>
    <w:p>
      <w:pPr>
        <w:ind w:left="120" w:right="100" w:firstLine="440"/>
        <w:spacing w:after="0" w:line="287" w:lineRule="auto"/>
        <w:rPr>
          <w:sz w:val="20"/>
          <w:szCs w:val="20"/>
          <w:color w:val="auto"/>
        </w:rPr>
      </w:pPr>
      <w:r>
        <w:rPr>
          <w:rFonts w:ascii="Arial" w:cs="Arial" w:eastAsia="Arial" w:hAnsi="Arial"/>
          <w:sz w:val="16"/>
          <w:szCs w:val="16"/>
          <w:color w:val="auto"/>
        </w:rPr>
        <w:t>Our ability to compete effectively and to attract new customers and increase revenue from existing customers depends in large part on our ability to continually enhance and improve our platform and the features, intelligence modules and capabilities we offer. It also requires the introduction of compelling new features, intelligence modules and capabilities that reflect the changing nature of our market to maintain and improve the quality and value of our platform, which depends on our ability to continue investing in innovation and our successful execution and our efforts to improve and enhance our platform. The success of any enhancement to our platform depends on several factors, including availability, frequent updates, analytics reflecting current healthcare commercial intelligence, competitive pricing, adequate quality testing, integration with existing technologies and overall market acceptance. Any new features, integrations or capabilities that we develop may not be introduced in a timely or cost-effective manner, may contain errors, failures, vulnerabilities or bugs or may not achieve the market acceptance necessary to generate significant revenue. Maintaining adequate research and product development resources, such as the appropriate personnel and development technology, to meet the demands of the market is essential. Moreover, innovation can be technically challenging and expensive. If we are unable to successfully develop new features, integrations and capabilities to enhance our platform to meet the requirements of current and prospective customers or otherwise gain widespread market acceptance, it could have a material adverse effect on our business, financial condition and results of operations.</w:t>
      </w:r>
    </w:p>
    <w:p>
      <w:pPr>
        <w:spacing w:after="0" w:line="168" w:lineRule="exact"/>
        <w:rPr>
          <w:sz w:val="20"/>
          <w:szCs w:val="20"/>
          <w:color w:val="auto"/>
        </w:rPr>
      </w:pPr>
    </w:p>
    <w:p>
      <w:pPr>
        <w:ind w:left="120" w:right="80" w:firstLine="440"/>
        <w:spacing w:after="0" w:line="301" w:lineRule="auto"/>
        <w:rPr>
          <w:sz w:val="20"/>
          <w:szCs w:val="20"/>
          <w:color w:val="auto"/>
        </w:rPr>
      </w:pPr>
      <w:r>
        <w:rPr>
          <w:rFonts w:ascii="Arial" w:cs="Arial" w:eastAsia="Arial" w:hAnsi="Arial"/>
          <w:sz w:val="16"/>
          <w:szCs w:val="16"/>
          <w:color w:val="auto"/>
        </w:rPr>
        <w:t>Further, our competitors may expend more resources on their respective innovation programs or may be acquired by larger companies that would allocate greater resources to our competitors’ innovation programs or our competitors may be more efficient and/or successful in their innovation activities. Our failure to continue to innovate or to effectively compete with the innovation programs of larger, better-funded companies would give an advantage to such competitors and could have a material adverse effect on our business, financial condition and results of operations.</w:t>
      </w:r>
    </w:p>
    <w:p>
      <w:pPr>
        <w:spacing w:after="0" w:line="265" w:lineRule="exact"/>
        <w:rPr>
          <w:sz w:val="20"/>
          <w:szCs w:val="20"/>
          <w:color w:val="auto"/>
        </w:rPr>
      </w:pPr>
    </w:p>
    <w:p>
      <w:pPr>
        <w:ind w:left="120" w:right="280"/>
        <w:spacing w:after="0" w:line="277" w:lineRule="auto"/>
        <w:rPr>
          <w:sz w:val="20"/>
          <w:szCs w:val="20"/>
          <w:color w:val="auto"/>
        </w:rPr>
      </w:pPr>
      <w:r>
        <w:rPr>
          <w:rFonts w:ascii="Arial" w:cs="Arial" w:eastAsia="Arial" w:hAnsi="Arial"/>
          <w:sz w:val="18"/>
          <w:szCs w:val="18"/>
          <w:b w:val="1"/>
          <w:bCs w:val="1"/>
          <w:i w:val="1"/>
          <w:iCs w:val="1"/>
          <w:color w:val="auto"/>
        </w:rPr>
        <w:t>If we are unable to attract new customers and expand subscriptions of current customers, our revenue growth and financial performance will be negatively impacted.</w:t>
      </w:r>
    </w:p>
    <w:p>
      <w:pPr>
        <w:spacing w:after="0" w:line="62" w:lineRule="exact"/>
        <w:rPr>
          <w:sz w:val="20"/>
          <w:szCs w:val="20"/>
          <w:color w:val="auto"/>
        </w:rPr>
      </w:pPr>
    </w:p>
    <w:p>
      <w:pPr>
        <w:ind w:left="120" w:firstLine="440"/>
        <w:spacing w:after="0" w:line="257" w:lineRule="auto"/>
        <w:rPr>
          <w:sz w:val="20"/>
          <w:szCs w:val="20"/>
          <w:color w:val="auto"/>
        </w:rPr>
      </w:pPr>
      <w:r>
        <w:rPr>
          <w:rFonts w:ascii="Arial" w:cs="Arial" w:eastAsia="Arial" w:hAnsi="Arial"/>
          <w:sz w:val="18"/>
          <w:szCs w:val="18"/>
          <w:color w:val="auto"/>
        </w:rPr>
        <w:t>To increase our revenue and achieve profitability, we must retain and grow the subscriptions of existing customers and attract new customers. We price our services on a tiered subscription-based model that allows our customers to choose a core plan based on their needs and the customer subscribes to the platform on a per user per month basis. Customers can then add users and intelligence modules for additional monthly rates depending on their individual needs. We seek to expand existing customer subscriptions by adding new customers and intelligence modules, including through expanding the adoption of our platform into other departments within</w:t>
      </w:r>
    </w:p>
    <w:p>
      <w:pPr>
        <w:spacing w:after="0" w:line="120" w:lineRule="exact"/>
        <w:rPr>
          <w:sz w:val="20"/>
          <w:szCs w:val="20"/>
          <w:color w:val="auto"/>
        </w:rPr>
      </w:pPr>
    </w:p>
    <w:p>
      <w:pPr>
        <w:jc w:val="center"/>
        <w:ind w:right="-359"/>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100"/>
          </w:cols>
          <w:pgMar w:left="320" w:top="459" w:right="479" w:bottom="1440" w:gutter="0" w:footer="0" w:header="0"/>
        </w:sectPr>
      </w:pPr>
    </w:p>
    <w:bookmarkStart w:id="38" w:name="page39"/>
    <w:bookmarkEnd w:id="3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Confidential Treatment Requested by Definitive Healthcare Corp.</w:t>
      </w:r>
    </w:p>
    <w:p>
      <w:pPr>
        <w:spacing w:after="0" w:line="27"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Pursuant to 17 C.F.R. Section 200.83</w:t>
      </w:r>
    </w:p>
    <w:p>
      <w:pPr>
        <w:spacing w:after="0" w:line="143" w:lineRule="exact"/>
        <w:rPr>
          <w:sz w:val="20"/>
          <w:szCs w:val="20"/>
          <w:color w:val="auto"/>
        </w:rPr>
      </w:pPr>
    </w:p>
    <w:p>
      <w:pPr>
        <w:ind w:left="120"/>
        <w:spacing w:after="0" w:line="272" w:lineRule="auto"/>
        <w:rPr>
          <w:sz w:val="20"/>
          <w:szCs w:val="20"/>
          <w:color w:val="auto"/>
        </w:rPr>
      </w:pPr>
      <w:r>
        <w:rPr>
          <w:rFonts w:ascii="Arial" w:cs="Arial" w:eastAsia="Arial" w:hAnsi="Arial"/>
          <w:sz w:val="17"/>
          <w:szCs w:val="17"/>
          <w:color w:val="auto"/>
        </w:rPr>
        <w:t>existing customers. We do not know whether we will continue to achieve similar customer acquisition, retention and subscription growth rates in future periods as we have in the past. Numerous factors may impede our ability to add new customers and retain and expand existing customer subscriptions, including failure to hire effective sales personnel, adequately train new sales personnel, provide a high-quality customer experience and ensure the effectiveness of our go-to-market programs that drive customer referrals. Additionally, increasing our sales to enterprise organizations (both existing and prospective customers) requires increasingly sophisticated and costly sales and account management efforts targeted at senior management and other personnel. If our efforts to sell to enterprise organizations are not successful or do not generate additional revenue, our growth will suffer, which could have a material adverse effect on our business, financial condition and results of operations.</w:t>
      </w:r>
    </w:p>
    <w:p>
      <w:pPr>
        <w:spacing w:after="0" w:line="177" w:lineRule="exact"/>
        <w:rPr>
          <w:sz w:val="20"/>
          <w:szCs w:val="20"/>
          <w:color w:val="auto"/>
        </w:rPr>
      </w:pPr>
    </w:p>
    <w:p>
      <w:pPr>
        <w:ind w:left="120" w:firstLine="440"/>
        <w:spacing w:after="0" w:line="286" w:lineRule="auto"/>
        <w:rPr>
          <w:sz w:val="20"/>
          <w:szCs w:val="20"/>
          <w:color w:val="auto"/>
        </w:rPr>
      </w:pPr>
      <w:r>
        <w:rPr>
          <w:rFonts w:ascii="Arial" w:cs="Arial" w:eastAsia="Arial" w:hAnsi="Arial"/>
          <w:sz w:val="16"/>
          <w:szCs w:val="16"/>
          <w:color w:val="auto"/>
        </w:rPr>
        <w:t>Moreover, our business is subscription-based, and therefore our customers are not obligated to and may not renew their subscriptions after their existing subscriptions expire or may renew at a lower price, including if such customers choose to reduce the intelligence modules to which they have access or reduce their number of users. Most of our subscriptions are sold for multi-year terms, though some organizations purchase a one-year subscription plan. While our subscription agreements typically provide for automatic renewal, our customers may opt-out of automatic renewal and customers have no obligation to renew a subscription after the expiration of the term. Our customers may or may not renew their subscriptions as a result of a number of factors, including their satisfaction or dissatisfaction with our platform, decreases in the number of users at the organization, our pricing or pricing structure, the pricing or capabilities of the products and services offered by our competitors, the effects of economic conditions (including as a result of general economic downturns as a result of the COVID-19 pandemic) or reductions in our paying customers’ spending levels. Our contracts typically require advance notice to terminate a contract in the absence of a default by the Company. In addition, our customers may renew for shorter contract lengths if they were previously on multi-year contracts or switch to lower cost offerings of our platform. Our attrition rates may increase or fluctuate as a result of a number of factors, including customer dissatisfaction with our services, customers’ spending levels, mix of customer base, decreases in the number of users at our customers, competition, pricing increases or changing or deteriorating general economic conditions. If customers do not renew their subscriptions or renew on less favorable terms, we fail to add more users, or if we fail to expand subscriptions of existing customers, our revenue may decline or grow less quickly than anticipated and we may not be able to achieve our anticipated LTV from our customer relationships, which could have a material adverse effect on our business, financial condition and results of operations.</w:t>
      </w:r>
    </w:p>
    <w:p>
      <w:pPr>
        <w:spacing w:after="0" w:line="275" w:lineRule="exact"/>
        <w:rPr>
          <w:sz w:val="20"/>
          <w:szCs w:val="20"/>
          <w:color w:val="auto"/>
        </w:rPr>
      </w:pPr>
    </w:p>
    <w:p>
      <w:pPr>
        <w:ind w:left="120" w:right="100"/>
        <w:spacing w:after="0" w:line="277" w:lineRule="auto"/>
        <w:rPr>
          <w:sz w:val="20"/>
          <w:szCs w:val="20"/>
          <w:color w:val="auto"/>
        </w:rPr>
      </w:pPr>
      <w:r>
        <w:rPr>
          <w:rFonts w:ascii="Arial" w:cs="Arial" w:eastAsia="Arial" w:hAnsi="Arial"/>
          <w:sz w:val="18"/>
          <w:szCs w:val="18"/>
          <w:b w:val="1"/>
          <w:bCs w:val="1"/>
          <w:i w:val="1"/>
          <w:iCs w:val="1"/>
          <w:color w:val="auto"/>
        </w:rPr>
        <w:t>We may fail to offer the optimal pricing and packaging of our solutions, which could negatively impact our growth strategy and ability to effectively compete in the market.</w:t>
      </w:r>
    </w:p>
    <w:p>
      <w:pPr>
        <w:spacing w:after="0" w:line="62" w:lineRule="exact"/>
        <w:rPr>
          <w:sz w:val="20"/>
          <w:szCs w:val="20"/>
          <w:color w:val="auto"/>
        </w:rPr>
      </w:pPr>
    </w:p>
    <w:p>
      <w:pPr>
        <w:ind w:left="120" w:right="60" w:firstLine="440"/>
        <w:spacing w:after="0" w:line="273" w:lineRule="auto"/>
        <w:rPr>
          <w:sz w:val="20"/>
          <w:szCs w:val="20"/>
          <w:color w:val="auto"/>
        </w:rPr>
      </w:pPr>
      <w:r>
        <w:rPr>
          <w:rFonts w:ascii="Arial" w:cs="Arial" w:eastAsia="Arial" w:hAnsi="Arial"/>
          <w:sz w:val="17"/>
          <w:szCs w:val="17"/>
          <w:color w:val="auto"/>
        </w:rPr>
        <w:t>We may make changes to our pricing model from time to time. Demand for our solutions is sensitive to price, and current or prospective customers may choose not to subscribe or renew their subscriptions due to costs. Further, certain of our competitors may in the future offer lower-priced or free services that compete with our platform or may bundle functionality compatible with our platform and/or offer a broader range of solutions. Similarly, certain competitors may use marketing strategies that enable them to acquire customers more rapidly and/or at a lower cost than us. In addition, if our mix of features and capabilities on our platform changes or if we develop additional intelligence modules for specific use cases or additional premium versions, then we may need or choose to revise our pricing.</w:t>
      </w:r>
    </w:p>
    <w:p>
      <w:pPr>
        <w:spacing w:after="0" w:line="286" w:lineRule="exact"/>
        <w:rPr>
          <w:sz w:val="20"/>
          <w:szCs w:val="20"/>
          <w:color w:val="auto"/>
        </w:rPr>
      </w:pPr>
    </w:p>
    <w:p>
      <w:pPr>
        <w:ind w:left="120" w:right="60"/>
        <w:spacing w:after="0" w:line="311" w:lineRule="auto"/>
        <w:rPr>
          <w:sz w:val="20"/>
          <w:szCs w:val="20"/>
          <w:color w:val="auto"/>
        </w:rPr>
      </w:pPr>
      <w:r>
        <w:rPr>
          <w:rFonts w:ascii="Arial" w:cs="Arial" w:eastAsia="Arial" w:hAnsi="Arial"/>
          <w:sz w:val="16"/>
          <w:szCs w:val="16"/>
          <w:b w:val="1"/>
          <w:bCs w:val="1"/>
          <w:i w:val="1"/>
          <w:iCs w:val="1"/>
          <w:color w:val="auto"/>
        </w:rPr>
        <w:t>As more of our sales efforts target larger Enterprise Customers, our sales cycle may become longer and more expensive, and we may encounter pricing pressure and implementation and configuration challenges that may require us to delay revenue recognition for some complex transactions, all of which could have a material adverse effect on our business, financial condition and results of operations.</w:t>
      </w:r>
    </w:p>
    <w:p>
      <w:pPr>
        <w:spacing w:after="0" w:line="41" w:lineRule="exact"/>
        <w:rPr>
          <w:sz w:val="20"/>
          <w:szCs w:val="20"/>
          <w:color w:val="auto"/>
        </w:rPr>
      </w:pPr>
    </w:p>
    <w:p>
      <w:pPr>
        <w:ind w:left="120" w:right="480" w:firstLine="440"/>
        <w:spacing w:after="0" w:line="311" w:lineRule="auto"/>
        <w:rPr>
          <w:sz w:val="20"/>
          <w:szCs w:val="20"/>
          <w:color w:val="auto"/>
        </w:rPr>
      </w:pPr>
      <w:r>
        <w:rPr>
          <w:rFonts w:ascii="Arial" w:cs="Arial" w:eastAsia="Arial" w:hAnsi="Arial"/>
          <w:sz w:val="16"/>
          <w:szCs w:val="16"/>
          <w:color w:val="auto"/>
        </w:rPr>
        <w:t>As we target more of our sales efforts at larger Enterprise Customers, we may face longer sales cycles, greater competition, more complex customer due diligence, less favorable contractual terms and less predictability in completing some of our sales. Consequently, a target customer’s decision to use our solutions may be an enterprise-wide decision and, if so, these types of sales would require us to provide greater levels of</w:t>
      </w:r>
    </w:p>
    <w:p>
      <w:pPr>
        <w:spacing w:after="0" w:line="81" w:lineRule="exact"/>
        <w:rPr>
          <w:sz w:val="20"/>
          <w:szCs w:val="20"/>
          <w:color w:val="auto"/>
        </w:rPr>
      </w:pPr>
    </w:p>
    <w:p>
      <w:pPr>
        <w:jc w:val="center"/>
        <w:ind w:right="-359"/>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120"/>
          </w:cols>
          <w:pgMar w:left="320" w:top="459" w:right="459" w:bottom="1440" w:gutter="0" w:footer="0" w:header="0"/>
        </w:sectPr>
      </w:pPr>
    </w:p>
    <w:bookmarkStart w:id="39" w:name="page40"/>
    <w:bookmarkEnd w:id="3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Confidential Treatment Requested by Definitive Healthcare Corp.</w:t>
      </w:r>
    </w:p>
    <w:p>
      <w:pPr>
        <w:spacing w:after="0" w:line="27"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Pursuant to 17 C.F.R. Section 200.83</w:t>
      </w:r>
    </w:p>
    <w:p>
      <w:pPr>
        <w:spacing w:after="0" w:line="143" w:lineRule="exact"/>
        <w:rPr>
          <w:sz w:val="20"/>
          <w:szCs w:val="20"/>
          <w:color w:val="auto"/>
        </w:rPr>
      </w:pPr>
    </w:p>
    <w:p>
      <w:pPr>
        <w:jc w:val="both"/>
        <w:ind w:left="120" w:right="20"/>
        <w:spacing w:after="0" w:line="296" w:lineRule="auto"/>
        <w:rPr>
          <w:sz w:val="20"/>
          <w:szCs w:val="20"/>
          <w:color w:val="auto"/>
        </w:rPr>
      </w:pPr>
      <w:r>
        <w:rPr>
          <w:rFonts w:ascii="Arial" w:cs="Arial" w:eastAsia="Arial" w:hAnsi="Arial"/>
          <w:sz w:val="16"/>
          <w:szCs w:val="16"/>
          <w:color w:val="auto"/>
        </w:rPr>
        <w:t>education regarding the use and benefits of our platform, as well as education regarding privacy and data protection laws and regulations to prospective customers. In addition, larger Enterprise Customers and governmental entities may demand more configuration and integration services and features. As a result of these factors, these sales opportunities may require us to devote greater sales support and professional services resources to smaller Enterprise Customers, which could increase the costs and time required to complete sales and diverting resources to a smaller number of larger transactions, while potentially requiring us to delay revenue recognition on some of these transactions until the technical or implementation requirements have been met.</w:t>
      </w:r>
    </w:p>
    <w:p>
      <w:pPr>
        <w:spacing w:after="0" w:line="26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If we fail to offer high-quality customer experience, our business and reputation will suffer.</w:t>
      </w:r>
    </w:p>
    <w:p>
      <w:pPr>
        <w:spacing w:after="0" w:line="117" w:lineRule="exact"/>
        <w:rPr>
          <w:sz w:val="20"/>
          <w:szCs w:val="20"/>
          <w:color w:val="auto"/>
        </w:rPr>
      </w:pPr>
    </w:p>
    <w:p>
      <w:pPr>
        <w:ind w:left="120" w:firstLine="440"/>
        <w:spacing w:after="0" w:line="269" w:lineRule="auto"/>
        <w:rPr>
          <w:sz w:val="20"/>
          <w:szCs w:val="20"/>
          <w:color w:val="auto"/>
        </w:rPr>
      </w:pPr>
      <w:r>
        <w:rPr>
          <w:rFonts w:ascii="Arial" w:cs="Arial" w:eastAsia="Arial" w:hAnsi="Arial"/>
          <w:sz w:val="17"/>
          <w:szCs w:val="17"/>
          <w:color w:val="auto"/>
        </w:rPr>
        <w:t>Numerous factors may impact a customer’s experience which may in turn impact the likelihood of such customer renewing its subscription. Those factors include the usability of the platform, the depth, breadth and accuracy of the data, the adequacy of our data synthesis, and the quality of our onboarding, training, account management and customer technical and support functions. Our number of customers has grown rapidly, and the continued growth that we anticipate will put additional pressure on our customer experience programs. It may be difficult for us to identify, recruit, train and manage enough employees with sufficient skill and talent in each area of the customer experience to adequately scale those functions to match the growth of our customer base. In addition, larger Enterprise Customers and customers with larger subscriptions are more demanding of our customer experience programs. If and as we add more large Enterprise Customers and increase the annual contract value of existing subscriptions, we may need to devote even more resources to such programs, and we may find it difficult to effectively scale those programs. If we do not adequately scale our customer experience operations to meet the demands of our growing customer base, an increase in large Enterprise Customers and large customer subscriptions, or if we otherwise fail to provide an overall high-quality customer experience, fewer customers could renew or upgrade their subscriptions, and our reputation could suffer, negatively impacting our ability to acquire new customers, which could have a material adverse effect on our business, financial condition and results of operations.</w:t>
      </w:r>
    </w:p>
    <w:p>
      <w:pPr>
        <w:spacing w:after="0" w:line="179" w:lineRule="exact"/>
        <w:rPr>
          <w:sz w:val="20"/>
          <w:szCs w:val="20"/>
          <w:color w:val="auto"/>
        </w:rPr>
      </w:pPr>
    </w:p>
    <w:p>
      <w:pPr>
        <w:ind w:left="120" w:right="140" w:firstLine="440"/>
        <w:spacing w:after="0" w:line="286" w:lineRule="auto"/>
        <w:rPr>
          <w:sz w:val="20"/>
          <w:szCs w:val="20"/>
          <w:color w:val="auto"/>
        </w:rPr>
      </w:pPr>
      <w:r>
        <w:rPr>
          <w:rFonts w:ascii="Arial" w:cs="Arial" w:eastAsia="Arial" w:hAnsi="Arial"/>
          <w:sz w:val="17"/>
          <w:szCs w:val="17"/>
          <w:color w:val="auto"/>
        </w:rPr>
        <w:t>In addition, from time to time customers rely upon our support teams to resolve technical issues relating to our platform. We may be unable to respond quickly enough to accommodate short-term increases in customer demand for support services. Increased customer demand for these services, without corresponding revenue, could increase costs and adversely affect our reputation and results of operations.</w:t>
      </w:r>
    </w:p>
    <w:p>
      <w:pPr>
        <w:spacing w:after="0" w:line="273" w:lineRule="exact"/>
        <w:rPr>
          <w:sz w:val="20"/>
          <w:szCs w:val="20"/>
          <w:color w:val="auto"/>
        </w:rPr>
      </w:pPr>
    </w:p>
    <w:p>
      <w:pPr>
        <w:ind w:left="120" w:right="200"/>
        <w:spacing w:after="0" w:line="277" w:lineRule="auto"/>
        <w:rPr>
          <w:sz w:val="20"/>
          <w:szCs w:val="20"/>
          <w:color w:val="auto"/>
        </w:rPr>
      </w:pPr>
      <w:r>
        <w:rPr>
          <w:rFonts w:ascii="Arial" w:cs="Arial" w:eastAsia="Arial" w:hAnsi="Arial"/>
          <w:sz w:val="18"/>
          <w:szCs w:val="18"/>
          <w:b w:val="1"/>
          <w:bCs w:val="1"/>
          <w:i w:val="1"/>
          <w:iCs w:val="1"/>
          <w:color w:val="auto"/>
        </w:rPr>
        <w:t>Our customers or unauthorized parties could use our platform in a manner that is contrary to our values or applicable law, which could harm our relationships with customers or employees or expose us to litigation or harm our reputation.</w:t>
      </w:r>
    </w:p>
    <w:p>
      <w:pPr>
        <w:spacing w:after="0" w:line="62" w:lineRule="exact"/>
        <w:rPr>
          <w:sz w:val="20"/>
          <w:szCs w:val="20"/>
          <w:color w:val="auto"/>
        </w:rPr>
      </w:pPr>
    </w:p>
    <w:p>
      <w:pPr>
        <w:ind w:left="120" w:right="20" w:firstLine="440"/>
        <w:spacing w:after="0" w:line="270" w:lineRule="auto"/>
        <w:rPr>
          <w:sz w:val="20"/>
          <w:szCs w:val="20"/>
          <w:color w:val="auto"/>
        </w:rPr>
      </w:pPr>
      <w:r>
        <w:rPr>
          <w:rFonts w:ascii="Arial" w:cs="Arial" w:eastAsia="Arial" w:hAnsi="Arial"/>
          <w:sz w:val="17"/>
          <w:szCs w:val="17"/>
          <w:color w:val="auto"/>
        </w:rPr>
        <w:t>Because our platform includes health information about millions of individuals and businesses, some of which we source ourselves and some of which is provided by third-party data providers and de-identified, our platform and data could be misused by customers or by parties who have obtained access to our platform without authorization to access individuals’ health information for purposes that we would not permit, including to perpetrate scams. Our customers could use our platform for purposes beyond the scope of their contractual terms or applicable laws or regulations. In addition, third parties could gain access to our platform through our customers or through malfeasance or cyber-attacks and use our platform for purposes other than its intended purpose or to create products that compete with our platform. Our customers’ or third parties’ misuse of our platform, inconsistent with its permitted use, could result in reputational damage, adversely affect our ability to attract new customers, expose us to potential litigation and cause existing customers to reduce or discontinue the use of our platform, any of which could have a material adverse effect on our business, financial condition and results of operations.</w:t>
      </w:r>
    </w:p>
    <w:p>
      <w:pPr>
        <w:spacing w:after="0" w:line="181" w:lineRule="exact"/>
        <w:rPr>
          <w:sz w:val="20"/>
          <w:szCs w:val="20"/>
          <w:color w:val="auto"/>
        </w:rPr>
      </w:pPr>
    </w:p>
    <w:p>
      <w:pPr>
        <w:ind w:left="120" w:right="20" w:firstLine="440"/>
        <w:spacing w:after="0" w:line="263" w:lineRule="auto"/>
        <w:rPr>
          <w:sz w:val="20"/>
          <w:szCs w:val="20"/>
          <w:color w:val="auto"/>
        </w:rPr>
      </w:pPr>
      <w:r>
        <w:rPr>
          <w:rFonts w:ascii="Arial" w:cs="Arial" w:eastAsia="Arial" w:hAnsi="Arial"/>
          <w:sz w:val="18"/>
          <w:szCs w:val="18"/>
          <w:color w:val="auto"/>
        </w:rPr>
        <w:t>Our brand may be negatively affected by the actions of persons using our platform that are hostile or inappropriate, by the actions of individuals acting under false or inauthentic identities, by the use of our platform to disseminate information that is misleading (or intended to manipulate opinions), by perceived or actual efforts</w:t>
      </w:r>
    </w:p>
    <w:p>
      <w:pPr>
        <w:spacing w:after="0" w:line="116" w:lineRule="exact"/>
        <w:rPr>
          <w:sz w:val="20"/>
          <w:szCs w:val="20"/>
          <w:color w:val="auto"/>
        </w:rPr>
      </w:pPr>
    </w:p>
    <w:p>
      <w:pPr>
        <w:jc w:val="center"/>
        <w:ind w:right="-359"/>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120"/>
          </w:cols>
          <w:pgMar w:left="320" w:top="459" w:right="459" w:bottom="1440" w:gutter="0" w:footer="0" w:header="0"/>
        </w:sectPr>
      </w:pPr>
    </w:p>
    <w:bookmarkStart w:id="40" w:name="page41"/>
    <w:bookmarkEnd w:id="4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Confidential Treatment Requested by Definitive Healthcare Corp.</w:t>
      </w:r>
    </w:p>
    <w:p>
      <w:pPr>
        <w:spacing w:after="0" w:line="27"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Pursuant to 17 C.F.R. Section 200.83</w:t>
      </w:r>
    </w:p>
    <w:p>
      <w:pPr>
        <w:spacing w:after="0" w:line="143" w:lineRule="exact"/>
        <w:rPr>
          <w:sz w:val="20"/>
          <w:szCs w:val="20"/>
          <w:color w:val="auto"/>
        </w:rPr>
      </w:pPr>
    </w:p>
    <w:p>
      <w:pPr>
        <w:ind w:left="120" w:right="140"/>
        <w:spacing w:after="0" w:line="263" w:lineRule="auto"/>
        <w:rPr>
          <w:sz w:val="20"/>
          <w:szCs w:val="20"/>
          <w:color w:val="auto"/>
        </w:rPr>
      </w:pPr>
      <w:r>
        <w:rPr>
          <w:rFonts w:ascii="Arial" w:cs="Arial" w:eastAsia="Arial" w:hAnsi="Arial"/>
          <w:sz w:val="18"/>
          <w:szCs w:val="18"/>
          <w:color w:val="auto"/>
        </w:rPr>
        <w:t>by governments to obtain access to user information for security-related purposes or to censor certain content on our platform, or by the use of our platform for illicit, objectionable or illegal ends. Further, we may fail to respond expeditiously or appropriately to the inappropriate use of our platform outside of the terms of a customers’ subscription, which could erode confidence in our business.</w:t>
      </w:r>
    </w:p>
    <w:p>
      <w:pPr>
        <w:spacing w:after="0" w:line="292" w:lineRule="exact"/>
        <w:rPr>
          <w:sz w:val="20"/>
          <w:szCs w:val="20"/>
          <w:color w:val="auto"/>
        </w:rPr>
      </w:pPr>
    </w:p>
    <w:p>
      <w:pPr>
        <w:ind w:left="120" w:right="100"/>
        <w:spacing w:after="0" w:line="277" w:lineRule="auto"/>
        <w:rPr>
          <w:sz w:val="20"/>
          <w:szCs w:val="20"/>
          <w:color w:val="auto"/>
        </w:rPr>
      </w:pPr>
      <w:r>
        <w:rPr>
          <w:rFonts w:ascii="Arial" w:cs="Arial" w:eastAsia="Arial" w:hAnsi="Arial"/>
          <w:sz w:val="18"/>
          <w:szCs w:val="18"/>
          <w:b w:val="1"/>
          <w:bCs w:val="1"/>
          <w:i w:val="1"/>
          <w:iCs w:val="1"/>
          <w:color w:val="auto"/>
        </w:rPr>
        <w:t>The ongoing COVID-19 pandemic, including the resulting global economic uncertainty and measures taken in response to the pandemic, have had a material adverse effect on the rate at which we were able to grow our business.</w:t>
      </w:r>
    </w:p>
    <w:p>
      <w:pPr>
        <w:spacing w:after="0" w:line="62" w:lineRule="exact"/>
        <w:rPr>
          <w:sz w:val="20"/>
          <w:szCs w:val="20"/>
          <w:color w:val="auto"/>
        </w:rPr>
      </w:pPr>
    </w:p>
    <w:p>
      <w:pPr>
        <w:ind w:left="120" w:firstLine="440"/>
        <w:spacing w:after="0" w:line="279" w:lineRule="auto"/>
        <w:rPr>
          <w:sz w:val="20"/>
          <w:szCs w:val="20"/>
          <w:color w:val="auto"/>
        </w:rPr>
      </w:pPr>
      <w:r>
        <w:rPr>
          <w:rFonts w:ascii="Arial" w:cs="Arial" w:eastAsia="Arial" w:hAnsi="Arial"/>
          <w:sz w:val="17"/>
          <w:szCs w:val="17"/>
          <w:color w:val="auto"/>
        </w:rPr>
        <w:t>The pandemic caused by the novel strain of coronavirus (“COVID-19”) has disrupted the economy and put unprecedented strains on governments, healthcare systems, businesses and individuals around the world. The COVID-19 pandemic has caused significant disruption of global financial markets and economic uncertainty. Though our revenue was not impacted due to the recurring nature of our SaaS subscription-based business model, adverse market conditions resulting from the spread of COVID-19 had an adverse effect on our growth rate.</w:t>
      </w:r>
    </w:p>
    <w:p>
      <w:pPr>
        <w:spacing w:after="0" w:line="171" w:lineRule="exact"/>
        <w:rPr>
          <w:sz w:val="20"/>
          <w:szCs w:val="20"/>
          <w:color w:val="auto"/>
        </w:rPr>
      </w:pPr>
    </w:p>
    <w:p>
      <w:pPr>
        <w:ind w:left="120" w:right="20" w:firstLine="440"/>
        <w:spacing w:after="0" w:line="286" w:lineRule="auto"/>
        <w:rPr>
          <w:sz w:val="20"/>
          <w:szCs w:val="20"/>
          <w:color w:val="auto"/>
        </w:rPr>
      </w:pPr>
      <w:r>
        <w:rPr>
          <w:rFonts w:ascii="Arial" w:cs="Arial" w:eastAsia="Arial" w:hAnsi="Arial"/>
          <w:sz w:val="17"/>
          <w:szCs w:val="17"/>
          <w:color w:val="auto"/>
        </w:rPr>
        <w:t>As hospitals and other businesses in the healthcare ecosystem decreased spending during the first two quarters of 2020, demand for our platform among some of our Enterprise Customers decreased. As a result, we experienced slowed growth and a decline in new customer demand for our platform as well as lower demand from our existing customers for additional intelligence modules within our platform.</w:t>
      </w:r>
    </w:p>
    <w:p>
      <w:pPr>
        <w:spacing w:after="0" w:line="165" w:lineRule="exact"/>
        <w:rPr>
          <w:sz w:val="20"/>
          <w:szCs w:val="20"/>
          <w:color w:val="auto"/>
        </w:rPr>
      </w:pPr>
    </w:p>
    <w:p>
      <w:pPr>
        <w:ind w:left="120" w:right="80" w:firstLine="440"/>
        <w:spacing w:after="0" w:line="257" w:lineRule="auto"/>
        <w:rPr>
          <w:sz w:val="20"/>
          <w:szCs w:val="20"/>
          <w:color w:val="auto"/>
        </w:rPr>
      </w:pPr>
      <w:r>
        <w:rPr>
          <w:rFonts w:ascii="Arial" w:cs="Arial" w:eastAsia="Arial" w:hAnsi="Arial"/>
          <w:sz w:val="18"/>
          <w:szCs w:val="18"/>
          <w:color w:val="auto"/>
        </w:rPr>
        <w:t>Additionally, in response to the COVID-19 pandemic, we temporarily closed all of our offices (including our headquarters), enabled our employees to work remotely and shifted company events to virtual-only experiences. If the COVID-19 pandemic worsens, especially in the northeast region of the U.S., where we have our offices and our datacenter, our business activities originating from affected areas could be adversely affected. We may take further actions that alter our business operations as may be required by local, state or federal authorities or that we determine are in the best interests of our employees.</w:t>
      </w:r>
    </w:p>
    <w:p>
      <w:pPr>
        <w:spacing w:after="0" w:line="188" w:lineRule="exact"/>
        <w:rPr>
          <w:sz w:val="20"/>
          <w:szCs w:val="20"/>
          <w:color w:val="auto"/>
        </w:rPr>
      </w:pPr>
    </w:p>
    <w:p>
      <w:pPr>
        <w:ind w:left="120" w:right="160" w:firstLine="440"/>
        <w:spacing w:after="0" w:line="273" w:lineRule="auto"/>
        <w:rPr>
          <w:sz w:val="20"/>
          <w:szCs w:val="20"/>
          <w:color w:val="auto"/>
        </w:rPr>
      </w:pPr>
      <w:r>
        <w:rPr>
          <w:rFonts w:ascii="Arial" w:cs="Arial" w:eastAsia="Arial" w:hAnsi="Arial"/>
          <w:sz w:val="17"/>
          <w:szCs w:val="17"/>
          <w:color w:val="auto"/>
        </w:rPr>
        <w:t>The extent and continued impact of the COVID-19 pandemic on our business will depend on certain developments, including: the duration and spread of the outbreak; government responses to the COVID-19 pandemic including vaccine availability and deployment; the impact on the health and welfare of our employees and their families; the impact on our customers and our sales cycles; the impact on customer, industry or employee events; delays in hiring and onboarding new employees; and the effect on our partners, vendors and supply chains, all of which are uncertain and cannot be predicted. Because of our SaaS subscription-based business model, the effect of the COVID-19 pandemic may not be fully reflected in our results of operations and overall financial condition until future periods, if at all.</w:t>
      </w:r>
    </w:p>
    <w:p>
      <w:pPr>
        <w:spacing w:after="0" w:line="178" w:lineRule="exact"/>
        <w:rPr>
          <w:sz w:val="20"/>
          <w:szCs w:val="20"/>
          <w:color w:val="auto"/>
        </w:rPr>
      </w:pPr>
    </w:p>
    <w:p>
      <w:pPr>
        <w:ind w:left="120" w:right="100" w:firstLine="440"/>
        <w:spacing w:after="0" w:line="259" w:lineRule="auto"/>
        <w:rPr>
          <w:sz w:val="20"/>
          <w:szCs w:val="20"/>
          <w:color w:val="auto"/>
        </w:rPr>
      </w:pPr>
      <w:r>
        <w:rPr>
          <w:rFonts w:ascii="Arial" w:cs="Arial" w:eastAsia="Arial" w:hAnsi="Arial"/>
          <w:sz w:val="18"/>
          <w:szCs w:val="18"/>
          <w:color w:val="auto"/>
        </w:rPr>
        <w:t>To the extent the COVID-19 pandemic adversely affects our business and financial results, it may also have the effect of heightening many of the other risks described in this “Risk Factors” section, including but not limited to those relating to cyber-attacks and security vulnerabilities, interruptions or delays due to third-parties, or our ability to raise additional capital or generate sufficient cash flows necessary to fulfill our obligations under our existing indebtedness or to expand our operations.</w:t>
      </w:r>
    </w:p>
    <w:p>
      <w:pPr>
        <w:spacing w:after="0" w:line="295" w:lineRule="exact"/>
        <w:rPr>
          <w:sz w:val="20"/>
          <w:szCs w:val="20"/>
          <w:color w:val="auto"/>
        </w:rPr>
      </w:pPr>
    </w:p>
    <w:p>
      <w:pPr>
        <w:ind w:left="120" w:right="240"/>
        <w:spacing w:after="0" w:line="263" w:lineRule="auto"/>
        <w:rPr>
          <w:sz w:val="20"/>
          <w:szCs w:val="20"/>
          <w:color w:val="auto"/>
        </w:rPr>
      </w:pPr>
      <w:r>
        <w:rPr>
          <w:rFonts w:ascii="Arial" w:cs="Arial" w:eastAsia="Arial" w:hAnsi="Arial"/>
          <w:sz w:val="18"/>
          <w:szCs w:val="18"/>
          <w:b w:val="1"/>
          <w:bCs w:val="1"/>
          <w:i w:val="1"/>
          <w:iCs w:val="1"/>
          <w:color w:val="auto"/>
        </w:rPr>
        <w:t>As we acquire and invest in companies or technologies, we may not realize expected business or financial benefits and the acquisitions or investments could prove difficult to integrate, disrupt our business, dilute stockholder value and adversely affect our business, financial condition and results of operations.</w:t>
      </w:r>
    </w:p>
    <w:p>
      <w:pPr>
        <w:spacing w:after="0" w:line="76" w:lineRule="exact"/>
        <w:rPr>
          <w:sz w:val="20"/>
          <w:szCs w:val="20"/>
          <w:color w:val="auto"/>
        </w:rPr>
      </w:pPr>
    </w:p>
    <w:p>
      <w:pPr>
        <w:ind w:left="120" w:firstLine="440"/>
        <w:spacing w:after="0" w:line="257" w:lineRule="auto"/>
        <w:rPr>
          <w:sz w:val="20"/>
          <w:szCs w:val="20"/>
          <w:color w:val="auto"/>
        </w:rPr>
      </w:pPr>
      <w:r>
        <w:rPr>
          <w:rFonts w:ascii="Arial" w:cs="Arial" w:eastAsia="Arial" w:hAnsi="Arial"/>
          <w:sz w:val="18"/>
          <w:szCs w:val="18"/>
          <w:color w:val="auto"/>
        </w:rPr>
        <w:t>As part of our business strategy, we make investments in, or acquisitions of, complementary businesses, solutions, databases and technologies, and we expect that we will continue to make such investments and acquisitions in the future to further grow our business and our platform. For example, in October 2020, we completed our acquisition of Monocl, a provider of subscription-based medical and scientific expert data and insights. Integrating Monocl’s technology into our platform may dilute the quality of our platform as we work through the integration process which can take time and significant resources. As a Swedish company, Monocl</w:t>
      </w:r>
    </w:p>
    <w:p>
      <w:pPr>
        <w:spacing w:after="0" w:line="120" w:lineRule="exact"/>
        <w:rPr>
          <w:sz w:val="20"/>
          <w:szCs w:val="20"/>
          <w:color w:val="auto"/>
        </w:rPr>
      </w:pPr>
    </w:p>
    <w:p>
      <w:pPr>
        <w:jc w:val="center"/>
        <w:ind w:right="-359"/>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120"/>
          </w:cols>
          <w:pgMar w:left="320" w:top="459" w:right="459" w:bottom="1440" w:gutter="0" w:footer="0" w:header="0"/>
        </w:sectPr>
      </w:pPr>
    </w:p>
    <w:bookmarkStart w:id="41" w:name="page42"/>
    <w:bookmarkEnd w:id="4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Confidential Treatment Requested by Definitive Healthcare Corp.</w:t>
      </w:r>
    </w:p>
    <w:p>
      <w:pPr>
        <w:spacing w:after="0" w:line="27"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Pursuant to 17 C.F.R. Section 200.83</w:t>
      </w:r>
    </w:p>
    <w:p>
      <w:pPr>
        <w:spacing w:after="0" w:line="143" w:lineRule="exact"/>
        <w:rPr>
          <w:sz w:val="20"/>
          <w:szCs w:val="20"/>
          <w:color w:val="auto"/>
        </w:rPr>
      </w:pPr>
    </w:p>
    <w:p>
      <w:pPr>
        <w:ind w:left="120" w:right="20"/>
        <w:spacing w:after="0" w:line="259" w:lineRule="auto"/>
        <w:rPr>
          <w:sz w:val="20"/>
          <w:szCs w:val="20"/>
          <w:color w:val="auto"/>
        </w:rPr>
      </w:pPr>
      <w:r>
        <w:rPr>
          <w:rFonts w:ascii="Arial" w:cs="Arial" w:eastAsia="Arial" w:hAnsi="Arial"/>
          <w:sz w:val="18"/>
          <w:szCs w:val="18"/>
          <w:color w:val="auto"/>
        </w:rPr>
        <w:t>operated under different regulatory regimes than we have as a U.S.-based company, which could result in dissynergies in our platforms. Further, we may have difficulty effectively integrating Monocl’s personnel and business into our Company and achieving the goals of the Monocl acquisition. We expect to incur additional costs to integrate prior acquisitions, such as IT integration expenses and costs related to the renegotiation of redundant data provider agreements.</w:t>
      </w:r>
    </w:p>
    <w:p>
      <w:pPr>
        <w:spacing w:after="0" w:line="187" w:lineRule="exact"/>
        <w:rPr>
          <w:sz w:val="20"/>
          <w:szCs w:val="20"/>
          <w:color w:val="auto"/>
        </w:rPr>
      </w:pPr>
    </w:p>
    <w:p>
      <w:pPr>
        <w:ind w:left="120" w:firstLine="440"/>
        <w:spacing w:after="0" w:line="273" w:lineRule="auto"/>
        <w:rPr>
          <w:sz w:val="20"/>
          <w:szCs w:val="20"/>
          <w:color w:val="auto"/>
        </w:rPr>
      </w:pPr>
      <w:r>
        <w:rPr>
          <w:rFonts w:ascii="Arial" w:cs="Arial" w:eastAsia="Arial" w:hAnsi="Arial"/>
          <w:sz w:val="17"/>
          <w:szCs w:val="17"/>
          <w:color w:val="auto"/>
        </w:rPr>
        <w:t>Our strategy to make selective acquisitions to complement our platform depends on our ability to identify, and the availability of, suitable acquisition candidates. We may not be able to find suitable acquisition candidates in the future and we may not be able to complete acquisitions on favorable terms, if at all. Acquired assets, data or businesses may not be successfully integrated into our operations, costs in connection with acquisitions and integrations may be higher than expected and we may also incur unanticipated acquisition-related costs. These costs could adversely affect our financial condition, results of operations or prospects. Any acquisition we complete could be viewed negatively by customers, users or investors, and could have adverse effects on our existing business relationships.</w:t>
      </w:r>
    </w:p>
    <w:p>
      <w:pPr>
        <w:spacing w:after="0" w:line="178" w:lineRule="exact"/>
        <w:rPr>
          <w:sz w:val="20"/>
          <w:szCs w:val="20"/>
          <w:color w:val="auto"/>
        </w:rPr>
      </w:pPr>
    </w:p>
    <w:p>
      <w:pPr>
        <w:ind w:left="120" w:right="120" w:firstLine="440"/>
        <w:spacing w:after="0" w:line="277" w:lineRule="auto"/>
        <w:rPr>
          <w:sz w:val="20"/>
          <w:szCs w:val="20"/>
          <w:color w:val="auto"/>
        </w:rPr>
      </w:pPr>
      <w:r>
        <w:rPr>
          <w:rFonts w:ascii="Arial" w:cs="Arial" w:eastAsia="Arial" w:hAnsi="Arial"/>
          <w:sz w:val="18"/>
          <w:szCs w:val="18"/>
          <w:color w:val="auto"/>
        </w:rPr>
        <w:t>Acquisitions and other transactions, arrangements and investments involve numerous risks and could create unforeseen operating difficulties and expenditures, including:</w:t>
      </w:r>
    </w:p>
    <w:p>
      <w:pPr>
        <w:spacing w:after="0" w:line="76" w:lineRule="exact"/>
        <w:rPr>
          <w:sz w:val="20"/>
          <w:szCs w:val="20"/>
          <w:color w:val="auto"/>
        </w:rPr>
      </w:pPr>
    </w:p>
    <w:p>
      <w:pPr>
        <w:ind w:left="1080" w:hanging="532"/>
        <w:spacing w:after="0"/>
        <w:tabs>
          <w:tab w:leader="none" w:pos="1080" w:val="left"/>
        </w:tabs>
        <w:numPr>
          <w:ilvl w:val="0"/>
          <w:numId w:val="42"/>
        </w:numPr>
        <w:rPr>
          <w:rFonts w:ascii="Arial" w:cs="Arial" w:eastAsia="Arial" w:hAnsi="Arial"/>
          <w:sz w:val="18"/>
          <w:szCs w:val="18"/>
          <w:color w:val="auto"/>
        </w:rPr>
      </w:pPr>
      <w:r>
        <w:rPr>
          <w:rFonts w:ascii="Arial" w:cs="Arial" w:eastAsia="Arial" w:hAnsi="Arial"/>
          <w:sz w:val="18"/>
          <w:szCs w:val="18"/>
          <w:color w:val="auto"/>
        </w:rPr>
        <w:t>potential failure to achieve the expected benefits on a timely basis or at all;</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42"/>
        </w:numPr>
        <w:rPr>
          <w:rFonts w:ascii="Arial" w:cs="Arial" w:eastAsia="Arial" w:hAnsi="Arial"/>
          <w:sz w:val="18"/>
          <w:szCs w:val="18"/>
          <w:color w:val="auto"/>
        </w:rPr>
      </w:pPr>
      <w:r>
        <w:rPr>
          <w:rFonts w:ascii="Arial" w:cs="Arial" w:eastAsia="Arial" w:hAnsi="Arial"/>
          <w:sz w:val="18"/>
          <w:szCs w:val="18"/>
          <w:color w:val="auto"/>
        </w:rPr>
        <w:t>difficulties in, and the cost of, integrating operations, technologies, solutions and platforms;</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42"/>
        </w:numPr>
        <w:rPr>
          <w:rFonts w:ascii="Arial" w:cs="Arial" w:eastAsia="Arial" w:hAnsi="Arial"/>
          <w:sz w:val="18"/>
          <w:szCs w:val="18"/>
          <w:color w:val="auto"/>
        </w:rPr>
      </w:pPr>
      <w:r>
        <w:rPr>
          <w:rFonts w:ascii="Arial" w:cs="Arial" w:eastAsia="Arial" w:hAnsi="Arial"/>
          <w:sz w:val="18"/>
          <w:szCs w:val="18"/>
          <w:color w:val="auto"/>
        </w:rPr>
        <w:t>diversion of financial and managerial resources from existing operations;</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42"/>
        </w:numPr>
        <w:rPr>
          <w:rFonts w:ascii="Arial" w:cs="Arial" w:eastAsia="Arial" w:hAnsi="Arial"/>
          <w:sz w:val="16"/>
          <w:szCs w:val="16"/>
          <w:color w:val="auto"/>
        </w:rPr>
      </w:pPr>
      <w:r>
        <w:rPr>
          <w:rFonts w:ascii="Arial" w:cs="Arial" w:eastAsia="Arial" w:hAnsi="Arial"/>
          <w:sz w:val="16"/>
          <w:szCs w:val="16"/>
          <w:color w:val="auto"/>
        </w:rPr>
        <w:t>the potential entry into new markets in which we have little or no experience or where competitors may have stronger market positions;</w:t>
      </w:r>
    </w:p>
    <w:p>
      <w:pPr>
        <w:spacing w:after="0" w:line="153" w:lineRule="exact"/>
        <w:rPr>
          <w:rFonts w:ascii="Arial" w:cs="Arial" w:eastAsia="Arial" w:hAnsi="Arial"/>
          <w:sz w:val="16"/>
          <w:szCs w:val="16"/>
          <w:color w:val="auto"/>
        </w:rPr>
      </w:pPr>
    </w:p>
    <w:p>
      <w:pPr>
        <w:ind w:left="1080" w:hanging="532"/>
        <w:spacing w:after="0"/>
        <w:tabs>
          <w:tab w:leader="none" w:pos="1080" w:val="left"/>
        </w:tabs>
        <w:numPr>
          <w:ilvl w:val="0"/>
          <w:numId w:val="42"/>
        </w:numPr>
        <w:rPr>
          <w:rFonts w:ascii="Arial" w:cs="Arial" w:eastAsia="Arial" w:hAnsi="Arial"/>
          <w:sz w:val="17"/>
          <w:szCs w:val="17"/>
          <w:color w:val="auto"/>
        </w:rPr>
      </w:pPr>
      <w:r>
        <w:rPr>
          <w:rFonts w:ascii="Arial" w:cs="Arial" w:eastAsia="Arial" w:hAnsi="Arial"/>
          <w:sz w:val="17"/>
          <w:szCs w:val="17"/>
          <w:color w:val="auto"/>
        </w:rPr>
        <w:t>potential write-offs of acquired assets or investments and potential financial and credit risks associated with acquired customers;</w:t>
      </w:r>
    </w:p>
    <w:p>
      <w:pPr>
        <w:spacing w:after="0" w:line="142" w:lineRule="exact"/>
        <w:rPr>
          <w:rFonts w:ascii="Arial" w:cs="Arial" w:eastAsia="Arial" w:hAnsi="Arial"/>
          <w:sz w:val="17"/>
          <w:szCs w:val="17"/>
          <w:color w:val="auto"/>
        </w:rPr>
      </w:pPr>
    </w:p>
    <w:p>
      <w:pPr>
        <w:ind w:left="1080" w:hanging="532"/>
        <w:spacing w:after="0"/>
        <w:tabs>
          <w:tab w:leader="none" w:pos="1080" w:val="left"/>
        </w:tabs>
        <w:numPr>
          <w:ilvl w:val="0"/>
          <w:numId w:val="42"/>
        </w:numPr>
        <w:rPr>
          <w:rFonts w:ascii="Arial" w:cs="Arial" w:eastAsia="Arial" w:hAnsi="Arial"/>
          <w:sz w:val="18"/>
          <w:szCs w:val="18"/>
          <w:color w:val="auto"/>
        </w:rPr>
      </w:pPr>
      <w:r>
        <w:rPr>
          <w:rFonts w:ascii="Arial" w:cs="Arial" w:eastAsia="Arial" w:hAnsi="Arial"/>
          <w:sz w:val="18"/>
          <w:szCs w:val="18"/>
          <w:color w:val="auto"/>
        </w:rPr>
        <w:t>differences between our values and those of our acquired companies;</w:t>
      </w:r>
    </w:p>
    <w:p>
      <w:pPr>
        <w:spacing w:after="0" w:line="130" w:lineRule="exact"/>
        <w:rPr>
          <w:rFonts w:ascii="Arial" w:cs="Arial" w:eastAsia="Arial" w:hAnsi="Arial"/>
          <w:sz w:val="18"/>
          <w:szCs w:val="18"/>
          <w:color w:val="auto"/>
        </w:rPr>
      </w:pPr>
    </w:p>
    <w:p>
      <w:pPr>
        <w:ind w:left="1080" w:right="560" w:hanging="532"/>
        <w:spacing w:after="0" w:line="277" w:lineRule="auto"/>
        <w:tabs>
          <w:tab w:leader="none" w:pos="1080" w:val="left"/>
        </w:tabs>
        <w:numPr>
          <w:ilvl w:val="0"/>
          <w:numId w:val="42"/>
        </w:numPr>
        <w:rPr>
          <w:rFonts w:ascii="Arial" w:cs="Arial" w:eastAsia="Arial" w:hAnsi="Arial"/>
          <w:sz w:val="18"/>
          <w:szCs w:val="18"/>
          <w:color w:val="auto"/>
        </w:rPr>
      </w:pPr>
      <w:r>
        <w:rPr>
          <w:rFonts w:ascii="Arial" w:cs="Arial" w:eastAsia="Arial" w:hAnsi="Arial"/>
          <w:sz w:val="18"/>
          <w:szCs w:val="18"/>
          <w:color w:val="auto"/>
        </w:rPr>
        <w:t>difficulties in re-training key employees of acquired companies and integrating them into our organizational structure and corporate culture;</w:t>
      </w:r>
    </w:p>
    <w:p>
      <w:pPr>
        <w:spacing w:after="0" w:line="75" w:lineRule="exact"/>
        <w:rPr>
          <w:rFonts w:ascii="Arial" w:cs="Arial" w:eastAsia="Arial" w:hAnsi="Arial"/>
          <w:sz w:val="18"/>
          <w:szCs w:val="18"/>
          <w:color w:val="auto"/>
        </w:rPr>
      </w:pPr>
    </w:p>
    <w:p>
      <w:pPr>
        <w:ind w:left="1080" w:hanging="532"/>
        <w:spacing w:after="0"/>
        <w:tabs>
          <w:tab w:leader="none" w:pos="1080" w:val="left"/>
        </w:tabs>
        <w:numPr>
          <w:ilvl w:val="0"/>
          <w:numId w:val="42"/>
        </w:numPr>
        <w:rPr>
          <w:rFonts w:ascii="Arial" w:cs="Arial" w:eastAsia="Arial" w:hAnsi="Arial"/>
          <w:sz w:val="17"/>
          <w:szCs w:val="17"/>
          <w:color w:val="auto"/>
        </w:rPr>
      </w:pPr>
      <w:r>
        <w:rPr>
          <w:rFonts w:ascii="Arial" w:cs="Arial" w:eastAsia="Arial" w:hAnsi="Arial"/>
          <w:sz w:val="17"/>
          <w:szCs w:val="17"/>
          <w:color w:val="auto"/>
        </w:rPr>
        <w:t>difficulties in, and financial costs of, addressing acquired compensation structures inconsistent with our compensation structure;</w:t>
      </w:r>
    </w:p>
    <w:p>
      <w:pPr>
        <w:spacing w:after="0" w:line="142" w:lineRule="exact"/>
        <w:rPr>
          <w:rFonts w:ascii="Arial" w:cs="Arial" w:eastAsia="Arial" w:hAnsi="Arial"/>
          <w:sz w:val="17"/>
          <w:szCs w:val="17"/>
          <w:color w:val="auto"/>
        </w:rPr>
      </w:pPr>
    </w:p>
    <w:p>
      <w:pPr>
        <w:ind w:left="1080" w:hanging="532"/>
        <w:spacing w:after="0"/>
        <w:tabs>
          <w:tab w:leader="none" w:pos="1080" w:val="left"/>
        </w:tabs>
        <w:numPr>
          <w:ilvl w:val="0"/>
          <w:numId w:val="42"/>
        </w:numPr>
        <w:rPr>
          <w:rFonts w:ascii="Arial" w:cs="Arial" w:eastAsia="Arial" w:hAnsi="Arial"/>
          <w:sz w:val="18"/>
          <w:szCs w:val="18"/>
          <w:color w:val="auto"/>
        </w:rPr>
      </w:pPr>
      <w:r>
        <w:rPr>
          <w:rFonts w:ascii="Arial" w:cs="Arial" w:eastAsia="Arial" w:hAnsi="Arial"/>
          <w:sz w:val="18"/>
          <w:szCs w:val="18"/>
          <w:color w:val="auto"/>
        </w:rPr>
        <w:t>inability to generate sufficient revenue to offset acquisition or investment costs;</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42"/>
        </w:numPr>
        <w:rPr>
          <w:rFonts w:ascii="Arial" w:cs="Arial" w:eastAsia="Arial" w:hAnsi="Arial"/>
          <w:sz w:val="18"/>
          <w:szCs w:val="18"/>
          <w:color w:val="auto"/>
        </w:rPr>
      </w:pPr>
      <w:r>
        <w:rPr>
          <w:rFonts w:ascii="Arial" w:cs="Arial" w:eastAsia="Arial" w:hAnsi="Arial"/>
          <w:sz w:val="18"/>
          <w:szCs w:val="18"/>
          <w:color w:val="auto"/>
        </w:rPr>
        <w:t>inability to maintain, or changes in, relationships with customers and partners of the acquired business;</w:t>
      </w:r>
    </w:p>
    <w:p>
      <w:pPr>
        <w:spacing w:after="0" w:line="130" w:lineRule="exact"/>
        <w:rPr>
          <w:rFonts w:ascii="Arial" w:cs="Arial" w:eastAsia="Arial" w:hAnsi="Arial"/>
          <w:sz w:val="18"/>
          <w:szCs w:val="18"/>
          <w:color w:val="auto"/>
        </w:rPr>
      </w:pPr>
    </w:p>
    <w:p>
      <w:pPr>
        <w:jc w:val="both"/>
        <w:ind w:left="1080" w:right="440" w:hanging="532"/>
        <w:spacing w:after="0" w:line="342" w:lineRule="auto"/>
        <w:tabs>
          <w:tab w:leader="none" w:pos="1080" w:val="left"/>
        </w:tabs>
        <w:numPr>
          <w:ilvl w:val="0"/>
          <w:numId w:val="42"/>
        </w:numPr>
        <w:rPr>
          <w:rFonts w:ascii="Arial" w:cs="Arial" w:eastAsia="Arial" w:hAnsi="Arial"/>
          <w:sz w:val="16"/>
          <w:szCs w:val="16"/>
          <w:color w:val="auto"/>
        </w:rPr>
      </w:pPr>
      <w:r>
        <w:rPr>
          <w:rFonts w:ascii="Arial" w:cs="Arial" w:eastAsia="Arial" w:hAnsi="Arial"/>
          <w:sz w:val="16"/>
          <w:szCs w:val="16"/>
          <w:color w:val="auto"/>
        </w:rPr>
        <w:t>challenges converting and forecasting the acquired company’s revenue recognition policies including subscription-based revenue and revenue based on the transfer of control as well as appropriate allocation of the customer consideration to the individual deliverables;</w:t>
      </w:r>
    </w:p>
    <w:p>
      <w:pPr>
        <w:spacing w:after="0" w:line="29" w:lineRule="exact"/>
        <w:rPr>
          <w:rFonts w:ascii="Arial" w:cs="Arial" w:eastAsia="Arial" w:hAnsi="Arial"/>
          <w:sz w:val="16"/>
          <w:szCs w:val="16"/>
          <w:color w:val="auto"/>
        </w:rPr>
      </w:pPr>
    </w:p>
    <w:p>
      <w:pPr>
        <w:ind w:left="1080" w:right="120" w:hanging="532"/>
        <w:spacing w:after="0" w:line="277" w:lineRule="auto"/>
        <w:tabs>
          <w:tab w:leader="none" w:pos="1080" w:val="left"/>
        </w:tabs>
        <w:numPr>
          <w:ilvl w:val="0"/>
          <w:numId w:val="42"/>
        </w:numPr>
        <w:rPr>
          <w:rFonts w:ascii="Arial" w:cs="Arial" w:eastAsia="Arial" w:hAnsi="Arial"/>
          <w:sz w:val="18"/>
          <w:szCs w:val="18"/>
          <w:color w:val="auto"/>
        </w:rPr>
      </w:pPr>
      <w:r>
        <w:rPr>
          <w:rFonts w:ascii="Arial" w:cs="Arial" w:eastAsia="Arial" w:hAnsi="Arial"/>
          <w:sz w:val="18"/>
          <w:szCs w:val="18"/>
          <w:color w:val="auto"/>
        </w:rPr>
        <w:t>difficulty with, and costs related to, transitioning the acquired technology onto our existing platform and customer acceptance of a new or changed platform on a temporary or permanent basis;</w:t>
      </w:r>
    </w:p>
    <w:p>
      <w:pPr>
        <w:spacing w:after="0" w:line="75" w:lineRule="exact"/>
        <w:rPr>
          <w:rFonts w:ascii="Arial" w:cs="Arial" w:eastAsia="Arial" w:hAnsi="Arial"/>
          <w:sz w:val="18"/>
          <w:szCs w:val="18"/>
          <w:color w:val="auto"/>
        </w:rPr>
      </w:pPr>
    </w:p>
    <w:p>
      <w:pPr>
        <w:ind w:left="1080" w:hanging="532"/>
        <w:spacing w:after="0"/>
        <w:tabs>
          <w:tab w:leader="none" w:pos="1080" w:val="left"/>
        </w:tabs>
        <w:numPr>
          <w:ilvl w:val="0"/>
          <w:numId w:val="42"/>
        </w:numPr>
        <w:rPr>
          <w:rFonts w:ascii="Arial" w:cs="Arial" w:eastAsia="Arial" w:hAnsi="Arial"/>
          <w:sz w:val="18"/>
          <w:szCs w:val="18"/>
          <w:color w:val="auto"/>
        </w:rPr>
      </w:pPr>
      <w:r>
        <w:rPr>
          <w:rFonts w:ascii="Arial" w:cs="Arial" w:eastAsia="Arial" w:hAnsi="Arial"/>
          <w:sz w:val="18"/>
          <w:szCs w:val="18"/>
          <w:color w:val="auto"/>
        </w:rPr>
        <w:t>augmenting the acquired technologies and platforms to the levels that are consistent with our brand and reputation;</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42"/>
        </w:numPr>
        <w:rPr>
          <w:rFonts w:ascii="Arial" w:cs="Arial" w:eastAsia="Arial" w:hAnsi="Arial"/>
          <w:sz w:val="18"/>
          <w:szCs w:val="18"/>
          <w:color w:val="auto"/>
        </w:rPr>
      </w:pPr>
      <w:r>
        <w:rPr>
          <w:rFonts w:ascii="Arial" w:cs="Arial" w:eastAsia="Arial" w:hAnsi="Arial"/>
          <w:sz w:val="18"/>
          <w:szCs w:val="18"/>
          <w:color w:val="auto"/>
        </w:rPr>
        <w:t>potential for acquired platforms to impact the financial performance of existing platform;</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42"/>
        </w:numPr>
        <w:rPr>
          <w:rFonts w:ascii="Arial" w:cs="Arial" w:eastAsia="Arial" w:hAnsi="Arial"/>
          <w:sz w:val="18"/>
          <w:szCs w:val="18"/>
          <w:color w:val="auto"/>
        </w:rPr>
      </w:pPr>
      <w:r>
        <w:rPr>
          <w:rFonts w:ascii="Arial" w:cs="Arial" w:eastAsia="Arial" w:hAnsi="Arial"/>
          <w:sz w:val="18"/>
          <w:szCs w:val="18"/>
          <w:color w:val="auto"/>
        </w:rPr>
        <w:t>increasing or maintaining the security standards for acquired technology consistent with our platform;</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42"/>
        </w:numPr>
        <w:rPr>
          <w:rFonts w:ascii="Arial" w:cs="Arial" w:eastAsia="Arial" w:hAnsi="Arial"/>
          <w:sz w:val="18"/>
          <w:szCs w:val="18"/>
          <w:color w:val="auto"/>
        </w:rPr>
      </w:pPr>
      <w:r>
        <w:rPr>
          <w:rFonts w:ascii="Arial" w:cs="Arial" w:eastAsia="Arial" w:hAnsi="Arial"/>
          <w:sz w:val="18"/>
          <w:szCs w:val="18"/>
          <w:color w:val="auto"/>
        </w:rPr>
        <w:t>potential unknown liabilities associated with the acquired businesses, including risks associated with acquired technologies;</w:t>
      </w:r>
    </w:p>
    <w:p>
      <w:pPr>
        <w:spacing w:after="0" w:line="130" w:lineRule="exact"/>
        <w:rPr>
          <w:rFonts w:ascii="Arial" w:cs="Arial" w:eastAsia="Arial" w:hAnsi="Arial"/>
          <w:sz w:val="18"/>
          <w:szCs w:val="18"/>
          <w:color w:val="auto"/>
        </w:rPr>
      </w:pPr>
    </w:p>
    <w:p>
      <w:pPr>
        <w:ind w:left="1080" w:right="220" w:hanging="532"/>
        <w:spacing w:after="0" w:line="277" w:lineRule="auto"/>
        <w:tabs>
          <w:tab w:leader="none" w:pos="1080" w:val="left"/>
        </w:tabs>
        <w:numPr>
          <w:ilvl w:val="0"/>
          <w:numId w:val="42"/>
        </w:numPr>
        <w:rPr>
          <w:rFonts w:ascii="Arial" w:cs="Arial" w:eastAsia="Arial" w:hAnsi="Arial"/>
          <w:sz w:val="18"/>
          <w:szCs w:val="18"/>
          <w:color w:val="auto"/>
        </w:rPr>
      </w:pPr>
      <w:r>
        <w:rPr>
          <w:rFonts w:ascii="Arial" w:cs="Arial" w:eastAsia="Arial" w:hAnsi="Arial"/>
          <w:sz w:val="18"/>
          <w:szCs w:val="18"/>
          <w:color w:val="auto"/>
        </w:rPr>
        <w:t>challenges relating to the structure of an investment, such as governance, accountability and decision- making conflicts that may arise in the context of a joint venture or other majority ownership investments;</w:t>
      </w:r>
    </w:p>
    <w:p>
      <w:pPr>
        <w:spacing w:after="0" w:line="103"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120"/>
          </w:cols>
          <w:pgMar w:left="320" w:top="459" w:right="459" w:bottom="1440" w:gutter="0" w:footer="0" w:header="0"/>
        </w:sectPr>
      </w:pPr>
    </w:p>
    <w:bookmarkStart w:id="42" w:name="page43"/>
    <w:bookmarkEnd w:id="4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Confidential Treatment Requested by Definitive Healthcare Corp.</w:t>
      </w:r>
    </w:p>
    <w:p>
      <w:pPr>
        <w:spacing w:after="0" w:line="27"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Pursuant to 17 C.F.R. Section 200.83</w:t>
      </w:r>
    </w:p>
    <w:p>
      <w:pPr>
        <w:spacing w:after="0" w:line="143" w:lineRule="exact"/>
        <w:rPr>
          <w:sz w:val="20"/>
          <w:szCs w:val="20"/>
          <w:color w:val="auto"/>
        </w:rPr>
      </w:pPr>
    </w:p>
    <w:p>
      <w:pPr>
        <w:ind w:left="1080" w:hanging="532"/>
        <w:spacing w:after="0" w:line="277" w:lineRule="auto"/>
        <w:tabs>
          <w:tab w:leader="none" w:pos="1080" w:val="left"/>
        </w:tabs>
        <w:numPr>
          <w:ilvl w:val="0"/>
          <w:numId w:val="43"/>
        </w:numPr>
        <w:rPr>
          <w:rFonts w:ascii="Arial" w:cs="Arial" w:eastAsia="Arial" w:hAnsi="Arial"/>
          <w:sz w:val="18"/>
          <w:szCs w:val="18"/>
          <w:color w:val="auto"/>
        </w:rPr>
      </w:pPr>
      <w:r>
        <w:rPr>
          <w:rFonts w:ascii="Arial" w:cs="Arial" w:eastAsia="Arial" w:hAnsi="Arial"/>
          <w:sz w:val="18"/>
          <w:szCs w:val="18"/>
          <w:color w:val="auto"/>
        </w:rPr>
        <w:t>a material adverse effect on our results of operations because of the depreciation and amortization of amounts related to acquired intangible assets, fixed assets and deferred compensation;</w:t>
      </w:r>
    </w:p>
    <w:p>
      <w:pPr>
        <w:spacing w:after="0" w:line="75" w:lineRule="exact"/>
        <w:rPr>
          <w:rFonts w:ascii="Arial" w:cs="Arial" w:eastAsia="Arial" w:hAnsi="Arial"/>
          <w:sz w:val="18"/>
          <w:szCs w:val="18"/>
          <w:color w:val="auto"/>
        </w:rPr>
      </w:pPr>
    </w:p>
    <w:p>
      <w:pPr>
        <w:ind w:left="1080" w:hanging="532"/>
        <w:spacing w:after="0"/>
        <w:tabs>
          <w:tab w:leader="none" w:pos="1080" w:val="left"/>
        </w:tabs>
        <w:numPr>
          <w:ilvl w:val="0"/>
          <w:numId w:val="43"/>
        </w:numPr>
        <w:rPr>
          <w:rFonts w:ascii="Arial" w:cs="Arial" w:eastAsia="Arial" w:hAnsi="Arial"/>
          <w:sz w:val="18"/>
          <w:szCs w:val="18"/>
          <w:color w:val="auto"/>
        </w:rPr>
      </w:pPr>
      <w:r>
        <w:rPr>
          <w:rFonts w:ascii="Arial" w:cs="Arial" w:eastAsia="Arial" w:hAnsi="Arial"/>
          <w:sz w:val="18"/>
          <w:szCs w:val="18"/>
          <w:color w:val="auto"/>
        </w:rPr>
        <w:t>additional stock-based compensation;</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43"/>
        </w:numPr>
        <w:rPr>
          <w:rFonts w:ascii="Arial" w:cs="Arial" w:eastAsia="Arial" w:hAnsi="Arial"/>
          <w:sz w:val="18"/>
          <w:szCs w:val="18"/>
          <w:color w:val="auto"/>
        </w:rPr>
      </w:pPr>
      <w:r>
        <w:rPr>
          <w:rFonts w:ascii="Arial" w:cs="Arial" w:eastAsia="Arial" w:hAnsi="Arial"/>
          <w:sz w:val="18"/>
          <w:szCs w:val="18"/>
          <w:color w:val="auto"/>
        </w:rPr>
        <w:t>the loss of acquired unearned revenue and unbilled unearned revenue;</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43"/>
        </w:numPr>
        <w:rPr>
          <w:rFonts w:ascii="Arial" w:cs="Arial" w:eastAsia="Arial" w:hAnsi="Arial"/>
          <w:sz w:val="18"/>
          <w:szCs w:val="18"/>
          <w:color w:val="auto"/>
        </w:rPr>
      </w:pPr>
      <w:r>
        <w:rPr>
          <w:rFonts w:ascii="Arial" w:cs="Arial" w:eastAsia="Arial" w:hAnsi="Arial"/>
          <w:sz w:val="18"/>
          <w:szCs w:val="18"/>
          <w:color w:val="auto"/>
        </w:rPr>
        <w:t>delays in customer purchases due to uncertainty related to any acquisition;</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43"/>
        </w:numPr>
        <w:rPr>
          <w:rFonts w:ascii="Arial" w:cs="Arial" w:eastAsia="Arial" w:hAnsi="Arial"/>
          <w:sz w:val="18"/>
          <w:szCs w:val="18"/>
          <w:color w:val="auto"/>
        </w:rPr>
      </w:pPr>
      <w:r>
        <w:rPr>
          <w:rFonts w:ascii="Arial" w:cs="Arial" w:eastAsia="Arial" w:hAnsi="Arial"/>
          <w:sz w:val="18"/>
          <w:szCs w:val="18"/>
          <w:color w:val="auto"/>
        </w:rPr>
        <w:t>ineffective or inadequate controls, procedures and policies at the acquired company;</w:t>
      </w:r>
    </w:p>
    <w:p>
      <w:pPr>
        <w:spacing w:after="0" w:line="130" w:lineRule="exact"/>
        <w:rPr>
          <w:rFonts w:ascii="Arial" w:cs="Arial" w:eastAsia="Arial" w:hAnsi="Arial"/>
          <w:sz w:val="18"/>
          <w:szCs w:val="18"/>
          <w:color w:val="auto"/>
        </w:rPr>
      </w:pPr>
    </w:p>
    <w:p>
      <w:pPr>
        <w:ind w:left="1080" w:right="200" w:hanging="532"/>
        <w:spacing w:after="0" w:line="277" w:lineRule="auto"/>
        <w:tabs>
          <w:tab w:leader="none" w:pos="1080" w:val="left"/>
        </w:tabs>
        <w:numPr>
          <w:ilvl w:val="0"/>
          <w:numId w:val="43"/>
        </w:numPr>
        <w:rPr>
          <w:rFonts w:ascii="Arial" w:cs="Arial" w:eastAsia="Arial" w:hAnsi="Arial"/>
          <w:sz w:val="18"/>
          <w:szCs w:val="18"/>
          <w:color w:val="auto"/>
        </w:rPr>
      </w:pPr>
      <w:r>
        <w:rPr>
          <w:rFonts w:ascii="Arial" w:cs="Arial" w:eastAsia="Arial" w:hAnsi="Arial"/>
          <w:sz w:val="18"/>
          <w:szCs w:val="18"/>
          <w:color w:val="auto"/>
        </w:rPr>
        <w:t>in the case of foreign acquisitions, challenges caused by integrating operations over distance and across different languages, cultures and political environments;</w:t>
      </w:r>
    </w:p>
    <w:p>
      <w:pPr>
        <w:spacing w:after="0" w:line="75" w:lineRule="exact"/>
        <w:rPr>
          <w:rFonts w:ascii="Arial" w:cs="Arial" w:eastAsia="Arial" w:hAnsi="Arial"/>
          <w:sz w:val="18"/>
          <w:szCs w:val="18"/>
          <w:color w:val="auto"/>
        </w:rPr>
      </w:pPr>
    </w:p>
    <w:p>
      <w:pPr>
        <w:ind w:left="1080" w:hanging="532"/>
        <w:spacing w:after="0"/>
        <w:tabs>
          <w:tab w:leader="none" w:pos="1080" w:val="left"/>
        </w:tabs>
        <w:numPr>
          <w:ilvl w:val="0"/>
          <w:numId w:val="43"/>
        </w:numPr>
        <w:rPr>
          <w:rFonts w:ascii="Arial" w:cs="Arial" w:eastAsia="Arial" w:hAnsi="Arial"/>
          <w:sz w:val="17"/>
          <w:szCs w:val="17"/>
          <w:color w:val="auto"/>
        </w:rPr>
      </w:pPr>
      <w:r>
        <w:rPr>
          <w:rFonts w:ascii="Arial" w:cs="Arial" w:eastAsia="Arial" w:hAnsi="Arial"/>
          <w:sz w:val="17"/>
          <w:szCs w:val="17"/>
          <w:color w:val="auto"/>
        </w:rPr>
        <w:t>currency and regulatory risks and potential additional cybersecurity and compliance risks resulting from entry into new markets;</w:t>
      </w:r>
    </w:p>
    <w:p>
      <w:pPr>
        <w:spacing w:after="0" w:line="142" w:lineRule="exact"/>
        <w:rPr>
          <w:rFonts w:ascii="Arial" w:cs="Arial" w:eastAsia="Arial" w:hAnsi="Arial"/>
          <w:sz w:val="17"/>
          <w:szCs w:val="17"/>
          <w:color w:val="auto"/>
        </w:rPr>
      </w:pPr>
    </w:p>
    <w:p>
      <w:pPr>
        <w:ind w:left="1080" w:right="220" w:hanging="532"/>
        <w:spacing w:after="0" w:line="277" w:lineRule="auto"/>
        <w:tabs>
          <w:tab w:leader="none" w:pos="1080" w:val="left"/>
        </w:tabs>
        <w:numPr>
          <w:ilvl w:val="0"/>
          <w:numId w:val="43"/>
        </w:numPr>
        <w:rPr>
          <w:rFonts w:ascii="Arial" w:cs="Arial" w:eastAsia="Arial" w:hAnsi="Arial"/>
          <w:sz w:val="18"/>
          <w:szCs w:val="18"/>
          <w:color w:val="auto"/>
        </w:rPr>
      </w:pPr>
      <w:r>
        <w:rPr>
          <w:rFonts w:ascii="Arial" w:cs="Arial" w:eastAsia="Arial" w:hAnsi="Arial"/>
          <w:sz w:val="18"/>
          <w:szCs w:val="18"/>
          <w:color w:val="auto"/>
        </w:rPr>
        <w:t>tax effects and costs of any such acquisitions, including the related integration into our tax structure and assessment of the impact on the realizability of our future tax assets or liabilities; and</w:t>
      </w:r>
    </w:p>
    <w:p>
      <w:pPr>
        <w:spacing w:after="0" w:line="75" w:lineRule="exact"/>
        <w:rPr>
          <w:rFonts w:ascii="Arial" w:cs="Arial" w:eastAsia="Arial" w:hAnsi="Arial"/>
          <w:sz w:val="18"/>
          <w:szCs w:val="18"/>
          <w:color w:val="auto"/>
        </w:rPr>
      </w:pPr>
    </w:p>
    <w:p>
      <w:pPr>
        <w:ind w:left="1080" w:hanging="532"/>
        <w:spacing w:after="0"/>
        <w:tabs>
          <w:tab w:leader="none" w:pos="1080" w:val="left"/>
        </w:tabs>
        <w:numPr>
          <w:ilvl w:val="0"/>
          <w:numId w:val="43"/>
        </w:numPr>
        <w:rPr>
          <w:rFonts w:ascii="Arial" w:cs="Arial" w:eastAsia="Arial" w:hAnsi="Arial"/>
          <w:sz w:val="17"/>
          <w:szCs w:val="17"/>
          <w:color w:val="auto"/>
        </w:rPr>
      </w:pPr>
      <w:r>
        <w:rPr>
          <w:rFonts w:ascii="Arial" w:cs="Arial" w:eastAsia="Arial" w:hAnsi="Arial"/>
          <w:sz w:val="17"/>
          <w:szCs w:val="17"/>
          <w:color w:val="auto"/>
        </w:rPr>
        <w:t>potential challenges by governmental authorities, including the U.S. Department of Justice, for anti- competitive or other reasons.</w:t>
      </w:r>
    </w:p>
    <w:p>
      <w:pPr>
        <w:spacing w:after="0" w:line="237" w:lineRule="exact"/>
        <w:rPr>
          <w:sz w:val="20"/>
          <w:szCs w:val="20"/>
          <w:color w:val="auto"/>
        </w:rPr>
      </w:pPr>
    </w:p>
    <w:p>
      <w:pPr>
        <w:ind w:left="120" w:right="120" w:firstLine="440"/>
        <w:spacing w:after="0" w:line="275" w:lineRule="auto"/>
        <w:rPr>
          <w:sz w:val="20"/>
          <w:szCs w:val="20"/>
          <w:color w:val="auto"/>
        </w:rPr>
      </w:pPr>
      <w:r>
        <w:rPr>
          <w:rFonts w:ascii="Arial" w:cs="Arial" w:eastAsia="Arial" w:hAnsi="Arial"/>
          <w:sz w:val="17"/>
          <w:szCs w:val="17"/>
          <w:color w:val="auto"/>
        </w:rPr>
        <w:t>Any of these risks could harm our business. In addition, to facilitate these acquisitions or investments, we may seek additional equity or debt financing, which may not be available on terms favorable to us or at all, may affect our ability to complete subsequent acquisitions or investments and may affect the risks of owning our Class A common stock. For example, if we finance acquisitions by issuing equity or convertible debt securities or loans, our existing stockholders may be diluted, or we could face constraints related to the terms of, and repayment obligation related to, the incurrence of indebtedness that could affect the market price of our Class A common stock.</w:t>
      </w:r>
    </w:p>
    <w:p>
      <w:pPr>
        <w:spacing w:after="0" w:line="284" w:lineRule="exact"/>
        <w:rPr>
          <w:sz w:val="20"/>
          <w:szCs w:val="20"/>
          <w:color w:val="auto"/>
        </w:rPr>
      </w:pPr>
    </w:p>
    <w:p>
      <w:pPr>
        <w:ind w:left="120" w:right="300"/>
        <w:spacing w:after="0" w:line="277" w:lineRule="auto"/>
        <w:rPr>
          <w:sz w:val="20"/>
          <w:szCs w:val="20"/>
          <w:color w:val="auto"/>
        </w:rPr>
      </w:pPr>
      <w:r>
        <w:rPr>
          <w:rFonts w:ascii="Arial" w:cs="Arial" w:eastAsia="Arial" w:hAnsi="Arial"/>
          <w:sz w:val="18"/>
          <w:szCs w:val="18"/>
          <w:b w:val="1"/>
          <w:bCs w:val="1"/>
          <w:i w:val="1"/>
          <w:iCs w:val="1"/>
          <w:color w:val="auto"/>
        </w:rPr>
        <w:t>If we fail to maintain adequate operational and financial resources, particularly if we continue to grow rapidly, we may be unable to execute our business plan or maintain high levels of service and customer satisfaction.</w:t>
      </w:r>
    </w:p>
    <w:p>
      <w:pPr>
        <w:spacing w:after="0" w:line="62" w:lineRule="exact"/>
        <w:rPr>
          <w:sz w:val="20"/>
          <w:szCs w:val="20"/>
          <w:color w:val="auto"/>
        </w:rPr>
      </w:pPr>
    </w:p>
    <w:p>
      <w:pPr>
        <w:ind w:left="120" w:right="80" w:firstLine="440"/>
        <w:spacing w:after="0" w:line="269" w:lineRule="auto"/>
        <w:rPr>
          <w:sz w:val="20"/>
          <w:szCs w:val="20"/>
          <w:color w:val="auto"/>
        </w:rPr>
      </w:pPr>
      <w:r>
        <w:rPr>
          <w:rFonts w:ascii="Arial" w:cs="Arial" w:eastAsia="Arial" w:hAnsi="Arial"/>
          <w:sz w:val="17"/>
          <w:szCs w:val="17"/>
          <w:color w:val="auto"/>
        </w:rPr>
        <w:t>We have experienced, and expect to continue to experience, rapid growth, which has placed, and may continue to place, significant demands on our management and our operational and financial resources. We have three offices across the northeastern U.S., and as a result of the Monocl acquisition, one office in Sweden. We have experienced significant growth in headcount, with over 380 employees in 2019 and over 550 employees in 2020. We have also experienced significant growth in the number of customers using our platform and in the amount of data in our databases. In addition, our organizational structure is becoming more complex as we scale our reporting systems and procedures and our operational, financial and management controls, and as we expand internationally. As we continue to grow, we face challenges of integrating, developing, training and motivating a rapidly growing employee base in our various offices and maintaining our company culture across multiple offices. Certain members of our management have not previously worked together for an extended period of time, and most do not have prior experience managing a public company, which may affect how they manage our growth. If we fail to manage our anticipated growth and change in a manner that preserves the key aspects of our corporate culture, the quality of our solutions may suffer, which could negatively affect our brand and reputation and harm our ability to retain and attract users, employees and customers.</w:t>
      </w:r>
    </w:p>
    <w:p>
      <w:pPr>
        <w:spacing w:after="0" w:line="182" w:lineRule="exact"/>
        <w:rPr>
          <w:sz w:val="20"/>
          <w:szCs w:val="20"/>
          <w:color w:val="auto"/>
        </w:rPr>
      </w:pPr>
    </w:p>
    <w:p>
      <w:pPr>
        <w:ind w:left="120" w:right="20" w:firstLine="440"/>
        <w:spacing w:after="0" w:line="279" w:lineRule="auto"/>
        <w:rPr>
          <w:sz w:val="20"/>
          <w:szCs w:val="20"/>
          <w:color w:val="auto"/>
        </w:rPr>
      </w:pPr>
      <w:r>
        <w:rPr>
          <w:rFonts w:ascii="Arial" w:cs="Arial" w:eastAsia="Arial" w:hAnsi="Arial"/>
          <w:sz w:val="17"/>
          <w:szCs w:val="17"/>
          <w:color w:val="auto"/>
        </w:rPr>
        <w:t>To manage growth in our operations and personnel, we will need to continue to grow and improve our operational, financial and management controls and our reporting systems and procedures. We will require significant capital expenditures and the allocation of valuable management resources to grow and change in these areas. Our expansion has placed, and our expected future growth will continue to place, a significant strain on our management, customer experience, innovation, sales and marketing, administrative, financial and other resources.</w:t>
      </w:r>
    </w:p>
    <w:p>
      <w:pPr>
        <w:spacing w:after="0" w:line="104" w:lineRule="exact"/>
        <w:rPr>
          <w:sz w:val="20"/>
          <w:szCs w:val="20"/>
          <w:color w:val="auto"/>
        </w:rPr>
      </w:pPr>
    </w:p>
    <w:p>
      <w:pPr>
        <w:jc w:val="center"/>
        <w:ind w:right="-359"/>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120"/>
          </w:cols>
          <w:pgMar w:left="320" w:top="459" w:right="459" w:bottom="1440" w:gutter="0" w:footer="0" w:header="0"/>
        </w:sectPr>
      </w:pPr>
    </w:p>
    <w:bookmarkStart w:id="43" w:name="page44"/>
    <w:bookmarkEnd w:id="4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Confidential Treatment Requested by Definitive Healthcare Corp.</w:t>
      </w:r>
    </w:p>
    <w:p>
      <w:pPr>
        <w:spacing w:after="0" w:line="27"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Pursuant to 17 C.F.R. Section 200.83</w:t>
      </w:r>
    </w:p>
    <w:p>
      <w:pPr>
        <w:spacing w:after="0" w:line="143" w:lineRule="exact"/>
        <w:rPr>
          <w:sz w:val="20"/>
          <w:szCs w:val="20"/>
          <w:color w:val="auto"/>
        </w:rPr>
      </w:pPr>
    </w:p>
    <w:p>
      <w:pPr>
        <w:ind w:left="120" w:right="60" w:firstLine="440"/>
        <w:spacing w:after="0" w:line="259" w:lineRule="auto"/>
        <w:rPr>
          <w:sz w:val="20"/>
          <w:szCs w:val="20"/>
          <w:color w:val="auto"/>
        </w:rPr>
      </w:pPr>
      <w:r>
        <w:rPr>
          <w:rFonts w:ascii="Arial" w:cs="Arial" w:eastAsia="Arial" w:hAnsi="Arial"/>
          <w:sz w:val="18"/>
          <w:szCs w:val="18"/>
          <w:color w:val="auto"/>
        </w:rPr>
        <w:t>We anticipate that significant additional investments will be required to scale our operations and increase productivity, to address the needs of our customers, to further develop and enhance our platform, to expand into new geographic areas and to scale with our overall growth. If additional investments are required due to significant growth, this will increase our cost base, which will make it more difficult for us to offset any future revenue shortfalls by reducing expenses in the short term.</w:t>
      </w:r>
    </w:p>
    <w:p>
      <w:pPr>
        <w:spacing w:after="0" w:line="187" w:lineRule="exact"/>
        <w:rPr>
          <w:sz w:val="20"/>
          <w:szCs w:val="20"/>
          <w:color w:val="auto"/>
        </w:rPr>
      </w:pPr>
    </w:p>
    <w:p>
      <w:pPr>
        <w:ind w:left="120" w:right="120" w:firstLine="440"/>
        <w:spacing w:after="0" w:line="275" w:lineRule="auto"/>
        <w:rPr>
          <w:sz w:val="20"/>
          <w:szCs w:val="20"/>
          <w:color w:val="auto"/>
        </w:rPr>
      </w:pPr>
      <w:r>
        <w:rPr>
          <w:rFonts w:ascii="Arial" w:cs="Arial" w:eastAsia="Arial" w:hAnsi="Arial"/>
          <w:sz w:val="17"/>
          <w:szCs w:val="17"/>
          <w:color w:val="auto"/>
        </w:rPr>
        <w:t>In addition, as we expand our business, it is important that we continue to maintain a high level of customer service and satisfaction. As our customer base continues to grow, we will need to expand our account management, customer service and other personnel, which will require more complex management and systems. Additionally, since a significant portion of our new business is derived from customer referrals, customers may be less likely to refer new customers if they are not satisfied with our platform. If we are not able to continue to provide high levels of customer service, it could have a material adverse effect on our business, financial condition and results of operations.</w:t>
      </w:r>
    </w:p>
    <w:p>
      <w:pPr>
        <w:spacing w:after="0" w:line="284" w:lineRule="exact"/>
        <w:rPr>
          <w:sz w:val="20"/>
          <w:szCs w:val="20"/>
          <w:color w:val="auto"/>
        </w:rPr>
      </w:pPr>
    </w:p>
    <w:p>
      <w:pPr>
        <w:ind w:left="120" w:right="300"/>
        <w:spacing w:after="0" w:line="342" w:lineRule="auto"/>
        <w:rPr>
          <w:sz w:val="20"/>
          <w:szCs w:val="20"/>
          <w:color w:val="auto"/>
        </w:rPr>
      </w:pPr>
      <w:r>
        <w:rPr>
          <w:rFonts w:ascii="Arial" w:cs="Arial" w:eastAsia="Arial" w:hAnsi="Arial"/>
          <w:sz w:val="16"/>
          <w:szCs w:val="16"/>
          <w:b w:val="1"/>
          <w:bCs w:val="1"/>
          <w:i w:val="1"/>
          <w:iCs w:val="1"/>
          <w:color w:val="auto"/>
        </w:rPr>
        <w:t>We depend on our executive officers and other key employees, and the loss of one or more of these employees or an inability to attract and retain other highly skilled employees could have a material adverse effect on our business, financial condition and results of operations.</w:t>
      </w:r>
    </w:p>
    <w:p>
      <w:pPr>
        <w:spacing w:after="0" w:line="16" w:lineRule="exact"/>
        <w:rPr>
          <w:sz w:val="20"/>
          <w:szCs w:val="20"/>
          <w:color w:val="auto"/>
        </w:rPr>
      </w:pPr>
    </w:p>
    <w:p>
      <w:pPr>
        <w:ind w:left="120" w:right="20" w:firstLine="440"/>
        <w:spacing w:after="0" w:line="255" w:lineRule="auto"/>
        <w:rPr>
          <w:sz w:val="20"/>
          <w:szCs w:val="20"/>
          <w:color w:val="auto"/>
        </w:rPr>
      </w:pPr>
      <w:r>
        <w:rPr>
          <w:rFonts w:ascii="Arial" w:cs="Arial" w:eastAsia="Arial" w:hAnsi="Arial"/>
          <w:sz w:val="18"/>
          <w:szCs w:val="18"/>
          <w:color w:val="auto"/>
        </w:rPr>
        <w:t>Our success depends largely upon the continued services of our executive officers and other key employees. We rely on our leadership team in the areas of sales and marketing, product development, strategy and corporate development and network development. From time to time, there may be changes in our executive management team resulting from the hiring or departure of executives, which could disrupt our business. The loss of one or more of our executive officers or key employees could have a material adverse effect on our business, financial condition and results of operations. Changes in our executive management team may also cause disruptions to our business and have a material adverse effect on our business, financial condition and results of operations.</w:t>
      </w:r>
    </w:p>
    <w:p>
      <w:pPr>
        <w:spacing w:after="0" w:line="192" w:lineRule="exact"/>
        <w:rPr>
          <w:sz w:val="20"/>
          <w:szCs w:val="20"/>
          <w:color w:val="auto"/>
        </w:rPr>
      </w:pPr>
    </w:p>
    <w:p>
      <w:pPr>
        <w:ind w:left="120" w:firstLine="440"/>
        <w:spacing w:after="0" w:line="259" w:lineRule="auto"/>
        <w:rPr>
          <w:sz w:val="20"/>
          <w:szCs w:val="20"/>
          <w:color w:val="auto"/>
        </w:rPr>
      </w:pPr>
      <w:r>
        <w:rPr>
          <w:rFonts w:ascii="Arial" w:cs="Arial" w:eastAsia="Arial" w:hAnsi="Arial"/>
          <w:sz w:val="18"/>
          <w:szCs w:val="18"/>
          <w:color w:val="auto"/>
        </w:rPr>
        <w:t>We are led by our CEO and founder, Jason Krantz, who plays an important role in driving our culture, determining our strategy and executing against that strategy across our business. If Mr. Krantz’s services became unavailable to us for any reason, it may be difficult or impossible for us to find an adequate replacement, which could cause us to be less successful in maintaining our culture and developing and effectively executing on our strategies.</w:t>
      </w:r>
    </w:p>
    <w:p>
      <w:pPr>
        <w:spacing w:after="0" w:line="187" w:lineRule="exact"/>
        <w:rPr>
          <w:sz w:val="20"/>
          <w:szCs w:val="20"/>
          <w:color w:val="auto"/>
        </w:rPr>
      </w:pPr>
    </w:p>
    <w:p>
      <w:pPr>
        <w:ind w:left="120" w:right="80" w:firstLine="440"/>
        <w:spacing w:after="0" w:line="291" w:lineRule="auto"/>
        <w:rPr>
          <w:sz w:val="20"/>
          <w:szCs w:val="20"/>
          <w:color w:val="auto"/>
        </w:rPr>
      </w:pPr>
      <w:r>
        <w:rPr>
          <w:rFonts w:ascii="Arial" w:cs="Arial" w:eastAsia="Arial" w:hAnsi="Arial"/>
          <w:sz w:val="16"/>
          <w:szCs w:val="16"/>
          <w:color w:val="auto"/>
        </w:rPr>
        <w:t>In addition, to execute our growth plan, we must attract and retain highly qualified employees. Competition for these employees is intense, especially for data scientists experienced in designing and developing software and SaaS applications and experienced sales professionals. We have from time to time experienced, and we expect to continue to experience, difficulty in hiring and retaining employees with appropriate qualifications. In addition, certain domestic immigration laws restrict or limit our ability to recruit internationally. Any changes to U.S. immigration policies that restrain the flow of technical and professional talent may inhibit our ability to recruit and retain highly qualified employees. Many of the companies with which we compete for experienced employees have greater resources than us and may be able to offer more attractive terms of employment. In addition, we invest significant time and expense in training our employees, which increases their value to competitors who may seek to recruit them.</w:t>
      </w:r>
    </w:p>
    <w:p>
      <w:pPr>
        <w:spacing w:after="0" w:line="166" w:lineRule="exact"/>
        <w:rPr>
          <w:sz w:val="20"/>
          <w:szCs w:val="20"/>
          <w:color w:val="auto"/>
        </w:rPr>
      </w:pPr>
    </w:p>
    <w:p>
      <w:pPr>
        <w:ind w:left="120" w:firstLine="440"/>
        <w:spacing w:after="0" w:line="291" w:lineRule="auto"/>
        <w:rPr>
          <w:sz w:val="20"/>
          <w:szCs w:val="20"/>
          <w:color w:val="auto"/>
        </w:rPr>
      </w:pPr>
      <w:r>
        <w:rPr>
          <w:rFonts w:ascii="Arial" w:cs="Arial" w:eastAsia="Arial" w:hAnsi="Arial"/>
          <w:sz w:val="16"/>
          <w:szCs w:val="16"/>
          <w:color w:val="auto"/>
        </w:rPr>
        <w:t>If we hire employees from competitors or other companies, their former employers may attempt to assert that these employees have breached their legal obligations, resulting in a diversion of our time and resources. In addition, job candidates and existing employees often consider the value of the equity awards they receive in connection with their employment. If the perceived value of our equity awards declines, it may harm our ability to recruit and retain highly skilled employees. If we fail to attract new employees or fail to retain and motivate our current employees, our business and future growth prospects could be materially and adversely affected. Meanwhile, additions of executive-level management and large numbers of employees could significantly and adversely impact our culture. If we do not maintain and continue to develop our corporate culture as we grow and evolve, it could harm our ability to foster the innovation, creativity and teamwork we believe that we need to support our growth.</w:t>
      </w:r>
    </w:p>
    <w:p>
      <w:pPr>
        <w:spacing w:after="0" w:line="99" w:lineRule="exact"/>
        <w:rPr>
          <w:sz w:val="20"/>
          <w:szCs w:val="20"/>
          <w:color w:val="auto"/>
        </w:rPr>
      </w:pPr>
    </w:p>
    <w:p>
      <w:pPr>
        <w:jc w:val="center"/>
        <w:ind w:right="-359"/>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100"/>
          </w:cols>
          <w:pgMar w:left="320" w:top="459" w:right="479" w:bottom="1440" w:gutter="0" w:footer="0" w:header="0"/>
        </w:sectPr>
      </w:pPr>
    </w:p>
    <w:bookmarkStart w:id="44" w:name="page45"/>
    <w:bookmarkEnd w:id="4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Confidential Treatment Requested by Definitive Healthcare Corp.</w:t>
      </w:r>
    </w:p>
    <w:p>
      <w:pPr>
        <w:spacing w:after="0" w:line="27"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Pursuant to 17 C.F.R. Section 200.83</w:t>
      </w:r>
    </w:p>
    <w:p>
      <w:pPr>
        <w:spacing w:after="0" w:line="143" w:lineRule="exact"/>
        <w:rPr>
          <w:sz w:val="20"/>
          <w:szCs w:val="20"/>
          <w:color w:val="auto"/>
        </w:rPr>
      </w:pPr>
    </w:p>
    <w:p>
      <w:pPr>
        <w:jc w:val="both"/>
        <w:ind w:left="120" w:right="120" w:firstLine="440"/>
        <w:spacing w:after="0" w:line="263" w:lineRule="auto"/>
        <w:rPr>
          <w:sz w:val="20"/>
          <w:szCs w:val="20"/>
          <w:color w:val="auto"/>
        </w:rPr>
      </w:pPr>
      <w:r>
        <w:rPr>
          <w:rFonts w:ascii="Arial" w:cs="Arial" w:eastAsia="Arial" w:hAnsi="Arial"/>
          <w:sz w:val="18"/>
          <w:szCs w:val="18"/>
          <w:color w:val="auto"/>
        </w:rPr>
        <w:t>In addition, many of our essential technologies and systems are custom-made for our business by our key employees. The loss of key employees, including members of our management team, as well as certain of our sales, data scientists or other technology employees could disrupt our operations and have an adverse effect on our ability to grow our business.</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7"/>
          <w:szCs w:val="17"/>
          <w:b w:val="1"/>
          <w:bCs w:val="1"/>
          <w:i w:val="1"/>
          <w:iCs w:val="1"/>
          <w:color w:val="auto"/>
        </w:rPr>
        <w:t>If we fail to protect and maintain our brand, our ability to attract and retain customers will be impaired, our reputation may be harmed.</w:t>
      </w:r>
    </w:p>
    <w:p>
      <w:pPr>
        <w:spacing w:after="0" w:line="129" w:lineRule="exact"/>
        <w:rPr>
          <w:sz w:val="20"/>
          <w:szCs w:val="20"/>
          <w:color w:val="auto"/>
        </w:rPr>
      </w:pPr>
    </w:p>
    <w:p>
      <w:pPr>
        <w:ind w:left="120" w:right="80" w:firstLine="440"/>
        <w:spacing w:after="0" w:line="279" w:lineRule="auto"/>
        <w:rPr>
          <w:sz w:val="20"/>
          <w:szCs w:val="20"/>
          <w:color w:val="auto"/>
        </w:rPr>
      </w:pPr>
      <w:r>
        <w:rPr>
          <w:rFonts w:ascii="Arial" w:cs="Arial" w:eastAsia="Arial" w:hAnsi="Arial"/>
          <w:sz w:val="17"/>
          <w:szCs w:val="17"/>
          <w:color w:val="auto"/>
        </w:rPr>
        <w:t>We believe that developing, protecting and maintaining awareness of our brand is critical to achieving widespread acceptance of our platform and is an important element in attracting new organizations to our platform. Further, we believe that the importance of brand recognition will increase as competition in our market increases. Successful promotion of our brand will depend largely on the effectiveness of our marketing efforts and on our ability to ensure that our platform remains high-quality, reliable and useful at competitive prices.</w:t>
      </w:r>
    </w:p>
    <w:p>
      <w:pPr>
        <w:spacing w:after="0" w:line="171" w:lineRule="exact"/>
        <w:rPr>
          <w:sz w:val="20"/>
          <w:szCs w:val="20"/>
          <w:color w:val="auto"/>
        </w:rPr>
      </w:pPr>
    </w:p>
    <w:p>
      <w:pPr>
        <w:jc w:val="both"/>
        <w:ind w:left="120" w:right="160" w:firstLine="440"/>
        <w:spacing w:after="0" w:line="279" w:lineRule="auto"/>
        <w:rPr>
          <w:sz w:val="20"/>
          <w:szCs w:val="20"/>
          <w:color w:val="auto"/>
        </w:rPr>
      </w:pPr>
      <w:r>
        <w:rPr>
          <w:rFonts w:ascii="Arial" w:cs="Arial" w:eastAsia="Arial" w:hAnsi="Arial"/>
          <w:sz w:val="17"/>
          <w:szCs w:val="17"/>
          <w:color w:val="auto"/>
        </w:rPr>
        <w:t>Brand promotion activities may not yield increased revenue, and, even if they do, any increased revenue may not offset the expenses we incur in building our brand. If we fail to successfully promote and maintain our brand, or incur substantial expenses in an unsuccessful attempt to promote and maintain our brand, our reputation may be harmed and we may fail to attract new customers to the extent necessary to realize a sufficient return on our brand-building efforts, and our business, results of operations and financial condition could suffer.</w:t>
      </w:r>
    </w:p>
    <w:p>
      <w:pPr>
        <w:spacing w:after="0" w:line="279" w:lineRule="exact"/>
        <w:rPr>
          <w:sz w:val="20"/>
          <w:szCs w:val="20"/>
          <w:color w:val="auto"/>
        </w:rPr>
      </w:pPr>
    </w:p>
    <w:p>
      <w:pPr>
        <w:ind w:left="120" w:right="220"/>
        <w:spacing w:after="0" w:line="375" w:lineRule="auto"/>
        <w:rPr>
          <w:sz w:val="20"/>
          <w:szCs w:val="20"/>
          <w:color w:val="auto"/>
        </w:rPr>
      </w:pPr>
      <w:r>
        <w:rPr>
          <w:rFonts w:ascii="Arial" w:cs="Arial" w:eastAsia="Arial" w:hAnsi="Arial"/>
          <w:sz w:val="15"/>
          <w:szCs w:val="15"/>
          <w:b w:val="1"/>
          <w:bCs w:val="1"/>
          <w:i w:val="1"/>
          <w:iCs w:val="1"/>
          <w:color w:val="auto"/>
        </w:rPr>
        <w:t>A substantial portion of our revenue and cash flows from sales of our subscriptions to our platform to customers in the healthcare ecosystem, and factors that adversely affect it, including mergers within the healthcare ecosystem or regulatory changes, could also adversely affect us.</w:t>
      </w:r>
    </w:p>
    <w:p>
      <w:pPr>
        <w:spacing w:after="0" w:line="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Demand for our solutions could be affected by factors that affect the healthcare ecosystem, including:</w:t>
      </w:r>
    </w:p>
    <w:p>
      <w:pPr>
        <w:spacing w:after="0" w:line="131" w:lineRule="exact"/>
        <w:rPr>
          <w:sz w:val="20"/>
          <w:szCs w:val="20"/>
          <w:color w:val="auto"/>
        </w:rPr>
      </w:pPr>
    </w:p>
    <w:p>
      <w:pPr>
        <w:ind w:left="1080" w:right="240" w:hanging="532"/>
        <w:spacing w:after="0" w:line="311" w:lineRule="auto"/>
        <w:tabs>
          <w:tab w:leader="none" w:pos="1080" w:val="left"/>
        </w:tabs>
        <w:numPr>
          <w:ilvl w:val="0"/>
          <w:numId w:val="44"/>
        </w:numPr>
        <w:rPr>
          <w:rFonts w:ascii="Arial" w:cs="Arial" w:eastAsia="Arial" w:hAnsi="Arial"/>
          <w:sz w:val="16"/>
          <w:szCs w:val="16"/>
          <w:color w:val="auto"/>
        </w:rPr>
      </w:pPr>
      <w:r>
        <w:rPr>
          <w:rFonts w:ascii="Arial" w:cs="Arial" w:eastAsia="Arial" w:hAnsi="Arial"/>
          <w:sz w:val="16"/>
          <w:szCs w:val="16"/>
          <w:color w:val="auto"/>
        </w:rPr>
        <w:t>Changes in regulations could negatively impact the business environment for our healthcare customers. Healthcare laws and regulations are rapidly evolving and may change significantly in the future. In particular, legislation or regulatory changes regarding data analytics companies has continued to be a topic of discussion by political leaders and regulators in the U.S. and elsewhere.</w:t>
      </w:r>
    </w:p>
    <w:p>
      <w:pPr>
        <w:spacing w:after="0" w:line="54" w:lineRule="exact"/>
        <w:rPr>
          <w:rFonts w:ascii="Arial" w:cs="Arial" w:eastAsia="Arial" w:hAnsi="Arial"/>
          <w:sz w:val="16"/>
          <w:szCs w:val="16"/>
          <w:color w:val="auto"/>
        </w:rPr>
      </w:pPr>
    </w:p>
    <w:p>
      <w:pPr>
        <w:ind w:left="1080" w:hanging="532"/>
        <w:spacing w:after="0" w:line="269" w:lineRule="auto"/>
        <w:tabs>
          <w:tab w:leader="none" w:pos="1080" w:val="left"/>
        </w:tabs>
        <w:numPr>
          <w:ilvl w:val="0"/>
          <w:numId w:val="44"/>
        </w:numPr>
        <w:rPr>
          <w:rFonts w:ascii="Arial" w:cs="Arial" w:eastAsia="Arial" w:hAnsi="Arial"/>
          <w:sz w:val="17"/>
          <w:szCs w:val="17"/>
          <w:color w:val="auto"/>
        </w:rPr>
      </w:pPr>
      <w:r>
        <w:rPr>
          <w:rFonts w:ascii="Arial" w:cs="Arial" w:eastAsia="Arial" w:hAnsi="Arial"/>
          <w:sz w:val="17"/>
          <w:szCs w:val="17"/>
          <w:color w:val="auto"/>
        </w:rPr>
        <w:t>Consolidation within the healthcare ecosystem has accelerated in recent years, and this trend could continue. We have in the past, and may in the future, suffer reductions in user subscriptions or non-renewal of customer subscription orders due to industry consolidation. We may not be able to expand sales of our platform to new customers enough to counteract any negative impact of company consolidation on our business. In addition, new companies that result from such consolidation may decide that our platform is no longer needed because of their own internal processes or alternative solutions. As these companies consolidate, competition to provide our platform will become more intense and establishing relationships with large industry participants will become more important. These industry participants may also try to use their market power to negotiate price reductions for our platform. If consolidation of our larger customers occurs, the combined company may represent a larger percentage of business for us and, as a result, we are likely to rely more significantly on revenue from the combined company to continue to achieve growth. In addition, if large healthcare companies merge, it would have the potential to reduce per-unit pricing for our platform for the merged companies.</w:t>
      </w:r>
    </w:p>
    <w:p>
      <w:pPr>
        <w:spacing w:after="0" w:line="90" w:lineRule="exact"/>
        <w:rPr>
          <w:rFonts w:ascii="Arial" w:cs="Arial" w:eastAsia="Arial" w:hAnsi="Arial"/>
          <w:sz w:val="17"/>
          <w:szCs w:val="17"/>
          <w:color w:val="auto"/>
        </w:rPr>
      </w:pPr>
    </w:p>
    <w:p>
      <w:pPr>
        <w:ind w:left="1080" w:right="220" w:hanging="532"/>
        <w:spacing w:after="0" w:line="342" w:lineRule="auto"/>
        <w:tabs>
          <w:tab w:leader="none" w:pos="1080" w:val="left"/>
        </w:tabs>
        <w:numPr>
          <w:ilvl w:val="0"/>
          <w:numId w:val="44"/>
        </w:numPr>
        <w:rPr>
          <w:rFonts w:ascii="Arial" w:cs="Arial" w:eastAsia="Arial" w:hAnsi="Arial"/>
          <w:sz w:val="16"/>
          <w:szCs w:val="16"/>
          <w:color w:val="auto"/>
        </w:rPr>
      </w:pPr>
      <w:r>
        <w:rPr>
          <w:rFonts w:ascii="Arial" w:cs="Arial" w:eastAsia="Arial" w:hAnsi="Arial"/>
          <w:sz w:val="16"/>
          <w:szCs w:val="16"/>
          <w:color w:val="auto"/>
        </w:rPr>
        <w:t>Healthcare companies may be unsuccessful and may subsequently declare bankruptcy. If our customers declare bankruptcy or otherwise dissolve, they may terminate their agreements with us or we may not be able to recoup the full payment of fees owed to us.</w:t>
      </w:r>
    </w:p>
    <w:p>
      <w:pPr>
        <w:spacing w:after="0" w:line="29" w:lineRule="exact"/>
        <w:rPr>
          <w:rFonts w:ascii="Arial" w:cs="Arial" w:eastAsia="Arial" w:hAnsi="Arial"/>
          <w:sz w:val="16"/>
          <w:szCs w:val="16"/>
          <w:color w:val="auto"/>
        </w:rPr>
      </w:pPr>
    </w:p>
    <w:p>
      <w:pPr>
        <w:ind w:left="1080" w:right="80" w:hanging="532"/>
        <w:spacing w:after="0" w:line="311" w:lineRule="auto"/>
        <w:tabs>
          <w:tab w:leader="none" w:pos="1080" w:val="left"/>
        </w:tabs>
        <w:numPr>
          <w:ilvl w:val="0"/>
          <w:numId w:val="44"/>
        </w:numPr>
        <w:rPr>
          <w:rFonts w:ascii="Arial" w:cs="Arial" w:eastAsia="Arial" w:hAnsi="Arial"/>
          <w:sz w:val="16"/>
          <w:szCs w:val="16"/>
          <w:color w:val="auto"/>
        </w:rPr>
      </w:pPr>
      <w:r>
        <w:rPr>
          <w:rFonts w:ascii="Arial" w:cs="Arial" w:eastAsia="Arial" w:hAnsi="Arial"/>
          <w:sz w:val="16"/>
          <w:szCs w:val="16"/>
          <w:color w:val="auto"/>
        </w:rPr>
        <w:t>The implications of precision medicine treatments, changes in the practices of prescribing physicians and patients, changes with respect to payer relationships, the policies and preferences of healthcare professionals and healthcare organizations with respect to the sales and marketing efforts of healthcare companies, changes in the regulation of the sales and marketing efforts and pricing practices of</w:t>
      </w:r>
    </w:p>
    <w:p>
      <w:pPr>
        <w:spacing w:after="0" w:line="81" w:lineRule="exact"/>
        <w:rPr>
          <w:sz w:val="20"/>
          <w:szCs w:val="20"/>
          <w:color w:val="auto"/>
        </w:rPr>
      </w:pPr>
    </w:p>
    <w:p>
      <w:pPr>
        <w:jc w:val="center"/>
        <w:ind w:right="-359"/>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120"/>
          </w:cols>
          <w:pgMar w:left="320" w:top="459" w:right="459" w:bottom="1440" w:gutter="0" w:footer="0" w:header="0"/>
        </w:sectPr>
      </w:pPr>
    </w:p>
    <w:bookmarkStart w:id="45" w:name="page46"/>
    <w:bookmarkEnd w:id="4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Confidential Treatment Requested by Definitive Healthcare Corp.</w:t>
      </w:r>
    </w:p>
    <w:p>
      <w:pPr>
        <w:spacing w:after="0" w:line="27"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Pursuant to 17 C.F.R. Section 200.83</w:t>
      </w:r>
    </w:p>
    <w:p>
      <w:pPr>
        <w:spacing w:after="0" w:line="143" w:lineRule="exact"/>
        <w:rPr>
          <w:sz w:val="20"/>
          <w:szCs w:val="20"/>
          <w:color w:val="auto"/>
        </w:rPr>
      </w:pPr>
    </w:p>
    <w:p>
      <w:pPr>
        <w:ind w:left="1100" w:right="120"/>
        <w:spacing w:after="0" w:line="259" w:lineRule="auto"/>
        <w:rPr>
          <w:sz w:val="20"/>
          <w:szCs w:val="20"/>
          <w:color w:val="auto"/>
        </w:rPr>
      </w:pPr>
      <w:r>
        <w:rPr>
          <w:rFonts w:ascii="Arial" w:cs="Arial" w:eastAsia="Arial" w:hAnsi="Arial"/>
          <w:sz w:val="18"/>
          <w:szCs w:val="18"/>
          <w:color w:val="auto"/>
        </w:rPr>
        <w:t>healthcare companies, and other factors such as the impact of COVID-19, could lead to a significant reduction in businesses that use our platform or otherwise change the demand for our platform. Changes in public perception regarding the practices of the healthcare ecosystem may result in political pressure to increase the regulation of healthcare companies in one or more of the areas described above, which may negatively impact demand for our platform.</w:t>
      </w:r>
    </w:p>
    <w:p>
      <w:pPr>
        <w:spacing w:after="0" w:line="92" w:lineRule="exact"/>
        <w:rPr>
          <w:sz w:val="20"/>
          <w:szCs w:val="20"/>
          <w:color w:val="auto"/>
        </w:rPr>
      </w:pPr>
    </w:p>
    <w:p>
      <w:pPr>
        <w:ind w:left="1080" w:hanging="532"/>
        <w:spacing w:after="0" w:line="275" w:lineRule="auto"/>
        <w:tabs>
          <w:tab w:leader="none" w:pos="1080" w:val="left"/>
        </w:tabs>
        <w:numPr>
          <w:ilvl w:val="0"/>
          <w:numId w:val="45"/>
        </w:numPr>
        <w:rPr>
          <w:rFonts w:ascii="Arial" w:cs="Arial" w:eastAsia="Arial" w:hAnsi="Arial"/>
          <w:sz w:val="17"/>
          <w:szCs w:val="17"/>
          <w:color w:val="auto"/>
        </w:rPr>
      </w:pPr>
      <w:r>
        <w:rPr>
          <w:rFonts w:ascii="Arial" w:cs="Arial" w:eastAsia="Arial" w:hAnsi="Arial"/>
          <w:sz w:val="17"/>
          <w:szCs w:val="17"/>
          <w:color w:val="auto"/>
        </w:rPr>
        <w:t>Our business depends on the overall economic health of our existing and prospective customers. Subscribing to our platform may involve a significant commitment of capital and other resources for certain customers. If economic conditions, including the ability to market commercial intelligence in the healthcare ecosystem or the demand for healthcare products globally deteriorates, many of our customers may delay on growth initiatives that would require our solutions. This could result in reductions in sales of our solutions, longer sales cycles, reductions in subscription duration and value, slower adoption of new solutions, and increased price competition.</w:t>
      </w:r>
    </w:p>
    <w:p>
      <w:pPr>
        <w:spacing w:after="0" w:line="176" w:lineRule="exact"/>
        <w:rPr>
          <w:sz w:val="20"/>
          <w:szCs w:val="20"/>
          <w:color w:val="auto"/>
        </w:rPr>
      </w:pPr>
    </w:p>
    <w:p>
      <w:pPr>
        <w:ind w:left="120" w:right="620" w:firstLine="440"/>
        <w:spacing w:after="0" w:line="308" w:lineRule="auto"/>
        <w:rPr>
          <w:sz w:val="20"/>
          <w:szCs w:val="20"/>
          <w:color w:val="auto"/>
        </w:rPr>
      </w:pPr>
      <w:r>
        <w:rPr>
          <w:rFonts w:ascii="Arial" w:cs="Arial" w:eastAsia="Arial" w:hAnsi="Arial"/>
          <w:sz w:val="17"/>
          <w:szCs w:val="17"/>
          <w:color w:val="auto"/>
        </w:rPr>
        <w:t>Accordingly, our operating results and our ability to efficiently provide our solutions to healthcare companies and to grow or maintain our customer base could be adversely affected as a result of these factors and others that affect the healthcare ecosystem generally.</w:t>
      </w:r>
    </w:p>
    <w:p>
      <w:pPr>
        <w:spacing w:after="0" w:line="254" w:lineRule="exact"/>
        <w:rPr>
          <w:sz w:val="20"/>
          <w:szCs w:val="20"/>
          <w:color w:val="auto"/>
        </w:rPr>
      </w:pPr>
    </w:p>
    <w:p>
      <w:pPr>
        <w:ind w:left="120" w:right="40"/>
        <w:spacing w:after="0" w:line="277" w:lineRule="auto"/>
        <w:rPr>
          <w:sz w:val="20"/>
          <w:szCs w:val="20"/>
          <w:color w:val="auto"/>
        </w:rPr>
      </w:pPr>
      <w:r>
        <w:rPr>
          <w:rFonts w:ascii="Arial" w:cs="Arial" w:eastAsia="Arial" w:hAnsi="Arial"/>
          <w:sz w:val="18"/>
          <w:szCs w:val="18"/>
          <w:b w:val="1"/>
          <w:bCs w:val="1"/>
          <w:i w:val="1"/>
          <w:iCs w:val="1"/>
          <w:color w:val="auto"/>
        </w:rPr>
        <w:t>Changes in the sizes or types of organizations that subscribe to our platform could affect our business and our financial results may fluctuate due to increasing variability in our sales cycles.</w:t>
      </w:r>
    </w:p>
    <w:p>
      <w:pPr>
        <w:spacing w:after="0" w:line="62" w:lineRule="exact"/>
        <w:rPr>
          <w:sz w:val="20"/>
          <w:szCs w:val="20"/>
          <w:color w:val="auto"/>
        </w:rPr>
      </w:pPr>
    </w:p>
    <w:p>
      <w:pPr>
        <w:ind w:left="120" w:right="200" w:firstLine="440"/>
        <w:spacing w:after="0" w:line="293" w:lineRule="auto"/>
        <w:rPr>
          <w:sz w:val="20"/>
          <w:szCs w:val="20"/>
          <w:color w:val="auto"/>
        </w:rPr>
      </w:pPr>
      <w:r>
        <w:rPr>
          <w:rFonts w:ascii="Arial" w:cs="Arial" w:eastAsia="Arial" w:hAnsi="Arial"/>
          <w:sz w:val="16"/>
          <w:szCs w:val="16"/>
          <w:color w:val="auto"/>
        </w:rPr>
        <w:t>Our strategy is to sell subscriptions of our platform to organizations of all sizes, ranging from life science companies, healthcare information technology companies, healthcare providers and other companies that sell into the healthcare ecosystem. Selling to small-to-medium sized businesses may involve greater credit risk and uncertainty, as well as lower retention rates and limited interaction with our sales and other personnel. Conversely, sales to Enterprise Customers may entail longer sales cycles, more significant selling efforts and greater uncertainty. If we are successful in expanding our customer base to include more Enterprise Customers, our sales cycles may lengthen and become less predictable, which, in turn, may adversely affect our financial results. Factors that may influence the length and variability of our sales cycle include:</w:t>
      </w:r>
    </w:p>
    <w:p>
      <w:pPr>
        <w:spacing w:after="0" w:line="70" w:lineRule="exact"/>
        <w:rPr>
          <w:sz w:val="20"/>
          <w:szCs w:val="20"/>
          <w:color w:val="auto"/>
        </w:rPr>
      </w:pPr>
    </w:p>
    <w:p>
      <w:pPr>
        <w:ind w:left="1080" w:hanging="532"/>
        <w:spacing w:after="0"/>
        <w:tabs>
          <w:tab w:leader="none" w:pos="1080" w:val="left"/>
        </w:tabs>
        <w:numPr>
          <w:ilvl w:val="0"/>
          <w:numId w:val="46"/>
        </w:numPr>
        <w:rPr>
          <w:rFonts w:ascii="Arial" w:cs="Arial" w:eastAsia="Arial" w:hAnsi="Arial"/>
          <w:sz w:val="18"/>
          <w:szCs w:val="18"/>
          <w:color w:val="auto"/>
        </w:rPr>
      </w:pPr>
      <w:r>
        <w:rPr>
          <w:rFonts w:ascii="Arial" w:cs="Arial" w:eastAsia="Arial" w:hAnsi="Arial"/>
          <w:sz w:val="18"/>
          <w:szCs w:val="18"/>
          <w:color w:val="auto"/>
        </w:rPr>
        <w:t>the need to educate prospective customers about the uses and benefits of our platform;</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46"/>
        </w:numPr>
        <w:rPr>
          <w:rFonts w:ascii="Arial" w:cs="Arial" w:eastAsia="Arial" w:hAnsi="Arial"/>
          <w:sz w:val="18"/>
          <w:szCs w:val="18"/>
          <w:color w:val="auto"/>
        </w:rPr>
      </w:pPr>
      <w:r>
        <w:rPr>
          <w:rFonts w:ascii="Arial" w:cs="Arial" w:eastAsia="Arial" w:hAnsi="Arial"/>
          <w:sz w:val="18"/>
          <w:szCs w:val="18"/>
          <w:color w:val="auto"/>
        </w:rPr>
        <w:t>the discretionary nature of purchase and budget cycles and decisions;</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46"/>
        </w:numPr>
        <w:rPr>
          <w:rFonts w:ascii="Arial" w:cs="Arial" w:eastAsia="Arial" w:hAnsi="Arial"/>
          <w:sz w:val="18"/>
          <w:szCs w:val="18"/>
          <w:color w:val="auto"/>
        </w:rPr>
      </w:pPr>
      <w:r>
        <w:rPr>
          <w:rFonts w:ascii="Arial" w:cs="Arial" w:eastAsia="Arial" w:hAnsi="Arial"/>
          <w:sz w:val="18"/>
          <w:szCs w:val="18"/>
          <w:color w:val="auto"/>
        </w:rPr>
        <w:t>evolving functionality demands;</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46"/>
        </w:numPr>
        <w:rPr>
          <w:rFonts w:ascii="Arial" w:cs="Arial" w:eastAsia="Arial" w:hAnsi="Arial"/>
          <w:sz w:val="18"/>
          <w:szCs w:val="18"/>
          <w:color w:val="auto"/>
        </w:rPr>
      </w:pPr>
      <w:r>
        <w:rPr>
          <w:rFonts w:ascii="Arial" w:cs="Arial" w:eastAsia="Arial" w:hAnsi="Arial"/>
          <w:sz w:val="18"/>
          <w:szCs w:val="18"/>
          <w:color w:val="auto"/>
        </w:rPr>
        <w:t>announcements of planned introductions of new intelligence modules by us or our competitors; and</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46"/>
        </w:numPr>
        <w:rPr>
          <w:rFonts w:ascii="Arial" w:cs="Arial" w:eastAsia="Arial" w:hAnsi="Arial"/>
          <w:sz w:val="18"/>
          <w:szCs w:val="18"/>
          <w:color w:val="auto"/>
        </w:rPr>
      </w:pPr>
      <w:r>
        <w:rPr>
          <w:rFonts w:ascii="Arial" w:cs="Arial" w:eastAsia="Arial" w:hAnsi="Arial"/>
          <w:sz w:val="18"/>
          <w:szCs w:val="18"/>
          <w:color w:val="auto"/>
        </w:rPr>
        <w:t>lengthy and multi-faceted purchasing approval processes.</w:t>
      </w:r>
    </w:p>
    <w:p>
      <w:pPr>
        <w:spacing w:after="0" w:line="225" w:lineRule="exact"/>
        <w:rPr>
          <w:sz w:val="20"/>
          <w:szCs w:val="20"/>
          <w:color w:val="auto"/>
        </w:rPr>
      </w:pPr>
    </w:p>
    <w:p>
      <w:pPr>
        <w:ind w:left="120" w:right="280" w:firstLine="440"/>
        <w:spacing w:after="0" w:line="277" w:lineRule="auto"/>
        <w:rPr>
          <w:sz w:val="20"/>
          <w:szCs w:val="20"/>
          <w:color w:val="auto"/>
        </w:rPr>
      </w:pPr>
      <w:r>
        <w:rPr>
          <w:rFonts w:ascii="Arial" w:cs="Arial" w:eastAsia="Arial" w:hAnsi="Arial"/>
          <w:sz w:val="18"/>
          <w:szCs w:val="18"/>
          <w:color w:val="auto"/>
        </w:rPr>
        <w:t>If there are changes in the mix of organizations that purchase our platform, our gross margins and operating results could be adversely affected and fluctuations increasing the variability in our sales cycles could negatively affect our financial results.</w:t>
      </w:r>
    </w:p>
    <w:p>
      <w:pPr>
        <w:spacing w:after="0" w:line="27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If we have overestimated the size of our total addressable market, our future growth rate may be limited.</w:t>
      </w:r>
    </w:p>
    <w:p>
      <w:pPr>
        <w:spacing w:after="0" w:line="117" w:lineRule="exact"/>
        <w:rPr>
          <w:sz w:val="20"/>
          <w:szCs w:val="20"/>
          <w:color w:val="auto"/>
        </w:rPr>
      </w:pPr>
    </w:p>
    <w:p>
      <w:pPr>
        <w:ind w:left="120" w:firstLine="440"/>
        <w:spacing w:after="0" w:line="255" w:lineRule="auto"/>
        <w:rPr>
          <w:sz w:val="20"/>
          <w:szCs w:val="20"/>
          <w:color w:val="auto"/>
        </w:rPr>
      </w:pPr>
      <w:r>
        <w:rPr>
          <w:rFonts w:ascii="Arial" w:cs="Arial" w:eastAsia="Arial" w:hAnsi="Arial"/>
          <w:sz w:val="18"/>
          <w:szCs w:val="18"/>
          <w:color w:val="auto"/>
        </w:rPr>
        <w:t>We have estimated the size of our total addressable market based on internally generated data and assumptions, and such information is inherently imprecise. In addition, our projections, assumptions, and estimates of opportunities within our market are subject to a high degree of uncertainty and risk due to a variety of factors, including, but not limited to, those described in this prospectus. If these internally generated data prove to be inaccurate or we make errors in our assumptions based on that data, our actual market may be more limited than our estimates. In addition, these inaccuracies or errors may cause us to misallocate capital and other critical business resources, which could have a material adverse effect on our business, financial condition and results of operations.</w:t>
      </w:r>
    </w:p>
    <w:p>
      <w:pPr>
        <w:spacing w:after="0" w:line="125" w:lineRule="exact"/>
        <w:rPr>
          <w:sz w:val="20"/>
          <w:szCs w:val="20"/>
          <w:color w:val="auto"/>
        </w:rPr>
      </w:pPr>
    </w:p>
    <w:p>
      <w:pPr>
        <w:jc w:val="center"/>
        <w:ind w:right="-359"/>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120"/>
          </w:cols>
          <w:pgMar w:left="320" w:top="459" w:right="459" w:bottom="1440" w:gutter="0" w:footer="0" w:header="0"/>
        </w:sectPr>
      </w:pPr>
    </w:p>
    <w:bookmarkStart w:id="46" w:name="page47"/>
    <w:bookmarkEnd w:id="4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Confidential Treatment Requested by Definitive Healthcare Corp.</w:t>
      </w:r>
    </w:p>
    <w:p>
      <w:pPr>
        <w:spacing w:after="0" w:line="27"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Pursuant to 17 C.F.R. Section 200.83</w:t>
      </w:r>
    </w:p>
    <w:p>
      <w:pPr>
        <w:spacing w:after="0" w:line="143" w:lineRule="exact"/>
        <w:rPr>
          <w:sz w:val="20"/>
          <w:szCs w:val="20"/>
          <w:color w:val="auto"/>
        </w:rPr>
      </w:pPr>
    </w:p>
    <w:p>
      <w:pPr>
        <w:ind w:left="120" w:right="140" w:firstLine="440"/>
        <w:spacing w:after="0" w:line="286" w:lineRule="auto"/>
        <w:rPr>
          <w:sz w:val="20"/>
          <w:szCs w:val="20"/>
          <w:color w:val="auto"/>
        </w:rPr>
      </w:pPr>
      <w:r>
        <w:rPr>
          <w:rFonts w:ascii="Arial" w:cs="Arial" w:eastAsia="Arial" w:hAnsi="Arial"/>
          <w:sz w:val="17"/>
          <w:szCs w:val="17"/>
          <w:color w:val="auto"/>
        </w:rPr>
        <w:t>Even if our total addressable market meets our size estimates and experiences growth, we may not continue to grow our share of the market. Our growth is subject to many factors, including our success in implementing our business strategy, which is subject to many risks and uncertainties. Accordingly, our estimates of our total addressable market should not be taken as indicative of our ability to grow our business.</w:t>
      </w:r>
    </w:p>
    <w:p>
      <w:pPr>
        <w:spacing w:after="0" w:line="273" w:lineRule="exact"/>
        <w:rPr>
          <w:sz w:val="20"/>
          <w:szCs w:val="20"/>
          <w:color w:val="auto"/>
        </w:rPr>
      </w:pPr>
    </w:p>
    <w:p>
      <w:pPr>
        <w:ind w:left="120"/>
        <w:spacing w:after="0"/>
        <w:rPr>
          <w:sz w:val="20"/>
          <w:szCs w:val="20"/>
          <w:color w:val="auto"/>
        </w:rPr>
      </w:pPr>
      <w:r>
        <w:rPr>
          <w:rFonts w:ascii="Arial" w:cs="Arial" w:eastAsia="Arial" w:hAnsi="Arial"/>
          <w:sz w:val="16"/>
          <w:szCs w:val="16"/>
          <w:b w:val="1"/>
          <w:bCs w:val="1"/>
          <w:i w:val="1"/>
          <w:iCs w:val="1"/>
          <w:color w:val="auto"/>
        </w:rPr>
        <w:t>Our business could be negatively affected by changes in search engine algorithms and dynamics or other traffic-generating arrangements.</w:t>
      </w:r>
    </w:p>
    <w:p>
      <w:pPr>
        <w:spacing w:after="0" w:line="140" w:lineRule="exact"/>
        <w:rPr>
          <w:sz w:val="20"/>
          <w:szCs w:val="20"/>
          <w:color w:val="auto"/>
        </w:rPr>
      </w:pPr>
    </w:p>
    <w:p>
      <w:pPr>
        <w:ind w:left="120" w:right="60" w:firstLine="440"/>
        <w:spacing w:after="0" w:line="290" w:lineRule="auto"/>
        <w:rPr>
          <w:sz w:val="20"/>
          <w:szCs w:val="20"/>
          <w:color w:val="auto"/>
        </w:rPr>
      </w:pPr>
      <w:r>
        <w:rPr>
          <w:rFonts w:ascii="Arial" w:cs="Arial" w:eastAsia="Arial" w:hAnsi="Arial"/>
          <w:sz w:val="16"/>
          <w:szCs w:val="16"/>
          <w:color w:val="auto"/>
        </w:rPr>
        <w:t>We rely on Internet search engines, including through the purchase of sales and marketing-related keywords and other web pages, to generate a portion of the traffic to our website. Search engines frequently update and change the logic that determines the placement and display of results of a user’s search, such that the purchased or algorithmic placement of links to our website can be negatively affected. Pricing and operating dynamics for these traffic sources can change rapidly, both technically and competitively. Moreover, a search engine could, for competitive or other purposes, alter its search algorithms or results, which could cause a website to place lower in search query results or inhibit participation in the search query results. If a major search engine changes its algorithms or results in a manner that negatively affects the search engine ranking, paid or unpaid, of our website, or if competitive dynamics impact the costs or effectiveness of search engine optimization, search engine marketing or other traffic-generating arrangements in a negative manner, our business and financial performance would be adversely affected.</w:t>
      </w:r>
    </w:p>
    <w:p>
      <w:pPr>
        <w:spacing w:after="0" w:line="273"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Operations outside the U.S. expose us to risks inherent in international operations.</w:t>
      </w:r>
    </w:p>
    <w:p>
      <w:pPr>
        <w:spacing w:after="0" w:line="117" w:lineRule="exact"/>
        <w:rPr>
          <w:sz w:val="20"/>
          <w:szCs w:val="20"/>
          <w:color w:val="auto"/>
        </w:rPr>
      </w:pPr>
    </w:p>
    <w:p>
      <w:pPr>
        <w:ind w:left="120" w:right="120" w:firstLine="440"/>
        <w:spacing w:after="0" w:line="275" w:lineRule="auto"/>
        <w:rPr>
          <w:sz w:val="20"/>
          <w:szCs w:val="20"/>
          <w:color w:val="auto"/>
        </w:rPr>
      </w:pPr>
      <w:r>
        <w:rPr>
          <w:rFonts w:ascii="Arial" w:cs="Arial" w:eastAsia="Arial" w:hAnsi="Arial"/>
          <w:sz w:val="17"/>
          <w:szCs w:val="17"/>
          <w:color w:val="auto"/>
        </w:rPr>
        <w:t>Our recent acquisition of Swedish subscription-based provider of scientific data, Monocl, in October 2020 creates exposure to risks inherent in international operations. Any new markets or countries into which we attempt to sell subscriptions to our platform may not be as receptive to our solutions as we anticipate. It is costly to establish, develop and maintain international operations and develop and promote our platform in international markets. A significant increase in international customers or an expansion of our operations into other countries would create additional risks and challenges which could have a material adverse effect on our business, financial condition and results of operations.</w:t>
      </w:r>
    </w:p>
    <w:p>
      <w:pPr>
        <w:spacing w:after="0" w:line="284" w:lineRule="exact"/>
        <w:rPr>
          <w:sz w:val="20"/>
          <w:szCs w:val="20"/>
          <w:color w:val="auto"/>
        </w:rPr>
      </w:pPr>
    </w:p>
    <w:p>
      <w:pPr>
        <w:ind w:left="120"/>
        <w:spacing w:after="0"/>
        <w:rPr>
          <w:sz w:val="20"/>
          <w:szCs w:val="20"/>
          <w:color w:val="auto"/>
        </w:rPr>
      </w:pPr>
      <w:r>
        <w:rPr>
          <w:rFonts w:ascii="Arial" w:cs="Arial" w:eastAsia="Arial" w:hAnsi="Arial"/>
          <w:sz w:val="17"/>
          <w:szCs w:val="17"/>
          <w:b w:val="1"/>
          <w:bCs w:val="1"/>
          <w:i w:val="1"/>
          <w:iCs w:val="1"/>
          <w:color w:val="auto"/>
        </w:rPr>
        <w:t>We have a limited operating history, which makes it difficult to forecast our revenue and evaluate our business and future prospects.</w:t>
      </w:r>
    </w:p>
    <w:p>
      <w:pPr>
        <w:spacing w:after="0" w:line="129" w:lineRule="exact"/>
        <w:rPr>
          <w:sz w:val="20"/>
          <w:szCs w:val="20"/>
          <w:color w:val="auto"/>
        </w:rPr>
      </w:pPr>
    </w:p>
    <w:p>
      <w:pPr>
        <w:ind w:left="120" w:firstLine="440"/>
        <w:spacing w:after="0" w:line="272" w:lineRule="auto"/>
        <w:rPr>
          <w:sz w:val="20"/>
          <w:szCs w:val="20"/>
          <w:color w:val="auto"/>
        </w:rPr>
      </w:pPr>
      <w:r>
        <w:rPr>
          <w:rFonts w:ascii="Arial" w:cs="Arial" w:eastAsia="Arial" w:hAnsi="Arial"/>
          <w:sz w:val="17"/>
          <w:szCs w:val="17"/>
          <w:color w:val="auto"/>
        </w:rPr>
        <w:t>Our business was founded in 2011, though much of our growth has occurred in recent periods. As a result of our limited operating history, our ability to forecast our future results of operations and plan for and model future growth is limited and subject to a number of uncertainties. We have encountered and expect to continue to encounter risks and uncertainties frequently experienced by growing companies in rapidly evolving industries, such as the risks and uncertainties described herein. Accordingly, we may be unable to prepare accurate internal financial forecasts or replace anticipated revenue that we do not receive as a result of delays arising from these factors, and our results of operations in future reporting periods may be below the expectations of investors. If we do not address these risks successfully, our results of operations could differ materially from our estimates and forecasts or the expectations of investors, causing our business to suffer and our Class A common stock price to decline.</w:t>
      </w:r>
    </w:p>
    <w:p>
      <w:pPr>
        <w:spacing w:after="0" w:line="285" w:lineRule="exact"/>
        <w:rPr>
          <w:sz w:val="20"/>
          <w:szCs w:val="20"/>
          <w:color w:val="auto"/>
        </w:rPr>
      </w:pPr>
    </w:p>
    <w:p>
      <w:pPr>
        <w:ind w:left="120" w:right="120"/>
        <w:spacing w:after="0" w:line="375" w:lineRule="auto"/>
        <w:rPr>
          <w:sz w:val="20"/>
          <w:szCs w:val="20"/>
          <w:color w:val="auto"/>
        </w:rPr>
      </w:pPr>
      <w:r>
        <w:rPr>
          <w:rFonts w:ascii="Arial" w:cs="Arial" w:eastAsia="Arial" w:hAnsi="Arial"/>
          <w:sz w:val="15"/>
          <w:szCs w:val="15"/>
          <w:b w:val="1"/>
          <w:bCs w:val="1"/>
          <w:i w:val="1"/>
          <w:iCs w:val="1"/>
          <w:color w:val="auto"/>
        </w:rPr>
        <w:t>Our failure to raise additional capital or generate cash flows necessary to expand our operations and invest in new technologies in the future could reduce our ability to compete successfully and have a material adverse effect on our business, financial condition and results of operations.</w:t>
      </w:r>
    </w:p>
    <w:p>
      <w:pPr>
        <w:spacing w:after="0" w:line="1" w:lineRule="exact"/>
        <w:rPr>
          <w:sz w:val="20"/>
          <w:szCs w:val="20"/>
          <w:color w:val="auto"/>
        </w:rPr>
      </w:pPr>
    </w:p>
    <w:p>
      <w:pPr>
        <w:ind w:left="120" w:right="380" w:firstLine="440"/>
        <w:spacing w:after="0" w:line="277" w:lineRule="auto"/>
        <w:rPr>
          <w:sz w:val="20"/>
          <w:szCs w:val="20"/>
          <w:color w:val="auto"/>
        </w:rPr>
      </w:pPr>
      <w:r>
        <w:rPr>
          <w:rFonts w:ascii="Arial" w:cs="Arial" w:eastAsia="Arial" w:hAnsi="Arial"/>
          <w:sz w:val="18"/>
          <w:szCs w:val="18"/>
          <w:color w:val="auto"/>
        </w:rPr>
        <w:t>We may require additional financing, and we may not be able to obtain debt or equity financing on favorable terms, if at all. The terms of any additional debt financing may be similar or more restrictive than our current debt facilities.</w:t>
      </w:r>
    </w:p>
    <w:p>
      <w:pPr>
        <w:spacing w:after="0" w:line="103" w:lineRule="exact"/>
        <w:rPr>
          <w:sz w:val="20"/>
          <w:szCs w:val="20"/>
          <w:color w:val="auto"/>
        </w:rPr>
      </w:pPr>
    </w:p>
    <w:p>
      <w:pPr>
        <w:jc w:val="center"/>
        <w:ind w:right="-359"/>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120"/>
          </w:cols>
          <w:pgMar w:left="320" w:top="459" w:right="459" w:bottom="1440" w:gutter="0" w:footer="0" w:header="0"/>
        </w:sectPr>
      </w:pPr>
    </w:p>
    <w:bookmarkStart w:id="47" w:name="page48"/>
    <w:bookmarkEnd w:id="4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Confidential Treatment Requested by Definitive Healthcare Corp.</w:t>
      </w:r>
    </w:p>
    <w:p>
      <w:pPr>
        <w:spacing w:after="0" w:line="27"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Pursuant to 17 C.F.R. Section 200.83</w:t>
      </w:r>
    </w:p>
    <w:p>
      <w:pPr>
        <w:spacing w:after="0" w:line="143" w:lineRule="exact"/>
        <w:rPr>
          <w:sz w:val="20"/>
          <w:szCs w:val="20"/>
          <w:color w:val="auto"/>
        </w:rPr>
      </w:pPr>
    </w:p>
    <w:p>
      <w:pPr>
        <w:ind w:left="560"/>
        <w:spacing w:after="0"/>
        <w:rPr>
          <w:sz w:val="20"/>
          <w:szCs w:val="20"/>
          <w:color w:val="auto"/>
        </w:rPr>
      </w:pPr>
      <w:r>
        <w:rPr>
          <w:rFonts w:ascii="Arial" w:cs="Arial" w:eastAsia="Arial" w:hAnsi="Arial"/>
          <w:sz w:val="18"/>
          <w:szCs w:val="18"/>
          <w:color w:val="auto"/>
        </w:rPr>
        <w:t>If we need additional capital and cannot raise it on acceptable terms, or at all, we may not be able to, among other things:</w:t>
      </w:r>
    </w:p>
    <w:p>
      <w:pPr>
        <w:spacing w:after="0" w:line="131" w:lineRule="exact"/>
        <w:rPr>
          <w:sz w:val="20"/>
          <w:szCs w:val="20"/>
          <w:color w:val="auto"/>
        </w:rPr>
      </w:pPr>
    </w:p>
    <w:p>
      <w:pPr>
        <w:ind w:left="1080" w:hanging="532"/>
        <w:spacing w:after="0"/>
        <w:tabs>
          <w:tab w:leader="none" w:pos="1080" w:val="left"/>
        </w:tabs>
        <w:numPr>
          <w:ilvl w:val="0"/>
          <w:numId w:val="47"/>
        </w:numPr>
        <w:rPr>
          <w:rFonts w:ascii="Arial" w:cs="Arial" w:eastAsia="Arial" w:hAnsi="Arial"/>
          <w:sz w:val="18"/>
          <w:szCs w:val="18"/>
          <w:color w:val="auto"/>
        </w:rPr>
      </w:pPr>
      <w:r>
        <w:rPr>
          <w:rFonts w:ascii="Arial" w:cs="Arial" w:eastAsia="Arial" w:hAnsi="Arial"/>
          <w:sz w:val="18"/>
          <w:szCs w:val="18"/>
          <w:color w:val="auto"/>
        </w:rPr>
        <w:t>develop new features, intelligence modules, updates, integrations, capabilities and enhancements;</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47"/>
        </w:numPr>
        <w:rPr>
          <w:rFonts w:ascii="Arial" w:cs="Arial" w:eastAsia="Arial" w:hAnsi="Arial"/>
          <w:sz w:val="18"/>
          <w:szCs w:val="18"/>
          <w:color w:val="auto"/>
        </w:rPr>
      </w:pPr>
      <w:r>
        <w:rPr>
          <w:rFonts w:ascii="Arial" w:cs="Arial" w:eastAsia="Arial" w:hAnsi="Arial"/>
          <w:sz w:val="18"/>
          <w:szCs w:val="18"/>
          <w:color w:val="auto"/>
        </w:rPr>
        <w:t>continue to provide synthesis of real-time data;</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47"/>
        </w:numPr>
        <w:rPr>
          <w:rFonts w:ascii="Arial" w:cs="Arial" w:eastAsia="Arial" w:hAnsi="Arial"/>
          <w:sz w:val="18"/>
          <w:szCs w:val="18"/>
          <w:color w:val="auto"/>
        </w:rPr>
      </w:pPr>
      <w:r>
        <w:rPr>
          <w:rFonts w:ascii="Arial" w:cs="Arial" w:eastAsia="Arial" w:hAnsi="Arial"/>
          <w:sz w:val="18"/>
          <w:szCs w:val="18"/>
          <w:color w:val="auto"/>
        </w:rPr>
        <w:t>hire, train and retain employees;</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47"/>
        </w:numPr>
        <w:rPr>
          <w:rFonts w:ascii="Arial" w:cs="Arial" w:eastAsia="Arial" w:hAnsi="Arial"/>
          <w:sz w:val="18"/>
          <w:szCs w:val="18"/>
          <w:color w:val="auto"/>
        </w:rPr>
      </w:pPr>
      <w:r>
        <w:rPr>
          <w:rFonts w:ascii="Arial" w:cs="Arial" w:eastAsia="Arial" w:hAnsi="Arial"/>
          <w:sz w:val="18"/>
          <w:szCs w:val="18"/>
          <w:color w:val="auto"/>
        </w:rPr>
        <w:t>respond to competitive pressures or unanticipated working capital requirements; or</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47"/>
        </w:numPr>
        <w:rPr>
          <w:rFonts w:ascii="Arial" w:cs="Arial" w:eastAsia="Arial" w:hAnsi="Arial"/>
          <w:sz w:val="18"/>
          <w:szCs w:val="18"/>
          <w:color w:val="auto"/>
        </w:rPr>
      </w:pPr>
      <w:r>
        <w:rPr>
          <w:rFonts w:ascii="Arial" w:cs="Arial" w:eastAsia="Arial" w:hAnsi="Arial"/>
          <w:sz w:val="18"/>
          <w:szCs w:val="18"/>
          <w:color w:val="auto"/>
        </w:rPr>
        <w:t>pursue acquisition opportunities.</w:t>
      </w:r>
    </w:p>
    <w:p>
      <w:pPr>
        <w:spacing w:after="0" w:line="333"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Catastrophic events could disrupt our business and adversely affect our operating results.</w:t>
      </w:r>
    </w:p>
    <w:p>
      <w:pPr>
        <w:spacing w:after="0" w:line="117" w:lineRule="exact"/>
        <w:rPr>
          <w:sz w:val="20"/>
          <w:szCs w:val="20"/>
          <w:color w:val="auto"/>
        </w:rPr>
      </w:pPr>
    </w:p>
    <w:p>
      <w:pPr>
        <w:ind w:left="120" w:right="60" w:firstLine="440"/>
        <w:spacing w:after="0" w:line="272" w:lineRule="auto"/>
        <w:rPr>
          <w:sz w:val="20"/>
          <w:szCs w:val="20"/>
          <w:color w:val="auto"/>
        </w:rPr>
      </w:pPr>
      <w:r>
        <w:rPr>
          <w:rFonts w:ascii="Arial" w:cs="Arial" w:eastAsia="Arial" w:hAnsi="Arial"/>
          <w:sz w:val="17"/>
          <w:szCs w:val="17"/>
          <w:color w:val="auto"/>
        </w:rPr>
        <w:t>Our corporate headquarters are located in Framingham, Massachusetts. Additionally, we rely on our network and third-party infrastructure and enterprise applications, internal technology systems and our website, for our product development, analytics innovation, marketing, operational support, hosted services and sales activities. In the event of a major weather event or threatened public health emergency (e.g., the COVID-19 pandemic), or other catastrophic event such as fire, power loss, telecommunications failure, cyber-attack, war or terrorist attack, we may be unable to continue our operations at full capacity or at all and may experience system interruptions, reputational harm, delays in our solution development, lengthy interruptions in our services, breaches of data security, loss of key employees and loss of critical data, all of which could have a material adverse effect on our business, financial condition and results of operations.</w:t>
      </w:r>
    </w:p>
    <w:p>
      <w:pPr>
        <w:spacing w:after="0" w:line="285" w:lineRule="exact"/>
        <w:rPr>
          <w:sz w:val="20"/>
          <w:szCs w:val="20"/>
          <w:color w:val="auto"/>
        </w:rPr>
      </w:pPr>
    </w:p>
    <w:p>
      <w:pPr>
        <w:ind w:left="120" w:right="260"/>
        <w:spacing w:after="0" w:line="277" w:lineRule="auto"/>
        <w:rPr>
          <w:sz w:val="20"/>
          <w:szCs w:val="20"/>
          <w:color w:val="auto"/>
        </w:rPr>
      </w:pPr>
      <w:r>
        <w:rPr>
          <w:rFonts w:ascii="Arial" w:cs="Arial" w:eastAsia="Arial" w:hAnsi="Arial"/>
          <w:sz w:val="18"/>
          <w:szCs w:val="18"/>
          <w:b w:val="1"/>
          <w:bCs w:val="1"/>
          <w:i w:val="1"/>
          <w:iCs w:val="1"/>
          <w:color w:val="auto"/>
        </w:rPr>
        <w:t>Our solutions utilize open-source software, and any failure to comply with the terms of one or more of these open-source licenses could adversely affect our business.</w:t>
      </w:r>
    </w:p>
    <w:p>
      <w:pPr>
        <w:spacing w:after="0" w:line="62" w:lineRule="exact"/>
        <w:rPr>
          <w:sz w:val="20"/>
          <w:szCs w:val="20"/>
          <w:color w:val="auto"/>
        </w:rPr>
      </w:pPr>
    </w:p>
    <w:p>
      <w:pPr>
        <w:ind w:left="120" w:right="20" w:firstLine="440"/>
        <w:spacing w:after="0" w:line="273" w:lineRule="auto"/>
        <w:rPr>
          <w:sz w:val="20"/>
          <w:szCs w:val="20"/>
          <w:color w:val="auto"/>
        </w:rPr>
      </w:pPr>
      <w:r>
        <w:rPr>
          <w:rFonts w:ascii="Arial" w:cs="Arial" w:eastAsia="Arial" w:hAnsi="Arial"/>
          <w:sz w:val="17"/>
          <w:szCs w:val="17"/>
          <w:color w:val="auto"/>
        </w:rPr>
        <w:t>Our solutions include software subject to open-source licenses. The terms of various open-source licenses have not been interpreted by U.S. courts, and there is a risk that such licenses could be construed in a manner that imposes unanticipated conditions or restrictions on our ability to market our solutions. Certain open-source software licenses require a user who intends to distribute the open-source software as a component of the user’s software to disclose publicly part or all of the source code to the user’s software. Additionally, certain open- source software licenses require the user of such software to make any derivative works of the open-source code available to others on terms that are unfavorable to such user or at no cost. This can effectively render what was previously proprietary software open-source software.</w:t>
      </w:r>
    </w:p>
    <w:p>
      <w:pPr>
        <w:spacing w:after="0" w:line="178" w:lineRule="exact"/>
        <w:rPr>
          <w:sz w:val="20"/>
          <w:szCs w:val="20"/>
          <w:color w:val="auto"/>
        </w:rPr>
      </w:pPr>
    </w:p>
    <w:p>
      <w:pPr>
        <w:ind w:left="120" w:firstLine="440"/>
        <w:spacing w:after="0" w:line="272" w:lineRule="auto"/>
        <w:rPr>
          <w:sz w:val="20"/>
          <w:szCs w:val="20"/>
          <w:color w:val="auto"/>
        </w:rPr>
      </w:pPr>
      <w:r>
        <w:rPr>
          <w:rFonts w:ascii="Arial" w:cs="Arial" w:eastAsia="Arial" w:hAnsi="Arial"/>
          <w:sz w:val="17"/>
          <w:szCs w:val="17"/>
          <w:color w:val="auto"/>
        </w:rPr>
        <w:t>It is possible under the terms of certain open-source licenses (often called “copyleft” or “viral” licenses), if we combine our proprietary software with open-source software in a certain manner, that we could be required to release the source code of our proprietary software and make our proprietary software available under open- source licenses. In the event that portions of our proprietary software are determined to be subject to an open- source license, we could be required to publicly release the affected portions of our source code, re-engineer all or a portion of our solutions, or otherwise be limited in the licensing of our solutions, each of which could reduce or eliminate the value of our solutions. In addition to risks related to license requirements, use of open-source software can lead to greater risks than use of third-party commercial software, as open-source licensors generally do not provide warranties or controls on the origin of the software.</w:t>
      </w:r>
    </w:p>
    <w:p>
      <w:pPr>
        <w:spacing w:after="0" w:line="285" w:lineRule="exact"/>
        <w:rPr>
          <w:sz w:val="20"/>
          <w:szCs w:val="20"/>
          <w:color w:val="auto"/>
        </w:rPr>
      </w:pPr>
    </w:p>
    <w:p>
      <w:pPr>
        <w:ind w:left="120"/>
        <w:spacing w:after="0" w:line="277" w:lineRule="auto"/>
        <w:rPr>
          <w:sz w:val="20"/>
          <w:szCs w:val="20"/>
          <w:color w:val="auto"/>
        </w:rPr>
      </w:pPr>
      <w:r>
        <w:rPr>
          <w:rFonts w:ascii="Arial" w:cs="Arial" w:eastAsia="Arial" w:hAnsi="Arial"/>
          <w:sz w:val="18"/>
          <w:szCs w:val="18"/>
          <w:b w:val="1"/>
          <w:bCs w:val="1"/>
          <w:i w:val="1"/>
          <w:iCs w:val="1"/>
          <w:color w:val="auto"/>
        </w:rPr>
        <w:t>We are subject to subscription and payment processing risk from our third-party vendors and any disruption to such processing systems could have a material adverse effect on our business, financial condition and results of operations.</w:t>
      </w:r>
    </w:p>
    <w:p>
      <w:pPr>
        <w:spacing w:after="0" w:line="62" w:lineRule="exact"/>
        <w:rPr>
          <w:sz w:val="20"/>
          <w:szCs w:val="20"/>
          <w:color w:val="auto"/>
        </w:rPr>
      </w:pPr>
    </w:p>
    <w:p>
      <w:pPr>
        <w:ind w:left="120" w:right="40" w:firstLine="440"/>
        <w:spacing w:after="0" w:line="263" w:lineRule="auto"/>
        <w:rPr>
          <w:sz w:val="20"/>
          <w:szCs w:val="20"/>
          <w:color w:val="auto"/>
        </w:rPr>
      </w:pPr>
      <w:r>
        <w:rPr>
          <w:rFonts w:ascii="Arial" w:cs="Arial" w:eastAsia="Arial" w:hAnsi="Arial"/>
          <w:sz w:val="18"/>
          <w:szCs w:val="18"/>
          <w:color w:val="auto"/>
        </w:rPr>
        <w:t>We rely on a third-party subscription management platform to process the subscription plans and billing frequencies of our customers. In addition, we rely primarily on third parties for payment processing services. If these third-party vendors were to experience an interruption, delay or outages in service and availability, we may</w:t>
      </w:r>
    </w:p>
    <w:p>
      <w:pPr>
        <w:spacing w:after="0" w:line="116" w:lineRule="exact"/>
        <w:rPr>
          <w:sz w:val="20"/>
          <w:szCs w:val="20"/>
          <w:color w:val="auto"/>
        </w:rPr>
      </w:pPr>
    </w:p>
    <w:p>
      <w:pPr>
        <w:jc w:val="center"/>
        <w:ind w:right="-359"/>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120"/>
          </w:cols>
          <w:pgMar w:left="320" w:top="459" w:right="459" w:bottom="1440" w:gutter="0" w:footer="0" w:header="0"/>
        </w:sectPr>
      </w:pPr>
    </w:p>
    <w:bookmarkStart w:id="48" w:name="page49"/>
    <w:bookmarkEnd w:id="4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Confidential Treatment Requested by Definitive Healthcare Corp.</w:t>
      </w:r>
    </w:p>
    <w:p>
      <w:pPr>
        <w:spacing w:after="0" w:line="27"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Pursuant to 17 C.F.R. Section 200.83</w:t>
      </w:r>
    </w:p>
    <w:p>
      <w:pPr>
        <w:spacing w:after="0" w:line="143" w:lineRule="exact"/>
        <w:rPr>
          <w:sz w:val="20"/>
          <w:szCs w:val="20"/>
          <w:color w:val="auto"/>
        </w:rPr>
      </w:pPr>
    </w:p>
    <w:p>
      <w:pPr>
        <w:ind w:left="120" w:right="40"/>
        <w:spacing w:after="0" w:line="296" w:lineRule="auto"/>
        <w:rPr>
          <w:sz w:val="20"/>
          <w:szCs w:val="20"/>
          <w:color w:val="auto"/>
        </w:rPr>
      </w:pPr>
      <w:r>
        <w:rPr>
          <w:rFonts w:ascii="Arial" w:cs="Arial" w:eastAsia="Arial" w:hAnsi="Arial"/>
          <w:sz w:val="16"/>
          <w:szCs w:val="16"/>
          <w:color w:val="auto"/>
        </w:rPr>
        <w:t>be unable to process new and renewing subscriptions or invoices. Further, if these third-party vendors experience a cybersecurity breach affecting data related to services provided to us, we could experience reputational damage or incur liability. Although alternative service providers may be available to us, we may incur significant expense and research and product development efforts to deploy any alternative service providers. To the extent there are disruptions in our third-party subscription and payment processing systems, we could experience revenue loss, accounting issues and harm to our reputation and customer relationships, which could have a material adverse effect on our business, financial condition and results of operations.</w:t>
      </w:r>
    </w:p>
    <w:p>
      <w:pPr>
        <w:spacing w:after="0" w:line="26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Risks Related to Data Privacy and Cybersecurity</w:t>
      </w:r>
    </w:p>
    <w:p>
      <w:pPr>
        <w:spacing w:after="0" w:line="121" w:lineRule="exact"/>
        <w:rPr>
          <w:sz w:val="20"/>
          <w:szCs w:val="20"/>
          <w:color w:val="auto"/>
        </w:rPr>
      </w:pPr>
    </w:p>
    <w:p>
      <w:pPr>
        <w:ind w:left="120" w:right="600"/>
        <w:spacing w:after="0" w:line="277" w:lineRule="auto"/>
        <w:rPr>
          <w:sz w:val="20"/>
          <w:szCs w:val="20"/>
          <w:color w:val="auto"/>
        </w:rPr>
      </w:pPr>
      <w:r>
        <w:rPr>
          <w:rFonts w:ascii="Arial" w:cs="Arial" w:eastAsia="Arial" w:hAnsi="Arial"/>
          <w:sz w:val="18"/>
          <w:szCs w:val="18"/>
          <w:b w:val="1"/>
          <w:bCs w:val="1"/>
          <w:i w:val="1"/>
          <w:iCs w:val="1"/>
          <w:color w:val="auto"/>
        </w:rPr>
        <w:t>Cyber-attacks and security vulnerabilities could have a material adverse effect on our reputation, business, financial condition and results of operations.</w:t>
      </w:r>
    </w:p>
    <w:p>
      <w:pPr>
        <w:spacing w:after="0" w:line="62" w:lineRule="exact"/>
        <w:rPr>
          <w:sz w:val="20"/>
          <w:szCs w:val="20"/>
          <w:color w:val="auto"/>
        </w:rPr>
      </w:pPr>
    </w:p>
    <w:p>
      <w:pPr>
        <w:ind w:left="120" w:firstLine="440"/>
        <w:spacing w:after="0" w:line="270" w:lineRule="auto"/>
        <w:rPr>
          <w:sz w:val="20"/>
          <w:szCs w:val="20"/>
          <w:color w:val="auto"/>
        </w:rPr>
      </w:pPr>
      <w:r>
        <w:rPr>
          <w:rFonts w:ascii="Arial" w:cs="Arial" w:eastAsia="Arial" w:hAnsi="Arial"/>
          <w:sz w:val="17"/>
          <w:szCs w:val="17"/>
          <w:color w:val="auto"/>
        </w:rPr>
        <w:t>Our solutions involve the storage and transmission of proprietary information including personal information of medical professionals, de-identified personal information of patients and clinical trial participants, and other sensitive information. Our business, brand, reputation and ability to attract and retain customers depends upon the satisfactory performance, reliability and availability of our platform. Interruptions in our computer and information technology systems, whether due to fire, flood, power loss, terrorist attacks, acts of war, system failures, computer viruses, software errors, physical or electronic break-ins or malicious hacks or attacks on our systems (such as denial of service attacks), could affect the security and availability of our services and our platform and prevent or inhibit the ability of customers to access our platform. In addition, the software, internal applications and systems underlying our platform are complex and may not be error-free. Any inefficiencies, errors or technical problems with our platform, internal applications and systems could reduce the quality of our solutions or interfere with our customers’ use of our platform, which could reduce demand, lower our revenues and increase our costs.</w:t>
      </w:r>
    </w:p>
    <w:p>
      <w:pPr>
        <w:spacing w:after="0" w:line="181" w:lineRule="exact"/>
        <w:rPr>
          <w:sz w:val="20"/>
          <w:szCs w:val="20"/>
          <w:color w:val="auto"/>
        </w:rPr>
      </w:pPr>
    </w:p>
    <w:p>
      <w:pPr>
        <w:ind w:left="120" w:right="40" w:firstLine="440"/>
        <w:spacing w:after="0" w:line="285" w:lineRule="auto"/>
        <w:rPr>
          <w:sz w:val="20"/>
          <w:szCs w:val="20"/>
          <w:color w:val="auto"/>
        </w:rPr>
      </w:pPr>
      <w:r>
        <w:rPr>
          <w:rFonts w:ascii="Arial" w:cs="Arial" w:eastAsia="Arial" w:hAnsi="Arial"/>
          <w:sz w:val="16"/>
          <w:szCs w:val="16"/>
          <w:color w:val="auto"/>
        </w:rPr>
        <w:t>Threats to network and data security are also constantly evolving and becoming increasingly diverse, frequent, persistent and sophisticated. Attacks upon information technology systems are being conducted by sophisticated and organized groups and individuals with a wide range of motives and expertise. Our platform, as well as our servers, computer systems and those of third parties that we rely on in our operations, could be vulnerable to cybersecurity risks. An increasing number of organizations have disclosed breaches of their information security systems, some of which have involved sophisticated and highly targeted attacks. Further, our platform utilizes A.I. and machine learning technology to provide services, and this technology is susceptible to cybersecurity threats, as confidential and sensitive information may be integrated into the platform. Because of the sensitivity of the information we and our service providers collect, store, transmit, and otherwise process, the security of our technology platform and other aspects of our solutions, including those provided or facilitated by our third-party service providers, are vital to our operations and business strategy. Cyber-attacks can take many forms, but they typically aim to obtain unauthorized access to confidential information, manipulate or destroy data or disrupt, sabotage or degrade service on our systems. As a result of the COVID-19 pandemic, we may also face increased cybersecurity risks due to our reliance on internet technology and the number of our employees who are working remotely, which may create additional opportunities for cybercriminals to exploit vulnerabilities. Furthermore, because the techniques used to obtain unauthorized access to, or to sabotage, systems change frequently and often are not recognized until launched against a target, we may be unable to anticipate these techniques or implement adequate preventative measures. We may also experience security breaches that may remain undetected for an extended period, due to, among other things, the breadth and complexity of our operations and the high volume of transactions that we process, the large number of customers, counterparties and third party service providers with which we do business, the proliferation and increasing sophistication of cyber-attacks, and the possibility that a third party, after establishing a foothold on an internal network without being detected, might obtain access to other networks and systems.</w:t>
      </w:r>
    </w:p>
    <w:p>
      <w:pPr>
        <w:spacing w:after="0" w:line="174" w:lineRule="exact"/>
        <w:rPr>
          <w:sz w:val="20"/>
          <w:szCs w:val="20"/>
          <w:color w:val="auto"/>
        </w:rPr>
      </w:pPr>
    </w:p>
    <w:p>
      <w:pPr>
        <w:ind w:left="120" w:right="120" w:firstLine="440"/>
        <w:spacing w:after="0" w:line="277" w:lineRule="auto"/>
        <w:rPr>
          <w:sz w:val="20"/>
          <w:szCs w:val="20"/>
          <w:color w:val="auto"/>
        </w:rPr>
      </w:pPr>
      <w:r>
        <w:rPr>
          <w:rFonts w:ascii="Arial" w:cs="Arial" w:eastAsia="Arial" w:hAnsi="Arial"/>
          <w:sz w:val="18"/>
          <w:szCs w:val="18"/>
          <w:color w:val="auto"/>
        </w:rPr>
        <w:t>The extent of a particular cybersecurity incident and the steps that we may need to take to investigate it may not be immediately clear, and it may take a significant amount of time before such an investigation can be</w:t>
      </w:r>
    </w:p>
    <w:p>
      <w:pPr>
        <w:spacing w:after="0" w:line="103" w:lineRule="exact"/>
        <w:rPr>
          <w:sz w:val="20"/>
          <w:szCs w:val="20"/>
          <w:color w:val="auto"/>
        </w:rPr>
      </w:pPr>
    </w:p>
    <w:p>
      <w:pPr>
        <w:jc w:val="center"/>
        <w:ind w:right="-359"/>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120"/>
          </w:cols>
          <w:pgMar w:left="320" w:top="459" w:right="459" w:bottom="1440" w:gutter="0" w:footer="0" w:header="0"/>
        </w:sectPr>
      </w:pPr>
    </w:p>
    <w:bookmarkStart w:id="49" w:name="page50"/>
    <w:bookmarkEnd w:id="4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Confidential Treatment Requested by Definitive Healthcare Corp.</w:t>
      </w:r>
    </w:p>
    <w:p>
      <w:pPr>
        <w:spacing w:after="0" w:line="27"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Pursuant to 17 C.F.R. Section 200.83</w:t>
      </w:r>
    </w:p>
    <w:p>
      <w:pPr>
        <w:spacing w:after="0" w:line="143" w:lineRule="exact"/>
        <w:rPr>
          <w:sz w:val="20"/>
          <w:szCs w:val="20"/>
          <w:color w:val="auto"/>
        </w:rPr>
      </w:pPr>
    </w:p>
    <w:p>
      <w:pPr>
        <w:ind w:left="120"/>
        <w:spacing w:after="0" w:line="259" w:lineRule="auto"/>
        <w:rPr>
          <w:sz w:val="20"/>
          <w:szCs w:val="20"/>
          <w:color w:val="auto"/>
        </w:rPr>
      </w:pPr>
      <w:r>
        <w:rPr>
          <w:rFonts w:ascii="Arial" w:cs="Arial" w:eastAsia="Arial" w:hAnsi="Arial"/>
          <w:sz w:val="18"/>
          <w:szCs w:val="18"/>
          <w:color w:val="auto"/>
        </w:rPr>
        <w:t>completed and full and reliable information about the incident is known. While such an investigation is ongoing, we may not necessarily know the extent of the harm or how best to remediate it, and certain errors or actions could be repeated or compounded before they are discovered and remediated, any or all of which could further increase the costs and consequences of a cybersecurity incident. These risks may be increased with respect to operations housed at facilities outside of our direct control, including our data providers.</w:t>
      </w:r>
    </w:p>
    <w:p>
      <w:pPr>
        <w:spacing w:after="0" w:line="187" w:lineRule="exact"/>
        <w:rPr>
          <w:sz w:val="20"/>
          <w:szCs w:val="20"/>
          <w:color w:val="auto"/>
        </w:rPr>
      </w:pPr>
    </w:p>
    <w:p>
      <w:pPr>
        <w:ind w:left="120" w:right="40" w:firstLine="440"/>
        <w:spacing w:after="0" w:line="285" w:lineRule="auto"/>
        <w:rPr>
          <w:sz w:val="20"/>
          <w:szCs w:val="20"/>
          <w:color w:val="auto"/>
        </w:rPr>
      </w:pPr>
      <w:r>
        <w:rPr>
          <w:rFonts w:ascii="Arial" w:cs="Arial" w:eastAsia="Arial" w:hAnsi="Arial"/>
          <w:sz w:val="16"/>
          <w:szCs w:val="16"/>
          <w:color w:val="auto"/>
        </w:rPr>
        <w:t>We employ multiple methods at different layers of our systems to defend against intrusion and attack, to protect our systems and to resolve and mitigate the impact of any incidents. Despite our efforts to keep our systems secure and to remedy identified vulnerabilities, future attacks could be successful and could result in substantial liability or business risk. Third parties will continue to attempt to gain unauthorized access to our systems or facilities through various means, including hacking into our systems or facilities, or those of our customers or vendors, or attempting to fraudulently induce our employees, customers, vendors or other users of our systems into disclosing sensitive information, which may in turn be used to access our IT systems. Our cybersecurity programs and efforts to protect our systems and data, and to prevent, detect and respond to data security incidents, may not prevent these threats or provide adequate security. In addition, we may experience breaches of our security measures due to human error, malfeasance, system errors or vulnerabilities, or other irregularities including attempts by former, current or future employees to misuse their authorized access and/or gain unauthorized access to our systems. Any errors, defects, disruptions or other performance problems with our platform or breach thereof could have a material adverse effect on our reputation, business, financial condition and results of operations. We may be subject to additional liability risks associated with data security breaches or other incidents by virtue of the private right of action granted to individuals under certain data Privacy Laws (as defined below) for actions arising from certain data security incidents. We have also outsourced elements of our information technology infrastructure, and as a result a number of third-party vendors may or could have access to our confidential information. If our third-party vendors fail to protect their information technology systems and our confidential and proprietary information, we may be vulnerable to disruptions in service and unauthorized access to our confidential or proprietary information and we could incur liability and reputational damage. We maintain errors, omissions and cyber liability insurance policies covering certain security and privacy damages. However, we cannot guarantee that our coverage will be adequate for liabilities actually incurred or that insurance will continue to be available to us on economically reasonable terms, or at all.</w:t>
      </w:r>
    </w:p>
    <w:p>
      <w:pPr>
        <w:spacing w:after="0" w:line="174" w:lineRule="exact"/>
        <w:rPr>
          <w:sz w:val="20"/>
          <w:szCs w:val="20"/>
          <w:color w:val="auto"/>
        </w:rPr>
      </w:pPr>
    </w:p>
    <w:p>
      <w:pPr>
        <w:ind w:left="120" w:right="20" w:firstLine="440"/>
        <w:spacing w:after="0" w:line="293" w:lineRule="auto"/>
        <w:rPr>
          <w:sz w:val="20"/>
          <w:szCs w:val="20"/>
          <w:color w:val="auto"/>
        </w:rPr>
      </w:pPr>
      <w:r>
        <w:rPr>
          <w:rFonts w:ascii="Arial" w:cs="Arial" w:eastAsia="Arial" w:hAnsi="Arial"/>
          <w:sz w:val="16"/>
          <w:szCs w:val="16"/>
          <w:color w:val="auto"/>
        </w:rPr>
        <w:t>Due to concerns about data security and integrity, a growing number of legislative and regulatory bodies have adopted breach notification and other requirements in the event that information subject to such laws is accessed by unauthorized persons and additional regulations regarding the use, access, accuracy and security of such data are possible. In the United States, we are subject to laws that provide for at least 50 disparate notification regimes. Complying with such numerous and complex regulations in the event of unauthorized access would be expensive and difficult, and failure to comply with these regulations could subject us to regulatory scrutiny and additional liability. If we are unable to protect our computer systems, software, networks, data and other technology assets, it could have a material adverse effect on our business, financial condition and results of operations.</w:t>
      </w:r>
    </w:p>
    <w:p>
      <w:pPr>
        <w:spacing w:after="0" w:line="272" w:lineRule="exact"/>
        <w:rPr>
          <w:sz w:val="20"/>
          <w:szCs w:val="20"/>
          <w:color w:val="auto"/>
        </w:rPr>
      </w:pPr>
    </w:p>
    <w:p>
      <w:pPr>
        <w:ind w:left="120"/>
        <w:spacing w:after="0" w:line="308" w:lineRule="auto"/>
        <w:rPr>
          <w:sz w:val="20"/>
          <w:szCs w:val="20"/>
          <w:color w:val="auto"/>
        </w:rPr>
      </w:pPr>
      <w:r>
        <w:rPr>
          <w:rFonts w:ascii="Arial" w:cs="Arial" w:eastAsia="Arial" w:hAnsi="Arial"/>
          <w:sz w:val="17"/>
          <w:szCs w:val="17"/>
          <w:b w:val="1"/>
          <w:bCs w:val="1"/>
          <w:i w:val="1"/>
          <w:iCs w:val="1"/>
          <w:color w:val="auto"/>
        </w:rPr>
        <w:t>Actual or perceived failure to comply with applicable data protection, privacy and security laws, regulations, standards and other requirements could adversely affect our reputation, business, financial condition and results of operations, and financial condition.</w:t>
      </w:r>
    </w:p>
    <w:p>
      <w:pPr>
        <w:spacing w:after="0" w:line="38" w:lineRule="exact"/>
        <w:rPr>
          <w:sz w:val="20"/>
          <w:szCs w:val="20"/>
          <w:color w:val="auto"/>
        </w:rPr>
      </w:pPr>
    </w:p>
    <w:p>
      <w:pPr>
        <w:ind w:left="120" w:right="80" w:firstLine="440"/>
        <w:spacing w:after="0" w:line="293" w:lineRule="auto"/>
        <w:rPr>
          <w:sz w:val="20"/>
          <w:szCs w:val="20"/>
          <w:color w:val="auto"/>
        </w:rPr>
      </w:pPr>
      <w:r>
        <w:rPr>
          <w:rFonts w:ascii="Arial" w:cs="Arial" w:eastAsia="Arial" w:hAnsi="Arial"/>
          <w:sz w:val="16"/>
          <w:szCs w:val="16"/>
          <w:color w:val="auto"/>
        </w:rPr>
        <w:t>Our customers use our solutions to understand and navigate the healthcare ecosystem. The collection, processing, retention, security, transfer and disclosure of personal information are subject to a variety of laws and regulations in the United States and abroad that govern data privacy and security (collectively, “Privacy Laws”), which can be enforced in some cases by private parties in addition to governmental and regulatory entities, and from time to time, we may not be in full compliance with all such Privacy Laws. These Privacy Laws often require companies to implement specific privacy and information security controls to protect certain types of information, such as health information. These laws and regulations are constantly evolving and may be interpreted, applied, created, or amended in a manner that could harm our current or future business and</w:t>
      </w:r>
    </w:p>
    <w:p>
      <w:pPr>
        <w:spacing w:after="0" w:line="97" w:lineRule="exact"/>
        <w:rPr>
          <w:sz w:val="20"/>
          <w:szCs w:val="20"/>
          <w:color w:val="auto"/>
        </w:rPr>
      </w:pPr>
    </w:p>
    <w:p>
      <w:pPr>
        <w:jc w:val="center"/>
        <w:ind w:right="-359"/>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120"/>
          </w:cols>
          <w:pgMar w:left="320" w:top="459" w:right="459" w:bottom="1440" w:gutter="0" w:footer="0" w:header="0"/>
        </w:sectPr>
      </w:pPr>
    </w:p>
    <w:bookmarkStart w:id="50" w:name="page51"/>
    <w:bookmarkEnd w:id="5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Confidential Treatment Requested by Definitive Healthcare Corp.</w:t>
      </w:r>
    </w:p>
    <w:p>
      <w:pPr>
        <w:spacing w:after="0" w:line="27"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Pursuant to 17 C.F.R. Section 200.83</w:t>
      </w:r>
    </w:p>
    <w:p>
      <w:pPr>
        <w:spacing w:after="0" w:line="143" w:lineRule="exact"/>
        <w:rPr>
          <w:sz w:val="20"/>
          <w:szCs w:val="20"/>
          <w:color w:val="auto"/>
        </w:rPr>
      </w:pPr>
    </w:p>
    <w:p>
      <w:pPr>
        <w:ind w:left="120" w:right="180"/>
        <w:spacing w:after="0" w:line="296" w:lineRule="auto"/>
        <w:rPr>
          <w:sz w:val="20"/>
          <w:szCs w:val="20"/>
          <w:color w:val="auto"/>
        </w:rPr>
      </w:pPr>
      <w:r>
        <w:rPr>
          <w:rFonts w:ascii="Arial" w:cs="Arial" w:eastAsia="Arial" w:hAnsi="Arial"/>
          <w:sz w:val="16"/>
          <w:szCs w:val="16"/>
          <w:color w:val="auto"/>
        </w:rPr>
        <w:t>operations. Implementation standards and enforcement practices are likely to remain uncertain for the foreseeable future, and we cannot yet determine the impact future laws, regulations, standards, or perception of their requirements may have on our business. This evolution may create uncertainty in our business, affect our ability to operate in certain jurisdictions or to collect, store, transfer use and share personal information, necessitate the acceptance of more onerous obligations in our contracts, result in liability or impose additional costs on us. These laws and regulations may also be interpreted and applied inconsistently from jurisdiction to jurisdiction which may make compliance difficult or impossible in certain circumstances.</w:t>
      </w:r>
    </w:p>
    <w:p>
      <w:pPr>
        <w:spacing w:after="0" w:line="161" w:lineRule="exact"/>
        <w:rPr>
          <w:sz w:val="20"/>
          <w:szCs w:val="20"/>
          <w:color w:val="auto"/>
        </w:rPr>
      </w:pPr>
    </w:p>
    <w:p>
      <w:pPr>
        <w:ind w:left="120" w:firstLine="440"/>
        <w:spacing w:after="0" w:line="254" w:lineRule="auto"/>
        <w:rPr>
          <w:sz w:val="20"/>
          <w:szCs w:val="20"/>
          <w:color w:val="auto"/>
        </w:rPr>
      </w:pPr>
      <w:r>
        <w:rPr>
          <w:rFonts w:ascii="Arial" w:cs="Arial" w:eastAsia="Arial" w:hAnsi="Arial"/>
          <w:sz w:val="18"/>
          <w:szCs w:val="18"/>
          <w:color w:val="auto"/>
        </w:rPr>
        <w:t>Our platform involves use and disclosure of de-identified data, which must be de-identified in accordance with applicable laws, including Health Insurance Portability and Accountability Act (“HIPAA”). Certain states have signed into law or are intending to enact laws governing the use and disclosure of such de-identified information, and there is some uncertainty regarding those laws’ conformity with the HIPAA de-identification standards. Compliance with state laws could require additional investment and management attention and may subject us to significant liabilities if we do not comply appropriately with new and potentially conflicting regulations. If there is a future change in law, we may also face limitations on our ability to use de-identified information that could harm our business. There is also a risk that the third-party vendors that provide our data sets may fail to properly de-identify protected health information (“PHI”) under HIPAA or applicable state laws, some of which impose different standards for de-identification than those imposed by HIPAA.</w:t>
      </w:r>
    </w:p>
    <w:p>
      <w:pPr>
        <w:spacing w:after="0" w:line="192" w:lineRule="exact"/>
        <w:rPr>
          <w:sz w:val="20"/>
          <w:szCs w:val="20"/>
          <w:color w:val="auto"/>
        </w:rPr>
      </w:pPr>
    </w:p>
    <w:p>
      <w:pPr>
        <w:ind w:left="120" w:right="20" w:firstLine="440"/>
        <w:spacing w:after="0" w:line="254" w:lineRule="auto"/>
        <w:rPr>
          <w:sz w:val="20"/>
          <w:szCs w:val="20"/>
          <w:color w:val="auto"/>
        </w:rPr>
      </w:pPr>
      <w:r>
        <w:rPr>
          <w:rFonts w:ascii="Arial" w:cs="Arial" w:eastAsia="Arial" w:hAnsi="Arial"/>
          <w:sz w:val="18"/>
          <w:szCs w:val="18"/>
          <w:color w:val="auto"/>
        </w:rPr>
        <w:t>Further, our machine learning and data analytics offerings may be subject to laws and evolving regulations regarding the use of AI, controlling for data bias, and antidiscrimination. For example, the Federal Trade Commission (“FTC”) enforces consumer protection laws such as Section 5 of the FTC Act, the Fair Credit Reporting Act, and the Equal Credit Opportunity Act. These laws prohibit unfair and deceptive practices, including use of biased algorithms in AI. The European Commission also recently published its proposal for a regulation implementing harmonized rules on AI and amending certain union legislative acts. The proposed regulation would impose additional restrictions and obligations on providers of AI systems, including increasing transparency so consumers know they are interacting with an AI system, requiring human oversight in AI, and prohibiting certain practices of AI that could lead to physical or psychological harm. The cost of compliance with these laws, regulations and standards is high and is likely to increase in the future.</w:t>
      </w:r>
    </w:p>
    <w:p>
      <w:pPr>
        <w:spacing w:after="0" w:line="192" w:lineRule="exact"/>
        <w:rPr>
          <w:sz w:val="20"/>
          <w:szCs w:val="20"/>
          <w:color w:val="auto"/>
        </w:rPr>
      </w:pPr>
    </w:p>
    <w:p>
      <w:pPr>
        <w:ind w:left="120" w:right="160" w:firstLine="440"/>
        <w:spacing w:after="0" w:line="259" w:lineRule="auto"/>
        <w:rPr>
          <w:sz w:val="20"/>
          <w:szCs w:val="20"/>
          <w:color w:val="auto"/>
        </w:rPr>
      </w:pPr>
      <w:r>
        <w:rPr>
          <w:rFonts w:ascii="Arial" w:cs="Arial" w:eastAsia="Arial" w:hAnsi="Arial"/>
          <w:sz w:val="18"/>
          <w:szCs w:val="18"/>
          <w:color w:val="auto"/>
        </w:rPr>
        <w:t>Any failure or perceived failure by us to comply with federal, state or foreign laws or regulation, our internal policies and procedures or our contracts governing our processing of personal information could result in negative publicity, government investigations and enforcement actions, claims by third parties and damage to our reputation, any of which could have a material adverse effect on our reputation, business, financial condition and results of operations.</w:t>
      </w:r>
    </w:p>
    <w:p>
      <w:pPr>
        <w:spacing w:after="0" w:line="187" w:lineRule="exact"/>
        <w:rPr>
          <w:sz w:val="20"/>
          <w:szCs w:val="20"/>
          <w:color w:val="auto"/>
        </w:rPr>
      </w:pPr>
    </w:p>
    <w:p>
      <w:pPr>
        <w:ind w:left="120" w:right="160" w:firstLine="440"/>
        <w:spacing w:after="0" w:line="272" w:lineRule="auto"/>
        <w:rPr>
          <w:sz w:val="20"/>
          <w:szCs w:val="20"/>
          <w:color w:val="auto"/>
        </w:rPr>
      </w:pPr>
      <w:r>
        <w:rPr>
          <w:rFonts w:ascii="Arial" w:cs="Arial" w:eastAsia="Arial" w:hAnsi="Arial"/>
          <w:sz w:val="17"/>
          <w:szCs w:val="17"/>
          <w:color w:val="auto"/>
        </w:rPr>
        <w:t>In general, health information is among the most sensitive (and highly regulated) of personal information. Privacy Laws in the United States and around the world are designed to ensure that information about an individual’s health is properly protected from inappropriate access, use and disclosure. For example, in the United States, HIPAA and its implementation regulations impose, among other things, certain standards relating to the privacy, security, transmission and breach reporting of individually identifiable health information. The privacy, security and breach notification rules promulgated under HIPAA establish a set of national privacy and security standards for the protection of PHI, by health plans, health care clearinghouses, and certain health care providers, referred to as covered entities, and the business associates with whom such covered entities contract for services that involve creating, receiving, maintaining or transmitting PHI.</w:t>
      </w:r>
    </w:p>
    <w:p>
      <w:pPr>
        <w:spacing w:after="0" w:line="177" w:lineRule="exact"/>
        <w:rPr>
          <w:sz w:val="20"/>
          <w:szCs w:val="20"/>
          <w:color w:val="auto"/>
        </w:rPr>
      </w:pPr>
    </w:p>
    <w:p>
      <w:pPr>
        <w:ind w:left="120" w:right="140" w:firstLine="440"/>
        <w:spacing w:after="0" w:line="257" w:lineRule="auto"/>
        <w:rPr>
          <w:sz w:val="20"/>
          <w:szCs w:val="20"/>
          <w:color w:val="auto"/>
        </w:rPr>
      </w:pPr>
      <w:r>
        <w:rPr>
          <w:rFonts w:ascii="Arial" w:cs="Arial" w:eastAsia="Arial" w:hAnsi="Arial"/>
          <w:sz w:val="18"/>
          <w:szCs w:val="18"/>
          <w:color w:val="auto"/>
        </w:rPr>
        <w:t>Certain of our customers may be either “business associates” or “covered entities” under HIPAA, including certain of our customers that are not traditional healthcare providers. For example, some of our customers are medical device companies that may work with physicians or researchers from whom they receive PHI for data analysis purposes, thus triggering compliance obligations under HIPAA. While such PHI is de-identified before it is introduced into our systems, in certain scenarios, we may nevertheless be contractually obligated to comply with certain HIPAA obligations, including the various requirements of the HIPAA de-identification rules.</w:t>
      </w:r>
    </w:p>
    <w:p>
      <w:pPr>
        <w:spacing w:after="0" w:line="120" w:lineRule="exact"/>
        <w:rPr>
          <w:sz w:val="20"/>
          <w:szCs w:val="20"/>
          <w:color w:val="auto"/>
        </w:rPr>
      </w:pPr>
    </w:p>
    <w:p>
      <w:pPr>
        <w:jc w:val="center"/>
        <w:ind w:right="-359"/>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120"/>
          </w:cols>
          <w:pgMar w:left="320" w:top="459" w:right="459" w:bottom="1440" w:gutter="0" w:footer="0" w:header="0"/>
        </w:sectPr>
      </w:pPr>
    </w:p>
    <w:bookmarkStart w:id="51" w:name="page52"/>
    <w:bookmarkEnd w:id="5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Confidential Treatment Requested by Definitive Healthcare Corp.</w:t>
      </w:r>
    </w:p>
    <w:p>
      <w:pPr>
        <w:spacing w:after="0" w:line="27"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Pursuant to 17 C.F.R. Section 200.83</w:t>
      </w:r>
    </w:p>
    <w:p>
      <w:pPr>
        <w:spacing w:after="0" w:line="143" w:lineRule="exact"/>
        <w:rPr>
          <w:sz w:val="20"/>
          <w:szCs w:val="20"/>
          <w:color w:val="auto"/>
        </w:rPr>
      </w:pPr>
    </w:p>
    <w:p>
      <w:pPr>
        <w:ind w:left="120" w:right="160"/>
        <w:spacing w:after="0" w:line="254" w:lineRule="auto"/>
        <w:rPr>
          <w:sz w:val="20"/>
          <w:szCs w:val="20"/>
          <w:color w:val="auto"/>
        </w:rPr>
      </w:pPr>
      <w:r>
        <w:rPr>
          <w:rFonts w:ascii="Arial" w:cs="Arial" w:eastAsia="Arial" w:hAnsi="Arial"/>
          <w:sz w:val="18"/>
          <w:szCs w:val="18"/>
          <w:color w:val="auto"/>
        </w:rPr>
        <w:t>Additionally, if PHI is inadvertently introduced into our systems without being properly de-identified, we may be directly liable for mishandling PHI and for failing to comply with HIPAA as a “business associate.” The U.S. Department of Health and Human Services Office for Civil Rights, or OCR, may impose penalties for a failure to comply with applicable requirement of HIPAA. Penalties will vary significantly depending on factors such as the date of the violation, whether the business associate knew or should have known of the failure to comply, or whether the business associate’s failure to comply was due to willful neglect. Mandatory penalties for HIPAA violations can be significant. A single breach incident can result in violations of multiple standards. If a person knowingly or intentionally obtains or discloses PHI in violation of HIPAA requirements, criminal penalties may also be imposed.</w:t>
      </w:r>
    </w:p>
    <w:p>
      <w:pPr>
        <w:spacing w:after="0" w:line="195" w:lineRule="exact"/>
        <w:rPr>
          <w:sz w:val="20"/>
          <w:szCs w:val="20"/>
          <w:color w:val="auto"/>
        </w:rPr>
      </w:pPr>
    </w:p>
    <w:p>
      <w:pPr>
        <w:jc w:val="both"/>
        <w:ind w:left="120" w:firstLine="440"/>
        <w:spacing w:after="0" w:line="287" w:lineRule="auto"/>
        <w:rPr>
          <w:sz w:val="20"/>
          <w:szCs w:val="20"/>
          <w:color w:val="auto"/>
        </w:rPr>
      </w:pPr>
      <w:r>
        <w:rPr>
          <w:rFonts w:ascii="Arial" w:cs="Arial" w:eastAsia="Arial" w:hAnsi="Arial"/>
          <w:sz w:val="16"/>
          <w:szCs w:val="16"/>
          <w:color w:val="auto"/>
        </w:rPr>
        <w:t>In addition to government regulations, privacy advocates and other key industry players have established or may establish various new, additional, or different policies or self-regulatory standards in certain digital environments that may place additional resource constraints on us or limit our ability to generate certain analytics. Our customers may expect us to meet voluntary certifications or adhere to other standards established by third parties.</w:t>
      </w:r>
    </w:p>
    <w:p>
      <w:pPr>
        <w:spacing w:after="0" w:line="2" w:lineRule="exact"/>
        <w:rPr>
          <w:sz w:val="20"/>
          <w:szCs w:val="20"/>
          <w:color w:val="auto"/>
        </w:rPr>
      </w:pPr>
    </w:p>
    <w:p>
      <w:pPr>
        <w:ind w:left="120" w:right="60"/>
        <w:spacing w:after="0" w:line="255" w:lineRule="auto"/>
        <w:rPr>
          <w:sz w:val="20"/>
          <w:szCs w:val="20"/>
          <w:color w:val="auto"/>
        </w:rPr>
      </w:pPr>
      <w:r>
        <w:rPr>
          <w:rFonts w:ascii="Arial" w:cs="Arial" w:eastAsia="Arial" w:hAnsi="Arial"/>
          <w:sz w:val="18"/>
          <w:szCs w:val="18"/>
          <w:color w:val="auto"/>
        </w:rPr>
        <w:t>Moreover, the continuing evolution of these standards might cause confusion for our customers and may have an impact on the solutions we offer, including our analytics. If we are unable to maintain these certifications or meet these standards, it could reduce demand for our solutions and adversely affect our business and operating results.</w:t>
      </w:r>
    </w:p>
    <w:p>
      <w:pPr>
        <w:spacing w:after="0" w:line="190" w:lineRule="exact"/>
        <w:rPr>
          <w:sz w:val="20"/>
          <w:szCs w:val="20"/>
          <w:color w:val="auto"/>
        </w:rPr>
      </w:pPr>
    </w:p>
    <w:p>
      <w:pPr>
        <w:ind w:left="120" w:right="160" w:firstLine="440"/>
        <w:spacing w:after="0" w:line="293" w:lineRule="auto"/>
        <w:rPr>
          <w:sz w:val="20"/>
          <w:szCs w:val="20"/>
          <w:color w:val="auto"/>
        </w:rPr>
      </w:pPr>
      <w:r>
        <w:rPr>
          <w:rFonts w:ascii="Arial" w:cs="Arial" w:eastAsia="Arial" w:hAnsi="Arial"/>
          <w:sz w:val="16"/>
          <w:szCs w:val="16"/>
          <w:color w:val="auto"/>
        </w:rPr>
        <w:t>Many Privacy Laws protect more than health-related information, and although they vary by jurisdiction, these laws can extend to employee information, business information, healthcare provider information and other information relating to identifiable individuals. Failure to comply with these laws may result in, among other things, civil and criminal liability, negative publicity, damage to our reputation and liability under contractual provisions. These Privacy Laws may also increase our compliance costs and influence or limit the types of services we can provide. The occurrence of any of the foregoing could impact our ability to provide the same level of service to our customers, require us to modify our offerings or increase our costs, which could have a material adverse effect on our business, financial condition and results of operations.</w:t>
      </w:r>
    </w:p>
    <w:p>
      <w:pPr>
        <w:spacing w:after="0" w:line="164" w:lineRule="exact"/>
        <w:rPr>
          <w:sz w:val="20"/>
          <w:szCs w:val="20"/>
          <w:color w:val="auto"/>
        </w:rPr>
      </w:pPr>
    </w:p>
    <w:p>
      <w:pPr>
        <w:ind w:left="120" w:right="20" w:firstLine="440"/>
        <w:spacing w:after="0" w:line="286" w:lineRule="auto"/>
        <w:rPr>
          <w:sz w:val="20"/>
          <w:szCs w:val="20"/>
          <w:color w:val="auto"/>
        </w:rPr>
      </w:pPr>
      <w:r>
        <w:rPr>
          <w:rFonts w:ascii="Arial" w:cs="Arial" w:eastAsia="Arial" w:hAnsi="Arial"/>
          <w:sz w:val="16"/>
          <w:szCs w:val="16"/>
          <w:color w:val="auto"/>
        </w:rPr>
        <w:t>Certain states have also adopted privacy and security laws and regulations that are comparable to HIPAA, some of which may be more stringent. Such laws and regulations will be subject to interpretation by various courts and other governmental authorities, thus creating potentially complex compliance issues for us and our future customers and strategic partners. For example, the California Consumer Privacy Act (“CCPA”), which went into effect on January 1, 2020, imposes enhanced data privacy obligations for entities handling certain personal information and creates individual privacy rights for California residents, including the right to access and delete their personal information and to opt-out of certain sharing and sales of their personal information. The CCPA allows for significant civil penalties and statutory damages for violations and contains a private right of action for certain data breach incidents. Further, in November 2020, California passed the California Privacy Rights Act (“CPRA”). The CPRA broadly amends the CCPA and imposes additional obligations on covered businesses, including additional consumer rights processes, limitations on data uses, new audit requirements for higher risk data, and opt outs for certain uses of sensitive data. It will also create a new California data protection agency authorized to issue substantive regulations and could result in increased privacy and information security enforcement. The majority of the provisions will go into effect on January 1, 2023, and additional compliance investment and potential business process changes may be required. Similarly, other states are instituting privacy and data security laws, rules, and regulations, and many similar laws have been proposed at the federal level, all of which could increase our risk and compliance costs. These regulations and legislative developments have potentially far-reaching consequences and may require us to modify our data management practices and to incur substantial expense in order to comply.</w:t>
      </w:r>
    </w:p>
    <w:p>
      <w:pPr>
        <w:spacing w:after="0" w:line="171" w:lineRule="exact"/>
        <w:rPr>
          <w:sz w:val="20"/>
          <w:szCs w:val="20"/>
          <w:color w:val="auto"/>
        </w:rPr>
      </w:pPr>
    </w:p>
    <w:p>
      <w:pPr>
        <w:ind w:left="120" w:right="220" w:firstLine="440"/>
        <w:spacing w:after="0" w:line="311" w:lineRule="auto"/>
        <w:rPr>
          <w:sz w:val="20"/>
          <w:szCs w:val="20"/>
          <w:color w:val="auto"/>
        </w:rPr>
      </w:pPr>
      <w:r>
        <w:rPr>
          <w:rFonts w:ascii="Arial" w:cs="Arial" w:eastAsia="Arial" w:hAnsi="Arial"/>
          <w:sz w:val="16"/>
          <w:szCs w:val="16"/>
          <w:color w:val="auto"/>
        </w:rPr>
        <w:t>We may also be subject to international Privacy Laws such as the European Union’s (the “EU”) General Data Protection Regulation (“GDPR”), the UK Data Protection Act 2018, Canada’s Personal Information Protection and Electronic Documents Act and other international data protection, privacy, data security, data localization and similar national, state/provincial and local laws. The GDPR imposes stringent operational</w:t>
      </w:r>
    </w:p>
    <w:p>
      <w:pPr>
        <w:spacing w:after="0" w:line="81" w:lineRule="exact"/>
        <w:rPr>
          <w:sz w:val="20"/>
          <w:szCs w:val="20"/>
          <w:color w:val="auto"/>
        </w:rPr>
      </w:pPr>
    </w:p>
    <w:p>
      <w:pPr>
        <w:jc w:val="center"/>
        <w:ind w:right="-359"/>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120"/>
          </w:cols>
          <w:pgMar w:left="320" w:top="459" w:right="459" w:bottom="1440" w:gutter="0" w:footer="0" w:header="0"/>
        </w:sectPr>
      </w:pPr>
    </w:p>
    <w:bookmarkStart w:id="52" w:name="page53"/>
    <w:bookmarkEnd w:id="5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Confidential Treatment Requested by Definitive Healthcare Corp.</w:t>
      </w:r>
    </w:p>
    <w:p>
      <w:pPr>
        <w:spacing w:after="0" w:line="27"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Pursuant to 17 C.F.R. Section 200.83</w:t>
      </w:r>
    </w:p>
    <w:p>
      <w:pPr>
        <w:spacing w:after="0" w:line="143" w:lineRule="exact"/>
        <w:rPr>
          <w:sz w:val="20"/>
          <w:szCs w:val="20"/>
          <w:color w:val="auto"/>
        </w:rPr>
      </w:pPr>
    </w:p>
    <w:p>
      <w:pPr>
        <w:ind w:left="120"/>
        <w:spacing w:after="0" w:line="267" w:lineRule="auto"/>
        <w:rPr>
          <w:sz w:val="20"/>
          <w:szCs w:val="20"/>
          <w:color w:val="auto"/>
        </w:rPr>
      </w:pPr>
      <w:r>
        <w:rPr>
          <w:rFonts w:ascii="Arial" w:cs="Arial" w:eastAsia="Arial" w:hAnsi="Arial"/>
          <w:sz w:val="17"/>
          <w:szCs w:val="17"/>
          <w:color w:val="auto"/>
        </w:rPr>
        <w:t>requirements on “controllers” and “processors” of personal data, including, for example, requiring enhanced disclosures to data subjects about how personal data is processed, limiting retention periods of personal data, requiring mandatory data breach notification, requiring certain record keeping and risk assessment obligations, and requiring additional policies and procedures. In addition, data subjects have more robust rights with regard to their personal data. Personal data, as defined under the GDPR, of medical experts or professionals in the EU is principally processed by our EU subsidiary, Monocl AB. Because our EU subsidiary operates under a Swedish publishing certificate issued in accordance with Swedish national law, such processing of personal data by our EU subsidiary falls within the scope of Article 85 GDPR and is exempt from certain core provisions of the GDPR including, but not limited to, requirements relating to the rights of the data subject (Chapter II) and the transfer of personal data to third countries or international organizations (Chapter V). Notwithstanding such exemption, we may from time to time receive data subject requests that we may deny or decline to respond to in reliance on Article 85, which may lead data subjects to lodge complaints with data protection authorities. There is a possibility that such data protection authorities could disagree with Monocl AB’s reliance on Article 85. The GDPR treats health information as a “special category of personal data,” subject to heightened requirements, including that such information typically cannot be collected, used, or disclosed without explicit consent. Neither we nor our EU subsidiary, which principally processes EU personal data, currently process such health information. Companies that must comply with the GDPR face increased compliance obligations and risk, including more robust regulatory enforcement of data protection requirements and potential fines for noncompliance of up to €20 million or 4% of the annual global revenues of the noncompliant company, whichever is greater. Further, from January 1, 2021, companies have to comply with the GDPR and also the United Kingdom (“UK”) GDPR, which, together with the amended UK Data Protection Act 2018, retains the GDPR in UK national law. The UK GDPR mirrors the fines under the GDPR, i.e., fines up to the greater of €20 million (£17.5 million) or 4% of global turnover. The relationship between the UK and the EU in relation to certain aspects of data protection law remains unclear, and it is unclear how UK data protection laws and regulations will develop in the medium to longer term. The European Commission has adopted an adequacy decision in favor of the UK, enabling data transfers from EU member states to the UK without additional safeguards. However, the UK adequacy decision will automatically expire in June 2025 unless the European Commission re-assesses and renews/extends that decision.</w:t>
      </w:r>
    </w:p>
    <w:p>
      <w:pPr>
        <w:spacing w:after="0" w:line="185" w:lineRule="exact"/>
        <w:rPr>
          <w:sz w:val="20"/>
          <w:szCs w:val="20"/>
          <w:color w:val="auto"/>
        </w:rPr>
      </w:pPr>
    </w:p>
    <w:p>
      <w:pPr>
        <w:ind w:left="120" w:right="40" w:firstLine="440"/>
        <w:spacing w:after="0" w:line="269" w:lineRule="auto"/>
        <w:rPr>
          <w:sz w:val="20"/>
          <w:szCs w:val="20"/>
          <w:color w:val="auto"/>
        </w:rPr>
      </w:pPr>
      <w:r>
        <w:rPr>
          <w:rFonts w:ascii="Arial" w:cs="Arial" w:eastAsia="Arial" w:hAnsi="Arial"/>
          <w:sz w:val="17"/>
          <w:szCs w:val="17"/>
          <w:color w:val="auto"/>
        </w:rPr>
        <w:t>Additionally, we are subject to laws, rules, and regulations (including under the GDPR) regarding cross- border transfers of personal data, including laws relating to the transfer of personal data outside the EU and the UK. We rely on transfer mechanisms permitted under these laws, including standard contractual clauses, which have been subject to regulatory and judicial scrutiny. If these existing mechanisms for transferring personal data from the EU, the UK, or other jurisdictions are unavailable, we may be unable to transfer personal data of employees, customers or others in those regions to the United States. The efficacy and longevity of current transfer mechanisms between the EU, the UK and the United States also remains uncertain. For example, the EU-U.S. Privacy Shield Framework, a data transfer mechanism which allowed companies meeting certain requirements to lawfully transfer personal data form the EU to the US, was struck down by the European Court of Justice in July, 2020 (“EU-U.S. Privacy Shield Framework”). There is also a trend toward countries enacting data localization or other country specific requirements, which could be problematic to cloud software providers. Understanding and implementing such country specific certifications on top of our security certifications could require additional investment and management attention and may subject us to significant liability if we do not comply with particular requirements. Compliance with global Privacy Laws has and will continue to require valuable management and employee time and resources, and failure to comply with these regulations could include severe penalties and could reduce demand for our solutions.</w:t>
      </w:r>
    </w:p>
    <w:p>
      <w:pPr>
        <w:spacing w:after="0" w:line="179" w:lineRule="exact"/>
        <w:rPr>
          <w:sz w:val="20"/>
          <w:szCs w:val="20"/>
          <w:color w:val="auto"/>
        </w:rPr>
      </w:pPr>
    </w:p>
    <w:p>
      <w:pPr>
        <w:ind w:left="120" w:right="40" w:firstLine="440"/>
        <w:spacing w:after="0" w:line="279" w:lineRule="auto"/>
        <w:rPr>
          <w:sz w:val="20"/>
          <w:szCs w:val="20"/>
          <w:color w:val="auto"/>
        </w:rPr>
      </w:pPr>
      <w:r>
        <w:rPr>
          <w:rFonts w:ascii="Arial" w:cs="Arial" w:eastAsia="Arial" w:hAnsi="Arial"/>
          <w:sz w:val="17"/>
          <w:szCs w:val="17"/>
          <w:color w:val="auto"/>
        </w:rPr>
        <w:t>Customers expect that our solutions can be used in compliance with data protection and data Privacy Laws and regulations. The functional and operational requirements and costs of compliance with such laws and regulations may adversely impact our business, and failure to enable our solutions to comply with such laws and regulations could lead to significant fines and penalties imposed by regulators, as well as claims by our customers or third parties. These domestic and international legislative and regulatory initiatives could adversely</w:t>
      </w:r>
    </w:p>
    <w:p>
      <w:pPr>
        <w:spacing w:after="0" w:line="104" w:lineRule="exact"/>
        <w:rPr>
          <w:sz w:val="20"/>
          <w:szCs w:val="20"/>
          <w:color w:val="auto"/>
        </w:rPr>
      </w:pPr>
    </w:p>
    <w:p>
      <w:pPr>
        <w:jc w:val="center"/>
        <w:ind w:right="-359"/>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120"/>
          </w:cols>
          <w:pgMar w:left="320" w:top="459" w:right="459" w:bottom="1440" w:gutter="0" w:footer="0" w:header="0"/>
        </w:sectPr>
      </w:pPr>
    </w:p>
    <w:bookmarkStart w:id="53" w:name="page54"/>
    <w:bookmarkEnd w:id="5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Confidential Treatment Requested by Definitive Healthcare Corp.</w:t>
      </w:r>
    </w:p>
    <w:p>
      <w:pPr>
        <w:spacing w:after="0" w:line="27"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Pursuant to 17 C.F.R. Section 200.83</w:t>
      </w:r>
    </w:p>
    <w:p>
      <w:pPr>
        <w:spacing w:after="0" w:line="143" w:lineRule="exact"/>
        <w:rPr>
          <w:sz w:val="20"/>
          <w:szCs w:val="20"/>
          <w:color w:val="auto"/>
        </w:rPr>
      </w:pPr>
    </w:p>
    <w:p>
      <w:pPr>
        <w:ind w:left="120" w:right="200"/>
        <w:spacing w:after="0" w:line="277" w:lineRule="auto"/>
        <w:rPr>
          <w:sz w:val="20"/>
          <w:szCs w:val="20"/>
          <w:color w:val="auto"/>
        </w:rPr>
      </w:pPr>
      <w:r>
        <w:rPr>
          <w:rFonts w:ascii="Arial" w:cs="Arial" w:eastAsia="Arial" w:hAnsi="Arial"/>
          <w:sz w:val="18"/>
          <w:szCs w:val="18"/>
          <w:color w:val="auto"/>
        </w:rPr>
        <w:t>affect our customers’ ability or desire to collect, use, process, store and disclose personal information and health data using our solutions, or to license data products from us, which could reduce demand for our solutions.</w:t>
      </w:r>
    </w:p>
    <w:p>
      <w:pPr>
        <w:spacing w:after="0" w:line="170" w:lineRule="exact"/>
        <w:rPr>
          <w:sz w:val="20"/>
          <w:szCs w:val="20"/>
          <w:color w:val="auto"/>
        </w:rPr>
      </w:pPr>
    </w:p>
    <w:p>
      <w:pPr>
        <w:ind w:left="120" w:right="120" w:firstLine="440"/>
        <w:spacing w:after="0" w:line="290" w:lineRule="auto"/>
        <w:rPr>
          <w:sz w:val="20"/>
          <w:szCs w:val="20"/>
          <w:color w:val="auto"/>
        </w:rPr>
      </w:pPr>
      <w:r>
        <w:rPr>
          <w:rFonts w:ascii="Arial" w:cs="Arial" w:eastAsia="Arial" w:hAnsi="Arial"/>
          <w:sz w:val="16"/>
          <w:szCs w:val="16"/>
          <w:color w:val="auto"/>
        </w:rPr>
        <w:t>We have established frameworks, models, processes and technologies designed to manage privacy and security for many data types and from a variety of sources, though such measures may not always be effective. We rely on our data suppliers to collect, use, and deliver information to us in a form and manner that complies with applicable Privacy Laws. Due to the complex and evolving nature of Privacy Laws, we cannot guarantee that the safeguards and controls employed by us or our data suppliers will be sufficient to prevent a breach of these laws, or that claims, complaints, investigations, or inquiries will not be filed or lodged against us or our data suppliers despite such safeguards and controls. Failure to comply with such Privacy Laws, certain certification/registration requirement, annual re-certification/registration requirements associated with these Privacy Laws, and failure to resolve any serious privacy or security related complaints or requests, may result in, among other things, regulatory sanctions, criminal prosecution, civil liability, negative publicity, damage to our reputation, or data being blocked from use or liability under contractual provisions.</w:t>
      </w:r>
    </w:p>
    <w:p>
      <w:pPr>
        <w:spacing w:after="0" w:line="26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Legal and Regulatory Risks</w:t>
      </w:r>
    </w:p>
    <w:p>
      <w:pPr>
        <w:spacing w:after="0" w:line="121" w:lineRule="exact"/>
        <w:rPr>
          <w:sz w:val="20"/>
          <w:szCs w:val="20"/>
          <w:color w:val="auto"/>
        </w:rPr>
      </w:pPr>
    </w:p>
    <w:p>
      <w:pPr>
        <w:ind w:left="120" w:right="40"/>
        <w:spacing w:after="0" w:line="342" w:lineRule="auto"/>
        <w:rPr>
          <w:sz w:val="20"/>
          <w:szCs w:val="20"/>
          <w:color w:val="auto"/>
        </w:rPr>
      </w:pPr>
      <w:r>
        <w:rPr>
          <w:rFonts w:ascii="Arial" w:cs="Arial" w:eastAsia="Arial" w:hAnsi="Arial"/>
          <w:sz w:val="16"/>
          <w:szCs w:val="16"/>
          <w:b w:val="1"/>
          <w:bCs w:val="1"/>
          <w:i w:val="1"/>
          <w:iCs w:val="1"/>
          <w:color w:val="auto"/>
        </w:rPr>
        <w:t>Our platform addresses heavily regulated functions within the healthcare ecosystem and such regulations and laws are subject to change. Failure to comply with applicable laws and regulations could lessen the demand for our solutions or subject us to significant claims and losses.</w:t>
      </w:r>
    </w:p>
    <w:p>
      <w:pPr>
        <w:spacing w:after="0" w:line="16" w:lineRule="exact"/>
        <w:rPr>
          <w:sz w:val="20"/>
          <w:szCs w:val="20"/>
          <w:color w:val="auto"/>
        </w:rPr>
      </w:pPr>
    </w:p>
    <w:p>
      <w:pPr>
        <w:ind w:left="120" w:firstLine="440"/>
        <w:spacing w:after="0" w:line="296" w:lineRule="auto"/>
        <w:rPr>
          <w:sz w:val="20"/>
          <w:szCs w:val="20"/>
          <w:color w:val="auto"/>
        </w:rPr>
      </w:pPr>
      <w:r>
        <w:rPr>
          <w:rFonts w:ascii="Arial" w:cs="Arial" w:eastAsia="Arial" w:hAnsi="Arial"/>
          <w:sz w:val="16"/>
          <w:szCs w:val="16"/>
          <w:color w:val="auto"/>
        </w:rPr>
        <w:t>Our customers use our platform for business activities that are subject to a complex regime of global laws and regulations, including requirements for maintenance of electronic records and electronic signatures, requirements regarding processing of health data, and other laws and regulations. Our customers expect to be able to use our platform in a manner that is compliant with the regulations to which they are subject. Our efforts to provide solutions that comply with such laws and regulations are time-consuming and costly and include validation procedures that may delay the release of new versions of our solutions. As these laws and regulations change over time, we may find it difficult to adjust our platform to comply with such changes.</w:t>
      </w:r>
    </w:p>
    <w:p>
      <w:pPr>
        <w:spacing w:after="0" w:line="161" w:lineRule="exact"/>
        <w:rPr>
          <w:sz w:val="20"/>
          <w:szCs w:val="20"/>
          <w:color w:val="auto"/>
        </w:rPr>
      </w:pPr>
    </w:p>
    <w:p>
      <w:pPr>
        <w:ind w:left="120" w:right="80" w:firstLine="440"/>
        <w:spacing w:after="0" w:line="257" w:lineRule="auto"/>
        <w:rPr>
          <w:sz w:val="20"/>
          <w:szCs w:val="20"/>
          <w:color w:val="auto"/>
        </w:rPr>
      </w:pPr>
      <w:r>
        <w:rPr>
          <w:rFonts w:ascii="Arial" w:cs="Arial" w:eastAsia="Arial" w:hAnsi="Arial"/>
          <w:sz w:val="18"/>
          <w:szCs w:val="18"/>
          <w:color w:val="auto"/>
        </w:rPr>
        <w:t>As we increase the number of intelligence modules we offer and potentially the number of countries in which we operate, the complexity of adjusting our solutions to comply with legal and regulatory changes will increase. If we are unable to effectively manage this increased complexity or if we are not able to provide solutions that can be used in compliance with applicable laws and regulations, customers may be unwilling to use our solutions, and any such non-compliance could result in the termination of our customer agreements or claims arising from such agreements with our customers.</w:t>
      </w:r>
    </w:p>
    <w:p>
      <w:pPr>
        <w:spacing w:after="0" w:line="296" w:lineRule="exact"/>
        <w:rPr>
          <w:sz w:val="20"/>
          <w:szCs w:val="20"/>
          <w:color w:val="auto"/>
        </w:rPr>
      </w:pPr>
    </w:p>
    <w:p>
      <w:pPr>
        <w:ind w:left="120" w:right="120"/>
        <w:spacing w:after="0" w:line="375" w:lineRule="auto"/>
        <w:rPr>
          <w:sz w:val="20"/>
          <w:szCs w:val="20"/>
          <w:color w:val="auto"/>
        </w:rPr>
      </w:pPr>
      <w:r>
        <w:rPr>
          <w:rFonts w:ascii="Arial" w:cs="Arial" w:eastAsia="Arial" w:hAnsi="Arial"/>
          <w:sz w:val="15"/>
          <w:szCs w:val="15"/>
          <w:b w:val="1"/>
          <w:bCs w:val="1"/>
          <w:i w:val="1"/>
          <w:iCs w:val="1"/>
          <w:color w:val="auto"/>
        </w:rPr>
        <w:t>We are subject to sanctions, anti-corruption, anti-bribery, anti-money laundering and similar laws, and non-compliance with such laws can subject us to criminal penalties or significant fines and have a material adverse effect on our business, financial condition and results of operations.</w:t>
      </w:r>
    </w:p>
    <w:p>
      <w:pPr>
        <w:spacing w:after="0" w:line="1" w:lineRule="exact"/>
        <w:rPr>
          <w:sz w:val="20"/>
          <w:szCs w:val="20"/>
          <w:color w:val="auto"/>
        </w:rPr>
      </w:pPr>
    </w:p>
    <w:p>
      <w:pPr>
        <w:ind w:left="120" w:firstLine="440"/>
        <w:spacing w:after="0" w:line="269" w:lineRule="auto"/>
        <w:rPr>
          <w:sz w:val="20"/>
          <w:szCs w:val="20"/>
          <w:color w:val="auto"/>
        </w:rPr>
      </w:pPr>
      <w:r>
        <w:rPr>
          <w:rFonts w:ascii="Arial" w:cs="Arial" w:eastAsia="Arial" w:hAnsi="Arial"/>
          <w:sz w:val="17"/>
          <w:szCs w:val="17"/>
          <w:color w:val="auto"/>
        </w:rPr>
        <w:t>We are subject to applicable anti-corruption, anti-bribery, and similar laws, such as the U.S. Foreign Corrupt Practices Act of 1977, as amended (the “FCPA”), the U.S. domestic bribery statute contained in 18 U.S.C. § 201, the U.S. Travel Act, the U.K. Bribery Act 2010. Anti-corruption and anti-bribery laws have been enforced aggressively in recent years. The FCPA and other anti-corruption laws prohibit companies and their employees and agents from corruptly promising, authorizing, making, offering or providing anything of value to a foreign government official for the purpose of influencing official decisions or obtaining or retaining business, or otherwise obtaining an improper business advantage. The FCPA also requires that we keep accurate books and records and maintain a system of adequate internal controls. The UK Bribery Act 2010 and other anti-corruption laws also prohibit commercial bribery not involving government officials, and requesting or accepting bribes. We also are subject to applicable anti-money laundering laws, which prohibit engaging in certain transactions involving criminally-derived property or the proceeds of criminal activity. Our activities are also subject to applicable trade and economic sanctions laws and regulations, including those administered by the U.S. Treasury Department’s Office of Foreign Assets Control and the U.S. Department of State. These sanctions laws and</w:t>
      </w:r>
    </w:p>
    <w:p>
      <w:pPr>
        <w:spacing w:after="0" w:line="118" w:lineRule="exact"/>
        <w:rPr>
          <w:sz w:val="20"/>
          <w:szCs w:val="20"/>
          <w:color w:val="auto"/>
        </w:rPr>
      </w:pPr>
    </w:p>
    <w:p>
      <w:pPr>
        <w:jc w:val="center"/>
        <w:ind w:right="-359"/>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120"/>
          </w:cols>
          <w:pgMar w:left="320" w:top="459" w:right="459" w:bottom="1440" w:gutter="0" w:footer="0" w:header="0"/>
        </w:sectPr>
      </w:pPr>
    </w:p>
    <w:bookmarkStart w:id="54" w:name="page55"/>
    <w:bookmarkEnd w:id="5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Confidential Treatment Requested by Definitive Healthcare Corp.</w:t>
      </w:r>
    </w:p>
    <w:p>
      <w:pPr>
        <w:spacing w:after="0" w:line="27"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Pursuant to 17 C.F.R. Section 200.83</w:t>
      </w:r>
    </w:p>
    <w:p>
      <w:pPr>
        <w:spacing w:after="0" w:line="143" w:lineRule="exact"/>
        <w:rPr>
          <w:sz w:val="20"/>
          <w:szCs w:val="20"/>
          <w:color w:val="auto"/>
        </w:rPr>
      </w:pPr>
    </w:p>
    <w:p>
      <w:pPr>
        <w:ind w:left="120" w:right="40"/>
        <w:spacing w:after="0" w:line="287" w:lineRule="auto"/>
        <w:rPr>
          <w:sz w:val="20"/>
          <w:szCs w:val="20"/>
          <w:color w:val="auto"/>
        </w:rPr>
      </w:pPr>
      <w:r>
        <w:rPr>
          <w:rFonts w:ascii="Arial" w:cs="Arial" w:eastAsia="Arial" w:hAnsi="Arial"/>
          <w:sz w:val="16"/>
          <w:szCs w:val="16"/>
          <w:color w:val="auto"/>
        </w:rPr>
        <w:t>regulations prohibit certain transactions involving sanctioned countries, governments, and persons without a license or other appropriate authorization. As we increase our international sales and business, our risks under these laws may increase. Changes to U.S. sanctions policy could also affect our ability to interact, directly and indirectly, with targeted persons or companies, or companies in sanctioned markets. Noncompliance with these laws could subject us to investigations, sanctions, settlements, prosecution, other enforcement actions, disgorgement of profits, significant fines, damages, other civil and criminal penalties or injunctions, adverse media coverage and other consequences. Any investigations, actions or sanctions could have a material adverse effect on our business, financial condition and results of operations. In addition, in the future we may use third parties to sell access to our platform and conduct business on our behalf abroad. We or such future third-party intermediaries may have direct or indirect interactions with officials and employees of government agencies or state-owned or affiliated entities, which increases our risks under the FCPA and other public corruption laws. We can be held liable for the corrupt or other illegal activities by our employees and, in certain circumstances, by our third-party intermediaries, even if we do not explicitly authorize such activities. Although we have controls in place to promote compliance with these laws and regulations, we cannot provide assurance that our internal controls and compliance systems will always prevent illegal or improper acts by employees, agents, third parties, or business partners. Controls intended to prevent access to our platform from certain geographies may not be effective in all cases.</w:t>
      </w:r>
    </w:p>
    <w:p>
      <w:pPr>
        <w:spacing w:after="0" w:line="168" w:lineRule="exact"/>
        <w:rPr>
          <w:sz w:val="20"/>
          <w:szCs w:val="20"/>
          <w:color w:val="auto"/>
        </w:rPr>
      </w:pPr>
    </w:p>
    <w:p>
      <w:pPr>
        <w:ind w:left="120" w:right="140" w:firstLine="440"/>
        <w:spacing w:after="0" w:line="255" w:lineRule="auto"/>
        <w:rPr>
          <w:sz w:val="20"/>
          <w:szCs w:val="20"/>
          <w:color w:val="auto"/>
        </w:rPr>
      </w:pPr>
      <w:r>
        <w:rPr>
          <w:rFonts w:ascii="Arial" w:cs="Arial" w:eastAsia="Arial" w:hAnsi="Arial"/>
          <w:sz w:val="18"/>
          <w:szCs w:val="18"/>
          <w:color w:val="auto"/>
        </w:rPr>
        <w:t>Any violation or allegation of violations of economic and trade sanctions laws, the FCPA or other applicable anti-corruption laws, or anti-money laundering laws could subject us to significant sanctions, including civil or criminal fines and penalties, disgorgement of profits, injunctions and debarment from government contracts, as well as related stockholder lawsuits and other remedial measures, all of which could adversely affect our reputation, business, financial condition and results of operations, and could also result in whistleblower complaints, adverse media coverage, investigations, loss of export privileges, any of which could have a material adverse effect on our reputation, business, results of operations and prospects.</w:t>
      </w:r>
    </w:p>
    <w:p>
      <w:pPr>
        <w:spacing w:after="0" w:line="300"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We could be subject to claims brought by our customers, which could be costly and time consuming to defend.</w:t>
      </w:r>
    </w:p>
    <w:p>
      <w:pPr>
        <w:spacing w:after="0" w:line="117" w:lineRule="exact"/>
        <w:rPr>
          <w:sz w:val="20"/>
          <w:szCs w:val="20"/>
          <w:color w:val="auto"/>
        </w:rPr>
      </w:pPr>
    </w:p>
    <w:p>
      <w:pPr>
        <w:ind w:left="120" w:firstLine="440"/>
        <w:spacing w:after="0" w:line="273" w:lineRule="auto"/>
        <w:rPr>
          <w:sz w:val="20"/>
          <w:szCs w:val="20"/>
          <w:color w:val="auto"/>
        </w:rPr>
      </w:pPr>
      <w:r>
        <w:rPr>
          <w:rFonts w:ascii="Arial" w:cs="Arial" w:eastAsia="Arial" w:hAnsi="Arial"/>
          <w:sz w:val="17"/>
          <w:szCs w:val="17"/>
          <w:color w:val="auto"/>
        </w:rPr>
        <w:t>We could be, from time to time, subject to claims brought by our customers in connection with commercial disputes or other proceedings. We may incur material costs and expenses in connection with any claims, including but not limited to fines or penalties and legal costs, or be subject to other remedies, any of which could have a material adverse effect on our business, financial condition and results of operations. Insurance may not cover such claims, may not be sufficient for one or more such claims and may not continue to be available on terms acceptable to us. A claim brought against us that is uninsured or underinsured could result in unanticipated costs, management distraction or reputational harm, which could have a material adverse effect on our business, financial condition and results of operations.</w:t>
      </w:r>
    </w:p>
    <w:p>
      <w:pPr>
        <w:spacing w:after="0" w:line="286" w:lineRule="exact"/>
        <w:rPr>
          <w:sz w:val="20"/>
          <w:szCs w:val="20"/>
          <w:color w:val="auto"/>
        </w:rPr>
      </w:pPr>
    </w:p>
    <w:p>
      <w:pPr>
        <w:ind w:left="120" w:right="20"/>
        <w:spacing w:after="0" w:line="277" w:lineRule="auto"/>
        <w:rPr>
          <w:sz w:val="20"/>
          <w:szCs w:val="20"/>
          <w:color w:val="auto"/>
        </w:rPr>
      </w:pPr>
      <w:r>
        <w:rPr>
          <w:rFonts w:ascii="Arial" w:cs="Arial" w:eastAsia="Arial" w:hAnsi="Arial"/>
          <w:sz w:val="18"/>
          <w:szCs w:val="18"/>
          <w:b w:val="1"/>
          <w:bCs w:val="1"/>
          <w:i w:val="1"/>
          <w:iCs w:val="1"/>
          <w:color w:val="auto"/>
        </w:rPr>
        <w:t>We may be subject to litigation, investigations or other actions, which could harm our reputation and have a material adverse effect on our business, financial condition and results of operations.</w:t>
      </w:r>
    </w:p>
    <w:p>
      <w:pPr>
        <w:spacing w:after="0" w:line="62" w:lineRule="exact"/>
        <w:rPr>
          <w:sz w:val="20"/>
          <w:szCs w:val="20"/>
          <w:color w:val="auto"/>
        </w:rPr>
      </w:pPr>
    </w:p>
    <w:p>
      <w:pPr>
        <w:ind w:left="120" w:right="120" w:firstLine="440"/>
        <w:spacing w:after="0" w:line="272" w:lineRule="auto"/>
        <w:rPr>
          <w:sz w:val="20"/>
          <w:szCs w:val="20"/>
          <w:color w:val="auto"/>
        </w:rPr>
      </w:pPr>
      <w:r>
        <w:rPr>
          <w:rFonts w:ascii="Arial" w:cs="Arial" w:eastAsia="Arial" w:hAnsi="Arial"/>
          <w:sz w:val="17"/>
          <w:szCs w:val="17"/>
          <w:color w:val="auto"/>
        </w:rPr>
        <w:t>In the ordinary course of business, we may be involved in and subject to litigation for a variety of claims or disputes and receive regulatory inquiries. These claims, lawsuits and proceedings could include labor and employment, wage and hour, commercial, data privacy, antitrust, alleged securities law violations or other investor claims and other matters. The number and significance of these potential claims and disputes may increase as our business expands. Any claim against us, regardless of its merit, could be costly, divert management’s attention and operational resources and harm our reputation. As litigation is inherently unpredictable, we cannot assure you that any potential claims or disputes will not have a material adverse effect on our business, financial condition and results of operations. Any claims or litigation, even if fully indemnified or insured, could make it more difficult to effectively compete or to obtain adequate insurance in the future.</w:t>
      </w:r>
    </w:p>
    <w:p>
      <w:pPr>
        <w:spacing w:after="0" w:line="177" w:lineRule="exact"/>
        <w:rPr>
          <w:sz w:val="20"/>
          <w:szCs w:val="20"/>
          <w:color w:val="auto"/>
        </w:rPr>
      </w:pPr>
    </w:p>
    <w:p>
      <w:pPr>
        <w:ind w:left="120" w:right="540" w:firstLine="440"/>
        <w:spacing w:after="0" w:line="277" w:lineRule="auto"/>
        <w:rPr>
          <w:sz w:val="20"/>
          <w:szCs w:val="20"/>
          <w:color w:val="auto"/>
        </w:rPr>
      </w:pPr>
      <w:r>
        <w:rPr>
          <w:rFonts w:ascii="Arial" w:cs="Arial" w:eastAsia="Arial" w:hAnsi="Arial"/>
          <w:sz w:val="18"/>
          <w:szCs w:val="18"/>
          <w:color w:val="auto"/>
        </w:rPr>
        <w:t>In addition, we may be required to spend significant resources to monitor and protect our contractual, intellectual property and other rights, including collection of payments and fees. Litigation has been and may be</w:t>
      </w:r>
    </w:p>
    <w:p>
      <w:pPr>
        <w:spacing w:after="0" w:line="103" w:lineRule="exact"/>
        <w:rPr>
          <w:sz w:val="20"/>
          <w:szCs w:val="20"/>
          <w:color w:val="auto"/>
        </w:rPr>
      </w:pPr>
    </w:p>
    <w:p>
      <w:pPr>
        <w:jc w:val="center"/>
        <w:ind w:right="-359"/>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1120"/>
          </w:cols>
          <w:pgMar w:left="320" w:top="459" w:right="459" w:bottom="1440" w:gutter="0" w:footer="0" w:header="0"/>
        </w:sectPr>
      </w:pPr>
    </w:p>
    <w:bookmarkStart w:id="55" w:name="page56"/>
    <w:bookmarkEnd w:id="5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Confidential Treatment Requested by Definitive Healthcare Corp.</w:t>
      </w:r>
    </w:p>
    <w:p>
      <w:pPr>
        <w:spacing w:after="0" w:line="27"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Pursuant to 17 C.F.R. Section 200.83</w:t>
      </w:r>
    </w:p>
    <w:p>
      <w:pPr>
        <w:spacing w:after="0" w:line="143" w:lineRule="exact"/>
        <w:rPr>
          <w:sz w:val="20"/>
          <w:szCs w:val="20"/>
          <w:color w:val="auto"/>
        </w:rPr>
      </w:pPr>
    </w:p>
    <w:p>
      <w:pPr>
        <w:ind w:left="120" w:right="220"/>
        <w:spacing w:after="0" w:line="279" w:lineRule="auto"/>
        <w:rPr>
          <w:sz w:val="20"/>
          <w:szCs w:val="20"/>
          <w:color w:val="auto"/>
        </w:rPr>
      </w:pPr>
      <w:r>
        <w:rPr>
          <w:rFonts w:ascii="Arial" w:cs="Arial" w:eastAsia="Arial" w:hAnsi="Arial"/>
          <w:sz w:val="17"/>
          <w:szCs w:val="17"/>
          <w:color w:val="auto"/>
        </w:rPr>
        <w:t>necessary in the future to enforce such rights. Such litigation could be costly, time consuming and distracting to management and could result in the impairment or loss of our rights. Further, our efforts to enforce our rights may be met with defenses, counterclaims and countersuits attacking the validity and enforceability of such rights. Our inability to protect our rights as well as any costly litigation or diversion of our management’s attention and resources, could have a material adverse effect on our business, financial condition and results of operations.</w:t>
      </w:r>
    </w:p>
    <w:p>
      <w:pPr>
        <w:spacing w:after="0" w:line="27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We may be subject to liability if we breach our contracts, and our insurance may be inadequate to cover our losses.</w:t>
      </w:r>
    </w:p>
    <w:p>
      <w:pPr>
        <w:spacing w:after="0" w:line="117" w:lineRule="exact"/>
        <w:rPr>
          <w:sz w:val="20"/>
          <w:szCs w:val="20"/>
          <w:color w:val="auto"/>
        </w:rPr>
      </w:pPr>
    </w:p>
    <w:p>
      <w:pPr>
        <w:ind w:left="120" w:firstLine="440"/>
        <w:spacing w:after="0" w:line="275" w:lineRule="auto"/>
        <w:rPr>
          <w:sz w:val="20"/>
          <w:szCs w:val="20"/>
          <w:color w:val="auto"/>
        </w:rPr>
      </w:pPr>
      <w:r>
        <w:rPr>
          <w:rFonts w:ascii="Arial" w:cs="Arial" w:eastAsia="Arial" w:hAnsi="Arial"/>
          <w:sz w:val="17"/>
          <w:szCs w:val="17"/>
          <w:color w:val="auto"/>
        </w:rPr>
        <w:t>We are subject to numerous obligations in our contracts with organizations using our platform, as well as vendors and other companies with which we do business. We may breach these commitments, whether through a weakness in our procedures, systems and internal controls, negligence or through the willful act of an employee or contractor. Our insurance policies, including our errors and omissions insurance, may be inadequate to compensate us for the potentially significant losses that may result from claims arising from breaches of our contracts, as well as disruptions in our services, failures or disruptions to our infrastructure, catastrophic events and disasters or otherwise.</w:t>
      </w:r>
    </w:p>
    <w:p>
      <w:pPr>
        <w:spacing w:after="0" w:line="176" w:lineRule="exact"/>
        <w:rPr>
          <w:sz w:val="20"/>
          <w:szCs w:val="20"/>
          <w:color w:val="auto"/>
        </w:rPr>
      </w:pPr>
    </w:p>
    <w:p>
      <w:pPr>
        <w:ind w:left="120" w:right="540" w:firstLine="440"/>
        <w:spacing w:after="0" w:line="342" w:lineRule="auto"/>
        <w:rPr>
          <w:sz w:val="20"/>
          <w:szCs w:val="20"/>
          <w:color w:val="auto"/>
        </w:rPr>
      </w:pPr>
      <w:r>
        <w:rPr>
          <w:rFonts w:ascii="Arial" w:cs="Arial" w:eastAsia="Arial" w:hAnsi="Arial"/>
          <w:sz w:val="16"/>
          <w:szCs w:val="16"/>
          <w:color w:val="auto"/>
        </w:rPr>
        <w:t>In addition, our insurance may not cover all claims made against us, and defending a suit, regardless of its merit, could be costly and divert management’s attention. Further, such insurance may not be available to us in the future on economically reasonable terms, or at all.</w:t>
      </w:r>
    </w:p>
    <w:p>
      <w:pPr>
        <w:spacing w:after="0" w:line="232"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We may be subject to legal liability for collecting, displaying or distributing information.</w:t>
      </w:r>
    </w:p>
    <w:p>
      <w:pPr>
        <w:spacing w:after="0" w:line="117" w:lineRule="exact"/>
        <w:rPr>
          <w:sz w:val="20"/>
          <w:szCs w:val="20"/>
          <w:color w:val="auto"/>
        </w:rPr>
      </w:pPr>
    </w:p>
    <w:p>
      <w:pPr>
        <w:ind w:left="120" w:firstLine="440"/>
        <w:spacing w:after="0" w:line="272" w:lineRule="auto"/>
        <w:rPr>
          <w:sz w:val="20"/>
          <w:szCs w:val="20"/>
          <w:color w:val="auto"/>
        </w:rPr>
      </w:pPr>
      <w:r>
        <w:rPr>
          <w:rFonts w:ascii="Arial" w:cs="Arial" w:eastAsia="Arial" w:hAnsi="Arial"/>
          <w:sz w:val="17"/>
          <w:szCs w:val="17"/>
          <w:color w:val="auto"/>
        </w:rPr>
        <w:t>Because the content in our database is collected from various sources and distributed to others, we may be subject to claims for breach of contract, defamation, negligence, unfair competition or copyright or trademark infringement or claims based on other theories, such as breach of laws related to privacy and data protection. We could also be subject to claims based upon the content that is accessible from our website through links to other websites or information on our website supplied by third parties. Even if these claims do not result in liability to us, we could incur significant costs in investigating and defending against any claims and we could be subject to public notice requirements that may affect our reputation. Our potential liability for information distributed by us to others could require us to implement measures to reduce our exposure to such liability, which may require us to expend substantial resources and limit the attractiveness of our analytics to users.</w:t>
      </w:r>
    </w:p>
    <w:p>
      <w:pPr>
        <w:spacing w:after="0" w:line="28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Risks Related to Intellectual Property</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We may not be able to adequately protect our proprietary and intellectual property rights in our data analytics or data science.</w:t>
      </w:r>
    </w:p>
    <w:p>
      <w:pPr>
        <w:spacing w:after="0" w:line="117" w:lineRule="exact"/>
        <w:rPr>
          <w:sz w:val="20"/>
          <w:szCs w:val="20"/>
          <w:color w:val="auto"/>
        </w:rPr>
      </w:pPr>
    </w:p>
    <w:p>
      <w:pPr>
        <w:ind w:left="120" w:firstLine="440"/>
        <w:spacing w:after="0" w:line="288" w:lineRule="auto"/>
        <w:rPr>
          <w:sz w:val="20"/>
          <w:szCs w:val="20"/>
          <w:color w:val="auto"/>
        </w:rPr>
      </w:pPr>
      <w:r>
        <w:rPr>
          <w:rFonts w:ascii="Arial" w:cs="Arial" w:eastAsia="Arial" w:hAnsi="Arial"/>
          <w:sz w:val="16"/>
          <w:szCs w:val="16"/>
          <w:color w:val="auto"/>
        </w:rPr>
        <w:t>Our success is dependent, in part, upon protecting our proprietary information and technology including our trade secrets and other unpatented intellectual property, which our competitors could use to market and deliver similar solutions, decreasing the demand for our platform. We may be unsuccessful in adequately protecting the proprietary aspects of our technology and solutions such as our proprietary software and databases. To protect our intellectual property rights, we primarily rely upon trade secret law, including by entering into confidentiality and non-disclosure agreements, and other contractual arrangements, along with copyright law, rather than on registered intellectual property such as patents or registered trademarks. No assurance can be given that confidentiality, non-disclosure, or invention assignment agreements with employees, consultants or other parties will not be breached and will otherwise be effective in controlling access to and distribution of our platform, or certain aspects of our platform and proprietary information. Further, these agreements do not prevent our competitors from independently developing technologies that are substantially equivalent or superior to our platform. Additionally, certain unauthorized use of our intellectual property may go undetected, or we may face legal or practical barriers to enforcing our legal rights even where unauthorized use is detected.</w:t>
      </w:r>
    </w:p>
    <w:p>
      <w:pPr>
        <w:spacing w:after="0" w:line="101" w:lineRule="exact"/>
        <w:rPr>
          <w:sz w:val="20"/>
          <w:szCs w:val="20"/>
          <w:color w:val="auto"/>
        </w:rPr>
      </w:pPr>
    </w:p>
    <w:p>
      <w:pPr>
        <w:jc w:val="center"/>
        <w:ind w:right="-379"/>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1100"/>
          </w:cols>
          <w:pgMar w:left="320" w:top="459" w:right="479" w:bottom="1440" w:gutter="0" w:footer="0" w:header="0"/>
        </w:sectPr>
      </w:pPr>
    </w:p>
    <w:bookmarkStart w:id="56" w:name="page57"/>
    <w:bookmarkEnd w:id="5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Confidential Treatment Requested by Definitive Healthcare Corp.</w:t>
      </w:r>
    </w:p>
    <w:p>
      <w:pPr>
        <w:spacing w:after="0" w:line="27"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Pursuant to 17 C.F.R. Section 200.83</w:t>
      </w:r>
    </w:p>
    <w:p>
      <w:pPr>
        <w:spacing w:after="0" w:line="143" w:lineRule="exact"/>
        <w:rPr>
          <w:sz w:val="20"/>
          <w:szCs w:val="20"/>
          <w:color w:val="auto"/>
        </w:rPr>
      </w:pPr>
    </w:p>
    <w:p>
      <w:pPr>
        <w:ind w:left="120" w:right="20" w:firstLine="440"/>
        <w:spacing w:after="0" w:line="269" w:lineRule="auto"/>
        <w:rPr>
          <w:sz w:val="20"/>
          <w:szCs w:val="20"/>
          <w:color w:val="auto"/>
        </w:rPr>
      </w:pPr>
      <w:r>
        <w:rPr>
          <w:rFonts w:ascii="Arial" w:cs="Arial" w:eastAsia="Arial" w:hAnsi="Arial"/>
          <w:sz w:val="17"/>
          <w:szCs w:val="17"/>
          <w:color w:val="auto"/>
        </w:rPr>
        <w:t>Current law may not provide for adequate protection of our platform or data analytics. In addition, legal standards relating to the validity, enforceability and scope of protection of proprietary rights in datasets and Internet-related businesses are uncertain and evolving, and changes in these standards may adversely impact the viability or value of our proprietary rights. Some license provisions protecting against unauthorized use, copying, transfer, and disclosure of our platform, or certain aspects of our platform, or our data analytics may be unenforceable under the laws of certain jurisdictions. Further, the laws of some countries in which we operate or intend to operate do not protect proprietary rights to the same extent as the laws of the U.S., and mechanisms for enforcement of intellectual property rights in some foreign countries may be inadequate. To the extent we expand our international activities, our exposure to unauthorized copying and use of our data analytics or certain aspects of our platform, or our data analytics may increase. Further, competitors, foreign governments, foreign government-backed actors, criminals or other third parties may gain unauthorized access to our proprietary information and technology. Accordingly, despite our efforts, we may be unable to prevent third parties from infringing upon or misappropriating our technology and intellectual property.</w:t>
      </w:r>
    </w:p>
    <w:p>
      <w:pPr>
        <w:spacing w:after="0" w:line="185" w:lineRule="exact"/>
        <w:rPr>
          <w:sz w:val="20"/>
          <w:szCs w:val="20"/>
          <w:color w:val="auto"/>
        </w:rPr>
      </w:pPr>
    </w:p>
    <w:p>
      <w:pPr>
        <w:ind w:left="120" w:firstLine="440"/>
        <w:spacing w:after="0" w:line="269" w:lineRule="auto"/>
        <w:rPr>
          <w:sz w:val="20"/>
          <w:szCs w:val="20"/>
          <w:color w:val="auto"/>
        </w:rPr>
      </w:pPr>
      <w:r>
        <w:rPr>
          <w:rFonts w:ascii="Arial" w:cs="Arial" w:eastAsia="Arial" w:hAnsi="Arial"/>
          <w:sz w:val="17"/>
          <w:szCs w:val="17"/>
          <w:color w:val="auto"/>
        </w:rPr>
        <w:t>To protect our intellectual property rights, we may be required to spend significant resources to monitor and protect these rights, and we may or may not be able to detect infringement by our customers or third parties. Litigation may be necessary in the future to enforce our intellectual property rights and to protect our trade secrets. Such litigation could be costly, time consuming, and distracting to management and could result in the impairment or loss of portions of our intellectual property. Further, our efforts to enforce our intellectual property rights may be met with defenses, counterclaims and countersuits attacking the validity and enforceability of our intellectual property rights. Our inability to protect our proprietary technology against unauthorized copying or use, as well as any costly litigation or diversion of our management’s attention and resources, could delay further sales or the implementation of our platform, impair the functionality of our platform, delay introductions of new features, integrations and capabilities, result in our substituting inferior or more costly technologies into our platform, or injure our reputation. In addition, we may be required to license additional technology from third parties to develop and market new features, integrations and capabilities, and we cannot be certain that we could license that technology on commercially reasonable terms or at all, and our inability to license this technology could harm our ability to compete and have a material adverse effect on our business, financial condition and results of operations.</w:t>
      </w:r>
    </w:p>
    <w:p>
      <w:pPr>
        <w:spacing w:after="0" w:line="182" w:lineRule="exact"/>
        <w:rPr>
          <w:sz w:val="20"/>
          <w:szCs w:val="20"/>
          <w:color w:val="auto"/>
        </w:rPr>
      </w:pPr>
    </w:p>
    <w:p>
      <w:pPr>
        <w:ind w:left="120" w:right="20" w:firstLine="440"/>
        <w:spacing w:after="0" w:line="296" w:lineRule="auto"/>
        <w:rPr>
          <w:sz w:val="20"/>
          <w:szCs w:val="20"/>
          <w:color w:val="auto"/>
        </w:rPr>
      </w:pPr>
      <w:r>
        <w:rPr>
          <w:rFonts w:ascii="Arial" w:cs="Arial" w:eastAsia="Arial" w:hAnsi="Arial"/>
          <w:sz w:val="16"/>
          <w:szCs w:val="16"/>
          <w:color w:val="auto"/>
        </w:rPr>
        <w:t>Further, third parties may misappropriate our data or data analytics through website scraping, robots or other means and aggregate and display this data or data analytics on their websites. In addition, “copycat” websites may misappropriate data or data analytics on our website or platform and attempt to imitate our brands or the functionality of our website or platform. We may not be able to detect all such copycats in a timely manner and, even if we could, technological and legal measures available to us may be insufficient to stop their operations and the misappropriation of our data or data analytics. Any measures that we may take to enforce our rights could require us to expend significant financial or other resources.</w:t>
      </w:r>
    </w:p>
    <w:p>
      <w:pPr>
        <w:spacing w:after="0" w:line="26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We may be subject to claims by others that we are infringing on their intellectual property rights.</w:t>
      </w:r>
    </w:p>
    <w:p>
      <w:pPr>
        <w:spacing w:after="0" w:line="117" w:lineRule="exact"/>
        <w:rPr>
          <w:sz w:val="20"/>
          <w:szCs w:val="20"/>
          <w:color w:val="auto"/>
        </w:rPr>
      </w:pPr>
    </w:p>
    <w:p>
      <w:pPr>
        <w:ind w:left="120" w:right="60" w:firstLine="440"/>
        <w:spacing w:after="0" w:line="254" w:lineRule="auto"/>
        <w:rPr>
          <w:sz w:val="20"/>
          <w:szCs w:val="20"/>
          <w:color w:val="auto"/>
        </w:rPr>
      </w:pPr>
      <w:r>
        <w:rPr>
          <w:rFonts w:ascii="Arial" w:cs="Arial" w:eastAsia="Arial" w:hAnsi="Arial"/>
          <w:sz w:val="18"/>
          <w:szCs w:val="18"/>
          <w:color w:val="auto"/>
        </w:rPr>
        <w:t>Our competitors, as well as a number of other entities and individuals, including so-called non-practicing entities, may own or claim to own intellectual property relating to our product offering. From time to time, third parties may claim that we are infringing upon their intellectual property rights or that we have misappropriated their intellectual property. As competition in our market grows, the possibility of patent infringement, trademark infringement and other intellectual property claims against us increases. We may be unaware of the intellectual property rights that others may claim cover some or all of our technology or services. Because patent applications can take years to issue and are often afforded confidentiality for some period of time there may currently be pending applications, unknown to us, that later result in issued patents that could cover one or more aspects of our technology and services.</w:t>
      </w:r>
    </w:p>
    <w:p>
      <w:pPr>
        <w:spacing w:after="0" w:line="195" w:lineRule="exact"/>
        <w:rPr>
          <w:sz w:val="20"/>
          <w:szCs w:val="20"/>
          <w:color w:val="auto"/>
        </w:rPr>
      </w:pPr>
    </w:p>
    <w:p>
      <w:pPr>
        <w:ind w:left="120" w:right="200" w:firstLine="440"/>
        <w:spacing w:after="0" w:line="277" w:lineRule="auto"/>
        <w:rPr>
          <w:sz w:val="20"/>
          <w:szCs w:val="20"/>
          <w:color w:val="auto"/>
        </w:rPr>
      </w:pPr>
      <w:r>
        <w:rPr>
          <w:rFonts w:ascii="Arial" w:cs="Arial" w:eastAsia="Arial" w:hAnsi="Arial"/>
          <w:sz w:val="18"/>
          <w:szCs w:val="18"/>
          <w:color w:val="auto"/>
        </w:rPr>
        <w:t>Third parties may assert claims that we or our customers infringe their intellectual property rights and these claims, with or without merit, could be expensive to litigate, cause us to incur substantial costs and divert</w:t>
      </w:r>
    </w:p>
    <w:p>
      <w:pPr>
        <w:spacing w:after="0" w:line="103" w:lineRule="exact"/>
        <w:rPr>
          <w:sz w:val="20"/>
          <w:szCs w:val="20"/>
          <w:color w:val="auto"/>
        </w:rPr>
      </w:pPr>
    </w:p>
    <w:p>
      <w:pPr>
        <w:jc w:val="center"/>
        <w:ind w:right="-359"/>
        <w:spacing w:after="0"/>
        <w:rPr>
          <w:sz w:val="20"/>
          <w:szCs w:val="20"/>
          <w:color w:val="auto"/>
        </w:rPr>
      </w:pPr>
      <w:r>
        <w:rPr>
          <w:rFonts w:ascii="Arial" w:cs="Arial" w:eastAsia="Arial" w:hAnsi="Arial"/>
          <w:sz w:val="18"/>
          <w:szCs w:val="18"/>
          <w:color w:val="auto"/>
        </w:rPr>
        <w:t>50</w:t>
      </w:r>
    </w:p>
    <w:p>
      <w:pPr>
        <w:sectPr>
          <w:pgSz w:w="11900" w:h="16838" w:orient="portrait"/>
          <w:cols w:equalWidth="0" w:num="1">
            <w:col w:w="11120"/>
          </w:cols>
          <w:pgMar w:left="320" w:top="459" w:right="459" w:bottom="1440" w:gutter="0" w:footer="0" w:header="0"/>
        </w:sectPr>
      </w:pPr>
    </w:p>
    <w:bookmarkStart w:id="57" w:name="page58"/>
    <w:bookmarkEnd w:id="5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Confidential Treatment Requested by Definitive Healthcare Corp.</w:t>
      </w:r>
    </w:p>
    <w:p>
      <w:pPr>
        <w:spacing w:after="0" w:line="27"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Pursuant to 17 C.F.R. Section 200.83</w:t>
      </w:r>
    </w:p>
    <w:p>
      <w:pPr>
        <w:spacing w:after="0" w:line="143" w:lineRule="exact"/>
        <w:rPr>
          <w:sz w:val="20"/>
          <w:szCs w:val="20"/>
          <w:color w:val="auto"/>
        </w:rPr>
      </w:pPr>
    </w:p>
    <w:p>
      <w:pPr>
        <w:ind w:left="120" w:right="180"/>
        <w:spacing w:after="0" w:line="255" w:lineRule="auto"/>
        <w:rPr>
          <w:sz w:val="20"/>
          <w:szCs w:val="20"/>
          <w:color w:val="auto"/>
        </w:rPr>
      </w:pPr>
      <w:r>
        <w:rPr>
          <w:rFonts w:ascii="Arial" w:cs="Arial" w:eastAsia="Arial" w:hAnsi="Arial"/>
          <w:sz w:val="18"/>
          <w:szCs w:val="18"/>
          <w:color w:val="auto"/>
        </w:rPr>
        <w:t>management resources and attention in defending the claim. In some jurisdictions, plaintiffs can also seek injunctive relief that may limit the operation of our business or prevent the marketing and selling of our services that infringe or allegedly infringe on the plaintiff’s intellectual property rights. To resolve these claims, we may enter into licensing agreements with restrictive terms or significant fees, stop selling, be required to implement costly redesigns to the affected services, or pay damages to satisfy contractual obligations to others. If we do not resolve these claims in advance of a trial, there is no guarantee that we will be successful in court. These outcomes could have a material adverse effect on our business, financial condition and results of operations.</w:t>
      </w:r>
    </w:p>
    <w:p>
      <w:pPr>
        <w:spacing w:after="0" w:line="192" w:lineRule="exact"/>
        <w:rPr>
          <w:sz w:val="20"/>
          <w:szCs w:val="20"/>
          <w:color w:val="auto"/>
        </w:rPr>
      </w:pPr>
    </w:p>
    <w:p>
      <w:pPr>
        <w:ind w:left="120" w:right="60" w:firstLine="440"/>
        <w:spacing w:after="0" w:line="257" w:lineRule="auto"/>
        <w:rPr>
          <w:sz w:val="20"/>
          <w:szCs w:val="20"/>
          <w:color w:val="auto"/>
        </w:rPr>
      </w:pPr>
      <w:r>
        <w:rPr>
          <w:rFonts w:ascii="Arial" w:cs="Arial" w:eastAsia="Arial" w:hAnsi="Arial"/>
          <w:sz w:val="18"/>
          <w:szCs w:val="18"/>
          <w:color w:val="auto"/>
        </w:rPr>
        <w:t>In addition, certain contracts with our suppliers or customers contain provisions whereby we indemnify, subject to certain limitations, the counterparty for damages suffered as a result of claims related to intellectual property infringement and the use of data analytics. Claims made under these provisions could be expensive to litigate and could result in significant payments. Even if we were to prevail in such a dispute, any litigation regarding our intellectual property could be costly and time-consuming and divert the attention of our management and key personnel from our business operations.</w:t>
      </w:r>
    </w:p>
    <w:p>
      <w:pPr>
        <w:spacing w:after="0" w:line="296" w:lineRule="exact"/>
        <w:rPr>
          <w:sz w:val="20"/>
          <w:szCs w:val="20"/>
          <w:color w:val="auto"/>
        </w:rPr>
      </w:pPr>
    </w:p>
    <w:p>
      <w:pPr>
        <w:jc w:val="center"/>
        <w:ind w:right="60"/>
        <w:spacing w:after="0"/>
        <w:rPr>
          <w:sz w:val="20"/>
          <w:szCs w:val="20"/>
          <w:color w:val="auto"/>
        </w:rPr>
      </w:pPr>
      <w:r>
        <w:rPr>
          <w:rFonts w:ascii="Arial" w:cs="Arial" w:eastAsia="Arial" w:hAnsi="Arial"/>
          <w:sz w:val="15"/>
          <w:szCs w:val="15"/>
          <w:b w:val="1"/>
          <w:bCs w:val="1"/>
          <w:i w:val="1"/>
          <w:iCs w:val="1"/>
          <w:color w:val="auto"/>
        </w:rPr>
        <w:t>Our business could be adversely impacted by changes in laws and regulations related to the Internet or changes in access to the Internet generally.</w:t>
      </w:r>
    </w:p>
    <w:p>
      <w:pPr>
        <w:spacing w:after="0" w:line="152" w:lineRule="exact"/>
        <w:rPr>
          <w:sz w:val="20"/>
          <w:szCs w:val="20"/>
          <w:color w:val="auto"/>
        </w:rPr>
      </w:pPr>
    </w:p>
    <w:p>
      <w:pPr>
        <w:ind w:left="120" w:right="20" w:firstLine="440"/>
        <w:spacing w:after="0" w:line="254" w:lineRule="auto"/>
        <w:rPr>
          <w:sz w:val="20"/>
          <w:szCs w:val="20"/>
          <w:color w:val="auto"/>
        </w:rPr>
      </w:pPr>
      <w:r>
        <w:rPr>
          <w:rFonts w:ascii="Arial" w:cs="Arial" w:eastAsia="Arial" w:hAnsi="Arial"/>
          <w:sz w:val="18"/>
          <w:szCs w:val="18"/>
          <w:color w:val="auto"/>
        </w:rPr>
        <w:t>The future success of our Internet-based business depends upon the continued use of the Internet as a primary medium for communication, business applications, and commerce. Federal or state government bodies or agencies have in the past adopted, and may in the future adopt, laws or regulations affecting the use of the Internet as a commercial medium. Legislators, regulators, or government bodies or agencies may also make legal or regulatory changes or interpret or apply existing laws or regulations that relate to the use of the Internet in new and materially different ways. Changes in these laws, regulations or interpretations could require us to modify our platform in order to comply with these changes, to incur substantial additional costs or divert resources that could otherwise be deployed to grow our business, or expose us to unanticipated civil or criminal liability, among other things.</w:t>
      </w:r>
    </w:p>
    <w:p>
      <w:pPr>
        <w:spacing w:after="0" w:line="195" w:lineRule="exact"/>
        <w:rPr>
          <w:sz w:val="20"/>
          <w:szCs w:val="20"/>
          <w:color w:val="auto"/>
        </w:rPr>
      </w:pPr>
    </w:p>
    <w:p>
      <w:pPr>
        <w:ind w:left="120" w:firstLine="440"/>
        <w:spacing w:after="0" w:line="293" w:lineRule="auto"/>
        <w:rPr>
          <w:sz w:val="20"/>
          <w:szCs w:val="20"/>
          <w:color w:val="auto"/>
        </w:rPr>
      </w:pPr>
      <w:r>
        <w:rPr>
          <w:rFonts w:ascii="Arial" w:cs="Arial" w:eastAsia="Arial" w:hAnsi="Arial"/>
          <w:sz w:val="16"/>
          <w:szCs w:val="16"/>
          <w:color w:val="auto"/>
        </w:rPr>
        <w:t>In addition, additional taxes, fees or other charges have been imposed and may, in the future, be imposed for Internet access or commerce conducted via the Internet. Internet access is frequently provided by companies that have significant market power and could take actions that degrade, disrupt or increase the cost of our customers’ use of our platform, which could negatively impact our business. Net neutrality rules, which were designed to ensure that all online content is treated the same by Internet service providers and other companies that provide broadband services, were repealed by the Federal Communications Commission effective June 2018. The repeal of the net neutrality rules could force us to incur greater operating expenses or our customers’ use of our platform could be adversely affected, either of which could harm our business and results of operations.</w:t>
      </w:r>
    </w:p>
    <w:p>
      <w:pPr>
        <w:spacing w:after="0" w:line="164" w:lineRule="exact"/>
        <w:rPr>
          <w:sz w:val="20"/>
          <w:szCs w:val="20"/>
          <w:color w:val="auto"/>
        </w:rPr>
      </w:pPr>
    </w:p>
    <w:p>
      <w:pPr>
        <w:ind w:left="120" w:right="40" w:firstLine="440"/>
        <w:spacing w:after="0" w:line="270" w:lineRule="auto"/>
        <w:rPr>
          <w:sz w:val="20"/>
          <w:szCs w:val="20"/>
          <w:color w:val="auto"/>
        </w:rPr>
      </w:pPr>
      <w:r>
        <w:rPr>
          <w:rFonts w:ascii="Arial" w:cs="Arial" w:eastAsia="Arial" w:hAnsi="Arial"/>
          <w:sz w:val="17"/>
          <w:szCs w:val="17"/>
          <w:color w:val="auto"/>
        </w:rPr>
        <w:t>These developments could limit the growth of Internet-related commerce or communications generally or result in reductions in the demand for Internet-based platforms and services such as ours, increased costs to us or the disruption of our business. Furthermore, as the Internet continues to experience growth in the numbers of users, frequency of use and amount of data transmitted, the use of the Internet as a business tool could be adversely affected due to delays in the development or adoption of new standards and protocols to handle increased demands of Internet activity, security, reliability, cost, ease-of-use, accessibility, and quality of service. Moreover, the performance of the Internet and its acceptance as a business tool has been adversely affected by “viruses,” “worms,” and similar malicious programs and the Internet has experienced a variety of outages and other delays as a result of damage to portions of its infrastructure. If the use of the Internet generally, or our platform specifically, is adversely affected by these or other issues, we could be forced to incur substantial costs, demand for our platform could decline, and our results of operations and financial condition could be harmed.</w:t>
      </w:r>
    </w:p>
    <w:p>
      <w:pPr>
        <w:spacing w:after="0" w:line="113"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51</w:t>
      </w:r>
    </w:p>
    <w:p>
      <w:pPr>
        <w:sectPr>
          <w:pgSz w:w="11900" w:h="16838" w:orient="portrait"/>
          <w:cols w:equalWidth="0" w:num="1">
            <w:col w:w="11140"/>
          </w:cols>
          <w:pgMar w:left="320" w:top="459" w:right="439" w:bottom="1440" w:gutter="0" w:footer="0" w:header="0"/>
        </w:sectPr>
      </w:pPr>
    </w:p>
    <w:bookmarkStart w:id="58" w:name="page59"/>
    <w:bookmarkEnd w:id="5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Confidential Treatment Requested by Definitive Healthcare Corp.</w:t>
      </w:r>
    </w:p>
    <w:p>
      <w:pPr>
        <w:spacing w:after="0" w:line="27"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Pursuant to 17 C.F.R. Section 200.83</w:t>
      </w:r>
    </w:p>
    <w:p>
      <w:pPr>
        <w:spacing w:after="0" w:line="13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Risks Related to Certain Tax Matters</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Unanticipated changes in our effective tax rate and additional tax liabilities may impact our financial results.</w:t>
      </w:r>
    </w:p>
    <w:p>
      <w:pPr>
        <w:spacing w:after="0" w:line="117" w:lineRule="exact"/>
        <w:rPr>
          <w:sz w:val="20"/>
          <w:szCs w:val="20"/>
          <w:color w:val="auto"/>
        </w:rPr>
      </w:pPr>
    </w:p>
    <w:p>
      <w:pPr>
        <w:ind w:left="120" w:firstLine="440"/>
        <w:spacing w:after="0" w:line="254" w:lineRule="auto"/>
        <w:rPr>
          <w:sz w:val="20"/>
          <w:szCs w:val="20"/>
          <w:color w:val="auto"/>
        </w:rPr>
      </w:pPr>
      <w:r>
        <w:rPr>
          <w:rFonts w:ascii="Arial" w:cs="Arial" w:eastAsia="Arial" w:hAnsi="Arial"/>
          <w:sz w:val="18"/>
          <w:szCs w:val="18"/>
          <w:color w:val="auto"/>
        </w:rPr>
        <w:t>We will be subject to taxes in the U.S. and certain foreign jurisdictions. Due to economic and political conditions, tax rates in various jurisdictions, including the U.S., may be subject to change. In particular, there are current proposals from the president and Congress in the U.S., which if enacted, could result in additional federal income taxes being imposed on us. For example, the U.S. government may enact significant changes to the taxation of business entities, including, among others, a permanent increase in the corporate income tax rate, an increase in the tax applicable to the global low-taxed income and the imposition of minimum taxes or surtaxes on certain types of income. Our future effective tax rates could be affected by changes in the mix of earnings in countries with differing statutory tax rates, changes in the valuation of deferred tax assets and liabilities and changes in tax laws or their interpretation.</w:t>
      </w:r>
    </w:p>
    <w:p>
      <w:pPr>
        <w:spacing w:after="0" w:line="195" w:lineRule="exact"/>
        <w:rPr>
          <w:sz w:val="20"/>
          <w:szCs w:val="20"/>
          <w:color w:val="auto"/>
        </w:rPr>
      </w:pPr>
    </w:p>
    <w:p>
      <w:pPr>
        <w:ind w:left="120" w:right="60" w:firstLine="440"/>
        <w:spacing w:after="0" w:line="257" w:lineRule="auto"/>
        <w:rPr>
          <w:sz w:val="20"/>
          <w:szCs w:val="20"/>
          <w:color w:val="auto"/>
        </w:rPr>
      </w:pPr>
      <w:r>
        <w:rPr>
          <w:rFonts w:ascii="Arial" w:cs="Arial" w:eastAsia="Arial" w:hAnsi="Arial"/>
          <w:sz w:val="18"/>
          <w:szCs w:val="18"/>
          <w:color w:val="auto"/>
        </w:rPr>
        <w:t>We may also be subject to additional tax liabilities and penalties due to changes in non-income based taxes resulting from changes in federal, state or foreign tax laws, changes in taxing jurisdictions’ administrative interpretations, decisions, policies and positions, results of tax examinations, settlements or judicial decisions, changes in accounting principles, changes to the business operations, including acquisitions, as well as the evaluation of new information that results in a change to a tax position taken in a prior period. Any resulting increase in our tax obligation or cash taxes paid could adversely affect our cash flows and financial results.</w:t>
      </w:r>
    </w:p>
    <w:p>
      <w:pPr>
        <w:spacing w:after="0" w:line="296" w:lineRule="exact"/>
        <w:rPr>
          <w:sz w:val="20"/>
          <w:szCs w:val="20"/>
          <w:color w:val="auto"/>
        </w:rPr>
      </w:pPr>
    </w:p>
    <w:p>
      <w:pPr>
        <w:ind w:left="120" w:right="220"/>
        <w:spacing w:after="0" w:line="277" w:lineRule="auto"/>
        <w:rPr>
          <w:sz w:val="20"/>
          <w:szCs w:val="20"/>
          <w:color w:val="auto"/>
        </w:rPr>
      </w:pPr>
      <w:r>
        <w:rPr>
          <w:rFonts w:ascii="Arial" w:cs="Arial" w:eastAsia="Arial" w:hAnsi="Arial"/>
          <w:sz w:val="18"/>
          <w:szCs w:val="18"/>
          <w:b w:val="1"/>
          <w:bCs w:val="1"/>
          <w:i w:val="1"/>
          <w:iCs w:val="1"/>
          <w:color w:val="auto"/>
        </w:rPr>
        <w:t>Changes in tax laws or regulations in the various tax jurisdictions we are subject to that are applied adversely to us or our paying customers could increase the costs of our platform and harm our business.</w:t>
      </w:r>
    </w:p>
    <w:p>
      <w:pPr>
        <w:spacing w:after="0" w:line="62" w:lineRule="exact"/>
        <w:rPr>
          <w:sz w:val="20"/>
          <w:szCs w:val="20"/>
          <w:color w:val="auto"/>
        </w:rPr>
      </w:pPr>
    </w:p>
    <w:p>
      <w:pPr>
        <w:ind w:left="120" w:right="40" w:firstLine="440"/>
        <w:spacing w:after="0" w:line="290" w:lineRule="auto"/>
        <w:rPr>
          <w:sz w:val="20"/>
          <w:szCs w:val="20"/>
          <w:color w:val="auto"/>
        </w:rPr>
      </w:pPr>
      <w:r>
        <w:rPr>
          <w:rFonts w:ascii="Arial" w:cs="Arial" w:eastAsia="Arial" w:hAnsi="Arial"/>
          <w:sz w:val="16"/>
          <w:szCs w:val="16"/>
          <w:color w:val="auto"/>
        </w:rPr>
        <w:t>New income, sales, use or other tax laws, statutes, rules, regulations or ordinances could be enacted at any time. Those enactments could harm our domestic and foreign business operations and our business, financial condition and results of operations. Further, existing tax laws, statutes, rules, regulations or ordinances could be interpreted, changed, modified or applied adversely to us. These events could require us or our paying customers to pay additional tax amounts on a prospective or retroactive basis, as well as require us or our paying customers to pay fines and/or penalties and interest for past amounts deemed to be due. If we raise our prices to offset the costs of these changes, existing and potential future paying customers may elect not to subscribe to our platform in the future. Additionally, new, changed, modified or newly interpreted or applied tax laws could increase our paying customers’ and our compliance, operating and other costs, as well as the costs of our platform. Further, these events could decrease the capital we have available to operate our business. Any or all of these events could harm our business, financial condition and results of operations.</w:t>
      </w:r>
    </w:p>
    <w:p>
      <w:pPr>
        <w:spacing w:after="0" w:line="165" w:lineRule="exact"/>
        <w:rPr>
          <w:sz w:val="20"/>
          <w:szCs w:val="20"/>
          <w:color w:val="auto"/>
        </w:rPr>
      </w:pPr>
    </w:p>
    <w:p>
      <w:pPr>
        <w:ind w:left="120" w:right="80" w:firstLine="440"/>
        <w:spacing w:after="0" w:line="296" w:lineRule="auto"/>
        <w:rPr>
          <w:sz w:val="20"/>
          <w:szCs w:val="20"/>
          <w:color w:val="auto"/>
        </w:rPr>
      </w:pPr>
      <w:r>
        <w:rPr>
          <w:rFonts w:ascii="Arial" w:cs="Arial" w:eastAsia="Arial" w:hAnsi="Arial"/>
          <w:sz w:val="16"/>
          <w:szCs w:val="16"/>
          <w:color w:val="auto"/>
        </w:rPr>
        <w:t>Additionally, the application of U.S. federal, state, local and foreign tax laws to services provided electronically is unclear and continually evolving. Existing tax laws, statutes, rules, regulations or ordinances could be interpreted or applied adversely to us, possibly with retroactive effect, which could require us or our paying customers to pay additional tax amounts, as well as require us or our paying customers to pay fines or penalties, as well as interest for past amounts. If we are unsuccessful in collecting such taxes due from our paying customers, we could be held liable for such taxes, fines or penalties and thereby have a material adverse effect on our business, financial condition and results of operations.</w:t>
      </w:r>
    </w:p>
    <w:p>
      <w:pPr>
        <w:spacing w:after="0" w:line="269" w:lineRule="exact"/>
        <w:rPr>
          <w:sz w:val="20"/>
          <w:szCs w:val="20"/>
          <w:color w:val="auto"/>
        </w:rPr>
      </w:pPr>
    </w:p>
    <w:p>
      <w:pPr>
        <w:ind w:left="120" w:right="260"/>
        <w:spacing w:after="0" w:line="277" w:lineRule="auto"/>
        <w:rPr>
          <w:sz w:val="20"/>
          <w:szCs w:val="20"/>
          <w:color w:val="auto"/>
        </w:rPr>
      </w:pPr>
      <w:r>
        <w:rPr>
          <w:rFonts w:ascii="Arial" w:cs="Arial" w:eastAsia="Arial" w:hAnsi="Arial"/>
          <w:sz w:val="18"/>
          <w:szCs w:val="18"/>
          <w:b w:val="1"/>
          <w:bCs w:val="1"/>
          <w:i w:val="1"/>
          <w:iCs w:val="1"/>
          <w:color w:val="auto"/>
        </w:rPr>
        <w:t>Our results of operations may be harmed if we are required to collect sales or other related taxes for subscriptions to our platform in jurisdictions where we have not historically done so.</w:t>
      </w:r>
    </w:p>
    <w:p>
      <w:pPr>
        <w:spacing w:after="0" w:line="62" w:lineRule="exact"/>
        <w:rPr>
          <w:sz w:val="20"/>
          <w:szCs w:val="20"/>
          <w:color w:val="auto"/>
        </w:rPr>
      </w:pPr>
    </w:p>
    <w:p>
      <w:pPr>
        <w:ind w:left="120" w:right="40" w:firstLine="440"/>
        <w:spacing w:after="0" w:line="257" w:lineRule="auto"/>
        <w:rPr>
          <w:sz w:val="20"/>
          <w:szCs w:val="20"/>
          <w:color w:val="auto"/>
        </w:rPr>
      </w:pPr>
      <w:r>
        <w:rPr>
          <w:rFonts w:ascii="Arial" w:cs="Arial" w:eastAsia="Arial" w:hAnsi="Arial"/>
          <w:sz w:val="18"/>
          <w:szCs w:val="18"/>
          <w:color w:val="auto"/>
        </w:rPr>
        <w:t>States and some local taxing jurisdictions have differing rules and regulations governing sales and use taxes, and these rules and regulations are subject to varying interpretations that may change over time. The application of federal, state, local and foreign tax laws to services provided electronically is unclear and continually evolving. In particular, the applicability of sales taxes to our platform in various jurisdictions is unclear. We collect and remit U.S. sales tax and foreign value-added tax (“VAT”), in a number of jurisdictions. It is possible, however, that we could face sales tax or VAT audits and that our liability for these taxes could exceed our</w:t>
      </w:r>
    </w:p>
    <w:p>
      <w:pPr>
        <w:spacing w:after="0" w:line="120"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52</w:t>
      </w:r>
    </w:p>
    <w:p>
      <w:pPr>
        <w:sectPr>
          <w:pgSz w:w="11900" w:h="16838" w:orient="portrait"/>
          <w:cols w:equalWidth="0" w:num="1">
            <w:col w:w="11140"/>
          </w:cols>
          <w:pgMar w:left="320" w:top="459" w:right="439" w:bottom="1440" w:gutter="0" w:footer="0" w:header="0"/>
        </w:sectPr>
      </w:pPr>
    </w:p>
    <w:bookmarkStart w:id="59" w:name="page60"/>
    <w:bookmarkEnd w:id="5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Confidential Treatment Requested by Definitive Healthcare Corp.</w:t>
      </w:r>
    </w:p>
    <w:p>
      <w:pPr>
        <w:spacing w:after="0" w:line="27"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Pursuant to 17 C.F.R. Section 200.83</w:t>
      </w:r>
    </w:p>
    <w:p>
      <w:pPr>
        <w:spacing w:after="0" w:line="143" w:lineRule="exact"/>
        <w:rPr>
          <w:sz w:val="20"/>
          <w:szCs w:val="20"/>
          <w:color w:val="auto"/>
        </w:rPr>
      </w:pPr>
    </w:p>
    <w:p>
      <w:pPr>
        <w:ind w:left="120" w:right="20"/>
        <w:spacing w:after="0" w:line="296" w:lineRule="auto"/>
        <w:rPr>
          <w:sz w:val="20"/>
          <w:szCs w:val="20"/>
          <w:color w:val="auto"/>
        </w:rPr>
      </w:pPr>
      <w:r>
        <w:rPr>
          <w:rFonts w:ascii="Arial" w:cs="Arial" w:eastAsia="Arial" w:hAnsi="Arial"/>
          <w:sz w:val="16"/>
          <w:szCs w:val="16"/>
          <w:color w:val="auto"/>
        </w:rPr>
        <w:t>estimates as state and foreign taxing authorities could still assert that we are obligated to collect additional tax amounts from our paying customers and remit those taxes to those authorities. We could also be subject to audits in states and foreign jurisdictions for which we have not accrued tax liabilities. A successful assertion that we should be collecting additional sales tax, VAT or other taxes on our services in jurisdictions where we have not historically done so and do not accrue for sales taxes and VAT could result in substantial tax liabilities for past sales or services, discourage organizations from subscribing to our platform, or otherwise have a material adverse effect on our business, financial condition and results of operations.</w:t>
      </w:r>
    </w:p>
    <w:p>
      <w:pPr>
        <w:spacing w:after="0" w:line="161" w:lineRule="exact"/>
        <w:rPr>
          <w:sz w:val="20"/>
          <w:szCs w:val="20"/>
          <w:color w:val="auto"/>
        </w:rPr>
      </w:pPr>
    </w:p>
    <w:p>
      <w:pPr>
        <w:ind w:left="120" w:right="180" w:firstLine="440"/>
        <w:spacing w:after="0" w:line="257" w:lineRule="auto"/>
        <w:rPr>
          <w:sz w:val="20"/>
          <w:szCs w:val="20"/>
          <w:color w:val="auto"/>
        </w:rPr>
      </w:pPr>
      <w:r>
        <w:rPr>
          <w:rFonts w:ascii="Arial" w:cs="Arial" w:eastAsia="Arial" w:hAnsi="Arial"/>
          <w:sz w:val="18"/>
          <w:szCs w:val="18"/>
          <w:color w:val="auto"/>
        </w:rPr>
        <w:t>Further, one or more state or foreign taxing authorities could seek to impose additional sales tax, use tax, VAT or other tax collection and record-keeping obligations on us or may determine that such taxes should have, but have not been, paid by us. Liability for past taxes may also include substantial interest and penalty charges. Any successful action by state or foreign taxing authorities to compel us to collect and remit sales tax, use tax, VAT or other taxes, either retroactively and/or prospectively, could have a material adverse effect on our business, financial condition and results of operations.</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Risks Related to Accounting and Financial Reporting Matters</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Deferred revenue and change in deferred revenue may not be accurate indicators of our future financial results.</w:t>
      </w:r>
    </w:p>
    <w:p>
      <w:pPr>
        <w:spacing w:after="0" w:line="117" w:lineRule="exact"/>
        <w:rPr>
          <w:sz w:val="20"/>
          <w:szCs w:val="20"/>
          <w:color w:val="auto"/>
        </w:rPr>
      </w:pPr>
    </w:p>
    <w:p>
      <w:pPr>
        <w:ind w:left="120" w:right="60" w:firstLine="440"/>
        <w:spacing w:after="0" w:line="269" w:lineRule="auto"/>
        <w:rPr>
          <w:sz w:val="20"/>
          <w:szCs w:val="20"/>
          <w:color w:val="auto"/>
        </w:rPr>
      </w:pPr>
      <w:r>
        <w:rPr>
          <w:rFonts w:ascii="Arial" w:cs="Arial" w:eastAsia="Arial" w:hAnsi="Arial"/>
          <w:sz w:val="17"/>
          <w:szCs w:val="17"/>
          <w:color w:val="auto"/>
        </w:rPr>
        <w:t>The annualized value of some customer subscriptions may not be completely reflected in deferred revenue at any single point in time. We may agree to allow customers to change the renewal dates of their orders to, for example, align more closely with a customer’s annual budget process or to align with the renewal dates of other orders placed by other entities within the same corporate control group, or to change payment terms from annual to quarterly, or vice versa. Such changes typically result in an order of less than one year as necessary to align all orders to the desired renewal date and, thus, may result in a lesser increase to deferred revenue than if the adjustment had not occurred. Additionally, changes in renewal dates may change the fiscal quarter in which deferred revenue associated with a particular order is booked. See “Management’s Discussion and Analysis and Results of Operations—Historical Cash Flows.” However, many companies that provide cloud-based software report changes in deferred revenue or calculated billings as key operating or financial metrics, and it is possible that analysts or investors may view these metrics as important. Thus, any changes in our deferred revenue balances or deferred revenue trends, or in the future, our unbilled accounts receivable balances or trends, could adversely affect the market price of our Class A common stock.</w:t>
      </w:r>
    </w:p>
    <w:p>
      <w:pPr>
        <w:spacing w:after="0" w:line="293" w:lineRule="exact"/>
        <w:rPr>
          <w:sz w:val="20"/>
          <w:szCs w:val="20"/>
          <w:color w:val="auto"/>
        </w:rPr>
      </w:pPr>
    </w:p>
    <w:p>
      <w:pPr>
        <w:ind w:left="120" w:right="640"/>
        <w:spacing w:after="0" w:line="277" w:lineRule="auto"/>
        <w:rPr>
          <w:sz w:val="20"/>
          <w:szCs w:val="20"/>
          <w:color w:val="auto"/>
        </w:rPr>
      </w:pPr>
      <w:r>
        <w:rPr>
          <w:rFonts w:ascii="Arial" w:cs="Arial" w:eastAsia="Arial" w:hAnsi="Arial"/>
          <w:sz w:val="18"/>
          <w:szCs w:val="18"/>
          <w:b w:val="1"/>
          <w:bCs w:val="1"/>
          <w:i w:val="1"/>
          <w:iCs w:val="1"/>
          <w:color w:val="auto"/>
        </w:rPr>
        <w:t>Because we recognize subscription revenue over the subscription term, downturns or upturns in new sales and renewals are not immediately reflected in full in our results of operations.</w:t>
      </w:r>
    </w:p>
    <w:p>
      <w:pPr>
        <w:spacing w:after="0" w:line="62" w:lineRule="exact"/>
        <w:rPr>
          <w:sz w:val="20"/>
          <w:szCs w:val="20"/>
          <w:color w:val="auto"/>
        </w:rPr>
      </w:pPr>
    </w:p>
    <w:p>
      <w:pPr>
        <w:ind w:left="120" w:firstLine="440"/>
        <w:spacing w:after="0" w:line="296" w:lineRule="auto"/>
        <w:rPr>
          <w:sz w:val="20"/>
          <w:szCs w:val="20"/>
          <w:color w:val="auto"/>
        </w:rPr>
      </w:pPr>
      <w:r>
        <w:rPr>
          <w:rFonts w:ascii="Arial" w:cs="Arial" w:eastAsia="Arial" w:hAnsi="Arial"/>
          <w:sz w:val="16"/>
          <w:szCs w:val="16"/>
          <w:color w:val="auto"/>
        </w:rPr>
        <w:t>We recognize revenue from subscriptions to our platform on a straight-line basis over the term of the contract subscription period beginning on the date access to our platform is granted, provided all other revenue recognition criteria have been met. Our subscription arrangements generally have contractual terms requiring advance payment for annual or quarterly periods. As a result, much of the revenue we report each quarter is the recognition of deferred revenue from recurring subscriptions entered into during previous quarters. Consequently, a decline in new or renewed recurring subscription contracts in any one quarter will not be fully reflected in revenue in that quarter but will negatively affect our revenue in future quarters.</w:t>
      </w:r>
    </w:p>
    <w:p>
      <w:pPr>
        <w:spacing w:after="0" w:line="161" w:lineRule="exact"/>
        <w:rPr>
          <w:sz w:val="20"/>
          <w:szCs w:val="20"/>
          <w:color w:val="auto"/>
        </w:rPr>
      </w:pPr>
    </w:p>
    <w:p>
      <w:pPr>
        <w:ind w:left="120" w:right="20" w:firstLine="440"/>
        <w:spacing w:after="0" w:line="257" w:lineRule="auto"/>
        <w:rPr>
          <w:sz w:val="20"/>
          <w:szCs w:val="20"/>
          <w:color w:val="auto"/>
        </w:rPr>
      </w:pPr>
      <w:r>
        <w:rPr>
          <w:rFonts w:ascii="Arial" w:cs="Arial" w:eastAsia="Arial" w:hAnsi="Arial"/>
          <w:sz w:val="18"/>
          <w:szCs w:val="18"/>
          <w:color w:val="auto"/>
        </w:rPr>
        <w:t>Accordingly, the effect of significant downturns in new or renewed sales of our recurring subscriptions are not reflected in full in our results of operations until future periods. Our subscription model also makes it difficult for us to rapidly increase our revenue through additional sales in any period, as revenue from new customers is typically recognized over the applicable subscription term. By contrast, a majority of our costs are expensed as incurred, which could result in our recognition of more costs than revenue in the earlier portion of the subscription term, and we may not attain profitability in any given period.</w:t>
      </w:r>
    </w:p>
    <w:p>
      <w:pPr>
        <w:spacing w:after="0" w:line="120"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53</w:t>
      </w:r>
    </w:p>
    <w:p>
      <w:pPr>
        <w:sectPr>
          <w:pgSz w:w="11900" w:h="16838" w:orient="portrait"/>
          <w:cols w:equalWidth="0" w:num="1">
            <w:col w:w="11140"/>
          </w:cols>
          <w:pgMar w:left="320" w:top="459" w:right="439" w:bottom="1440" w:gutter="0" w:footer="0" w:header="0"/>
        </w:sectPr>
      </w:pPr>
    </w:p>
    <w:bookmarkStart w:id="60" w:name="page61"/>
    <w:bookmarkEnd w:id="6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Confidential Treatment Requested by Definitive Healthcare Corp.</w:t>
      </w:r>
    </w:p>
    <w:p>
      <w:pPr>
        <w:spacing w:after="0" w:line="27"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Pursuant to 17 C.F.R. Section 200.83</w:t>
      </w:r>
    </w:p>
    <w:p>
      <w:pPr>
        <w:spacing w:after="0" w:line="143"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We have broad discretion in the use of our cash balances and may not use them effectively.</w:t>
      </w:r>
    </w:p>
    <w:p>
      <w:pPr>
        <w:spacing w:after="0" w:line="117" w:lineRule="exact"/>
        <w:rPr>
          <w:sz w:val="20"/>
          <w:szCs w:val="20"/>
          <w:color w:val="auto"/>
        </w:rPr>
      </w:pPr>
    </w:p>
    <w:p>
      <w:pPr>
        <w:ind w:left="120" w:right="200" w:firstLine="440"/>
        <w:spacing w:after="0" w:line="259" w:lineRule="auto"/>
        <w:rPr>
          <w:sz w:val="20"/>
          <w:szCs w:val="20"/>
          <w:color w:val="auto"/>
        </w:rPr>
      </w:pPr>
      <w:r>
        <w:rPr>
          <w:rFonts w:ascii="Arial" w:cs="Arial" w:eastAsia="Arial" w:hAnsi="Arial"/>
          <w:sz w:val="18"/>
          <w:szCs w:val="18"/>
          <w:color w:val="auto"/>
        </w:rPr>
        <w:t>We have broad discretion in the use of our cash balances and may not use them effectively. The failure by our management to apply these funds effectively could adversely affect our business, financial condition and results of operations. Pending their use, we may invest our cash balances in a manner that does not produce income or that loses value. Our investments may not yield a favorable return to our investors and may have a material adverse effect on the price of our Class A common stock.</w:t>
      </w:r>
    </w:p>
    <w:p>
      <w:pPr>
        <w:spacing w:after="0" w:line="295" w:lineRule="exact"/>
        <w:rPr>
          <w:sz w:val="20"/>
          <w:szCs w:val="20"/>
          <w:color w:val="auto"/>
        </w:rPr>
      </w:pPr>
    </w:p>
    <w:p>
      <w:pPr>
        <w:ind w:left="120" w:right="160"/>
        <w:spacing w:after="0" w:line="277" w:lineRule="auto"/>
        <w:rPr>
          <w:sz w:val="20"/>
          <w:szCs w:val="20"/>
          <w:color w:val="auto"/>
        </w:rPr>
      </w:pPr>
      <w:r>
        <w:rPr>
          <w:rFonts w:ascii="Arial" w:cs="Arial" w:eastAsia="Arial" w:hAnsi="Arial"/>
          <w:sz w:val="18"/>
          <w:szCs w:val="18"/>
          <w:b w:val="1"/>
          <w:bCs w:val="1"/>
          <w:i w:val="1"/>
          <w:iCs w:val="1"/>
          <w:color w:val="auto"/>
        </w:rPr>
        <w:t>We have a significant amount of goodwill and intangible assets on our balance sheet, and our results of operations may be adversely affected if we fail to realize the full value of our goodwill and intangible assets.</w:t>
      </w:r>
    </w:p>
    <w:p>
      <w:pPr>
        <w:spacing w:after="0" w:line="62" w:lineRule="exact"/>
        <w:rPr>
          <w:sz w:val="20"/>
          <w:szCs w:val="20"/>
          <w:color w:val="auto"/>
        </w:rPr>
      </w:pPr>
    </w:p>
    <w:p>
      <w:pPr>
        <w:ind w:left="120" w:firstLine="440"/>
        <w:spacing w:after="0" w:line="286" w:lineRule="auto"/>
        <w:rPr>
          <w:sz w:val="20"/>
          <w:szCs w:val="20"/>
          <w:color w:val="auto"/>
        </w:rPr>
      </w:pPr>
      <w:r>
        <w:rPr>
          <w:rFonts w:ascii="Arial" w:cs="Arial" w:eastAsia="Arial" w:hAnsi="Arial"/>
          <w:sz w:val="16"/>
          <w:szCs w:val="16"/>
          <w:color w:val="auto"/>
        </w:rPr>
        <w:t>We have a significant amount of goodwill and intangible assets on our balance sheet, and our results of operations may be adversely affected if we fail to realize the full value of our goodwill and intangible assets. Our balance sheet reflects goodwill of $1.3 billion and $1.2 billion as of December 31, 2020 and 2019, respectively, and intangible assets, net of $410.2 million and $446.4 million as of December 31, 2020 and 2019, respectively. Our balance sheet reflects goodwill of $1.3 billion and intangible assets, net, of $381.4 million as of June 30, 2021. In accordance with U.S. GAAP, goodwill and intangible assets with an indefinite life are not amortized but are subject to a periodic impairment evaluation. Goodwill and acquired intangible assets with an indefinite life are tested for impairment at least annually or when events and circumstances indicate that fair value of a reporting unit may be below their carrying value. Acquired intangible assets with definite lives are amortized on a straight-line basis over the estimated period over which we expect to realize economic value related to the intangible asset. In addition, we review long-lived assets for impairment whenever events or changes in circumstances indicate that the carrying value of an asset might not be recoverable. If indicators of impairment are present, we evaluate the carrying value in relation to estimates of future undiscounted cash flows. Our ability to realize the value of the goodwill and intangible assets will depend on the future cash flows of the businesses we have acquired, which in turn depend in part on how well we have integrated these businesses into our own business. Judgments made by management relate to the expected useful lives of long-lived assets and our ability to realize undiscounted cash flows of the carrying amounts of such assets. The accuracy of these judgments may be adversely affected by several factors, including significant:</w:t>
      </w:r>
    </w:p>
    <w:p>
      <w:pPr>
        <w:spacing w:after="0" w:line="79" w:lineRule="exact"/>
        <w:rPr>
          <w:sz w:val="20"/>
          <w:szCs w:val="20"/>
          <w:color w:val="auto"/>
        </w:rPr>
      </w:pPr>
    </w:p>
    <w:p>
      <w:pPr>
        <w:ind w:left="1080" w:hanging="532"/>
        <w:spacing w:after="0"/>
        <w:tabs>
          <w:tab w:leader="none" w:pos="1080" w:val="left"/>
        </w:tabs>
        <w:numPr>
          <w:ilvl w:val="0"/>
          <w:numId w:val="48"/>
        </w:numPr>
        <w:rPr>
          <w:rFonts w:ascii="Arial" w:cs="Arial" w:eastAsia="Arial" w:hAnsi="Arial"/>
          <w:sz w:val="18"/>
          <w:szCs w:val="18"/>
          <w:color w:val="auto"/>
        </w:rPr>
      </w:pPr>
      <w:r>
        <w:rPr>
          <w:rFonts w:ascii="Arial" w:cs="Arial" w:eastAsia="Arial" w:hAnsi="Arial"/>
          <w:sz w:val="18"/>
          <w:szCs w:val="18"/>
          <w:color w:val="auto"/>
        </w:rPr>
        <w:t>underperformance relative to historical or projected future operating results;</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48"/>
        </w:numPr>
        <w:rPr>
          <w:rFonts w:ascii="Arial" w:cs="Arial" w:eastAsia="Arial" w:hAnsi="Arial"/>
          <w:sz w:val="18"/>
          <w:szCs w:val="18"/>
          <w:color w:val="auto"/>
        </w:rPr>
      </w:pPr>
      <w:r>
        <w:rPr>
          <w:rFonts w:ascii="Arial" w:cs="Arial" w:eastAsia="Arial" w:hAnsi="Arial"/>
          <w:sz w:val="18"/>
          <w:szCs w:val="18"/>
          <w:color w:val="auto"/>
        </w:rPr>
        <w:t>changes in the manner of our use of acquired assets or the strategy for our overall business;</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48"/>
        </w:numPr>
        <w:rPr>
          <w:rFonts w:ascii="Arial" w:cs="Arial" w:eastAsia="Arial" w:hAnsi="Arial"/>
          <w:sz w:val="18"/>
          <w:szCs w:val="18"/>
          <w:color w:val="auto"/>
        </w:rPr>
      </w:pPr>
      <w:r>
        <w:rPr>
          <w:rFonts w:ascii="Arial" w:cs="Arial" w:eastAsia="Arial" w:hAnsi="Arial"/>
          <w:sz w:val="18"/>
          <w:szCs w:val="18"/>
          <w:color w:val="auto"/>
        </w:rPr>
        <w:t>negative industry or economic trends; or</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48"/>
        </w:numPr>
        <w:rPr>
          <w:rFonts w:ascii="Arial" w:cs="Arial" w:eastAsia="Arial" w:hAnsi="Arial"/>
          <w:sz w:val="18"/>
          <w:szCs w:val="18"/>
          <w:color w:val="auto"/>
        </w:rPr>
      </w:pPr>
      <w:r>
        <w:rPr>
          <w:rFonts w:ascii="Arial" w:cs="Arial" w:eastAsia="Arial" w:hAnsi="Arial"/>
          <w:sz w:val="18"/>
          <w:szCs w:val="18"/>
          <w:color w:val="auto"/>
        </w:rPr>
        <w:t>decline in our market capitalization relative to net book value for a sustained period.</w:t>
      </w:r>
    </w:p>
    <w:p>
      <w:pPr>
        <w:spacing w:after="0" w:line="225" w:lineRule="exact"/>
        <w:rPr>
          <w:sz w:val="20"/>
          <w:szCs w:val="20"/>
          <w:color w:val="auto"/>
        </w:rPr>
      </w:pPr>
    </w:p>
    <w:p>
      <w:pPr>
        <w:jc w:val="both"/>
        <w:ind w:left="120" w:right="300" w:firstLine="440"/>
        <w:spacing w:after="0" w:line="286" w:lineRule="auto"/>
        <w:rPr>
          <w:sz w:val="20"/>
          <w:szCs w:val="20"/>
          <w:color w:val="auto"/>
        </w:rPr>
      </w:pPr>
      <w:r>
        <w:rPr>
          <w:rFonts w:ascii="Arial" w:cs="Arial" w:eastAsia="Arial" w:hAnsi="Arial"/>
          <w:sz w:val="17"/>
          <w:szCs w:val="17"/>
          <w:color w:val="auto"/>
        </w:rPr>
        <w:t>These types of events or indicators and the resulting impairment analysis could result in impairment charges in the future. If we are not able to realize the value of the goodwill and intangible assets, we may be required to incur material charges relating to the impairment of those assets. Such impairment charges could have a material adverse effect on our business, financial condition and results of operations.</w:t>
      </w:r>
    </w:p>
    <w:p>
      <w:pPr>
        <w:spacing w:after="0" w:line="26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Risks Related to Our Indebtedness</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We may not be able to secure sufficient additional financing on favorable terms, or at all, to meet our future capital needs.</w:t>
      </w:r>
    </w:p>
    <w:p>
      <w:pPr>
        <w:spacing w:after="0" w:line="117" w:lineRule="exact"/>
        <w:rPr>
          <w:sz w:val="20"/>
          <w:szCs w:val="20"/>
          <w:color w:val="auto"/>
        </w:rPr>
      </w:pPr>
    </w:p>
    <w:p>
      <w:pPr>
        <w:ind w:left="120" w:right="100" w:firstLine="440"/>
        <w:spacing w:after="0" w:line="275" w:lineRule="auto"/>
        <w:rPr>
          <w:sz w:val="20"/>
          <w:szCs w:val="20"/>
          <w:color w:val="auto"/>
        </w:rPr>
      </w:pPr>
      <w:r>
        <w:rPr>
          <w:rFonts w:ascii="Arial" w:cs="Arial" w:eastAsia="Arial" w:hAnsi="Arial"/>
          <w:sz w:val="17"/>
          <w:szCs w:val="17"/>
          <w:color w:val="auto"/>
        </w:rPr>
        <w:t>We may require additional capital in the future to pursue business opportunities or acquisitions or respond to challenges and unforeseen circumstances. We may also decide to engage in equity or debt financings or enter into additional credit facilities for other reasons. We may not be able to secure additional debt or equity financing in a timely manner, on favorable terms, or at all. Any debt financing we obtain in the future could involve restrictive covenants relating to our capital raising activities and other financial and operational matters, which may make it more difficult for us to obtain additional capital and pursue business opportunities, including potential acquisitions.</w:t>
      </w:r>
    </w:p>
    <w:p>
      <w:pPr>
        <w:spacing w:after="0" w:line="109" w:lineRule="exact"/>
        <w:rPr>
          <w:sz w:val="20"/>
          <w:szCs w:val="20"/>
          <w:color w:val="auto"/>
        </w:rPr>
      </w:pPr>
    </w:p>
    <w:p>
      <w:pPr>
        <w:jc w:val="center"/>
        <w:ind w:right="-379"/>
        <w:spacing w:after="0"/>
        <w:rPr>
          <w:sz w:val="20"/>
          <w:szCs w:val="20"/>
          <w:color w:val="auto"/>
        </w:rPr>
      </w:pPr>
      <w:r>
        <w:rPr>
          <w:rFonts w:ascii="Arial" w:cs="Arial" w:eastAsia="Arial" w:hAnsi="Arial"/>
          <w:sz w:val="18"/>
          <w:szCs w:val="18"/>
          <w:color w:val="auto"/>
        </w:rPr>
        <w:t>54</w:t>
      </w:r>
    </w:p>
    <w:p>
      <w:pPr>
        <w:sectPr>
          <w:pgSz w:w="11900" w:h="16838" w:orient="portrait"/>
          <w:cols w:equalWidth="0" w:num="1">
            <w:col w:w="11100"/>
          </w:cols>
          <w:pgMar w:left="320" w:top="459" w:right="479" w:bottom="1440" w:gutter="0" w:footer="0" w:header="0"/>
        </w:sectPr>
      </w:pPr>
    </w:p>
    <w:bookmarkStart w:id="61" w:name="page62"/>
    <w:bookmarkEnd w:id="6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Confidential Treatment Requested by Definitive Healthcare Corp.</w:t>
      </w:r>
    </w:p>
    <w:p>
      <w:pPr>
        <w:spacing w:after="0" w:line="27"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Pursuant to 17 C.F.R. Section 200.83</w:t>
      </w:r>
    </w:p>
    <w:p>
      <w:pPr>
        <w:spacing w:after="0" w:line="143"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Any default under our debt agreements could have significant consequences.</w:t>
      </w:r>
    </w:p>
    <w:p>
      <w:pPr>
        <w:spacing w:after="0" w:line="117" w:lineRule="exact"/>
        <w:rPr>
          <w:sz w:val="20"/>
          <w:szCs w:val="20"/>
          <w:color w:val="auto"/>
        </w:rPr>
      </w:pPr>
    </w:p>
    <w:p>
      <w:pPr>
        <w:ind w:left="120" w:right="40" w:firstLine="440"/>
        <w:spacing w:after="0" w:line="272" w:lineRule="auto"/>
        <w:rPr>
          <w:sz w:val="20"/>
          <w:szCs w:val="20"/>
          <w:color w:val="auto"/>
        </w:rPr>
      </w:pPr>
      <w:r>
        <w:rPr>
          <w:rFonts w:ascii="Arial" w:cs="Arial" w:eastAsia="Arial" w:hAnsi="Arial"/>
          <w:sz w:val="17"/>
          <w:szCs w:val="17"/>
          <w:color w:val="auto"/>
        </w:rPr>
        <w:t>The Credit Agreement contains covenants imposing certain restrictions on our business. These restrictions may affect our ability to operate our business and may limit our ability to take advantage of potential business opportunities as they arise. The Credit Agreement contains restrictive covenants including, with specified exceptions, limitations on our ability to incur debt and liens; make certain investments, acquisitions and loans; pay dividends or make other distributions; make payments on subordinated debt; enter into burdensome agreements or affiliate transactions; consolidate, merge or dissolve; acquire or dispose of assets; materially alter our business, amend our organizational documents or the terms of certain restricted debt; and modify our fiscal year end. The Credit Agreement also requires us to, commencing on the last day of the fiscal quarter ending December 31, 2021, maintain a maximum total leverage ratio.</w:t>
      </w:r>
    </w:p>
    <w:p>
      <w:pPr>
        <w:spacing w:after="0" w:line="177" w:lineRule="exact"/>
        <w:rPr>
          <w:sz w:val="20"/>
          <w:szCs w:val="20"/>
          <w:color w:val="auto"/>
        </w:rPr>
      </w:pPr>
    </w:p>
    <w:p>
      <w:pPr>
        <w:ind w:left="120" w:right="220" w:firstLine="440"/>
        <w:spacing w:after="0" w:line="255" w:lineRule="auto"/>
        <w:rPr>
          <w:sz w:val="20"/>
          <w:szCs w:val="20"/>
          <w:color w:val="auto"/>
        </w:rPr>
      </w:pPr>
      <w:r>
        <w:rPr>
          <w:rFonts w:ascii="Arial" w:cs="Arial" w:eastAsia="Arial" w:hAnsi="Arial"/>
          <w:sz w:val="18"/>
          <w:szCs w:val="18"/>
          <w:color w:val="auto"/>
        </w:rPr>
        <w:t>Our ability to comply with these covenants under the Credit Agreement may be affected by events beyond our control, including prevailing economic, financial and industry conditions. The breach of any of these covenants could result in an event of default, which would permit Bank of America, N.A. (the “Administrative Agent”) or the specified threshold of lenders to declare all outstanding debt to be due and payable, together with accrued and unpaid interest. Our obligations under the Credit Agreement are secured by liens on substantially all of our assets, subject to agreed-upon exceptions. Any default by us under the Credit Agreement could have a material adverse effect on our business, financial condition and results of operations.</w:t>
      </w:r>
    </w:p>
    <w:p>
      <w:pPr>
        <w:spacing w:after="0" w:line="300"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We may be adversely impacted by the potential discontinuation of the London Interbank Offered Rate (“LIBOR”).</w:t>
      </w:r>
    </w:p>
    <w:p>
      <w:pPr>
        <w:spacing w:after="0" w:line="117" w:lineRule="exact"/>
        <w:rPr>
          <w:sz w:val="20"/>
          <w:szCs w:val="20"/>
          <w:color w:val="auto"/>
        </w:rPr>
      </w:pPr>
    </w:p>
    <w:p>
      <w:pPr>
        <w:ind w:left="120" w:firstLine="440"/>
        <w:spacing w:after="0" w:line="286" w:lineRule="auto"/>
        <w:rPr>
          <w:sz w:val="20"/>
          <w:szCs w:val="20"/>
          <w:color w:val="auto"/>
        </w:rPr>
      </w:pPr>
      <w:r>
        <w:rPr>
          <w:rFonts w:ascii="Arial" w:cs="Arial" w:eastAsia="Arial" w:hAnsi="Arial"/>
          <w:sz w:val="16"/>
          <w:szCs w:val="16"/>
          <w:color w:val="auto"/>
        </w:rPr>
        <w:t>We have loans under our Credit Agreement that use LIBOR as a reference rate. The financial authority that regulates LIBOR has announced that it intends to stop compelling banks to submit rates for the calculation of LIBOR, only certain LIBOR tenors may continue beyond 2021 and the most widely used LIBOR tenors may continue until mid-2023. It is unclear if LIBOR will cease to exist, whether reforms to LIBOR may be enacted, precisely how any alternative reference rates would be calculated and published or whether alternative reference rates will gain market acceptance as a replacement for LIBOR. The U.S. Federal Reserve, in conjunction with the Alternative Reference Rates Committee, a steering committee comprised of large U.S. financial institutions, is considering replacing U.S. dollar LIBOR with a new index calculated by short term repurchase agreements, backed by U.S. Treasury securities. Any transition from LIBOR may cause us to incur increased costs and additional risk. If LIBOR is discontinued or if the method of calculating LIBOR changes from its current form, interest rates on our current or future indebtedness may be adversely affected. If LIBOR is discontinued and no agreement on its replacement is reached, the loans under our Credit Agreement will use alternate base rate (“ABR”) as a reference rate. If LIBOR is discontinued, interest rates will generally be based on an alternative variable rate specified in the documentation governing our indebtedness or as otherwise agreed upon. The alternative variable rate could be higher and more volatile than LIBOR prior to its discontinuance. At this time, due to a lack of consensus as to what rate or rates may become accepted alternatives to LIBOR, it is impossible to predict the effect of any such alternatives on our liquidity, interest expense or the value of the loans under our Credit Agreement.</w:t>
      </w:r>
    </w:p>
    <w:p>
      <w:pPr>
        <w:spacing w:after="0" w:line="282"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Our level of indebtedness could have a material adverse effect on our business, financial condition and results of operations.</w:t>
      </w:r>
    </w:p>
    <w:p>
      <w:pPr>
        <w:spacing w:after="0" w:line="117" w:lineRule="exact"/>
        <w:rPr>
          <w:sz w:val="20"/>
          <w:szCs w:val="20"/>
          <w:color w:val="auto"/>
        </w:rPr>
      </w:pPr>
    </w:p>
    <w:p>
      <w:pPr>
        <w:ind w:left="120" w:firstLine="440"/>
        <w:spacing w:after="0" w:line="287" w:lineRule="auto"/>
        <w:rPr>
          <w:sz w:val="20"/>
          <w:szCs w:val="20"/>
          <w:color w:val="auto"/>
        </w:rPr>
      </w:pPr>
      <w:r>
        <w:rPr>
          <w:rFonts w:ascii="Arial" w:cs="Arial" w:eastAsia="Arial" w:hAnsi="Arial"/>
          <w:sz w:val="16"/>
          <w:szCs w:val="16"/>
          <w:color w:val="auto"/>
        </w:rPr>
        <w:t>The total principal amount of debt outstanding, excluding unamortized debt issuance costs, under the 2019 Credit Agreement as of December 31, 2020 and June 30, 2021 was $472.7 million and $470.4 million, respectively. The loans under the 2019 Credit Agreement were repaid and the 2019 Credit Agreement was terminated on September 17, 2021 in connection with the IPO Transactions and the Credit Agreement. The total principal amount</w:t>
      </w:r>
    </w:p>
    <w:p>
      <w:pPr>
        <w:spacing w:after="0" w:line="2" w:lineRule="exact"/>
        <w:rPr>
          <w:sz w:val="20"/>
          <w:szCs w:val="20"/>
          <w:color w:val="auto"/>
        </w:rPr>
      </w:pPr>
    </w:p>
    <w:p>
      <w:pPr>
        <w:ind w:left="120" w:right="380"/>
        <w:spacing w:after="0" w:line="260" w:lineRule="auto"/>
        <w:rPr>
          <w:sz w:val="20"/>
          <w:szCs w:val="20"/>
          <w:color w:val="auto"/>
        </w:rPr>
      </w:pPr>
      <w:r>
        <w:rPr>
          <w:rFonts w:ascii="Arial" w:cs="Arial" w:eastAsia="Arial" w:hAnsi="Arial"/>
          <w:sz w:val="18"/>
          <w:szCs w:val="18"/>
          <w:color w:val="auto"/>
        </w:rPr>
        <w:t>of debt outstanding, excluding unamortized debt issuance costs, under the Credit Agreement as of September 30, 2021 was $ million. See “Description of Material Indebtedness.”</w:t>
      </w:r>
    </w:p>
    <w:p>
      <w:pPr>
        <w:spacing w:after="0" w:line="118" w:lineRule="exact"/>
        <w:rPr>
          <w:sz w:val="20"/>
          <w:szCs w:val="20"/>
          <w:color w:val="auto"/>
        </w:rPr>
      </w:pPr>
    </w:p>
    <w:p>
      <w:pPr>
        <w:jc w:val="center"/>
        <w:ind w:right="-359"/>
        <w:spacing w:after="0"/>
        <w:rPr>
          <w:sz w:val="20"/>
          <w:szCs w:val="20"/>
          <w:color w:val="auto"/>
        </w:rPr>
      </w:pPr>
      <w:r>
        <w:rPr>
          <w:rFonts w:ascii="Arial" w:cs="Arial" w:eastAsia="Arial" w:hAnsi="Arial"/>
          <w:sz w:val="18"/>
          <w:szCs w:val="18"/>
          <w:color w:val="auto"/>
        </w:rPr>
        <w:t>55</w:t>
      </w:r>
    </w:p>
    <w:p>
      <w:pPr>
        <w:sectPr>
          <w:pgSz w:w="11900" w:h="16838" w:orient="portrait"/>
          <w:cols w:equalWidth="0" w:num="1">
            <w:col w:w="11120"/>
          </w:cols>
          <w:pgMar w:left="320" w:top="459" w:right="459" w:bottom="1440" w:gutter="0" w:footer="0" w:header="0"/>
        </w:sectPr>
      </w:pPr>
    </w:p>
    <w:bookmarkStart w:id="62" w:name="page63"/>
    <w:bookmarkEnd w:id="6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Confidential Treatment Requested by Definitive Healthcare Corp.</w:t>
      </w:r>
    </w:p>
    <w:p>
      <w:pPr>
        <w:spacing w:after="0" w:line="27"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Pursuant to 17 C.F.R. Section 200.83</w:t>
      </w:r>
    </w:p>
    <w:p>
      <w:pPr>
        <w:spacing w:after="0" w:line="143" w:lineRule="exact"/>
        <w:rPr>
          <w:sz w:val="20"/>
          <w:szCs w:val="20"/>
          <w:color w:val="auto"/>
        </w:rPr>
      </w:pPr>
    </w:p>
    <w:p>
      <w:pPr>
        <w:ind w:left="560"/>
        <w:spacing w:after="0"/>
        <w:rPr>
          <w:sz w:val="20"/>
          <w:szCs w:val="20"/>
          <w:color w:val="auto"/>
        </w:rPr>
      </w:pPr>
      <w:r>
        <w:rPr>
          <w:rFonts w:ascii="Arial" w:cs="Arial" w:eastAsia="Arial" w:hAnsi="Arial"/>
          <w:sz w:val="18"/>
          <w:szCs w:val="18"/>
          <w:color w:val="auto"/>
        </w:rPr>
        <w:t>Our indebtedness could have significant effects on our business, such as:</w:t>
      </w:r>
    </w:p>
    <w:p>
      <w:pPr>
        <w:spacing w:after="0" w:line="131" w:lineRule="exact"/>
        <w:rPr>
          <w:sz w:val="20"/>
          <w:szCs w:val="20"/>
          <w:color w:val="auto"/>
        </w:rPr>
      </w:pPr>
    </w:p>
    <w:p>
      <w:pPr>
        <w:ind w:left="1080" w:right="80" w:hanging="532"/>
        <w:spacing w:after="0" w:line="277" w:lineRule="auto"/>
        <w:tabs>
          <w:tab w:leader="none" w:pos="1080" w:val="left"/>
        </w:tabs>
        <w:numPr>
          <w:ilvl w:val="0"/>
          <w:numId w:val="49"/>
        </w:numPr>
        <w:rPr>
          <w:rFonts w:ascii="Arial" w:cs="Arial" w:eastAsia="Arial" w:hAnsi="Arial"/>
          <w:sz w:val="18"/>
          <w:szCs w:val="18"/>
          <w:color w:val="auto"/>
        </w:rPr>
      </w:pPr>
      <w:r>
        <w:rPr>
          <w:rFonts w:ascii="Arial" w:cs="Arial" w:eastAsia="Arial" w:hAnsi="Arial"/>
          <w:sz w:val="18"/>
          <w:szCs w:val="18"/>
          <w:color w:val="auto"/>
        </w:rPr>
        <w:t>limiting our ability to borrow additional amounts to fund acquisitions, debt service requirements, execution of our growth strategy, capital expenditures and other purposes;</w:t>
      </w:r>
    </w:p>
    <w:p>
      <w:pPr>
        <w:spacing w:after="0" w:line="75" w:lineRule="exact"/>
        <w:rPr>
          <w:rFonts w:ascii="Arial" w:cs="Arial" w:eastAsia="Arial" w:hAnsi="Arial"/>
          <w:sz w:val="18"/>
          <w:szCs w:val="18"/>
          <w:color w:val="auto"/>
        </w:rPr>
      </w:pPr>
    </w:p>
    <w:p>
      <w:pPr>
        <w:ind w:left="1080" w:hanging="532"/>
        <w:spacing w:after="0"/>
        <w:tabs>
          <w:tab w:leader="none" w:pos="1080" w:val="left"/>
        </w:tabs>
        <w:numPr>
          <w:ilvl w:val="0"/>
          <w:numId w:val="49"/>
        </w:numPr>
        <w:rPr>
          <w:rFonts w:ascii="Arial" w:cs="Arial" w:eastAsia="Arial" w:hAnsi="Arial"/>
          <w:sz w:val="16"/>
          <w:szCs w:val="16"/>
          <w:color w:val="auto"/>
        </w:rPr>
      </w:pPr>
      <w:r>
        <w:rPr>
          <w:rFonts w:ascii="Arial" w:cs="Arial" w:eastAsia="Arial" w:hAnsi="Arial"/>
          <w:sz w:val="16"/>
          <w:szCs w:val="16"/>
          <w:color w:val="auto"/>
        </w:rPr>
        <w:t>limiting our ability to make investments, including acquisitions, loans and advances, and to sell, transfer or otherwise dispose of assets;</w:t>
      </w:r>
    </w:p>
    <w:p>
      <w:pPr>
        <w:spacing w:after="0" w:line="153" w:lineRule="exact"/>
        <w:rPr>
          <w:rFonts w:ascii="Arial" w:cs="Arial" w:eastAsia="Arial" w:hAnsi="Arial"/>
          <w:sz w:val="16"/>
          <w:szCs w:val="16"/>
          <w:color w:val="auto"/>
        </w:rPr>
      </w:pPr>
    </w:p>
    <w:p>
      <w:pPr>
        <w:ind w:left="1080" w:right="20" w:hanging="532"/>
        <w:spacing w:after="0" w:line="263" w:lineRule="auto"/>
        <w:tabs>
          <w:tab w:leader="none" w:pos="1080" w:val="left"/>
        </w:tabs>
        <w:numPr>
          <w:ilvl w:val="0"/>
          <w:numId w:val="49"/>
        </w:numPr>
        <w:rPr>
          <w:rFonts w:ascii="Arial" w:cs="Arial" w:eastAsia="Arial" w:hAnsi="Arial"/>
          <w:sz w:val="18"/>
          <w:szCs w:val="18"/>
          <w:color w:val="auto"/>
        </w:rPr>
      </w:pPr>
      <w:r>
        <w:rPr>
          <w:rFonts w:ascii="Arial" w:cs="Arial" w:eastAsia="Arial" w:hAnsi="Arial"/>
          <w:sz w:val="18"/>
          <w:szCs w:val="18"/>
          <w:color w:val="auto"/>
        </w:rPr>
        <w:t>requiring us to dedicate a substantial portion of our cash flow from operations to pay principal and interest on our borrowings, which would reduce availability of our cash flow to fund working capital, acquisitions, execution of our growth strategy, capital expenditures and other general corporate purposes;</w:t>
      </w:r>
    </w:p>
    <w:p>
      <w:pPr>
        <w:spacing w:after="0" w:line="89" w:lineRule="exact"/>
        <w:rPr>
          <w:rFonts w:ascii="Arial" w:cs="Arial" w:eastAsia="Arial" w:hAnsi="Arial"/>
          <w:sz w:val="18"/>
          <w:szCs w:val="18"/>
          <w:color w:val="auto"/>
        </w:rPr>
      </w:pPr>
    </w:p>
    <w:p>
      <w:pPr>
        <w:ind w:left="1080" w:right="60" w:hanging="532"/>
        <w:spacing w:after="0" w:line="277" w:lineRule="auto"/>
        <w:tabs>
          <w:tab w:leader="none" w:pos="1080" w:val="left"/>
        </w:tabs>
        <w:numPr>
          <w:ilvl w:val="0"/>
          <w:numId w:val="49"/>
        </w:numPr>
        <w:rPr>
          <w:rFonts w:ascii="Arial" w:cs="Arial" w:eastAsia="Arial" w:hAnsi="Arial"/>
          <w:sz w:val="18"/>
          <w:szCs w:val="18"/>
          <w:color w:val="auto"/>
        </w:rPr>
      </w:pPr>
      <w:r>
        <w:rPr>
          <w:rFonts w:ascii="Arial" w:cs="Arial" w:eastAsia="Arial" w:hAnsi="Arial"/>
          <w:sz w:val="18"/>
          <w:szCs w:val="18"/>
          <w:color w:val="auto"/>
        </w:rPr>
        <w:t>making us more vulnerable to adverse changes in general economic, industry and competitive conditions, in government regulation and in our business by limiting our ability to plan for and react to changing conditions;</w:t>
      </w:r>
    </w:p>
    <w:p>
      <w:pPr>
        <w:spacing w:after="0" w:line="75" w:lineRule="exact"/>
        <w:rPr>
          <w:rFonts w:ascii="Arial" w:cs="Arial" w:eastAsia="Arial" w:hAnsi="Arial"/>
          <w:sz w:val="18"/>
          <w:szCs w:val="18"/>
          <w:color w:val="auto"/>
        </w:rPr>
      </w:pPr>
    </w:p>
    <w:p>
      <w:pPr>
        <w:ind w:left="1080" w:hanging="532"/>
        <w:spacing w:after="0"/>
        <w:tabs>
          <w:tab w:leader="none" w:pos="1080" w:val="left"/>
        </w:tabs>
        <w:numPr>
          <w:ilvl w:val="0"/>
          <w:numId w:val="49"/>
        </w:numPr>
        <w:rPr>
          <w:rFonts w:ascii="Arial" w:cs="Arial" w:eastAsia="Arial" w:hAnsi="Arial"/>
          <w:sz w:val="18"/>
          <w:szCs w:val="18"/>
          <w:color w:val="auto"/>
        </w:rPr>
      </w:pPr>
      <w:r>
        <w:rPr>
          <w:rFonts w:ascii="Arial" w:cs="Arial" w:eastAsia="Arial" w:hAnsi="Arial"/>
          <w:sz w:val="18"/>
          <w:szCs w:val="18"/>
          <w:color w:val="auto"/>
        </w:rPr>
        <w:t>placing us at a competitive disadvantage compared with our competitors that have less debt; and</w:t>
      </w:r>
    </w:p>
    <w:p>
      <w:pPr>
        <w:spacing w:after="0" w:line="130" w:lineRule="exact"/>
        <w:rPr>
          <w:rFonts w:ascii="Arial" w:cs="Arial" w:eastAsia="Arial" w:hAnsi="Arial"/>
          <w:sz w:val="18"/>
          <w:szCs w:val="18"/>
          <w:color w:val="auto"/>
        </w:rPr>
      </w:pPr>
    </w:p>
    <w:p>
      <w:pPr>
        <w:ind w:left="1080" w:right="400" w:hanging="532"/>
        <w:spacing w:after="0" w:line="277" w:lineRule="auto"/>
        <w:tabs>
          <w:tab w:leader="none" w:pos="1080" w:val="left"/>
        </w:tabs>
        <w:numPr>
          <w:ilvl w:val="0"/>
          <w:numId w:val="49"/>
        </w:numPr>
        <w:rPr>
          <w:rFonts w:ascii="Arial" w:cs="Arial" w:eastAsia="Arial" w:hAnsi="Arial"/>
          <w:sz w:val="18"/>
          <w:szCs w:val="18"/>
          <w:color w:val="auto"/>
        </w:rPr>
      </w:pPr>
      <w:r>
        <w:rPr>
          <w:rFonts w:ascii="Arial" w:cs="Arial" w:eastAsia="Arial" w:hAnsi="Arial"/>
          <w:sz w:val="18"/>
          <w:szCs w:val="18"/>
          <w:color w:val="auto"/>
        </w:rPr>
        <w:t>exposing us to risks inherent in interest rate fluctuations because our borrowings are at variable rates of interest, which could result in higher interest expense in the event of increases in interest rates.</w:t>
      </w:r>
    </w:p>
    <w:p>
      <w:pPr>
        <w:spacing w:after="0" w:line="170" w:lineRule="exact"/>
        <w:rPr>
          <w:sz w:val="20"/>
          <w:szCs w:val="20"/>
          <w:color w:val="auto"/>
        </w:rPr>
      </w:pPr>
    </w:p>
    <w:p>
      <w:pPr>
        <w:ind w:left="120" w:firstLine="440"/>
        <w:spacing w:after="0" w:line="257" w:lineRule="auto"/>
        <w:rPr>
          <w:sz w:val="20"/>
          <w:szCs w:val="20"/>
          <w:color w:val="auto"/>
        </w:rPr>
      </w:pPr>
      <w:r>
        <w:rPr>
          <w:rFonts w:ascii="Arial" w:cs="Arial" w:eastAsia="Arial" w:hAnsi="Arial"/>
          <w:sz w:val="18"/>
          <w:szCs w:val="18"/>
          <w:color w:val="auto"/>
        </w:rPr>
        <w:t>In addition, we may not be able to generate sufficient cash flow from our operations to repay our indebtedness when it becomes due and to meet our other cash needs. If we are not able to pay our borrowings as they become due, we will be required to pursue one or more alternative strategies, such as selling assets, refinancing or restructuring our indebtedness or selling additional debt or equity securities. We may not be able to refinance our debt or sell additional debt or equity securities or our assets on favorable terms, if at all, and if we must sell our assets, it could have a material adverse effect on our business, financial condition and results of operation.</w:t>
      </w:r>
    </w:p>
    <w:p>
      <w:pPr>
        <w:spacing w:after="0" w:line="188" w:lineRule="exact"/>
        <w:rPr>
          <w:sz w:val="20"/>
          <w:szCs w:val="20"/>
          <w:color w:val="auto"/>
        </w:rPr>
      </w:pPr>
    </w:p>
    <w:p>
      <w:pPr>
        <w:ind w:left="120" w:right="40" w:firstLine="440"/>
        <w:spacing w:after="0" w:line="257" w:lineRule="auto"/>
        <w:rPr>
          <w:sz w:val="20"/>
          <w:szCs w:val="20"/>
          <w:color w:val="auto"/>
        </w:rPr>
      </w:pPr>
      <w:r>
        <w:rPr>
          <w:rFonts w:ascii="Arial" w:cs="Arial" w:eastAsia="Arial" w:hAnsi="Arial"/>
          <w:sz w:val="18"/>
          <w:szCs w:val="18"/>
          <w:color w:val="auto"/>
        </w:rPr>
        <w:t>Pursuant to our Credit Agreement, we are required to maintain, commencing on the last day of the fiscal quarter ending December 31, 2021, on a consolidated basis, a maximum ratio of consolidated net debt to consolidated EBITDA (with certain adjustments as set forth in the Credit Agreement), tested as of the last day of any fiscal quarter. Events beyond our control, including changes in general economic and business conditions, may affect our ability to satisfy the financial covenant. We cannot assure you that we will satisfy the financial covenant in the future, or that our lenders will waive any failure to satisfy the financial covenant.</w:t>
      </w:r>
    </w:p>
    <w:p>
      <w:pPr>
        <w:spacing w:after="0" w:line="296" w:lineRule="exact"/>
        <w:rPr>
          <w:sz w:val="20"/>
          <w:szCs w:val="20"/>
          <w:color w:val="auto"/>
        </w:rPr>
      </w:pPr>
    </w:p>
    <w:p>
      <w:pPr>
        <w:ind w:left="120" w:right="240"/>
        <w:spacing w:after="0" w:line="277" w:lineRule="auto"/>
        <w:rPr>
          <w:sz w:val="20"/>
          <w:szCs w:val="20"/>
          <w:color w:val="auto"/>
        </w:rPr>
      </w:pPr>
      <w:r>
        <w:rPr>
          <w:rFonts w:ascii="Arial" w:cs="Arial" w:eastAsia="Arial" w:hAnsi="Arial"/>
          <w:sz w:val="18"/>
          <w:szCs w:val="18"/>
          <w:b w:val="1"/>
          <w:bCs w:val="1"/>
          <w:i w:val="1"/>
          <w:iCs w:val="1"/>
          <w:color w:val="auto"/>
        </w:rPr>
        <w:t>The failure to comply with the covenants under our Credit Agreement or volatility in the credit and capital markets could have a material adverse effect on our business, financial condition, liquidity and results of operation.</w:t>
      </w:r>
    </w:p>
    <w:p>
      <w:pPr>
        <w:spacing w:after="0" w:line="62" w:lineRule="exact"/>
        <w:rPr>
          <w:sz w:val="20"/>
          <w:szCs w:val="20"/>
          <w:color w:val="auto"/>
        </w:rPr>
      </w:pPr>
    </w:p>
    <w:p>
      <w:pPr>
        <w:ind w:left="120" w:right="100" w:firstLine="440"/>
        <w:spacing w:after="0" w:line="254" w:lineRule="auto"/>
        <w:rPr>
          <w:sz w:val="20"/>
          <w:szCs w:val="20"/>
          <w:color w:val="auto"/>
        </w:rPr>
      </w:pPr>
      <w:r>
        <w:rPr>
          <w:rFonts w:ascii="Arial" w:cs="Arial" w:eastAsia="Arial" w:hAnsi="Arial"/>
          <w:sz w:val="18"/>
          <w:szCs w:val="18"/>
          <w:color w:val="auto"/>
        </w:rPr>
        <w:t>Our ability to manage our debt is dependent on our level of positive cash flow from the sale of our platform. An economic downturn may negatively impact our cash flows. Credit and capital markets can be volatile, which could make it more difficult for us to refinance our existing debt or to obtain additional debt or equity financings in the future. Such constraints could increase our costs of borrowing and could restrict our access to other potential sources of future liquidity. Future volatility or disruption in the credit and capital markets could require us to take measures to conserve cash until the markets stabilize or until alternative credit arrangements or other funding for our business needs can be arranged. Our failure to comply with the covenants under the Credit Agreement or to have sufficient liquidity to make interest and other payments required by our debt could result in a default of such debt and acceleration of our borrowings, which could have a material adverse effect on our business, financial condition and results of operations.</w:t>
      </w:r>
    </w:p>
    <w:p>
      <w:pPr>
        <w:spacing w:after="0" w:line="124" w:lineRule="exact"/>
        <w:rPr>
          <w:sz w:val="20"/>
          <w:szCs w:val="20"/>
          <w:color w:val="auto"/>
        </w:rPr>
      </w:pPr>
    </w:p>
    <w:p>
      <w:pPr>
        <w:jc w:val="center"/>
        <w:ind w:right="-379"/>
        <w:spacing w:after="0"/>
        <w:rPr>
          <w:sz w:val="20"/>
          <w:szCs w:val="20"/>
          <w:color w:val="auto"/>
        </w:rPr>
      </w:pPr>
      <w:r>
        <w:rPr>
          <w:rFonts w:ascii="Arial" w:cs="Arial" w:eastAsia="Arial" w:hAnsi="Arial"/>
          <w:sz w:val="18"/>
          <w:szCs w:val="18"/>
          <w:color w:val="auto"/>
        </w:rPr>
        <w:t>56</w:t>
      </w:r>
    </w:p>
    <w:p>
      <w:pPr>
        <w:sectPr>
          <w:pgSz w:w="11900" w:h="16838" w:orient="portrait"/>
          <w:cols w:equalWidth="0" w:num="1">
            <w:col w:w="11100"/>
          </w:cols>
          <w:pgMar w:left="320" w:top="459" w:right="479" w:bottom="1440" w:gutter="0" w:footer="0" w:header="0"/>
        </w:sectPr>
      </w:pPr>
    </w:p>
    <w:bookmarkStart w:id="63" w:name="page64"/>
    <w:bookmarkEnd w:id="6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Confidential Treatment Requested by Definitive Healthcare Corp.</w:t>
      </w:r>
    </w:p>
    <w:p>
      <w:pPr>
        <w:spacing w:after="0" w:line="27"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Pursuant to 17 C.F.R. Section 200.83</w:t>
      </w:r>
    </w:p>
    <w:p>
      <w:pPr>
        <w:spacing w:after="0" w:line="13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Risks Related to Our Organizational Structure</w:t>
      </w:r>
    </w:p>
    <w:p>
      <w:pPr>
        <w:spacing w:after="0" w:line="121" w:lineRule="exact"/>
        <w:rPr>
          <w:sz w:val="20"/>
          <w:szCs w:val="20"/>
          <w:color w:val="auto"/>
        </w:rPr>
      </w:pPr>
    </w:p>
    <w:p>
      <w:pPr>
        <w:ind w:left="120" w:right="180"/>
        <w:spacing w:after="0" w:line="263" w:lineRule="auto"/>
        <w:rPr>
          <w:sz w:val="20"/>
          <w:szCs w:val="20"/>
          <w:color w:val="auto"/>
        </w:rPr>
      </w:pPr>
      <w:r>
        <w:rPr>
          <w:rFonts w:ascii="Arial" w:cs="Arial" w:eastAsia="Arial" w:hAnsi="Arial"/>
          <w:sz w:val="18"/>
          <w:szCs w:val="18"/>
          <w:b w:val="1"/>
          <w:bCs w:val="1"/>
          <w:i w:val="1"/>
          <w:iCs w:val="1"/>
          <w:color w:val="auto"/>
        </w:rPr>
        <w:t>We are a holding company and our principal asset is our % economic ownership interest in Definitive OpCo, and we are accordingly dependent upon distributions from Definitive OpCo to pay dividends, if any, and taxes, make payments under the Tax Receivable Agreement and pay other expenses.</w:t>
      </w:r>
    </w:p>
    <w:p>
      <w:pPr>
        <w:spacing w:after="0" w:line="76" w:lineRule="exact"/>
        <w:rPr>
          <w:sz w:val="20"/>
          <w:szCs w:val="20"/>
          <w:color w:val="auto"/>
        </w:rPr>
      </w:pPr>
    </w:p>
    <w:p>
      <w:pPr>
        <w:ind w:left="120" w:firstLine="440"/>
        <w:spacing w:after="0" w:line="269" w:lineRule="auto"/>
        <w:rPr>
          <w:sz w:val="20"/>
          <w:szCs w:val="20"/>
          <w:color w:val="auto"/>
        </w:rPr>
      </w:pPr>
      <w:r>
        <w:rPr>
          <w:rFonts w:ascii="Arial" w:cs="Arial" w:eastAsia="Arial" w:hAnsi="Arial"/>
          <w:sz w:val="17"/>
          <w:szCs w:val="17"/>
          <w:color w:val="auto"/>
        </w:rPr>
        <w:t>We are a holding company and our principal asset is our ownership of % of the outstanding LLC Units, inclusive of unvested LLC Units. See “Prospectus Summary—Organizational Structure.” We have no independent means of generating revenue. Definitive OpCo is, and will continue to be, treated as a partnership for U.S. federal and applicable state and local income tax purposes and, as such, will generally not be subject to entity-level U.S. federal and applicable state and local income tax. Instead, the taxable income of Definitive OpCo is allocated to Unitholders, including us. Accordingly, we incur income taxes on our allocable share of any taxable income of Definitive OpCo. We also incur expenses related to our operations, and have obligations to make payments under the Tax Receivable Agreement. As the sole managing member of Definitive OpCo, we will cause Definitive OpCo to make distributions to the holders of LLC Units (including us) in amounts sufficient to (i) cover all of the income taxes payable on our and the other LLC Unit holders’ respective allocable shares of the taxable income of Definitive OpCo, (ii) allow us to make any payments required under the Tax Receivable Agreement, (iii) fund dividends to our stockholders in accordance with our dividend policy, to the extent that our board of directors declares such dividends and (iv) pay our expenses.</w:t>
      </w:r>
    </w:p>
    <w:p>
      <w:pPr>
        <w:spacing w:after="0" w:line="185" w:lineRule="exact"/>
        <w:rPr>
          <w:sz w:val="20"/>
          <w:szCs w:val="20"/>
          <w:color w:val="auto"/>
        </w:rPr>
      </w:pPr>
    </w:p>
    <w:p>
      <w:pPr>
        <w:ind w:left="120" w:right="220" w:firstLine="440"/>
        <w:spacing w:after="0" w:line="279" w:lineRule="auto"/>
        <w:rPr>
          <w:sz w:val="20"/>
          <w:szCs w:val="20"/>
          <w:color w:val="auto"/>
        </w:rPr>
      </w:pPr>
      <w:r>
        <w:rPr>
          <w:rFonts w:ascii="Arial" w:cs="Arial" w:eastAsia="Arial" w:hAnsi="Arial"/>
          <w:sz w:val="17"/>
          <w:szCs w:val="17"/>
          <w:color w:val="auto"/>
        </w:rPr>
        <w:t>Deterioration in the financial condition, earnings or cash flow of Definitive OpCo and its subsidiaries for any reason could limit or impair their ability to pay such distributions. Additionally, to the extent that we need funds and Definitive OpCo is restricted from making such distributions to us under applicable law or regulation, as a result of covenants in its debt agreements or otherwise, we may not be able to obtain such funds on terms acceptable to us, or at all, which could have a material adverse effect on our liquidity and financial condition.</w:t>
      </w:r>
    </w:p>
    <w:p>
      <w:pPr>
        <w:spacing w:after="0" w:line="279" w:lineRule="exact"/>
        <w:rPr>
          <w:sz w:val="20"/>
          <w:szCs w:val="20"/>
          <w:color w:val="auto"/>
        </w:rPr>
      </w:pPr>
    </w:p>
    <w:p>
      <w:pPr>
        <w:ind w:left="120" w:right="40"/>
        <w:spacing w:after="0" w:line="277" w:lineRule="auto"/>
        <w:rPr>
          <w:sz w:val="20"/>
          <w:szCs w:val="20"/>
          <w:color w:val="auto"/>
        </w:rPr>
      </w:pPr>
      <w:r>
        <w:rPr>
          <w:rFonts w:ascii="Arial" w:cs="Arial" w:eastAsia="Arial" w:hAnsi="Arial"/>
          <w:sz w:val="18"/>
          <w:szCs w:val="18"/>
          <w:b w:val="1"/>
          <w:bCs w:val="1"/>
          <w:i w:val="1"/>
          <w:iCs w:val="1"/>
          <w:color w:val="auto"/>
        </w:rPr>
        <w:t>In certain circumstances, Definitive OpCo will be required to make distributions to us and the other holders of LLC Units, and the distributions that Definitive OpCo will be required to make may be substantial.</w:t>
      </w:r>
    </w:p>
    <w:p>
      <w:pPr>
        <w:spacing w:after="0" w:line="62" w:lineRule="exact"/>
        <w:rPr>
          <w:sz w:val="20"/>
          <w:szCs w:val="20"/>
          <w:color w:val="auto"/>
        </w:rPr>
      </w:pPr>
    </w:p>
    <w:p>
      <w:pPr>
        <w:ind w:left="120" w:right="80" w:firstLine="440"/>
        <w:spacing w:after="0" w:line="285" w:lineRule="auto"/>
        <w:rPr>
          <w:sz w:val="20"/>
          <w:szCs w:val="20"/>
          <w:color w:val="auto"/>
        </w:rPr>
      </w:pPr>
      <w:r>
        <w:rPr>
          <w:rFonts w:ascii="Arial" w:cs="Arial" w:eastAsia="Arial" w:hAnsi="Arial"/>
          <w:sz w:val="16"/>
          <w:szCs w:val="16"/>
          <w:color w:val="auto"/>
        </w:rPr>
        <w:t>Under the Amended LLC Agreement, Definitive OpCo is required from time to time to make pro rata distributions in cash to us and the other holders of LLC Units at certain assumed tax rates in amounts that are intended to be sufficient to cover the income taxes payable on our and the other LLC Unit holders’ respective allocable shares of the taxable income of Definitive OpCo. As a result of (i) potential differences in the amount of taxable income allocable to us and the other LLC Unit holders, (ii) the lower tax rate applicable to corporations than individuals and (iii) the use of an assumed tax rate (based on the tax rate applicable to individuals) in calculating Definitive OpCo’s distribution obligations, we may receive tax distributions significantly in excess of our tax liabilities and obligations to make payments under the Tax Receivable Agreement. Our board of directors, in its sole discretion, will make any determination from time to time with respect to the use of any such excess cash so accumulated, which may include, among other uses, funding repurchases of Class A common stock, acquiring additional newly issued LLC Units from Definitive OpCo at a per unit price determined by reference to the market value of the Class A common stock, paying dividends, which may include special dividends, on its Class A common stock, or any combination of the foregoing. We will have no obligation to distribute such cash (or other available cash other than any declared dividend) to our stockholders. To the extent that we do not distribute such excess cash as dividends on our Class A common stock or otherwise take ameliorative actions between LLC Units and shares of Class A common stock and instead, for example, hold such cash balances, holders of our LLC Units (other than Definitive Healthcare Corp.) may benefit from any value attributable to such cash balances as a result of their ownership of Class A common stock following an exchange of their LLC Units, notwithstanding that such holders of our LLC Units (other than Definitive Healthcare Corp.) may previously have participated as holders of LLC Units in distributions by Definitive OpCo that resulted in such excess cash balances at Definitive Healthcare Corp. See “Certain Relationships and Related Party Transactions—Amended Definitive OpCo Agreement.”</w:t>
      </w:r>
    </w:p>
    <w:p>
      <w:pPr>
        <w:spacing w:after="0" w:line="109" w:lineRule="exact"/>
        <w:rPr>
          <w:sz w:val="20"/>
          <w:szCs w:val="20"/>
          <w:color w:val="auto"/>
        </w:rPr>
      </w:pPr>
    </w:p>
    <w:p>
      <w:pPr>
        <w:jc w:val="center"/>
        <w:ind w:right="-379"/>
        <w:spacing w:after="0"/>
        <w:rPr>
          <w:sz w:val="20"/>
          <w:szCs w:val="20"/>
          <w:color w:val="auto"/>
        </w:rPr>
      </w:pPr>
      <w:r>
        <w:rPr>
          <w:rFonts w:ascii="Arial" w:cs="Arial" w:eastAsia="Arial" w:hAnsi="Arial"/>
          <w:sz w:val="18"/>
          <w:szCs w:val="18"/>
          <w:color w:val="auto"/>
        </w:rPr>
        <w:t>57</w:t>
      </w:r>
    </w:p>
    <w:p>
      <w:pPr>
        <w:sectPr>
          <w:pgSz w:w="11900" w:h="16838" w:orient="portrait"/>
          <w:cols w:equalWidth="0" w:num="1">
            <w:col w:w="11100"/>
          </w:cols>
          <w:pgMar w:left="320" w:top="459" w:right="479" w:bottom="1440" w:gutter="0" w:footer="0" w:header="0"/>
        </w:sectPr>
      </w:pPr>
    </w:p>
    <w:bookmarkStart w:id="64" w:name="page65"/>
    <w:bookmarkEnd w:id="6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Confidential Treatment Requested by Definitive Healthcare Corp.</w:t>
      </w:r>
    </w:p>
    <w:p>
      <w:pPr>
        <w:spacing w:after="0" w:line="27"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Pursuant to 17 C.F.R. Section 200.83</w:t>
      </w:r>
    </w:p>
    <w:p>
      <w:pPr>
        <w:spacing w:after="0" w:line="143" w:lineRule="exact"/>
        <w:rPr>
          <w:sz w:val="20"/>
          <w:szCs w:val="20"/>
          <w:color w:val="auto"/>
        </w:rPr>
      </w:pPr>
    </w:p>
    <w:p>
      <w:pPr>
        <w:ind w:left="120" w:right="180"/>
        <w:spacing w:after="0" w:line="277" w:lineRule="auto"/>
        <w:rPr>
          <w:sz w:val="20"/>
          <w:szCs w:val="20"/>
          <w:color w:val="auto"/>
        </w:rPr>
      </w:pPr>
      <w:r>
        <w:rPr>
          <w:rFonts w:ascii="Arial" w:cs="Arial" w:eastAsia="Arial" w:hAnsi="Arial"/>
          <w:sz w:val="18"/>
          <w:szCs w:val="18"/>
          <w:b w:val="1"/>
          <w:bCs w:val="1"/>
          <w:i w:val="1"/>
          <w:iCs w:val="1"/>
          <w:color w:val="auto"/>
        </w:rPr>
        <w:t>The Tax Receivable Agreement with the TRA Parties requires us to make cash payments to them in respect of certain tax benefits to which we may become entitled, and we expect that the payments we are required to make will be substantial.</w:t>
      </w:r>
    </w:p>
    <w:p>
      <w:pPr>
        <w:spacing w:after="0" w:line="62" w:lineRule="exact"/>
        <w:rPr>
          <w:sz w:val="20"/>
          <w:szCs w:val="20"/>
          <w:color w:val="auto"/>
        </w:rPr>
      </w:pPr>
    </w:p>
    <w:p>
      <w:pPr>
        <w:ind w:left="120" w:firstLine="440"/>
        <w:spacing w:after="0" w:line="283" w:lineRule="auto"/>
        <w:rPr>
          <w:sz w:val="20"/>
          <w:szCs w:val="20"/>
          <w:color w:val="auto"/>
        </w:rPr>
      </w:pPr>
      <w:r>
        <w:rPr>
          <w:rFonts w:ascii="Arial" w:cs="Arial" w:eastAsia="Arial" w:hAnsi="Arial"/>
          <w:sz w:val="16"/>
          <w:szCs w:val="16"/>
          <w:color w:val="auto"/>
        </w:rPr>
        <w:t>Under the Tax Receivable Agreement, we are required to make cash payments to the TRA Parties equal to 85% of the tax benefits, if any, that we actually realize, or in certain circumstances are deemed to realize, as a result of (i) certain favorable tax attributes we acquired from the Blocker Companies, (ii) tax basis adjustments resulting from (a) acquisitions by us of LLC Units from certain Unitholders, including in connection with this offering and (b) future exchanges of LLC Units by Unitholders for Class A common stock or other consideration and (iii) certain payments made under the Tax Receivable Agreement. The payment obligations under the Tax Receivable Agreement are obligations of the Company and we expect that the amount of the cash payments that we are required to make under the Tax Receivable Agreement will be significant. Any payments made by us to the TRA Parties under the Tax Receivable Agreement will not be available for reinvestment in our business and will generally reduce the amount of overall cash flow that might have otherwise been available to us. The payments under the Tax Receivable Agreement are not conditioned upon continued ownership of us by the exchanging TRA Parties. Furthermore, our future obligation to make payments under the Tax Receivable Agreement could make us a less attractive target for an acquisition, particularly in the case of an acquirer that cannot use some or all of the tax benefits that are the subject of the Tax Receivable Agreement. For more information, see “Certain Relationships and Related Party Transactions—Tax Receivable Agreement.” Assuming no material changes in relevant tax law and that we earn sufficient taxable income to realize all tax benefits that are subject to the Tax Receivable</w:t>
      </w:r>
    </w:p>
    <w:p>
      <w:pPr>
        <w:spacing w:after="0" w:line="3" w:lineRule="exact"/>
        <w:rPr>
          <w:sz w:val="20"/>
          <w:szCs w:val="20"/>
          <w:color w:val="auto"/>
        </w:rPr>
      </w:pPr>
    </w:p>
    <w:p>
      <w:pPr>
        <w:ind w:left="120"/>
        <w:spacing w:after="0" w:line="265" w:lineRule="auto"/>
        <w:rPr>
          <w:sz w:val="20"/>
          <w:szCs w:val="20"/>
          <w:color w:val="auto"/>
        </w:rPr>
      </w:pPr>
      <w:r>
        <w:rPr>
          <w:rFonts w:ascii="Arial" w:cs="Arial" w:eastAsia="Arial" w:hAnsi="Arial"/>
          <w:sz w:val="17"/>
          <w:szCs w:val="17"/>
          <w:color w:val="auto"/>
        </w:rPr>
        <w:t>Agreement, the tax savings associated with all tax attributes described above would aggregate to approximately $ million over 15 years from the date of the completion of this offering, based on based on a public offering price of $ per share of Class A common stock, which is the last reported sale price of our Class A common stock on the Nasdaq on , 2021 and assuming all future exchanges would occur on the date of this offering. Under this scenario, we would be required to pay the TRA Parties approximately 85% of such amount, or $ million, over the 15-year</w:t>
      </w:r>
    </w:p>
    <w:p>
      <w:pPr>
        <w:spacing w:after="0" w:line="1" w:lineRule="exact"/>
        <w:rPr>
          <w:sz w:val="20"/>
          <w:szCs w:val="20"/>
          <w:color w:val="auto"/>
        </w:rPr>
      </w:pPr>
    </w:p>
    <w:p>
      <w:pPr>
        <w:ind w:left="120" w:right="20"/>
        <w:spacing w:after="0" w:line="252" w:lineRule="auto"/>
        <w:rPr>
          <w:sz w:val="20"/>
          <w:szCs w:val="20"/>
          <w:color w:val="auto"/>
        </w:rPr>
      </w:pPr>
      <w:r>
        <w:rPr>
          <w:rFonts w:ascii="Arial" w:cs="Arial" w:eastAsia="Arial" w:hAnsi="Arial"/>
          <w:sz w:val="18"/>
          <w:szCs w:val="18"/>
          <w:color w:val="auto"/>
        </w:rPr>
        <w:t>period from the date of the completion of this offering. The actual amounts we will be required to pay may materially differ from these hypothetical amounts, because potential future tax savings that we will actually realize or be deemed to realize, and the Tax Receivable Agreement payments made by us, will be calculated based in part on the market value of our Class A common stock at the time of each exchange of an LLC Unit for a share of Class A common stock and the prevailing applicable federal tax rate (plus the assumed combined state and local tax rate) applicable to us over the life of the Tax Receivable Agreement and will depend on our generating sufficient taxable income to realize the tax benefits that are subject to the Tax Receivable Agreement.</w:t>
      </w:r>
    </w:p>
    <w:p>
      <w:pPr>
        <w:spacing w:after="0" w:line="302" w:lineRule="exact"/>
        <w:rPr>
          <w:sz w:val="20"/>
          <w:szCs w:val="20"/>
          <w:color w:val="auto"/>
        </w:rPr>
      </w:pPr>
    </w:p>
    <w:p>
      <w:pPr>
        <w:ind w:left="120"/>
        <w:spacing w:after="0" w:line="277" w:lineRule="auto"/>
        <w:rPr>
          <w:sz w:val="20"/>
          <w:szCs w:val="20"/>
          <w:color w:val="auto"/>
        </w:rPr>
      </w:pPr>
      <w:r>
        <w:rPr>
          <w:rFonts w:ascii="Arial" w:cs="Arial" w:eastAsia="Arial" w:hAnsi="Arial"/>
          <w:sz w:val="18"/>
          <w:szCs w:val="18"/>
          <w:b w:val="1"/>
          <w:bCs w:val="1"/>
          <w:i w:val="1"/>
          <w:iCs w:val="1"/>
          <w:color w:val="auto"/>
        </w:rPr>
        <w:t>Our organizational structure, including the Tax Receivable Agreement, confers certain benefits upon the TRA Parties that will not benefit holders of our Class A common stock to the same extent that it will benefit the TRA Parties.</w:t>
      </w:r>
    </w:p>
    <w:p>
      <w:pPr>
        <w:spacing w:after="0" w:line="62" w:lineRule="exact"/>
        <w:rPr>
          <w:sz w:val="20"/>
          <w:szCs w:val="20"/>
          <w:color w:val="auto"/>
        </w:rPr>
      </w:pPr>
    </w:p>
    <w:p>
      <w:pPr>
        <w:ind w:left="120" w:right="40" w:firstLine="440"/>
        <w:spacing w:after="0" w:line="253" w:lineRule="auto"/>
        <w:rPr>
          <w:sz w:val="20"/>
          <w:szCs w:val="20"/>
          <w:color w:val="auto"/>
        </w:rPr>
      </w:pPr>
      <w:r>
        <w:rPr>
          <w:rFonts w:ascii="Arial" w:cs="Arial" w:eastAsia="Arial" w:hAnsi="Arial"/>
          <w:sz w:val="18"/>
          <w:szCs w:val="18"/>
          <w:color w:val="auto"/>
        </w:rPr>
        <w:t>Our organizational structure, including the Tax Receivable Agreement, confers certain benefits upon the TRA Parties that will not benefit the holders of our Class A common stock to the same extent that it will benefit the TRA Parties. We entered into the Tax Receivable Agreement with Definitive OpCo and the TRA Parties, which provides for the payment by us to the TRA Parties of 85% of the amount of tax benefits, if any, that we actually realize, or in certain circumstances are deemed to realize, as a result of (i) certain favorable tax attributes we acquired from the Blocker Companies, (ii) tax basis adjustments resulting from (a) acquisitions by us of LLC Units from certain Unitholders, including in connection with this offering and (b) future exchanges of LLC Units by Unitholders for Class A common stock or other consideration and (iii) certain payments made under the Tax Receivable Agreement. See “Certain Relationships and Related Party Transactions—Tax Receivable Agreement”. Although we hold 15% of the amount of such tax benefits, this and other aspects of our organizational structure may adversely impact the future trading market for our Class A common stock.</w:t>
      </w:r>
    </w:p>
    <w:p>
      <w:pPr>
        <w:spacing w:after="0" w:line="129" w:lineRule="exact"/>
        <w:rPr>
          <w:sz w:val="20"/>
          <w:szCs w:val="20"/>
          <w:color w:val="auto"/>
        </w:rPr>
      </w:pPr>
    </w:p>
    <w:p>
      <w:pPr>
        <w:jc w:val="center"/>
        <w:ind w:right="-359"/>
        <w:spacing w:after="0"/>
        <w:rPr>
          <w:sz w:val="20"/>
          <w:szCs w:val="20"/>
          <w:color w:val="auto"/>
        </w:rPr>
      </w:pPr>
      <w:r>
        <w:rPr>
          <w:rFonts w:ascii="Arial" w:cs="Arial" w:eastAsia="Arial" w:hAnsi="Arial"/>
          <w:sz w:val="18"/>
          <w:szCs w:val="18"/>
          <w:color w:val="auto"/>
        </w:rPr>
        <w:t>58</w:t>
      </w:r>
    </w:p>
    <w:p>
      <w:pPr>
        <w:sectPr>
          <w:pgSz w:w="11900" w:h="16838" w:orient="portrait"/>
          <w:cols w:equalWidth="0" w:num="1">
            <w:col w:w="11120"/>
          </w:cols>
          <w:pgMar w:left="320" w:top="459" w:right="459" w:bottom="1440" w:gutter="0" w:footer="0" w:header="0"/>
        </w:sectPr>
      </w:pPr>
    </w:p>
    <w:bookmarkStart w:id="65" w:name="page66"/>
    <w:bookmarkEnd w:id="6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Confidential Treatment Requested by Definitive Healthcare Corp.</w:t>
      </w:r>
    </w:p>
    <w:p>
      <w:pPr>
        <w:spacing w:after="0" w:line="27"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Pursuant to 17 C.F.R. Section 200.83</w:t>
      </w:r>
    </w:p>
    <w:p>
      <w:pPr>
        <w:spacing w:after="0" w:line="143" w:lineRule="exact"/>
        <w:rPr>
          <w:sz w:val="20"/>
          <w:szCs w:val="20"/>
          <w:color w:val="auto"/>
        </w:rPr>
      </w:pPr>
    </w:p>
    <w:p>
      <w:pPr>
        <w:ind w:left="120"/>
        <w:spacing w:after="0" w:line="277" w:lineRule="auto"/>
        <w:rPr>
          <w:sz w:val="20"/>
          <w:szCs w:val="20"/>
          <w:color w:val="auto"/>
        </w:rPr>
      </w:pPr>
      <w:r>
        <w:rPr>
          <w:rFonts w:ascii="Arial" w:cs="Arial" w:eastAsia="Arial" w:hAnsi="Arial"/>
          <w:sz w:val="18"/>
          <w:szCs w:val="18"/>
          <w:b w:val="1"/>
          <w:bCs w:val="1"/>
          <w:i w:val="1"/>
          <w:iCs w:val="1"/>
          <w:color w:val="auto"/>
        </w:rPr>
        <w:t>In certain cases, payments under the Tax Receivable Agreement to the TRA Parties may be accelerated or significantly exceed any actual benefits we realize in respect of the tax attributes subject to the Tax Receivable Agreement.</w:t>
      </w:r>
    </w:p>
    <w:p>
      <w:pPr>
        <w:spacing w:after="0" w:line="62" w:lineRule="exact"/>
        <w:rPr>
          <w:sz w:val="20"/>
          <w:szCs w:val="20"/>
          <w:color w:val="auto"/>
        </w:rPr>
      </w:pPr>
    </w:p>
    <w:p>
      <w:pPr>
        <w:ind w:left="120" w:right="20" w:firstLine="440"/>
        <w:spacing w:after="0" w:line="254" w:lineRule="auto"/>
        <w:rPr>
          <w:sz w:val="20"/>
          <w:szCs w:val="20"/>
          <w:color w:val="auto"/>
        </w:rPr>
      </w:pPr>
      <w:r>
        <w:rPr>
          <w:rFonts w:ascii="Arial" w:cs="Arial" w:eastAsia="Arial" w:hAnsi="Arial"/>
          <w:sz w:val="18"/>
          <w:szCs w:val="18"/>
          <w:color w:val="auto"/>
        </w:rPr>
        <w:t>The Tax Receivable Agreement provides that upon certain mergers, asset sales, other forms of business combinations or other changes of control, upon a breach of any of our material obligations under the Tax Receivable Agreement or if, at any time, we elect an early termination of the Tax Receivable Agreement, then our obligations, or our successor’s obligations, under the Tax Receivable Agreement to make payments will accelerate. The accelerated payments required in such circumstances will be calculated by reference to the present value (at a discount rate equal to LIBOR plus 100 basis points) of all future payments that holders of LLC Units or other recipients would have been entitled to receive under the Tax Receivable Agreement, and such accelerated payments and any other future payments under the Tax Receivable Agreement will be based on certain assumptions, including an assumption that we would have sufficient taxable income to fully utilize all potential future tax benefits that are subject to the Tax Receivable Agreement.</w:t>
      </w:r>
    </w:p>
    <w:p>
      <w:pPr>
        <w:spacing w:after="0" w:line="192" w:lineRule="exact"/>
        <w:rPr>
          <w:sz w:val="20"/>
          <w:szCs w:val="20"/>
          <w:color w:val="auto"/>
        </w:rPr>
      </w:pPr>
    </w:p>
    <w:p>
      <w:pPr>
        <w:ind w:left="120" w:right="40" w:firstLine="440"/>
        <w:spacing w:after="0" w:line="273" w:lineRule="auto"/>
        <w:rPr>
          <w:sz w:val="20"/>
          <w:szCs w:val="20"/>
          <w:color w:val="auto"/>
        </w:rPr>
      </w:pPr>
      <w:r>
        <w:rPr>
          <w:rFonts w:ascii="Arial" w:cs="Arial" w:eastAsia="Arial" w:hAnsi="Arial"/>
          <w:sz w:val="17"/>
          <w:szCs w:val="17"/>
          <w:color w:val="auto"/>
        </w:rPr>
        <w:t>As a result of the foregoing, we could be required to make payments under the Tax Receivable Agreement that are greater than the specified percentage of any actual benefits we ultimately realize in respect of the tax benefits that are subject to the Tax Receivable Agreement and we could be required to make payments under the Tax Receivable Agreement significantly in advance of the actual realization, if any, of such future tax benefits. In these situations, our obligations under the Tax Receivable Agreement could have a substantial negative impact on our liquidity and could have the effect of delaying, deferring or preventing certain mergers, asset sales, other forms of business combinations or other changes of control. There can be no assurance that we will be able to fund or finance our obligations under the Tax Receivable Agreement.</w:t>
      </w:r>
    </w:p>
    <w:p>
      <w:pPr>
        <w:spacing w:after="0" w:line="286" w:lineRule="exact"/>
        <w:rPr>
          <w:sz w:val="20"/>
          <w:szCs w:val="20"/>
          <w:color w:val="auto"/>
        </w:rPr>
      </w:pPr>
    </w:p>
    <w:p>
      <w:pPr>
        <w:ind w:left="120" w:right="160"/>
        <w:spacing w:after="0" w:line="308" w:lineRule="auto"/>
        <w:rPr>
          <w:sz w:val="20"/>
          <w:szCs w:val="20"/>
          <w:color w:val="auto"/>
        </w:rPr>
      </w:pPr>
      <w:r>
        <w:rPr>
          <w:rFonts w:ascii="Arial" w:cs="Arial" w:eastAsia="Arial" w:hAnsi="Arial"/>
          <w:sz w:val="17"/>
          <w:szCs w:val="17"/>
          <w:b w:val="1"/>
          <w:bCs w:val="1"/>
          <w:i w:val="1"/>
          <w:iCs w:val="1"/>
          <w:color w:val="auto"/>
        </w:rPr>
        <w:t>The acceleration of payments under the Tax Receivable Agreement in the case of certain changes of control may impair our ability to consummate change of control transactions or negatively impact the value received by owners of our Class A common stock.</w:t>
      </w:r>
    </w:p>
    <w:p>
      <w:pPr>
        <w:spacing w:after="0" w:line="38" w:lineRule="exact"/>
        <w:rPr>
          <w:sz w:val="20"/>
          <w:szCs w:val="20"/>
          <w:color w:val="auto"/>
        </w:rPr>
      </w:pPr>
    </w:p>
    <w:p>
      <w:pPr>
        <w:ind w:left="120" w:right="20" w:firstLine="440"/>
        <w:spacing w:after="0" w:line="275" w:lineRule="auto"/>
        <w:rPr>
          <w:sz w:val="20"/>
          <w:szCs w:val="20"/>
          <w:color w:val="auto"/>
        </w:rPr>
      </w:pPr>
      <w:r>
        <w:rPr>
          <w:rFonts w:ascii="Arial" w:cs="Arial" w:eastAsia="Arial" w:hAnsi="Arial"/>
          <w:sz w:val="17"/>
          <w:szCs w:val="17"/>
          <w:color w:val="auto"/>
        </w:rPr>
        <w:t>In the case of certain changes of control, payments under the Tax Receivable Agreement will be accelerated and may significantly exceed the actual benefits we realize in respect of the tax attributes subject to the Tax Receivable Agreement. We expect that the payments that we may make under the Tax Receivable Agreement in the event of a change of control will be substantial. As a result, our accelerated payment obligations and/or the assumptions under the Tax Receivable Agreement in the case of a change of control may impair our ability to consummate change of control transactions or negatively impact the value received by owners of our Class A common stock in a change of control transaction.</w:t>
      </w:r>
    </w:p>
    <w:p>
      <w:pPr>
        <w:spacing w:after="0" w:line="284" w:lineRule="exact"/>
        <w:rPr>
          <w:sz w:val="20"/>
          <w:szCs w:val="20"/>
          <w:color w:val="auto"/>
        </w:rPr>
      </w:pPr>
    </w:p>
    <w:p>
      <w:pPr>
        <w:ind w:left="120" w:right="380"/>
        <w:spacing w:after="0" w:line="277" w:lineRule="auto"/>
        <w:rPr>
          <w:sz w:val="20"/>
          <w:szCs w:val="20"/>
          <w:color w:val="auto"/>
        </w:rPr>
      </w:pPr>
      <w:r>
        <w:rPr>
          <w:rFonts w:ascii="Arial" w:cs="Arial" w:eastAsia="Arial" w:hAnsi="Arial"/>
          <w:sz w:val="18"/>
          <w:szCs w:val="18"/>
          <w:b w:val="1"/>
          <w:bCs w:val="1"/>
          <w:i w:val="1"/>
          <w:iCs w:val="1"/>
          <w:color w:val="auto"/>
        </w:rPr>
        <w:t>We will not be reimbursed for any payments made to the TRA Parties under the Tax Receivable Agreement in the event that any tax benefits are disallowed.</w:t>
      </w:r>
    </w:p>
    <w:p>
      <w:pPr>
        <w:spacing w:after="0" w:line="62" w:lineRule="exact"/>
        <w:rPr>
          <w:sz w:val="20"/>
          <w:szCs w:val="20"/>
          <w:color w:val="auto"/>
        </w:rPr>
      </w:pPr>
    </w:p>
    <w:p>
      <w:pPr>
        <w:ind w:left="120" w:firstLine="440"/>
        <w:spacing w:after="0" w:line="288" w:lineRule="auto"/>
        <w:rPr>
          <w:sz w:val="20"/>
          <w:szCs w:val="20"/>
          <w:color w:val="auto"/>
        </w:rPr>
      </w:pPr>
      <w:r>
        <w:rPr>
          <w:rFonts w:ascii="Arial" w:cs="Arial" w:eastAsia="Arial" w:hAnsi="Arial"/>
          <w:sz w:val="16"/>
          <w:szCs w:val="16"/>
          <w:color w:val="auto"/>
        </w:rPr>
        <w:t>Payments under the Tax Receivable Agreement will be based on the tax reporting positions that we determine, and the U.S. Internal Revenue Service, or the IRS, or another taxing authority may challenge all or part of the tax basis increases or other tax benefits we claim, as well as other related tax positions we take, and a court could sustain such challenge. If the outcome of any such challenge would reasonably be expected to materially affect a recipient’s payments under the Tax Receivable Agreement, then we will not be permitted to settle or fail to contest such challenge without the consent (not to be unreasonably withheld or delayed) of certain TRA Parties. The interests of the TRA Parties in any such challenge may differ from or conflict with our interests and your interests, and the TRA Parties may exercise their consent rights relating to any such challenge in a manner adverse to our interests and your interests. We will not be reimbursed for any cash payments previously made to the TRA Parties under the Tax Receivable Agreement in the event that any tax benefits initially claimed by us and for which payment has been made to a TRA Party are subsequently challenged by a taxing authority and are ultimately disallowed. Instead, any excess cash payments made by us to a TRA Party will be netted against any future cash payments that we might otherwise be required to make to such TRA Party, as applicable,</w:t>
      </w:r>
    </w:p>
    <w:p>
      <w:pPr>
        <w:spacing w:after="0" w:line="101"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59</w:t>
      </w:r>
    </w:p>
    <w:p>
      <w:pPr>
        <w:sectPr>
          <w:pgSz w:w="11900" w:h="16838" w:orient="portrait"/>
          <w:cols w:equalWidth="0" w:num="1">
            <w:col w:w="11120"/>
          </w:cols>
          <w:pgMar w:left="320" w:top="459" w:right="459" w:bottom="1440" w:gutter="0" w:footer="0" w:header="0"/>
        </w:sectPr>
      </w:pPr>
    </w:p>
    <w:bookmarkStart w:id="66" w:name="page67"/>
    <w:bookmarkEnd w:id="6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Confidential Treatment Requested by Definitive Healthcare Corp.</w:t>
      </w:r>
    </w:p>
    <w:p>
      <w:pPr>
        <w:spacing w:after="0" w:line="27"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Pursuant to 17 C.F.R. Section 200.83</w:t>
      </w:r>
    </w:p>
    <w:p>
      <w:pPr>
        <w:spacing w:after="0" w:line="143" w:lineRule="exact"/>
        <w:rPr>
          <w:sz w:val="20"/>
          <w:szCs w:val="20"/>
          <w:color w:val="auto"/>
        </w:rPr>
      </w:pPr>
    </w:p>
    <w:p>
      <w:pPr>
        <w:ind w:left="120" w:right="20"/>
        <w:spacing w:after="0" w:line="293" w:lineRule="auto"/>
        <w:rPr>
          <w:sz w:val="20"/>
          <w:szCs w:val="20"/>
          <w:color w:val="auto"/>
        </w:rPr>
      </w:pPr>
      <w:r>
        <w:rPr>
          <w:rFonts w:ascii="Arial" w:cs="Arial" w:eastAsia="Arial" w:hAnsi="Arial"/>
          <w:sz w:val="16"/>
          <w:szCs w:val="16"/>
          <w:color w:val="auto"/>
        </w:rPr>
        <w:t>under the terms of the Tax Receivable Agreement. However, we might not determine that we have effectively made an excess cash payment to a TRA Party for a number of years following the initial time of such payment and, if any of our tax reporting positions are challenged by a taxing authority, we will not be permitted to reduce any future cash payments under the Tax Receivable Agreement until any such challenge is finally settled or determined. Moreover, the excess cash payments we previously made under the Tax Receivable Agreement could be greater than the amount of future cash payments against which we would otherwise be permitted to net such excess. As a result, payments made under the Tax Receivable Agreement could be significantly in excess of any tax savings that we realize from the tax attributes could be that are the subject of the Tax Receivable Agreement</w:t>
      </w:r>
    </w:p>
    <w:p>
      <w:pPr>
        <w:spacing w:after="0" w:line="272" w:lineRule="exact"/>
        <w:rPr>
          <w:sz w:val="20"/>
          <w:szCs w:val="20"/>
          <w:color w:val="auto"/>
        </w:rPr>
      </w:pPr>
    </w:p>
    <w:p>
      <w:pPr>
        <w:ind w:left="120" w:right="220"/>
        <w:spacing w:after="0" w:line="263" w:lineRule="auto"/>
        <w:rPr>
          <w:sz w:val="20"/>
          <w:szCs w:val="20"/>
          <w:color w:val="auto"/>
        </w:rPr>
      </w:pPr>
      <w:r>
        <w:rPr>
          <w:rFonts w:ascii="Arial" w:cs="Arial" w:eastAsia="Arial" w:hAnsi="Arial"/>
          <w:sz w:val="18"/>
          <w:szCs w:val="18"/>
          <w:b w:val="1"/>
          <w:bCs w:val="1"/>
          <w:i w:val="1"/>
          <w:iCs w:val="1"/>
          <w:color w:val="auto"/>
        </w:rPr>
        <w:t>If we were deemed to be an investment company under the Investment Company Act of 1940, as amended (the “1940 Act”), as a result of our ownership of Definitive OpCo, applicable restrictions could make it impractical for us to continue our business as contemplated and could have a material adverse effect on our business.</w:t>
      </w:r>
    </w:p>
    <w:p>
      <w:pPr>
        <w:spacing w:after="0" w:line="76" w:lineRule="exact"/>
        <w:rPr>
          <w:sz w:val="20"/>
          <w:szCs w:val="20"/>
          <w:color w:val="auto"/>
        </w:rPr>
      </w:pPr>
    </w:p>
    <w:p>
      <w:pPr>
        <w:ind w:left="120" w:firstLine="440"/>
        <w:spacing w:after="0" w:line="255" w:lineRule="auto"/>
        <w:rPr>
          <w:sz w:val="20"/>
          <w:szCs w:val="20"/>
          <w:color w:val="auto"/>
        </w:rPr>
      </w:pPr>
      <w:r>
        <w:rPr>
          <w:rFonts w:ascii="Arial" w:cs="Arial" w:eastAsia="Arial" w:hAnsi="Arial"/>
          <w:sz w:val="18"/>
          <w:szCs w:val="18"/>
          <w:color w:val="auto"/>
        </w:rPr>
        <w:t>Under Sections 3(a)(1)(A) and (C) of the 1940 Act, a company generally will be deemed to be an “investment company” for purposes of the 1940 Act if (i) it is, or holds itself out as being, engaged primarily, or proposes to engage primarily, in the business of investing, reinvesting, or trading in securities or (ii) it engages, or proposes to engage, in the business of investing, reinvesting, owning, holding, or trading in securities and it owns or proposes to acquire investment securities having a value exceeding 40% of the value of its total assets (exclusive of U.S. government securities and cash items) on an unconsolidated basis. We do not believe that we are an “investment company,” as such term is defined in either of those sections of the 1940 Act.</w:t>
      </w:r>
    </w:p>
    <w:p>
      <w:pPr>
        <w:spacing w:after="0" w:line="192" w:lineRule="exact"/>
        <w:rPr>
          <w:sz w:val="20"/>
          <w:szCs w:val="20"/>
          <w:color w:val="auto"/>
        </w:rPr>
      </w:pPr>
    </w:p>
    <w:p>
      <w:pPr>
        <w:ind w:left="120" w:right="440" w:firstLine="440"/>
        <w:spacing w:after="0" w:line="259" w:lineRule="auto"/>
        <w:rPr>
          <w:sz w:val="20"/>
          <w:szCs w:val="20"/>
          <w:color w:val="auto"/>
        </w:rPr>
      </w:pPr>
      <w:r>
        <w:rPr>
          <w:rFonts w:ascii="Arial" w:cs="Arial" w:eastAsia="Arial" w:hAnsi="Arial"/>
          <w:sz w:val="18"/>
          <w:szCs w:val="18"/>
          <w:color w:val="auto"/>
        </w:rPr>
        <w:t>As the sole managing member of Definitive OpCo, we control and operate Definitive OpCo. On that basis, we believe that our interest in Definitive OpCo is an “investment security” as that term is used in the 1940 Act. However, if we were to cease participation in the management of Definitive OpCo, or if Definitive OpCo itself becomes an investment company, our interest in Definitive OpCo, could be deemed an “investment security” for purposes of the 1940 Act.</w:t>
      </w:r>
    </w:p>
    <w:p>
      <w:pPr>
        <w:spacing w:after="0" w:line="187" w:lineRule="exact"/>
        <w:rPr>
          <w:sz w:val="20"/>
          <w:szCs w:val="20"/>
          <w:color w:val="auto"/>
        </w:rPr>
      </w:pPr>
    </w:p>
    <w:p>
      <w:pPr>
        <w:ind w:left="120" w:right="60" w:firstLine="440"/>
        <w:spacing w:after="0" w:line="273" w:lineRule="auto"/>
        <w:rPr>
          <w:sz w:val="20"/>
          <w:szCs w:val="20"/>
          <w:color w:val="auto"/>
        </w:rPr>
      </w:pPr>
      <w:r>
        <w:rPr>
          <w:rFonts w:ascii="Arial" w:cs="Arial" w:eastAsia="Arial" w:hAnsi="Arial"/>
          <w:sz w:val="17"/>
          <w:szCs w:val="17"/>
          <w:color w:val="auto"/>
        </w:rPr>
        <w:t>We, and Definitive OpCo intend to conduct our operations so that we will not be deemed an investment company. If it were established that we were an unregistered investment company, there would be a risk that we would be subject to monetary penalties and injunctive relief in an action brought by the SEC, that we would be unable to enforce contracts with third parties, and that third parties could seek to obtain rescission of transactions undertaken during the period it was established that we were an unregistered investment company. If we were required to register as an investment company, restrictions imposed by the 1940 Act, including limitations on our capital structure and our ability to transact with affiliates, could make it impractical for us to continue our business as contemplated and could have a material adverse effect on our business.</w:t>
      </w:r>
    </w:p>
    <w:p>
      <w:pPr>
        <w:spacing w:after="0" w:line="28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Risks Related to this Offering and Ownership of Our Class A Common Stock</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7"/>
          <w:szCs w:val="17"/>
          <w:b w:val="1"/>
          <w:bCs w:val="1"/>
          <w:i w:val="1"/>
          <w:iCs w:val="1"/>
          <w:color w:val="auto"/>
        </w:rPr>
        <w:t>Future offerings of debt or equity securities by us may have a material adverse effect on the market price of our Class A common stock.</w:t>
      </w:r>
    </w:p>
    <w:p>
      <w:pPr>
        <w:spacing w:after="0" w:line="129" w:lineRule="exact"/>
        <w:rPr>
          <w:sz w:val="20"/>
          <w:szCs w:val="20"/>
          <w:color w:val="auto"/>
        </w:rPr>
      </w:pPr>
    </w:p>
    <w:p>
      <w:pPr>
        <w:ind w:left="120" w:right="40" w:firstLine="440"/>
        <w:spacing w:after="0" w:line="271" w:lineRule="auto"/>
        <w:rPr>
          <w:sz w:val="20"/>
          <w:szCs w:val="20"/>
          <w:color w:val="auto"/>
        </w:rPr>
      </w:pPr>
      <w:r>
        <w:rPr>
          <w:rFonts w:ascii="Arial" w:cs="Arial" w:eastAsia="Arial" w:hAnsi="Arial"/>
          <w:sz w:val="17"/>
          <w:szCs w:val="17"/>
          <w:color w:val="auto"/>
        </w:rPr>
        <w:t>In the future, we may attempt to obtain financing or to further increase our capital resources by issuing additional shares of our Class A common stock or by offering debt or other equity securities, including senior or subordinated notes, debt securities convertible into equity or shares of preferred stock. Any future debt financing could involve restrictive covenants relating to our capital-raising activities and other financial and operational matters, which might make it more difficult for us to obtain additional capital and to pursue business opportunities, including potential acquisitions. Moreover, if we issue debt securities, the debt holders would have rights to make claims on our assets senior to the rights of our holders of our Class A common stock. The issuance of additional shares of our Class A common stock or other equity securities or securities convertible into equity may dilute the economic and voting rights of our existing stockholders and/or reduce the market price of our Class A common stock. Debt securities convertible into equity could be subject to adjustments in the conversion</w:t>
      </w:r>
    </w:p>
    <w:p>
      <w:pPr>
        <w:spacing w:after="0" w:line="111" w:lineRule="exact"/>
        <w:rPr>
          <w:sz w:val="20"/>
          <w:szCs w:val="20"/>
          <w:color w:val="auto"/>
        </w:rPr>
      </w:pPr>
    </w:p>
    <w:p>
      <w:pPr>
        <w:jc w:val="center"/>
        <w:ind w:right="-379"/>
        <w:spacing w:after="0"/>
        <w:rPr>
          <w:sz w:val="20"/>
          <w:szCs w:val="20"/>
          <w:color w:val="auto"/>
        </w:rPr>
      </w:pPr>
      <w:r>
        <w:rPr>
          <w:rFonts w:ascii="Arial" w:cs="Arial" w:eastAsia="Arial" w:hAnsi="Arial"/>
          <w:sz w:val="18"/>
          <w:szCs w:val="18"/>
          <w:color w:val="auto"/>
        </w:rPr>
        <w:t>60</w:t>
      </w:r>
    </w:p>
    <w:p>
      <w:pPr>
        <w:sectPr>
          <w:pgSz w:w="11900" w:h="16838" w:orient="portrait"/>
          <w:cols w:equalWidth="0" w:num="1">
            <w:col w:w="11100"/>
          </w:cols>
          <w:pgMar w:left="320" w:top="459" w:right="479" w:bottom="1440" w:gutter="0" w:footer="0" w:header="0"/>
        </w:sectPr>
      </w:pPr>
    </w:p>
    <w:bookmarkStart w:id="67" w:name="page68"/>
    <w:bookmarkEnd w:id="6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Confidential Treatment Requested by Definitive Healthcare Corp.</w:t>
      </w:r>
    </w:p>
    <w:p>
      <w:pPr>
        <w:spacing w:after="0" w:line="27"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Pursuant to 17 C.F.R. Section 200.83</w:t>
      </w:r>
    </w:p>
    <w:p>
      <w:pPr>
        <w:spacing w:after="0" w:line="143" w:lineRule="exact"/>
        <w:rPr>
          <w:sz w:val="20"/>
          <w:szCs w:val="20"/>
          <w:color w:val="auto"/>
        </w:rPr>
      </w:pPr>
    </w:p>
    <w:p>
      <w:pPr>
        <w:ind w:left="120" w:right="120"/>
        <w:spacing w:after="0" w:line="296" w:lineRule="auto"/>
        <w:rPr>
          <w:sz w:val="20"/>
          <w:szCs w:val="20"/>
          <w:color w:val="auto"/>
        </w:rPr>
      </w:pPr>
      <w:r>
        <w:rPr>
          <w:rFonts w:ascii="Arial" w:cs="Arial" w:eastAsia="Arial" w:hAnsi="Arial"/>
          <w:sz w:val="16"/>
          <w:szCs w:val="16"/>
          <w:color w:val="auto"/>
        </w:rPr>
        <w:t>ratio pursuant to which certain events may increase the number of equity securities issuable upon conversion. Preferred shares, if issued, could have a preference with respect to liquidating distributions or a preference with respect to dividend payments that could limit our ability to pay dividends to the holders of our Class A common stock. Our decision to issue securities in any future offering will depend on market conditions and other factors beyond our control, which may have a material adverse effect on the amount, timing, or nature of our future offerings. Thus, holders of our Class A common stock bear the risk that our future offerings may reduce the market price of our Class A common stock and dilute their stockholdings in us.</w:t>
      </w:r>
    </w:p>
    <w:p>
      <w:pPr>
        <w:spacing w:after="0" w:line="269" w:lineRule="exact"/>
        <w:rPr>
          <w:sz w:val="20"/>
          <w:szCs w:val="20"/>
          <w:color w:val="auto"/>
        </w:rPr>
      </w:pPr>
    </w:p>
    <w:p>
      <w:pPr>
        <w:ind w:left="120"/>
        <w:spacing w:after="0"/>
        <w:rPr>
          <w:sz w:val="20"/>
          <w:szCs w:val="20"/>
          <w:color w:val="auto"/>
        </w:rPr>
      </w:pPr>
      <w:r>
        <w:rPr>
          <w:rFonts w:ascii="Arial" w:cs="Arial" w:eastAsia="Arial" w:hAnsi="Arial"/>
          <w:sz w:val="17"/>
          <w:szCs w:val="17"/>
          <w:b w:val="1"/>
          <w:bCs w:val="1"/>
          <w:i w:val="1"/>
          <w:iCs w:val="1"/>
          <w:color w:val="auto"/>
        </w:rPr>
        <w:t>Certain of our directors and stockholders will not have any obligation to present business opportunities to us and may compete with us.</w:t>
      </w:r>
    </w:p>
    <w:p>
      <w:pPr>
        <w:spacing w:after="0" w:line="129" w:lineRule="exact"/>
        <w:rPr>
          <w:sz w:val="20"/>
          <w:szCs w:val="20"/>
          <w:color w:val="auto"/>
        </w:rPr>
      </w:pPr>
    </w:p>
    <w:p>
      <w:pPr>
        <w:ind w:left="120" w:firstLine="440"/>
        <w:spacing w:after="0" w:line="301" w:lineRule="auto"/>
        <w:rPr>
          <w:sz w:val="20"/>
          <w:szCs w:val="20"/>
          <w:color w:val="auto"/>
        </w:rPr>
      </w:pPr>
      <w:r>
        <w:rPr>
          <w:rFonts w:ascii="Arial" w:cs="Arial" w:eastAsia="Arial" w:hAnsi="Arial"/>
          <w:sz w:val="16"/>
          <w:szCs w:val="16"/>
          <w:color w:val="auto"/>
        </w:rPr>
        <w:t>Our amended and restated certificate of incorporation provides that our directors and stockholders affiliated with Advent, Spectrum Equity and 22C Capital do not have any obligation to offer us an opportunity to participate in business opportunities presented to them even if the opportunity is one that we might reasonably have pursued (and therefore may be free to compete with us in the same business or similar businesses) and that, to the extent permitted by law, such directors and stockholders will not be liable to us or our stockholders for breach of any duty by reason of any such activities.</w:t>
      </w:r>
    </w:p>
    <w:p>
      <w:pPr>
        <w:spacing w:after="0" w:line="157" w:lineRule="exact"/>
        <w:rPr>
          <w:sz w:val="20"/>
          <w:szCs w:val="20"/>
          <w:color w:val="auto"/>
        </w:rPr>
      </w:pPr>
    </w:p>
    <w:p>
      <w:pPr>
        <w:ind w:left="120" w:right="40" w:firstLine="440"/>
        <w:spacing w:after="0" w:line="257" w:lineRule="auto"/>
        <w:rPr>
          <w:sz w:val="20"/>
          <w:szCs w:val="20"/>
          <w:color w:val="auto"/>
        </w:rPr>
      </w:pPr>
      <w:r>
        <w:rPr>
          <w:rFonts w:ascii="Arial" w:cs="Arial" w:eastAsia="Arial" w:hAnsi="Arial"/>
          <w:sz w:val="18"/>
          <w:szCs w:val="18"/>
          <w:color w:val="auto"/>
        </w:rPr>
        <w:t>As a result, our directors and stockholders affiliated with Advent, Spectrum Equity and 22C Capital will not be prohibited from investing in competing businesses or doing business with our customers. Therefore, we may be in competition with our directors and stockholders or their respective affiliates, and we may not have knowledge of, or be able to pursue, transactions that could potentially be beneficial to us. Accordingly, we may lose certain corporate opportunities or suffer competitive harm, which could have a material adverse effect on our business, financial condition and results of operations.</w:t>
      </w:r>
    </w:p>
    <w:p>
      <w:pPr>
        <w:spacing w:after="0" w:line="296"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We do not anticipate paying any dividends on our Class A common stock in the foreseeable future.</w:t>
      </w:r>
    </w:p>
    <w:p>
      <w:pPr>
        <w:spacing w:after="0" w:line="117" w:lineRule="exact"/>
        <w:rPr>
          <w:sz w:val="20"/>
          <w:szCs w:val="20"/>
          <w:color w:val="auto"/>
        </w:rPr>
      </w:pPr>
    </w:p>
    <w:p>
      <w:pPr>
        <w:ind w:left="120" w:right="100" w:firstLine="440"/>
        <w:spacing w:after="0" w:line="279" w:lineRule="auto"/>
        <w:rPr>
          <w:sz w:val="20"/>
          <w:szCs w:val="20"/>
          <w:color w:val="auto"/>
        </w:rPr>
      </w:pPr>
      <w:r>
        <w:rPr>
          <w:rFonts w:ascii="Arial" w:cs="Arial" w:eastAsia="Arial" w:hAnsi="Arial"/>
          <w:sz w:val="17"/>
          <w:szCs w:val="17"/>
          <w:color w:val="auto"/>
        </w:rPr>
        <w:t>We do not currently intend to pay any cash dividends on our Class A common stock, and our Credit Agreement limits our ability to pay dividends on our Class A common stock. We may also enter into other credit agreements or other borrowing arrangements in the future that restrict or limit our ability to pay dividends on our Class A common stock. As a result, you may not receive any return on an investment in our Class A common stock unless you sell our Class A common stock for a price greater than that which you paid for it. See “Dividend Policy.”</w:t>
      </w:r>
    </w:p>
    <w:p>
      <w:pPr>
        <w:spacing w:after="0" w:line="279" w:lineRule="exact"/>
        <w:rPr>
          <w:sz w:val="20"/>
          <w:szCs w:val="20"/>
          <w:color w:val="auto"/>
        </w:rPr>
      </w:pPr>
    </w:p>
    <w:p>
      <w:pPr>
        <w:ind w:left="120" w:right="520"/>
        <w:spacing w:after="0" w:line="308" w:lineRule="auto"/>
        <w:rPr>
          <w:sz w:val="20"/>
          <w:szCs w:val="20"/>
          <w:color w:val="auto"/>
        </w:rPr>
      </w:pPr>
      <w:r>
        <w:rPr>
          <w:rFonts w:ascii="Arial" w:cs="Arial" w:eastAsia="Arial" w:hAnsi="Arial"/>
          <w:sz w:val="17"/>
          <w:szCs w:val="17"/>
          <w:b w:val="1"/>
          <w:bCs w:val="1"/>
          <w:i w:val="1"/>
          <w:iCs w:val="1"/>
          <w:color w:val="auto"/>
        </w:rPr>
        <w:t>Our quarterly results of operations may fluctuate significantly and could fall below the expectations of securities analysts and investors due to seasonality and other factors, some of which are beyond our control, resulting in a decline in our stock price.</w:t>
      </w:r>
    </w:p>
    <w:p>
      <w:pPr>
        <w:spacing w:after="0" w:line="38" w:lineRule="exact"/>
        <w:rPr>
          <w:sz w:val="20"/>
          <w:szCs w:val="20"/>
          <w:color w:val="auto"/>
        </w:rPr>
      </w:pPr>
    </w:p>
    <w:p>
      <w:pPr>
        <w:ind w:left="120" w:right="200" w:firstLine="440"/>
        <w:spacing w:after="0" w:line="279" w:lineRule="auto"/>
        <w:rPr>
          <w:sz w:val="20"/>
          <w:szCs w:val="20"/>
          <w:color w:val="auto"/>
        </w:rPr>
      </w:pPr>
      <w:r>
        <w:rPr>
          <w:rFonts w:ascii="Arial" w:cs="Arial" w:eastAsia="Arial" w:hAnsi="Arial"/>
          <w:sz w:val="17"/>
          <w:szCs w:val="17"/>
          <w:color w:val="auto"/>
        </w:rPr>
        <w:t>Our quarterly results of operations may fluctuate due principally to seasonal factors. Accordingly, results for any one quarter are not necessarily indicative of results to be expected for any other quarter or for any year. In addition, if we increase our marketing or promotional activity in certain periods, the seasonality of our business may be amplified. In the future, results of operations may fall below the expectations of securities analysts and investors. In that event, the price of our Class A common stock could be adversely impacted.</w:t>
      </w:r>
    </w:p>
    <w:p>
      <w:pPr>
        <w:spacing w:after="0" w:line="279" w:lineRule="exact"/>
        <w:rPr>
          <w:sz w:val="20"/>
          <w:szCs w:val="20"/>
          <w:color w:val="auto"/>
        </w:rPr>
      </w:pPr>
    </w:p>
    <w:p>
      <w:pPr>
        <w:ind w:left="120"/>
        <w:spacing w:after="0"/>
        <w:rPr>
          <w:sz w:val="20"/>
          <w:szCs w:val="20"/>
          <w:color w:val="auto"/>
        </w:rPr>
      </w:pPr>
      <w:r>
        <w:rPr>
          <w:rFonts w:ascii="Arial" w:cs="Arial" w:eastAsia="Arial" w:hAnsi="Arial"/>
          <w:sz w:val="15"/>
          <w:szCs w:val="15"/>
          <w:b w:val="1"/>
          <w:bCs w:val="1"/>
          <w:i w:val="1"/>
          <w:iCs w:val="1"/>
          <w:color w:val="auto"/>
        </w:rPr>
        <w:t>If securities or industry analysts publish inaccurate or unfavorable research about our business, our stock price and trading volume could decline.</w:t>
      </w:r>
    </w:p>
    <w:p>
      <w:pPr>
        <w:spacing w:after="0" w:line="152" w:lineRule="exact"/>
        <w:rPr>
          <w:sz w:val="20"/>
          <w:szCs w:val="20"/>
          <w:color w:val="auto"/>
        </w:rPr>
      </w:pPr>
    </w:p>
    <w:p>
      <w:pPr>
        <w:ind w:left="120" w:right="20" w:firstLine="440"/>
        <w:spacing w:after="0" w:line="255" w:lineRule="auto"/>
        <w:rPr>
          <w:sz w:val="20"/>
          <w:szCs w:val="20"/>
          <w:color w:val="auto"/>
        </w:rPr>
      </w:pPr>
      <w:r>
        <w:rPr>
          <w:rFonts w:ascii="Arial" w:cs="Arial" w:eastAsia="Arial" w:hAnsi="Arial"/>
          <w:sz w:val="18"/>
          <w:szCs w:val="18"/>
          <w:color w:val="auto"/>
        </w:rPr>
        <w:t>The trading market for our Class A common stock is influenced by the research and reports that industry or securities analysts publish about us or our business. If one or more of these analysts ceases coverage of our company or fails to publish reports on us regularly, we could lose visibility in the financial markets, which in turn could cause our stock price or trading volume to decline. Moreover, if our results of operations do not meet the expectations of the investor community, or one or more of the analysts who cover our company downgrade our stock, our stock price could decline. As a result, you may not be able to sell shares of our Class A common stock at prices equal to or greater than the price of Class A common stock sold in this offering.</w:t>
      </w:r>
    </w:p>
    <w:p>
      <w:pPr>
        <w:spacing w:after="0" w:line="125"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61</w:t>
      </w:r>
    </w:p>
    <w:p>
      <w:pPr>
        <w:sectPr>
          <w:pgSz w:w="11900" w:h="16838" w:orient="portrait"/>
          <w:cols w:equalWidth="0" w:num="1">
            <w:col w:w="11140"/>
          </w:cols>
          <w:pgMar w:left="320" w:top="459" w:right="439" w:bottom="1440" w:gutter="0" w:footer="0" w:header="0"/>
        </w:sectPr>
      </w:pPr>
    </w:p>
    <w:bookmarkStart w:id="68" w:name="page69"/>
    <w:bookmarkEnd w:id="6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Confidential Treatment Requested by Definitive Healthcare Corp.</w:t>
      </w:r>
    </w:p>
    <w:p>
      <w:pPr>
        <w:spacing w:after="0" w:line="27"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Pursuant to 17 C.F.R. Section 200.83</w:t>
      </w:r>
    </w:p>
    <w:p>
      <w:pPr>
        <w:spacing w:after="0" w:line="143" w:lineRule="exact"/>
        <w:rPr>
          <w:sz w:val="20"/>
          <w:szCs w:val="20"/>
          <w:color w:val="auto"/>
        </w:rPr>
      </w:pPr>
    </w:p>
    <w:p>
      <w:pPr>
        <w:ind w:left="120" w:right="560"/>
        <w:spacing w:after="0" w:line="277" w:lineRule="auto"/>
        <w:rPr>
          <w:sz w:val="20"/>
          <w:szCs w:val="20"/>
          <w:color w:val="auto"/>
        </w:rPr>
      </w:pPr>
      <w:r>
        <w:rPr>
          <w:rFonts w:ascii="Arial" w:cs="Arial" w:eastAsia="Arial" w:hAnsi="Arial"/>
          <w:sz w:val="18"/>
          <w:szCs w:val="18"/>
          <w:b w:val="1"/>
          <w:bCs w:val="1"/>
          <w:i w:val="1"/>
          <w:iCs w:val="1"/>
          <w:color w:val="auto"/>
        </w:rPr>
        <w:t>The market price and trading volume of our Class A common stock may be volatile, which could result in rapid and substantial losses for our stockholders, and you may lose all or part of your investment.</w:t>
      </w:r>
    </w:p>
    <w:p>
      <w:pPr>
        <w:spacing w:after="0" w:line="62" w:lineRule="exact"/>
        <w:rPr>
          <w:sz w:val="20"/>
          <w:szCs w:val="20"/>
          <w:color w:val="auto"/>
        </w:rPr>
      </w:pPr>
    </w:p>
    <w:p>
      <w:pPr>
        <w:ind w:left="120" w:right="120" w:firstLine="440"/>
        <w:spacing w:after="0" w:line="257" w:lineRule="auto"/>
        <w:rPr>
          <w:sz w:val="20"/>
          <w:szCs w:val="20"/>
          <w:color w:val="auto"/>
        </w:rPr>
      </w:pPr>
      <w:r>
        <w:rPr>
          <w:rFonts w:ascii="Arial" w:cs="Arial" w:eastAsia="Arial" w:hAnsi="Arial"/>
          <w:sz w:val="18"/>
          <w:szCs w:val="18"/>
          <w:color w:val="auto"/>
        </w:rPr>
        <w:t>Shares of our Class A common stock sold in this offering may experience significant volatility. An active, liquid and orderly market for our Class A common stock may not be sustained, which could depress the trading price of our Class A common stock or cause it to be highly volatile or subject to wide fluctuations. The market price of our Class A common stock may fluctuate or may decline significantly in the future and you could lose all or part of your investment. Some of the factors that could negatively affect our share price or result in fluctuations in the price or trading volume of our Class A common stock include:</w:t>
      </w:r>
    </w:p>
    <w:p>
      <w:pPr>
        <w:spacing w:after="0" w:line="93" w:lineRule="exact"/>
        <w:rPr>
          <w:sz w:val="20"/>
          <w:szCs w:val="20"/>
          <w:color w:val="auto"/>
        </w:rPr>
      </w:pPr>
    </w:p>
    <w:p>
      <w:pPr>
        <w:ind w:left="1080" w:hanging="532"/>
        <w:spacing w:after="0"/>
        <w:tabs>
          <w:tab w:leader="none" w:pos="1080" w:val="left"/>
        </w:tabs>
        <w:numPr>
          <w:ilvl w:val="0"/>
          <w:numId w:val="50"/>
        </w:numPr>
        <w:rPr>
          <w:rFonts w:ascii="Arial" w:cs="Arial" w:eastAsia="Arial" w:hAnsi="Arial"/>
          <w:sz w:val="18"/>
          <w:szCs w:val="18"/>
          <w:color w:val="auto"/>
        </w:rPr>
      </w:pPr>
      <w:r>
        <w:rPr>
          <w:rFonts w:ascii="Arial" w:cs="Arial" w:eastAsia="Arial" w:hAnsi="Arial"/>
          <w:sz w:val="18"/>
          <w:szCs w:val="18"/>
          <w:color w:val="auto"/>
        </w:rPr>
        <w:t>variations in our quarterly or annual results of operations;</w:t>
      </w:r>
    </w:p>
    <w:p>
      <w:pPr>
        <w:spacing w:after="0" w:line="130" w:lineRule="exact"/>
        <w:rPr>
          <w:rFonts w:ascii="Arial" w:cs="Arial" w:eastAsia="Arial" w:hAnsi="Arial"/>
          <w:sz w:val="18"/>
          <w:szCs w:val="18"/>
          <w:color w:val="auto"/>
        </w:rPr>
      </w:pPr>
    </w:p>
    <w:p>
      <w:pPr>
        <w:ind w:left="1080" w:right="80" w:hanging="532"/>
        <w:spacing w:after="0" w:line="277" w:lineRule="auto"/>
        <w:tabs>
          <w:tab w:leader="none" w:pos="1080" w:val="left"/>
        </w:tabs>
        <w:numPr>
          <w:ilvl w:val="0"/>
          <w:numId w:val="50"/>
        </w:numPr>
        <w:rPr>
          <w:rFonts w:ascii="Arial" w:cs="Arial" w:eastAsia="Arial" w:hAnsi="Arial"/>
          <w:sz w:val="18"/>
          <w:szCs w:val="18"/>
          <w:color w:val="auto"/>
        </w:rPr>
      </w:pPr>
      <w:r>
        <w:rPr>
          <w:rFonts w:ascii="Arial" w:cs="Arial" w:eastAsia="Arial" w:hAnsi="Arial"/>
          <w:sz w:val="18"/>
          <w:szCs w:val="18"/>
          <w:color w:val="auto"/>
        </w:rPr>
        <w:t>changes in our earnings estimates (if provided) or differences between our actual results of operations and those expected by investors and analysts;</w:t>
      </w:r>
    </w:p>
    <w:p>
      <w:pPr>
        <w:spacing w:after="0" w:line="75" w:lineRule="exact"/>
        <w:rPr>
          <w:rFonts w:ascii="Arial" w:cs="Arial" w:eastAsia="Arial" w:hAnsi="Arial"/>
          <w:sz w:val="18"/>
          <w:szCs w:val="18"/>
          <w:color w:val="auto"/>
        </w:rPr>
      </w:pPr>
    </w:p>
    <w:p>
      <w:pPr>
        <w:ind w:left="1080" w:hanging="532"/>
        <w:spacing w:after="0"/>
        <w:tabs>
          <w:tab w:leader="none" w:pos="1080" w:val="left"/>
        </w:tabs>
        <w:numPr>
          <w:ilvl w:val="0"/>
          <w:numId w:val="50"/>
        </w:numPr>
        <w:rPr>
          <w:rFonts w:ascii="Arial" w:cs="Arial" w:eastAsia="Arial" w:hAnsi="Arial"/>
          <w:sz w:val="16"/>
          <w:szCs w:val="16"/>
          <w:color w:val="auto"/>
        </w:rPr>
      </w:pPr>
      <w:r>
        <w:rPr>
          <w:rFonts w:ascii="Arial" w:cs="Arial" w:eastAsia="Arial" w:hAnsi="Arial"/>
          <w:sz w:val="16"/>
          <w:szCs w:val="16"/>
          <w:color w:val="auto"/>
        </w:rPr>
        <w:t>the contents of published research reports about us or our industry or the failure of securities analysts to cover our Class A common stock;</w:t>
      </w:r>
    </w:p>
    <w:p>
      <w:pPr>
        <w:spacing w:after="0" w:line="153" w:lineRule="exact"/>
        <w:rPr>
          <w:rFonts w:ascii="Arial" w:cs="Arial" w:eastAsia="Arial" w:hAnsi="Arial"/>
          <w:sz w:val="16"/>
          <w:szCs w:val="16"/>
          <w:color w:val="auto"/>
        </w:rPr>
      </w:pPr>
    </w:p>
    <w:p>
      <w:pPr>
        <w:ind w:left="1080" w:hanging="532"/>
        <w:spacing w:after="0"/>
        <w:tabs>
          <w:tab w:leader="none" w:pos="1080" w:val="left"/>
        </w:tabs>
        <w:numPr>
          <w:ilvl w:val="0"/>
          <w:numId w:val="50"/>
        </w:numPr>
        <w:rPr>
          <w:rFonts w:ascii="Arial" w:cs="Arial" w:eastAsia="Arial" w:hAnsi="Arial"/>
          <w:sz w:val="18"/>
          <w:szCs w:val="18"/>
          <w:color w:val="auto"/>
        </w:rPr>
      </w:pPr>
      <w:r>
        <w:rPr>
          <w:rFonts w:ascii="Arial" w:cs="Arial" w:eastAsia="Arial" w:hAnsi="Arial"/>
          <w:sz w:val="18"/>
          <w:szCs w:val="18"/>
          <w:color w:val="auto"/>
        </w:rPr>
        <w:t>additions or departures of key management personnel;</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50"/>
        </w:numPr>
        <w:rPr>
          <w:rFonts w:ascii="Arial" w:cs="Arial" w:eastAsia="Arial" w:hAnsi="Arial"/>
          <w:sz w:val="18"/>
          <w:szCs w:val="18"/>
          <w:color w:val="auto"/>
        </w:rPr>
      </w:pPr>
      <w:r>
        <w:rPr>
          <w:rFonts w:ascii="Arial" w:cs="Arial" w:eastAsia="Arial" w:hAnsi="Arial"/>
          <w:sz w:val="18"/>
          <w:szCs w:val="18"/>
          <w:color w:val="auto"/>
        </w:rPr>
        <w:t>any increased indebtedness we may incur in the future;</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50"/>
        </w:numPr>
        <w:rPr>
          <w:rFonts w:ascii="Arial" w:cs="Arial" w:eastAsia="Arial" w:hAnsi="Arial"/>
          <w:sz w:val="18"/>
          <w:szCs w:val="18"/>
          <w:color w:val="auto"/>
        </w:rPr>
      </w:pPr>
      <w:r>
        <w:rPr>
          <w:rFonts w:ascii="Arial" w:cs="Arial" w:eastAsia="Arial" w:hAnsi="Arial"/>
          <w:sz w:val="18"/>
          <w:szCs w:val="18"/>
          <w:color w:val="auto"/>
        </w:rPr>
        <w:t>announcements by us or others and developments affecting us;</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50"/>
        </w:numPr>
        <w:rPr>
          <w:rFonts w:ascii="Arial" w:cs="Arial" w:eastAsia="Arial" w:hAnsi="Arial"/>
          <w:sz w:val="18"/>
          <w:szCs w:val="18"/>
          <w:color w:val="auto"/>
        </w:rPr>
      </w:pPr>
      <w:r>
        <w:rPr>
          <w:rFonts w:ascii="Arial" w:cs="Arial" w:eastAsia="Arial" w:hAnsi="Arial"/>
          <w:sz w:val="18"/>
          <w:szCs w:val="18"/>
          <w:color w:val="auto"/>
        </w:rPr>
        <w:t>actions by institutional stockholders;</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50"/>
        </w:numPr>
        <w:rPr>
          <w:rFonts w:ascii="Arial" w:cs="Arial" w:eastAsia="Arial" w:hAnsi="Arial"/>
          <w:sz w:val="18"/>
          <w:szCs w:val="18"/>
          <w:color w:val="auto"/>
        </w:rPr>
      </w:pPr>
      <w:r>
        <w:rPr>
          <w:rFonts w:ascii="Arial" w:cs="Arial" w:eastAsia="Arial" w:hAnsi="Arial"/>
          <w:sz w:val="18"/>
          <w:szCs w:val="18"/>
          <w:color w:val="auto"/>
        </w:rPr>
        <w:t>litigation and governmental investigations;</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50"/>
        </w:numPr>
        <w:rPr>
          <w:rFonts w:ascii="Arial" w:cs="Arial" w:eastAsia="Arial" w:hAnsi="Arial"/>
          <w:sz w:val="18"/>
          <w:szCs w:val="18"/>
          <w:color w:val="auto"/>
        </w:rPr>
      </w:pPr>
      <w:r>
        <w:rPr>
          <w:rFonts w:ascii="Arial" w:cs="Arial" w:eastAsia="Arial" w:hAnsi="Arial"/>
          <w:sz w:val="18"/>
          <w:szCs w:val="18"/>
          <w:color w:val="auto"/>
        </w:rPr>
        <w:t>legislative or regulatory changes;</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50"/>
        </w:numPr>
        <w:rPr>
          <w:rFonts w:ascii="Arial" w:cs="Arial" w:eastAsia="Arial" w:hAnsi="Arial"/>
          <w:sz w:val="18"/>
          <w:szCs w:val="18"/>
          <w:color w:val="auto"/>
        </w:rPr>
      </w:pPr>
      <w:r>
        <w:rPr>
          <w:rFonts w:ascii="Arial" w:cs="Arial" w:eastAsia="Arial" w:hAnsi="Arial"/>
          <w:sz w:val="18"/>
          <w:szCs w:val="18"/>
          <w:color w:val="auto"/>
        </w:rPr>
        <w:t>judicial pronouncements interpreting laws and regulations;</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50"/>
        </w:numPr>
        <w:rPr>
          <w:rFonts w:ascii="Arial" w:cs="Arial" w:eastAsia="Arial" w:hAnsi="Arial"/>
          <w:sz w:val="18"/>
          <w:szCs w:val="18"/>
          <w:color w:val="auto"/>
        </w:rPr>
      </w:pPr>
      <w:r>
        <w:rPr>
          <w:rFonts w:ascii="Arial" w:cs="Arial" w:eastAsia="Arial" w:hAnsi="Arial"/>
          <w:sz w:val="18"/>
          <w:szCs w:val="18"/>
          <w:color w:val="auto"/>
        </w:rPr>
        <w:t>changes in government programs;</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50"/>
        </w:numPr>
        <w:rPr>
          <w:rFonts w:ascii="Arial" w:cs="Arial" w:eastAsia="Arial" w:hAnsi="Arial"/>
          <w:sz w:val="18"/>
          <w:szCs w:val="18"/>
          <w:color w:val="auto"/>
        </w:rPr>
      </w:pPr>
      <w:r>
        <w:rPr>
          <w:rFonts w:ascii="Arial" w:cs="Arial" w:eastAsia="Arial" w:hAnsi="Arial"/>
          <w:sz w:val="18"/>
          <w:szCs w:val="18"/>
          <w:color w:val="auto"/>
        </w:rPr>
        <w:t>changes in market valuations of similar companies;</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50"/>
        </w:numPr>
        <w:rPr>
          <w:rFonts w:ascii="Arial" w:cs="Arial" w:eastAsia="Arial" w:hAnsi="Arial"/>
          <w:sz w:val="18"/>
          <w:szCs w:val="18"/>
          <w:color w:val="auto"/>
        </w:rPr>
      </w:pPr>
      <w:r>
        <w:rPr>
          <w:rFonts w:ascii="Arial" w:cs="Arial" w:eastAsia="Arial" w:hAnsi="Arial"/>
          <w:sz w:val="18"/>
          <w:szCs w:val="18"/>
          <w:color w:val="auto"/>
        </w:rPr>
        <w:t>speculation or reports by the press or investment community with respect to us or our industry in general;</w:t>
      </w:r>
    </w:p>
    <w:p>
      <w:pPr>
        <w:spacing w:after="0" w:line="130" w:lineRule="exact"/>
        <w:rPr>
          <w:rFonts w:ascii="Arial" w:cs="Arial" w:eastAsia="Arial" w:hAnsi="Arial"/>
          <w:sz w:val="18"/>
          <w:szCs w:val="18"/>
          <w:color w:val="auto"/>
        </w:rPr>
      </w:pPr>
    </w:p>
    <w:p>
      <w:pPr>
        <w:ind w:left="1080" w:right="60" w:hanging="532"/>
        <w:spacing w:after="0" w:line="277" w:lineRule="auto"/>
        <w:tabs>
          <w:tab w:leader="none" w:pos="1080" w:val="left"/>
        </w:tabs>
        <w:numPr>
          <w:ilvl w:val="0"/>
          <w:numId w:val="50"/>
        </w:numPr>
        <w:rPr>
          <w:rFonts w:ascii="Arial" w:cs="Arial" w:eastAsia="Arial" w:hAnsi="Arial"/>
          <w:sz w:val="18"/>
          <w:szCs w:val="18"/>
          <w:color w:val="auto"/>
        </w:rPr>
      </w:pPr>
      <w:r>
        <w:rPr>
          <w:rFonts w:ascii="Arial" w:cs="Arial" w:eastAsia="Arial" w:hAnsi="Arial"/>
          <w:sz w:val="18"/>
          <w:szCs w:val="18"/>
          <w:color w:val="auto"/>
        </w:rPr>
        <w:t>announcements by us or our competitors of significant contracts, acquisitions, dispositions, strategic relationships, joint ventures or capital commitments; and</w:t>
      </w:r>
    </w:p>
    <w:p>
      <w:pPr>
        <w:spacing w:after="0" w:line="75" w:lineRule="exact"/>
        <w:rPr>
          <w:rFonts w:ascii="Arial" w:cs="Arial" w:eastAsia="Arial" w:hAnsi="Arial"/>
          <w:sz w:val="18"/>
          <w:szCs w:val="18"/>
          <w:color w:val="auto"/>
        </w:rPr>
      </w:pPr>
    </w:p>
    <w:p>
      <w:pPr>
        <w:ind w:left="1080" w:hanging="532"/>
        <w:spacing w:after="0"/>
        <w:tabs>
          <w:tab w:leader="none" w:pos="1080" w:val="left"/>
        </w:tabs>
        <w:numPr>
          <w:ilvl w:val="0"/>
          <w:numId w:val="50"/>
        </w:numPr>
        <w:rPr>
          <w:rFonts w:ascii="Arial" w:cs="Arial" w:eastAsia="Arial" w:hAnsi="Arial"/>
          <w:sz w:val="18"/>
          <w:szCs w:val="18"/>
          <w:color w:val="auto"/>
        </w:rPr>
      </w:pPr>
      <w:r>
        <w:rPr>
          <w:rFonts w:ascii="Arial" w:cs="Arial" w:eastAsia="Arial" w:hAnsi="Arial"/>
          <w:sz w:val="18"/>
          <w:szCs w:val="18"/>
          <w:color w:val="auto"/>
        </w:rPr>
        <w:t>general market, political and economic conditions, including local conditions in the markets in which we operate.</w:t>
      </w:r>
    </w:p>
    <w:p>
      <w:pPr>
        <w:spacing w:after="0" w:line="225" w:lineRule="exact"/>
        <w:rPr>
          <w:sz w:val="20"/>
          <w:szCs w:val="20"/>
          <w:color w:val="auto"/>
        </w:rPr>
      </w:pPr>
    </w:p>
    <w:p>
      <w:pPr>
        <w:ind w:left="120" w:firstLine="440"/>
        <w:spacing w:after="0" w:line="296" w:lineRule="auto"/>
        <w:rPr>
          <w:sz w:val="20"/>
          <w:szCs w:val="20"/>
          <w:color w:val="auto"/>
        </w:rPr>
      </w:pPr>
      <w:r>
        <w:rPr>
          <w:rFonts w:ascii="Arial" w:cs="Arial" w:eastAsia="Arial" w:hAnsi="Arial"/>
          <w:sz w:val="16"/>
          <w:szCs w:val="16"/>
          <w:color w:val="auto"/>
        </w:rPr>
        <w:t>These broad market and industry factors may decrease the market price of our Class A common stock, regardless of our actual financial performance. The stock market in general has from time to time experienced extreme price and volume fluctuations, including recently. In addition, in the past, following periods of volatility in the overall market and decreases in the market price of a company’s securities, securities class action litigation has often been instituted against these companies. This litigation, if instituted against us, could result in substantial costs and a diversion of our management’s attention and resources, which could have a material adverse effect on our business, financial condition and results of operations.</w:t>
      </w:r>
    </w:p>
    <w:p>
      <w:pPr>
        <w:spacing w:after="0" w:line="269" w:lineRule="exact"/>
        <w:rPr>
          <w:sz w:val="20"/>
          <w:szCs w:val="20"/>
          <w:color w:val="auto"/>
        </w:rPr>
      </w:pPr>
    </w:p>
    <w:p>
      <w:pPr>
        <w:ind w:left="120" w:right="380"/>
        <w:spacing w:after="0" w:line="277" w:lineRule="auto"/>
        <w:rPr>
          <w:sz w:val="20"/>
          <w:szCs w:val="20"/>
          <w:color w:val="auto"/>
        </w:rPr>
      </w:pPr>
      <w:r>
        <w:rPr>
          <w:rFonts w:ascii="Arial" w:cs="Arial" w:eastAsia="Arial" w:hAnsi="Arial"/>
          <w:sz w:val="18"/>
          <w:szCs w:val="18"/>
          <w:b w:val="1"/>
          <w:bCs w:val="1"/>
          <w:i w:val="1"/>
          <w:iCs w:val="1"/>
          <w:color w:val="auto"/>
        </w:rPr>
        <w:t>The market price of our Class A common stock could be negatively affected by sales of substantial amounts of our Class A common stock in the public markets.</w:t>
      </w:r>
    </w:p>
    <w:p>
      <w:pPr>
        <w:spacing w:after="0" w:line="62" w:lineRule="exact"/>
        <w:rPr>
          <w:sz w:val="20"/>
          <w:szCs w:val="20"/>
          <w:color w:val="auto"/>
        </w:rPr>
      </w:pPr>
    </w:p>
    <w:p>
      <w:pPr>
        <w:ind w:left="120" w:right="380" w:firstLine="440"/>
        <w:spacing w:after="0" w:line="263" w:lineRule="auto"/>
        <w:rPr>
          <w:sz w:val="20"/>
          <w:szCs w:val="20"/>
          <w:color w:val="auto"/>
        </w:rPr>
      </w:pPr>
      <w:r>
        <w:rPr>
          <w:rFonts w:ascii="Arial" w:cs="Arial" w:eastAsia="Arial" w:hAnsi="Arial"/>
          <w:sz w:val="18"/>
          <w:szCs w:val="18"/>
          <w:color w:val="auto"/>
        </w:rPr>
        <w:t>Of our issued and outstanding shares of Class A common stock, all the Class A common stock sold in this offering will be freely transferable, except for any shares held by our “affiliates,” as that term is defined in Rule 144 under the Securities Act. Following closing of this offering, approximately % of our outstanding Class A</w:t>
      </w:r>
    </w:p>
    <w:p>
      <w:pPr>
        <w:spacing w:after="0" w:line="116" w:lineRule="exact"/>
        <w:rPr>
          <w:sz w:val="20"/>
          <w:szCs w:val="20"/>
          <w:color w:val="auto"/>
        </w:rPr>
      </w:pPr>
    </w:p>
    <w:p>
      <w:pPr>
        <w:jc w:val="center"/>
        <w:ind w:right="-359"/>
        <w:spacing w:after="0"/>
        <w:rPr>
          <w:sz w:val="20"/>
          <w:szCs w:val="20"/>
          <w:color w:val="auto"/>
        </w:rPr>
      </w:pPr>
      <w:r>
        <w:rPr>
          <w:rFonts w:ascii="Arial" w:cs="Arial" w:eastAsia="Arial" w:hAnsi="Arial"/>
          <w:sz w:val="18"/>
          <w:szCs w:val="18"/>
          <w:color w:val="auto"/>
        </w:rPr>
        <w:t>62</w:t>
      </w:r>
    </w:p>
    <w:p>
      <w:pPr>
        <w:sectPr>
          <w:pgSz w:w="11900" w:h="16838" w:orient="portrait"/>
          <w:cols w:equalWidth="0" w:num="1">
            <w:col w:w="11120"/>
          </w:cols>
          <w:pgMar w:left="320" w:top="459" w:right="459" w:bottom="1440" w:gutter="0" w:footer="0" w:header="0"/>
        </w:sectPr>
      </w:pPr>
    </w:p>
    <w:bookmarkStart w:id="69" w:name="page70"/>
    <w:bookmarkEnd w:id="6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Confidential Treatment Requested by Definitive Healthcare Corp.</w:t>
      </w:r>
    </w:p>
    <w:p>
      <w:pPr>
        <w:spacing w:after="0" w:line="27"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Pursuant to 17 C.F.R. Section 200.83</w:t>
      </w:r>
    </w:p>
    <w:p>
      <w:pPr>
        <w:spacing w:after="0" w:line="143" w:lineRule="exact"/>
        <w:rPr>
          <w:sz w:val="20"/>
          <w:szCs w:val="20"/>
          <w:color w:val="auto"/>
        </w:rPr>
      </w:pPr>
    </w:p>
    <w:p>
      <w:pPr>
        <w:ind w:left="120" w:right="260"/>
        <w:spacing w:after="0" w:line="342" w:lineRule="auto"/>
        <w:rPr>
          <w:sz w:val="20"/>
          <w:szCs w:val="20"/>
          <w:color w:val="auto"/>
        </w:rPr>
      </w:pPr>
      <w:r>
        <w:rPr>
          <w:rFonts w:ascii="Arial" w:cs="Arial" w:eastAsia="Arial" w:hAnsi="Arial"/>
          <w:sz w:val="16"/>
          <w:szCs w:val="16"/>
          <w:color w:val="auto"/>
        </w:rPr>
        <w:t>common stock, or % if the underwriters exercise their option to purchase additional shares in full, will be indirectly beneficially owned by Advent, and can be resold into the public markets in the future in accordance with the requirements of Rule 144. See “Shares Eligible For Future Sale.”</w:t>
      </w:r>
    </w:p>
    <w:p>
      <w:pPr>
        <w:spacing w:after="0" w:line="124" w:lineRule="exact"/>
        <w:rPr>
          <w:sz w:val="20"/>
          <w:szCs w:val="20"/>
          <w:color w:val="auto"/>
        </w:rPr>
      </w:pPr>
    </w:p>
    <w:p>
      <w:pPr>
        <w:ind w:left="120" w:right="20" w:firstLine="440"/>
        <w:spacing w:after="0" w:line="277" w:lineRule="auto"/>
        <w:rPr>
          <w:sz w:val="20"/>
          <w:szCs w:val="20"/>
          <w:color w:val="auto"/>
        </w:rPr>
      </w:pPr>
      <w:r>
        <w:rPr>
          <w:rFonts w:ascii="Arial" w:cs="Arial" w:eastAsia="Arial" w:hAnsi="Arial"/>
          <w:sz w:val="18"/>
          <w:szCs w:val="18"/>
          <w:color w:val="auto"/>
        </w:rPr>
        <w:t>We and our officers, directors and holders of substantially all of our outstanding capital stock and other securities have agreed, subject to specified exceptions, not to directly or indirectly:</w:t>
      </w:r>
    </w:p>
    <w:p>
      <w:pPr>
        <w:spacing w:after="0" w:line="76" w:lineRule="exact"/>
        <w:rPr>
          <w:sz w:val="20"/>
          <w:szCs w:val="20"/>
          <w:color w:val="auto"/>
        </w:rPr>
      </w:pPr>
    </w:p>
    <w:p>
      <w:pPr>
        <w:ind w:left="1080" w:right="20" w:hanging="532"/>
        <w:spacing w:after="0" w:line="277" w:lineRule="auto"/>
        <w:tabs>
          <w:tab w:leader="none" w:pos="1080" w:val="left"/>
        </w:tabs>
        <w:numPr>
          <w:ilvl w:val="0"/>
          <w:numId w:val="51"/>
        </w:numPr>
        <w:rPr>
          <w:rFonts w:ascii="Arial" w:cs="Arial" w:eastAsia="Arial" w:hAnsi="Arial"/>
          <w:sz w:val="18"/>
          <w:szCs w:val="18"/>
          <w:color w:val="auto"/>
        </w:rPr>
      </w:pPr>
      <w:r>
        <w:rPr>
          <w:rFonts w:ascii="Arial" w:cs="Arial" w:eastAsia="Arial" w:hAnsi="Arial"/>
          <w:sz w:val="18"/>
          <w:szCs w:val="18"/>
          <w:color w:val="auto"/>
        </w:rPr>
        <w:t>sell, offer, contract or grant any option to sell (including any short sale), pledge, transfer, establish an open “put equivalent position” within the meaning of Rule 16a-l(h) under the Exchange Act,</w:t>
      </w:r>
    </w:p>
    <w:p>
      <w:pPr>
        <w:spacing w:after="0" w:line="75" w:lineRule="exact"/>
        <w:rPr>
          <w:rFonts w:ascii="Arial" w:cs="Arial" w:eastAsia="Arial" w:hAnsi="Arial"/>
          <w:sz w:val="18"/>
          <w:szCs w:val="18"/>
          <w:color w:val="auto"/>
        </w:rPr>
      </w:pPr>
    </w:p>
    <w:p>
      <w:pPr>
        <w:ind w:left="1080" w:hanging="532"/>
        <w:spacing w:after="0"/>
        <w:tabs>
          <w:tab w:leader="none" w:pos="1080" w:val="left"/>
        </w:tabs>
        <w:numPr>
          <w:ilvl w:val="0"/>
          <w:numId w:val="51"/>
        </w:numPr>
        <w:rPr>
          <w:rFonts w:ascii="Arial" w:cs="Arial" w:eastAsia="Arial" w:hAnsi="Arial"/>
          <w:sz w:val="16"/>
          <w:szCs w:val="16"/>
          <w:color w:val="auto"/>
        </w:rPr>
      </w:pPr>
      <w:r>
        <w:rPr>
          <w:rFonts w:ascii="Arial" w:cs="Arial" w:eastAsia="Arial" w:hAnsi="Arial"/>
          <w:sz w:val="16"/>
          <w:szCs w:val="16"/>
          <w:color w:val="auto"/>
        </w:rPr>
        <w:t>otherwise dispose of any shares of Class A common stock, options or warrants to acquire shares of Class A common stock, or securities</w:t>
      </w:r>
    </w:p>
    <w:p>
      <w:pPr>
        <w:spacing w:after="0" w:line="46" w:lineRule="exact"/>
        <w:rPr>
          <w:sz w:val="20"/>
          <w:szCs w:val="20"/>
          <w:color w:val="auto"/>
        </w:rPr>
      </w:pPr>
    </w:p>
    <w:p>
      <w:pPr>
        <w:ind w:left="1080"/>
        <w:spacing w:after="0"/>
        <w:rPr>
          <w:sz w:val="20"/>
          <w:szCs w:val="20"/>
          <w:color w:val="auto"/>
        </w:rPr>
      </w:pPr>
      <w:r>
        <w:rPr>
          <w:rFonts w:ascii="Arial" w:cs="Arial" w:eastAsia="Arial" w:hAnsi="Arial"/>
          <w:sz w:val="17"/>
          <w:szCs w:val="17"/>
          <w:color w:val="auto"/>
        </w:rPr>
        <w:t>exchangeable or exercisable for or convertible into shares of Class A common stock currently or hereafter owned either of record or</w:t>
      </w:r>
    </w:p>
    <w:p>
      <w:pPr>
        <w:spacing w:after="0" w:line="21" w:lineRule="exact"/>
        <w:rPr>
          <w:sz w:val="20"/>
          <w:szCs w:val="20"/>
          <w:color w:val="auto"/>
        </w:rPr>
      </w:pPr>
    </w:p>
    <w:p>
      <w:pPr>
        <w:ind w:left="1080" w:right="60"/>
        <w:spacing w:after="0" w:line="260" w:lineRule="auto"/>
        <w:rPr>
          <w:sz w:val="20"/>
          <w:szCs w:val="20"/>
          <w:color w:val="auto"/>
        </w:rPr>
      </w:pPr>
      <w:r>
        <w:rPr>
          <w:rFonts w:ascii="Arial" w:cs="Arial" w:eastAsia="Arial" w:hAnsi="Arial"/>
          <w:sz w:val="18"/>
          <w:szCs w:val="18"/>
          <w:color w:val="auto"/>
        </w:rPr>
        <w:t>beneficially, or publicly announce an intention to do any of the foregoing for a period of days after the date of this prospectus without the prior written consent of the representatives of the underwriters.</w:t>
      </w:r>
    </w:p>
    <w:p>
      <w:pPr>
        <w:spacing w:after="0" w:line="185" w:lineRule="exact"/>
        <w:rPr>
          <w:sz w:val="20"/>
          <w:szCs w:val="20"/>
          <w:color w:val="auto"/>
        </w:rPr>
      </w:pPr>
    </w:p>
    <w:p>
      <w:pPr>
        <w:ind w:left="120" w:firstLine="440"/>
        <w:spacing w:after="0" w:line="263" w:lineRule="auto"/>
        <w:rPr>
          <w:sz w:val="20"/>
          <w:szCs w:val="20"/>
          <w:color w:val="auto"/>
        </w:rPr>
      </w:pPr>
      <w:r>
        <w:rPr>
          <w:rFonts w:ascii="Arial" w:cs="Arial" w:eastAsia="Arial" w:hAnsi="Arial"/>
          <w:sz w:val="18"/>
          <w:szCs w:val="18"/>
          <w:color w:val="auto"/>
        </w:rPr>
        <w:t>This restriction terminates after the close of trading of the Class A common stock on and including the th day after the date of this prospectus. The representatives of the underwriters may, in their sole discretion and at any time or from time to time before the termination of the day period release all or any portion of the securities subject to lock-up agreements. See “Underwriting.”</w:t>
      </w:r>
    </w:p>
    <w:p>
      <w:pPr>
        <w:spacing w:after="0" w:line="184" w:lineRule="exact"/>
        <w:rPr>
          <w:sz w:val="20"/>
          <w:szCs w:val="20"/>
          <w:color w:val="auto"/>
        </w:rPr>
      </w:pPr>
    </w:p>
    <w:p>
      <w:pPr>
        <w:ind w:left="120" w:right="160" w:firstLine="440"/>
        <w:spacing w:after="0" w:line="263" w:lineRule="auto"/>
        <w:rPr>
          <w:sz w:val="20"/>
          <w:szCs w:val="20"/>
          <w:color w:val="auto"/>
        </w:rPr>
      </w:pPr>
      <w:r>
        <w:rPr>
          <w:rFonts w:ascii="Arial" w:cs="Arial" w:eastAsia="Arial" w:hAnsi="Arial"/>
          <w:sz w:val="18"/>
          <w:szCs w:val="18"/>
          <w:color w:val="auto"/>
        </w:rPr>
        <w:t>The market price of our Class A common stock may decline significantly when the restrictions on resale by our existing stockholders lapse. A decline in the price of our Class A common stock might impede our ability to raise capital through the issuance of additional Class A common stock or other equity securities.</w:t>
      </w:r>
    </w:p>
    <w:p>
      <w:pPr>
        <w:spacing w:after="0" w:line="292" w:lineRule="exact"/>
        <w:rPr>
          <w:sz w:val="20"/>
          <w:szCs w:val="20"/>
          <w:color w:val="auto"/>
        </w:rPr>
      </w:pPr>
    </w:p>
    <w:p>
      <w:pPr>
        <w:ind w:left="120" w:right="760"/>
        <w:spacing w:after="0" w:line="277" w:lineRule="auto"/>
        <w:rPr>
          <w:sz w:val="20"/>
          <w:szCs w:val="20"/>
          <w:color w:val="auto"/>
        </w:rPr>
      </w:pPr>
      <w:r>
        <w:rPr>
          <w:rFonts w:ascii="Arial" w:cs="Arial" w:eastAsia="Arial" w:hAnsi="Arial"/>
          <w:sz w:val="18"/>
          <w:szCs w:val="18"/>
          <w:b w:val="1"/>
          <w:bCs w:val="1"/>
          <w:i w:val="1"/>
          <w:iCs w:val="1"/>
          <w:color w:val="auto"/>
        </w:rPr>
        <w:t>The future issuance of additional Class A common stock in connection with any equity plans, acquisitions or otherwise will dilute all other stockholdings.</w:t>
      </w:r>
    </w:p>
    <w:p>
      <w:pPr>
        <w:spacing w:after="0" w:line="62" w:lineRule="exact"/>
        <w:rPr>
          <w:sz w:val="20"/>
          <w:szCs w:val="20"/>
          <w:color w:val="auto"/>
        </w:rPr>
      </w:pPr>
    </w:p>
    <w:p>
      <w:pPr>
        <w:ind w:left="120" w:right="20" w:firstLine="440"/>
        <w:spacing w:after="0" w:line="279" w:lineRule="auto"/>
        <w:rPr>
          <w:sz w:val="20"/>
          <w:szCs w:val="20"/>
          <w:color w:val="auto"/>
        </w:rPr>
      </w:pPr>
      <w:r>
        <w:rPr>
          <w:rFonts w:ascii="Arial" w:cs="Arial" w:eastAsia="Arial" w:hAnsi="Arial"/>
          <w:sz w:val="17"/>
          <w:szCs w:val="17"/>
          <w:color w:val="auto"/>
        </w:rPr>
        <w:t>After this offering, we will have an aggregate of shares of Class A common stock authorized but unissued and not reserved for issuance under our equity incentive plans. We may issue all these shares of Class A common stock without any action or approval by our stockholders, subject to certain exceptions. The issuance of any Class A common stock in connection with any equity incentive plan, the exercise of outstanding stock options or otherwise would dilute the percentage ownership held by the investors who purchase Class A common stock in this offering.</w:t>
      </w:r>
    </w:p>
    <w:p>
      <w:pPr>
        <w:spacing w:after="0" w:line="279" w:lineRule="exact"/>
        <w:rPr>
          <w:sz w:val="20"/>
          <w:szCs w:val="20"/>
          <w:color w:val="auto"/>
        </w:rPr>
      </w:pPr>
    </w:p>
    <w:p>
      <w:pPr>
        <w:ind w:left="120" w:right="40"/>
        <w:spacing w:after="0" w:line="277" w:lineRule="auto"/>
        <w:rPr>
          <w:sz w:val="20"/>
          <w:szCs w:val="20"/>
          <w:color w:val="auto"/>
        </w:rPr>
      </w:pPr>
      <w:r>
        <w:rPr>
          <w:rFonts w:ascii="Arial" w:cs="Arial" w:eastAsia="Arial" w:hAnsi="Arial"/>
          <w:sz w:val="18"/>
          <w:szCs w:val="18"/>
          <w:b w:val="1"/>
          <w:bCs w:val="1"/>
          <w:i w:val="1"/>
          <w:iCs w:val="1"/>
          <w:color w:val="auto"/>
        </w:rPr>
        <w:t>As a public company, we incur significant costs to comply with the laws and regulations affecting public companies, which could harm our business and results of operations.</w:t>
      </w:r>
    </w:p>
    <w:p>
      <w:pPr>
        <w:spacing w:after="0" w:line="62" w:lineRule="exact"/>
        <w:rPr>
          <w:sz w:val="20"/>
          <w:szCs w:val="20"/>
          <w:color w:val="auto"/>
        </w:rPr>
      </w:pPr>
    </w:p>
    <w:p>
      <w:pPr>
        <w:ind w:left="120" w:right="20" w:firstLine="440"/>
        <w:spacing w:after="0" w:line="269" w:lineRule="auto"/>
        <w:rPr>
          <w:sz w:val="20"/>
          <w:szCs w:val="20"/>
          <w:color w:val="auto"/>
        </w:rPr>
      </w:pPr>
      <w:r>
        <w:rPr>
          <w:rFonts w:ascii="Arial" w:cs="Arial" w:eastAsia="Arial" w:hAnsi="Arial"/>
          <w:sz w:val="17"/>
          <w:szCs w:val="17"/>
          <w:color w:val="auto"/>
        </w:rPr>
        <w:t>As a public company, we are subject to the reporting requirements of the Exchange Act, the Sarbanes-Oxley Act, and the listing requirements of Nasdaq, and other applicable securities rules and regulations. These rules and regulations have increased and will continue to increase our legal, accounting and financial compliance costs and have made and will continue to make some activities more time-consuming and costly, particularly after we cease to be an emerging growth company as defined in Section 2(a) of the Securities Act, as modified by the JOBS Act. For example, these rules and regulations could make it more difficult and more costly for us to obtain director and officer liability insurance, and we may be required to accept reduced policy limits and coverage or to incur substantial costs to maintain the same or similar coverage. These rules and regulations could also make it more difficult for us to attract and retain qualified persons to serve on our board or our board committees or as executive officers. Our management and other personnel devote a substantial amount of time to these compliance initiatives. As a result, management’s attention may be diverted from other business concerns, which could harm our business, financial condition and results of operations. We will need to hire more employees in the future to comply with these requirements, which will increase our costs and expenses.</w:t>
      </w:r>
    </w:p>
    <w:p>
      <w:pPr>
        <w:spacing w:after="0" w:line="185" w:lineRule="exact"/>
        <w:rPr>
          <w:sz w:val="20"/>
          <w:szCs w:val="20"/>
          <w:color w:val="auto"/>
        </w:rPr>
      </w:pPr>
    </w:p>
    <w:p>
      <w:pPr>
        <w:ind w:left="120" w:right="340" w:firstLine="440"/>
        <w:spacing w:after="0" w:line="277" w:lineRule="auto"/>
        <w:rPr>
          <w:sz w:val="20"/>
          <w:szCs w:val="20"/>
          <w:color w:val="auto"/>
        </w:rPr>
      </w:pPr>
      <w:r>
        <w:rPr>
          <w:rFonts w:ascii="Arial" w:cs="Arial" w:eastAsia="Arial" w:hAnsi="Arial"/>
          <w:sz w:val="18"/>
          <w:szCs w:val="18"/>
          <w:color w:val="auto"/>
        </w:rPr>
        <w:t>Our management team and other personnel devote a substantial amount of time to new compliance initiatives, and we may not successfully or efficiently manage our transition to a public company. To comply</w:t>
      </w:r>
    </w:p>
    <w:p>
      <w:pPr>
        <w:spacing w:after="0" w:line="103" w:lineRule="exact"/>
        <w:rPr>
          <w:sz w:val="20"/>
          <w:szCs w:val="20"/>
          <w:color w:val="auto"/>
        </w:rPr>
      </w:pPr>
    </w:p>
    <w:p>
      <w:pPr>
        <w:jc w:val="center"/>
        <w:ind w:right="-359"/>
        <w:spacing w:after="0"/>
        <w:rPr>
          <w:sz w:val="20"/>
          <w:szCs w:val="20"/>
          <w:color w:val="auto"/>
        </w:rPr>
      </w:pPr>
      <w:r>
        <w:rPr>
          <w:rFonts w:ascii="Arial" w:cs="Arial" w:eastAsia="Arial" w:hAnsi="Arial"/>
          <w:sz w:val="18"/>
          <w:szCs w:val="18"/>
          <w:color w:val="auto"/>
        </w:rPr>
        <w:t>63</w:t>
      </w:r>
    </w:p>
    <w:p>
      <w:pPr>
        <w:sectPr>
          <w:pgSz w:w="11900" w:h="16838" w:orient="portrait"/>
          <w:cols w:equalWidth="0" w:num="1">
            <w:col w:w="11120"/>
          </w:cols>
          <w:pgMar w:left="320" w:top="459" w:right="459" w:bottom="1440" w:gutter="0" w:footer="0" w:header="0"/>
        </w:sectPr>
      </w:pPr>
    </w:p>
    <w:bookmarkStart w:id="70" w:name="page71"/>
    <w:bookmarkEnd w:id="7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Confidential Treatment Requested by Definitive Healthcare Corp.</w:t>
      </w:r>
    </w:p>
    <w:p>
      <w:pPr>
        <w:spacing w:after="0" w:line="27"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Pursuant to 17 C.F.R. Section 200.83</w:t>
      </w:r>
    </w:p>
    <w:p>
      <w:pPr>
        <w:spacing w:after="0" w:line="143" w:lineRule="exact"/>
        <w:rPr>
          <w:sz w:val="20"/>
          <w:szCs w:val="20"/>
          <w:color w:val="auto"/>
        </w:rPr>
      </w:pPr>
    </w:p>
    <w:p>
      <w:pPr>
        <w:jc w:val="both"/>
        <w:ind w:left="120" w:right="220"/>
        <w:spacing w:after="0" w:line="263" w:lineRule="auto"/>
        <w:rPr>
          <w:sz w:val="20"/>
          <w:szCs w:val="20"/>
          <w:color w:val="auto"/>
        </w:rPr>
      </w:pPr>
      <w:r>
        <w:rPr>
          <w:rFonts w:ascii="Arial" w:cs="Arial" w:eastAsia="Arial" w:hAnsi="Arial"/>
          <w:sz w:val="18"/>
          <w:szCs w:val="18"/>
          <w:color w:val="auto"/>
        </w:rPr>
        <w:t>with the requirements of being a public company, including the Sarbanes-Oxley Act, we will need to undertake various actions, such as implementing new internal controls and procedures and hiring accounting or internal audit staff or outsourcing certain functions to third parties, which could have a material adverse effect on our business, financial condition and results of operations.</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Our current resources may not be sufficient to fulfill our public company obligations.</w:t>
      </w:r>
    </w:p>
    <w:p>
      <w:pPr>
        <w:spacing w:after="0" w:line="117" w:lineRule="exact"/>
        <w:rPr>
          <w:sz w:val="20"/>
          <w:szCs w:val="20"/>
          <w:color w:val="auto"/>
        </w:rPr>
      </w:pPr>
    </w:p>
    <w:p>
      <w:pPr>
        <w:ind w:left="120" w:right="140" w:firstLine="440"/>
        <w:spacing w:after="0" w:line="272" w:lineRule="auto"/>
        <w:rPr>
          <w:sz w:val="20"/>
          <w:szCs w:val="20"/>
          <w:color w:val="auto"/>
        </w:rPr>
      </w:pPr>
      <w:r>
        <w:rPr>
          <w:rFonts w:ascii="Arial" w:cs="Arial" w:eastAsia="Arial" w:hAnsi="Arial"/>
          <w:sz w:val="17"/>
          <w:szCs w:val="17"/>
          <w:color w:val="auto"/>
        </w:rPr>
        <w:t>As a public company, we are subject to various regulatory requirements, including those of the SEC and Nasdaq. These requirements include record keeping, financial reporting and corporate governance rules and regulations. Historically, our management team has not had the resources typically found in a public company. Our internal infrastructure may not be adequate to support our increased reporting obligations and we may be unable to hire, train or retain necessary staff and may be reliant on engaging outside consultants or professionals to overcome our lack of experience or employees. If our internal infrastructure is inadequate, we are unable to engage outside consultants at a reasonable rate or attract talented employees to perform these functions or are otherwise unable to fulfill our public company obligations, it could have a material adverse effect on our business, financial condition and results of operations.</w:t>
      </w:r>
    </w:p>
    <w:p>
      <w:pPr>
        <w:spacing w:after="0" w:line="285" w:lineRule="exact"/>
        <w:rPr>
          <w:sz w:val="20"/>
          <w:szCs w:val="20"/>
          <w:color w:val="auto"/>
        </w:rPr>
      </w:pPr>
    </w:p>
    <w:p>
      <w:pPr>
        <w:ind w:left="120" w:right="60"/>
        <w:spacing w:after="0" w:line="308" w:lineRule="auto"/>
        <w:rPr>
          <w:sz w:val="20"/>
          <w:szCs w:val="20"/>
          <w:color w:val="auto"/>
        </w:rPr>
      </w:pPr>
      <w:r>
        <w:rPr>
          <w:rFonts w:ascii="Arial" w:cs="Arial" w:eastAsia="Arial" w:hAnsi="Arial"/>
          <w:sz w:val="17"/>
          <w:szCs w:val="17"/>
          <w:b w:val="1"/>
          <w:bCs w:val="1"/>
          <w:i w:val="1"/>
          <w:iCs w:val="1"/>
          <w:color w:val="auto"/>
        </w:rPr>
        <w:t>For as long as we are an emerging growth company, we will not be required to comply with certain reporting requirements, including those relating to accounting standards and disclosure about our executive compensation, that apply to other public companies.</w:t>
      </w:r>
    </w:p>
    <w:p>
      <w:pPr>
        <w:spacing w:after="0" w:line="38" w:lineRule="exact"/>
        <w:rPr>
          <w:sz w:val="20"/>
          <w:szCs w:val="20"/>
          <w:color w:val="auto"/>
        </w:rPr>
      </w:pPr>
    </w:p>
    <w:p>
      <w:pPr>
        <w:ind w:left="120" w:right="40" w:firstLine="440"/>
        <w:spacing w:after="0" w:line="291" w:lineRule="auto"/>
        <w:rPr>
          <w:sz w:val="20"/>
          <w:szCs w:val="20"/>
          <w:color w:val="auto"/>
        </w:rPr>
      </w:pPr>
      <w:r>
        <w:rPr>
          <w:rFonts w:ascii="Arial" w:cs="Arial" w:eastAsia="Arial" w:hAnsi="Arial"/>
          <w:sz w:val="16"/>
          <w:szCs w:val="16"/>
          <w:color w:val="auto"/>
        </w:rPr>
        <w:t>We are an emerging growth company, as defined in Section 2(a) of the Securities Act, as modified by the JOBS Act. As such, we are eligible to take advantage of certain exemptions from various reporting requirements that are applicable to other public companies that are not emerging growth companies, including, but not limited to, not being required to comply with the auditor attestation requirements of Section 404(b) of the Sarbanes-Oxley Act, reduced disclosure obligations regarding executive compensation in our periodic reports and proxy statements, and exemptions from the requirements of holding a non-binding advisory vote on executive compensation and of stockholder approval of any golden parachute payments not previously approved. We may take advantage of some of these exemptions. If we do, we do not know if some investors will find our Class A common stock less attractive as a result. The result may be a less-active trading market for our Class A common stock and our stock price may be more volatile.</w:t>
      </w:r>
    </w:p>
    <w:p>
      <w:pPr>
        <w:spacing w:after="0" w:line="166" w:lineRule="exact"/>
        <w:rPr>
          <w:sz w:val="20"/>
          <w:szCs w:val="20"/>
          <w:color w:val="auto"/>
        </w:rPr>
      </w:pPr>
    </w:p>
    <w:p>
      <w:pPr>
        <w:ind w:left="120" w:right="200" w:firstLine="440"/>
        <w:spacing w:after="0" w:line="257" w:lineRule="auto"/>
        <w:rPr>
          <w:sz w:val="20"/>
          <w:szCs w:val="20"/>
          <w:color w:val="auto"/>
        </w:rPr>
      </w:pPr>
      <w:r>
        <w:rPr>
          <w:rFonts w:ascii="Arial" w:cs="Arial" w:eastAsia="Arial" w:hAnsi="Arial"/>
          <w:sz w:val="18"/>
          <w:szCs w:val="18"/>
          <w:color w:val="auto"/>
        </w:rPr>
        <w:t>In addition, Section 107 of the JOBS Act provides that an emerging growth company can take advantage of the extended transition period provided in Section 7(a)(2)(B) of the Securities Act for complying with new or revised accounting standards. In other words, an emerging growth company can delay the adoption of certain accounting standards until those standards would otherwise apply to private companies. If we elect not to avail ourselves of this exemption, we will be subject to the same new or revised accounting standards as other public companies that are not emerging growth companies.</w:t>
      </w:r>
    </w:p>
    <w:p>
      <w:pPr>
        <w:spacing w:after="0" w:line="188" w:lineRule="exact"/>
        <w:rPr>
          <w:sz w:val="20"/>
          <w:szCs w:val="20"/>
          <w:color w:val="auto"/>
        </w:rPr>
      </w:pPr>
    </w:p>
    <w:p>
      <w:pPr>
        <w:ind w:left="120" w:firstLine="440"/>
        <w:spacing w:after="0" w:line="257" w:lineRule="auto"/>
        <w:rPr>
          <w:sz w:val="20"/>
          <w:szCs w:val="20"/>
          <w:color w:val="auto"/>
        </w:rPr>
      </w:pPr>
      <w:r>
        <w:rPr>
          <w:rFonts w:ascii="Arial" w:cs="Arial" w:eastAsia="Arial" w:hAnsi="Arial"/>
          <w:sz w:val="18"/>
          <w:szCs w:val="18"/>
          <w:color w:val="auto"/>
        </w:rPr>
        <w:t>We could remain an emerging growth company for up to five years or until the earliest of (a) the last day of the first fiscal year in which our annual gross revenues exceed $1.07 billion, (b) the date that we become a large accelerated filer as defined in Rule 12b-2 under the Exchange Act, which would occur if the market value of our common stock that is held by non-affiliates exceeds $700 million as of the last business day of our most recently completed second fiscal quarter, or (c) the date on which we have issued more than $1 billion in non-convertible debt securities in the preceding three-year period.</w:t>
      </w:r>
    </w:p>
    <w:p>
      <w:pPr>
        <w:spacing w:after="0" w:line="296" w:lineRule="exact"/>
        <w:rPr>
          <w:sz w:val="20"/>
          <w:szCs w:val="20"/>
          <w:color w:val="auto"/>
        </w:rPr>
      </w:pPr>
    </w:p>
    <w:p>
      <w:pPr>
        <w:ind w:left="120" w:right="200"/>
        <w:spacing w:after="0" w:line="277" w:lineRule="auto"/>
        <w:rPr>
          <w:sz w:val="20"/>
          <w:szCs w:val="20"/>
          <w:color w:val="auto"/>
        </w:rPr>
      </w:pPr>
      <w:r>
        <w:rPr>
          <w:rFonts w:ascii="Arial" w:cs="Arial" w:eastAsia="Arial" w:hAnsi="Arial"/>
          <w:sz w:val="18"/>
          <w:szCs w:val="18"/>
          <w:b w:val="1"/>
          <w:bCs w:val="1"/>
          <w:i w:val="1"/>
          <w:iCs w:val="1"/>
          <w:color w:val="auto"/>
        </w:rPr>
        <w:t>Delaware law and our organizational documents, as well as our existing and future debt agreements, may impede or discourage a takeover, which could deprive our investors of the opportunity to receive a premium for their shares.</w:t>
      </w:r>
    </w:p>
    <w:p>
      <w:pPr>
        <w:spacing w:after="0" w:line="62" w:lineRule="exact"/>
        <w:rPr>
          <w:sz w:val="20"/>
          <w:szCs w:val="20"/>
          <w:color w:val="auto"/>
        </w:rPr>
      </w:pPr>
    </w:p>
    <w:p>
      <w:pPr>
        <w:ind w:left="120" w:right="300" w:firstLine="440"/>
        <w:spacing w:after="0" w:line="277" w:lineRule="auto"/>
        <w:rPr>
          <w:sz w:val="20"/>
          <w:szCs w:val="20"/>
          <w:color w:val="auto"/>
        </w:rPr>
      </w:pPr>
      <w:r>
        <w:rPr>
          <w:rFonts w:ascii="Arial" w:cs="Arial" w:eastAsia="Arial" w:hAnsi="Arial"/>
          <w:sz w:val="18"/>
          <w:szCs w:val="18"/>
          <w:color w:val="auto"/>
        </w:rPr>
        <w:t>We are a Delaware corporation, and the anti-takeover provisions of Delaware law impose various impediments to the ability of a third-party to acquire control of us, even if a change of control would be</w:t>
      </w:r>
    </w:p>
    <w:p>
      <w:pPr>
        <w:spacing w:after="0" w:line="103" w:lineRule="exact"/>
        <w:rPr>
          <w:sz w:val="20"/>
          <w:szCs w:val="20"/>
          <w:color w:val="auto"/>
        </w:rPr>
      </w:pPr>
    </w:p>
    <w:p>
      <w:pPr>
        <w:jc w:val="center"/>
        <w:ind w:right="-359"/>
        <w:spacing w:after="0"/>
        <w:rPr>
          <w:sz w:val="20"/>
          <w:szCs w:val="20"/>
          <w:color w:val="auto"/>
        </w:rPr>
      </w:pPr>
      <w:r>
        <w:rPr>
          <w:rFonts w:ascii="Arial" w:cs="Arial" w:eastAsia="Arial" w:hAnsi="Arial"/>
          <w:sz w:val="18"/>
          <w:szCs w:val="18"/>
          <w:color w:val="auto"/>
        </w:rPr>
        <w:t>64</w:t>
      </w:r>
    </w:p>
    <w:p>
      <w:pPr>
        <w:sectPr>
          <w:pgSz w:w="11900" w:h="16838" w:orient="portrait"/>
          <w:cols w:equalWidth="0" w:num="1">
            <w:col w:w="11120"/>
          </w:cols>
          <w:pgMar w:left="320" w:top="459" w:right="459" w:bottom="1440" w:gutter="0" w:footer="0" w:header="0"/>
        </w:sectPr>
      </w:pPr>
    </w:p>
    <w:bookmarkStart w:id="71" w:name="page72"/>
    <w:bookmarkEnd w:id="7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Confidential Treatment Requested by Definitive Healthcare Corp.</w:t>
      </w:r>
    </w:p>
    <w:p>
      <w:pPr>
        <w:spacing w:after="0" w:line="27"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Pursuant to 17 C.F.R. Section 200.83</w:t>
      </w:r>
    </w:p>
    <w:p>
      <w:pPr>
        <w:spacing w:after="0" w:line="143" w:lineRule="exact"/>
        <w:rPr>
          <w:sz w:val="20"/>
          <w:szCs w:val="20"/>
          <w:color w:val="auto"/>
        </w:rPr>
      </w:pPr>
    </w:p>
    <w:p>
      <w:pPr>
        <w:ind w:left="120"/>
        <w:spacing w:after="0" w:line="263" w:lineRule="auto"/>
        <w:rPr>
          <w:sz w:val="20"/>
          <w:szCs w:val="20"/>
          <w:color w:val="auto"/>
        </w:rPr>
      </w:pPr>
      <w:r>
        <w:rPr>
          <w:rFonts w:ascii="Arial" w:cs="Arial" w:eastAsia="Arial" w:hAnsi="Arial"/>
          <w:sz w:val="18"/>
          <w:szCs w:val="18"/>
          <w:color w:val="auto"/>
        </w:rPr>
        <w:t>beneficial to our existing stockholders. In addition, provisions of our amended and restated certificate of incorporation and amended and restated bylaws may make it more difficult for, or prevent a third-party from, acquiring control of us without the approval of our Board. Among other things, these provisions generally:</w:t>
      </w:r>
    </w:p>
    <w:p>
      <w:pPr>
        <w:spacing w:after="0" w:line="89" w:lineRule="exact"/>
        <w:rPr>
          <w:sz w:val="20"/>
          <w:szCs w:val="20"/>
          <w:color w:val="auto"/>
        </w:rPr>
      </w:pPr>
    </w:p>
    <w:p>
      <w:pPr>
        <w:ind w:left="1080" w:hanging="532"/>
        <w:spacing w:after="0"/>
        <w:tabs>
          <w:tab w:leader="none" w:pos="1080" w:val="left"/>
        </w:tabs>
        <w:numPr>
          <w:ilvl w:val="0"/>
          <w:numId w:val="52"/>
        </w:numPr>
        <w:rPr>
          <w:rFonts w:ascii="Arial" w:cs="Arial" w:eastAsia="Arial" w:hAnsi="Arial"/>
          <w:sz w:val="18"/>
          <w:szCs w:val="18"/>
          <w:color w:val="auto"/>
        </w:rPr>
      </w:pPr>
      <w:r>
        <w:rPr>
          <w:rFonts w:ascii="Arial" w:cs="Arial" w:eastAsia="Arial" w:hAnsi="Arial"/>
          <w:sz w:val="18"/>
          <w:szCs w:val="18"/>
          <w:color w:val="auto"/>
        </w:rPr>
        <w:t>provide for a classified Board with staggered three-year terms;</w:t>
      </w:r>
    </w:p>
    <w:p>
      <w:pPr>
        <w:spacing w:after="0" w:line="130" w:lineRule="exact"/>
        <w:rPr>
          <w:rFonts w:ascii="Arial" w:cs="Arial" w:eastAsia="Arial" w:hAnsi="Arial"/>
          <w:sz w:val="18"/>
          <w:szCs w:val="18"/>
          <w:color w:val="auto"/>
        </w:rPr>
      </w:pPr>
    </w:p>
    <w:p>
      <w:pPr>
        <w:ind w:left="1080" w:right="380" w:hanging="532"/>
        <w:spacing w:after="0" w:line="277" w:lineRule="auto"/>
        <w:tabs>
          <w:tab w:leader="none" w:pos="1080" w:val="left"/>
        </w:tabs>
        <w:numPr>
          <w:ilvl w:val="0"/>
          <w:numId w:val="52"/>
        </w:numPr>
        <w:rPr>
          <w:rFonts w:ascii="Arial" w:cs="Arial" w:eastAsia="Arial" w:hAnsi="Arial"/>
          <w:sz w:val="18"/>
          <w:szCs w:val="18"/>
          <w:color w:val="auto"/>
        </w:rPr>
      </w:pPr>
      <w:r>
        <w:rPr>
          <w:rFonts w:ascii="Arial" w:cs="Arial" w:eastAsia="Arial" w:hAnsi="Arial"/>
          <w:sz w:val="18"/>
          <w:szCs w:val="18"/>
          <w:color w:val="auto"/>
        </w:rPr>
        <w:t>do not permit cumulative voting in the election of directors, which would otherwise allow less than a majority of stockholders to elect director candidates;</w:t>
      </w:r>
    </w:p>
    <w:p>
      <w:pPr>
        <w:spacing w:after="0" w:line="75" w:lineRule="exact"/>
        <w:rPr>
          <w:rFonts w:ascii="Arial" w:cs="Arial" w:eastAsia="Arial" w:hAnsi="Arial"/>
          <w:sz w:val="18"/>
          <w:szCs w:val="18"/>
          <w:color w:val="auto"/>
        </w:rPr>
      </w:pPr>
    </w:p>
    <w:p>
      <w:pPr>
        <w:ind w:left="1080" w:hanging="532"/>
        <w:spacing w:after="0"/>
        <w:tabs>
          <w:tab w:leader="none" w:pos="1080" w:val="left"/>
        </w:tabs>
        <w:numPr>
          <w:ilvl w:val="0"/>
          <w:numId w:val="52"/>
        </w:numPr>
        <w:rPr>
          <w:rFonts w:ascii="Arial" w:cs="Arial" w:eastAsia="Arial" w:hAnsi="Arial"/>
          <w:sz w:val="18"/>
          <w:szCs w:val="18"/>
          <w:color w:val="auto"/>
        </w:rPr>
      </w:pPr>
      <w:r>
        <w:rPr>
          <w:rFonts w:ascii="Arial" w:cs="Arial" w:eastAsia="Arial" w:hAnsi="Arial"/>
          <w:sz w:val="18"/>
          <w:szCs w:val="18"/>
          <w:color w:val="auto"/>
        </w:rPr>
        <w:t>delegate the sole power of a majority of the Board to fix the number of directors;</w:t>
      </w:r>
    </w:p>
    <w:p>
      <w:pPr>
        <w:spacing w:after="0" w:line="130" w:lineRule="exact"/>
        <w:rPr>
          <w:rFonts w:ascii="Arial" w:cs="Arial" w:eastAsia="Arial" w:hAnsi="Arial"/>
          <w:sz w:val="18"/>
          <w:szCs w:val="18"/>
          <w:color w:val="auto"/>
        </w:rPr>
      </w:pPr>
    </w:p>
    <w:p>
      <w:pPr>
        <w:ind w:left="1080" w:right="200" w:hanging="532"/>
        <w:spacing w:after="0" w:line="277" w:lineRule="auto"/>
        <w:tabs>
          <w:tab w:leader="none" w:pos="1080" w:val="left"/>
        </w:tabs>
        <w:numPr>
          <w:ilvl w:val="0"/>
          <w:numId w:val="52"/>
        </w:numPr>
        <w:rPr>
          <w:rFonts w:ascii="Arial" w:cs="Arial" w:eastAsia="Arial" w:hAnsi="Arial"/>
          <w:sz w:val="18"/>
          <w:szCs w:val="18"/>
          <w:color w:val="auto"/>
        </w:rPr>
      </w:pPr>
      <w:r>
        <w:rPr>
          <w:rFonts w:ascii="Arial" w:cs="Arial" w:eastAsia="Arial" w:hAnsi="Arial"/>
          <w:sz w:val="18"/>
          <w:szCs w:val="18"/>
          <w:color w:val="auto"/>
        </w:rPr>
        <w:t>provide that the Board has the sole power to fill any vacancy on our Board, whether such vacancy occurs as a result of an increase in the number of directors or otherwise;</w:t>
      </w:r>
    </w:p>
    <w:p>
      <w:pPr>
        <w:spacing w:after="0" w:line="75" w:lineRule="exact"/>
        <w:rPr>
          <w:rFonts w:ascii="Arial" w:cs="Arial" w:eastAsia="Arial" w:hAnsi="Arial"/>
          <w:sz w:val="18"/>
          <w:szCs w:val="18"/>
          <w:color w:val="auto"/>
        </w:rPr>
      </w:pPr>
    </w:p>
    <w:p>
      <w:pPr>
        <w:ind w:left="1080" w:hanging="532"/>
        <w:spacing w:after="0"/>
        <w:tabs>
          <w:tab w:leader="none" w:pos="1080" w:val="left"/>
        </w:tabs>
        <w:numPr>
          <w:ilvl w:val="0"/>
          <w:numId w:val="52"/>
        </w:numPr>
        <w:rPr>
          <w:rFonts w:ascii="Arial" w:cs="Arial" w:eastAsia="Arial" w:hAnsi="Arial"/>
          <w:sz w:val="18"/>
          <w:szCs w:val="18"/>
          <w:color w:val="auto"/>
        </w:rPr>
      </w:pPr>
      <w:r>
        <w:rPr>
          <w:rFonts w:ascii="Arial" w:cs="Arial" w:eastAsia="Arial" w:hAnsi="Arial"/>
          <w:sz w:val="18"/>
          <w:szCs w:val="18"/>
          <w:color w:val="auto"/>
        </w:rPr>
        <w:t>authorize the issuance of preferred stock without any need for action by stockholders;</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52"/>
        </w:numPr>
        <w:rPr>
          <w:rFonts w:ascii="Arial" w:cs="Arial" w:eastAsia="Arial" w:hAnsi="Arial"/>
          <w:sz w:val="18"/>
          <w:szCs w:val="18"/>
          <w:color w:val="auto"/>
        </w:rPr>
      </w:pPr>
      <w:r>
        <w:rPr>
          <w:rFonts w:ascii="Arial" w:cs="Arial" w:eastAsia="Arial" w:hAnsi="Arial"/>
          <w:sz w:val="18"/>
          <w:szCs w:val="18"/>
          <w:color w:val="auto"/>
        </w:rPr>
        <w:t>do not permit stockholders to call special meetings of stockholders;</w:t>
      </w:r>
    </w:p>
    <w:p>
      <w:pPr>
        <w:spacing w:after="0" w:line="130" w:lineRule="exact"/>
        <w:rPr>
          <w:rFonts w:ascii="Arial" w:cs="Arial" w:eastAsia="Arial" w:hAnsi="Arial"/>
          <w:sz w:val="18"/>
          <w:szCs w:val="18"/>
          <w:color w:val="auto"/>
        </w:rPr>
      </w:pPr>
    </w:p>
    <w:p>
      <w:pPr>
        <w:ind w:left="1080" w:right="560" w:hanging="532"/>
        <w:spacing w:after="0" w:line="263" w:lineRule="auto"/>
        <w:tabs>
          <w:tab w:leader="none" w:pos="1080" w:val="left"/>
        </w:tabs>
        <w:numPr>
          <w:ilvl w:val="0"/>
          <w:numId w:val="52"/>
        </w:numPr>
        <w:rPr>
          <w:rFonts w:ascii="Arial" w:cs="Arial" w:eastAsia="Arial" w:hAnsi="Arial"/>
          <w:sz w:val="18"/>
          <w:szCs w:val="18"/>
          <w:color w:val="auto"/>
        </w:rPr>
      </w:pPr>
      <w:r>
        <w:rPr>
          <w:rFonts w:ascii="Arial" w:cs="Arial" w:eastAsia="Arial" w:hAnsi="Arial"/>
          <w:sz w:val="18"/>
          <w:szCs w:val="18"/>
          <w:color w:val="auto"/>
        </w:rPr>
        <w:t>prohibit our stockholders from acting by written consent once Advent’s ownership falls below 30%; and establish advance notice requirements for nominations for election to our Board or for proposing matters that can be acted on by stockholders at stockholder meetings.</w:t>
      </w:r>
    </w:p>
    <w:p>
      <w:pPr>
        <w:spacing w:after="0" w:line="184" w:lineRule="exact"/>
        <w:rPr>
          <w:sz w:val="20"/>
          <w:szCs w:val="20"/>
          <w:color w:val="auto"/>
        </w:rPr>
      </w:pPr>
    </w:p>
    <w:p>
      <w:pPr>
        <w:ind w:left="120" w:right="160" w:firstLine="440"/>
        <w:spacing w:after="0" w:line="286" w:lineRule="auto"/>
        <w:rPr>
          <w:sz w:val="20"/>
          <w:szCs w:val="20"/>
          <w:color w:val="auto"/>
        </w:rPr>
      </w:pPr>
      <w:r>
        <w:rPr>
          <w:rFonts w:ascii="Arial" w:cs="Arial" w:eastAsia="Arial" w:hAnsi="Arial"/>
          <w:sz w:val="17"/>
          <w:szCs w:val="17"/>
          <w:color w:val="auto"/>
        </w:rPr>
        <w:t>In addition, our Credit Agreement imposes, and we anticipate that documents governing our future indebtedness may impose, limitations on our ability to enter into change of control transactions. The occurrence of a change of control transaction could constitute an event of default thereunder permitting acceleration of the indebtedness, thereby impeding our ability to enter into certain transactions.</w:t>
      </w:r>
    </w:p>
    <w:p>
      <w:pPr>
        <w:spacing w:after="0" w:line="165" w:lineRule="exact"/>
        <w:rPr>
          <w:sz w:val="20"/>
          <w:szCs w:val="20"/>
          <w:color w:val="auto"/>
        </w:rPr>
      </w:pPr>
    </w:p>
    <w:p>
      <w:pPr>
        <w:ind w:left="120" w:right="120" w:firstLine="440"/>
        <w:spacing w:after="0" w:line="263" w:lineRule="auto"/>
        <w:rPr>
          <w:sz w:val="20"/>
          <w:szCs w:val="20"/>
          <w:color w:val="auto"/>
        </w:rPr>
      </w:pPr>
      <w:r>
        <w:rPr>
          <w:rFonts w:ascii="Arial" w:cs="Arial" w:eastAsia="Arial" w:hAnsi="Arial"/>
          <w:sz w:val="18"/>
          <w:szCs w:val="18"/>
          <w:color w:val="auto"/>
        </w:rPr>
        <w:t>The foregoing factors, as well as the significant Class A common stock ownership by Advent, could impede a merger, takeover or other business combination, or discourage a potential investor from making a tender offer for our Class A common stock, which, under certain circumstances, could reduce the market value of our Class A common stock. See “Description of Capital Stock.”</w:t>
      </w:r>
    </w:p>
    <w:p>
      <w:pPr>
        <w:spacing w:after="0" w:line="292" w:lineRule="exact"/>
        <w:rPr>
          <w:sz w:val="20"/>
          <w:szCs w:val="20"/>
          <w:color w:val="auto"/>
        </w:rPr>
      </w:pPr>
    </w:p>
    <w:p>
      <w:pPr>
        <w:ind w:left="120" w:right="100"/>
        <w:spacing w:after="0" w:line="277" w:lineRule="auto"/>
        <w:rPr>
          <w:sz w:val="20"/>
          <w:szCs w:val="20"/>
          <w:color w:val="auto"/>
        </w:rPr>
      </w:pPr>
      <w:r>
        <w:rPr>
          <w:rFonts w:ascii="Arial" w:cs="Arial" w:eastAsia="Arial" w:hAnsi="Arial"/>
          <w:sz w:val="18"/>
          <w:szCs w:val="18"/>
          <w:b w:val="1"/>
          <w:bCs w:val="1"/>
          <w:i w:val="1"/>
          <w:iCs w:val="1"/>
          <w:color w:val="auto"/>
        </w:rPr>
        <w:t>Claims for indemnification by our directors and officers may reduce our available funds to satisfy successful third-party claims against us and may reduce the amount of money available to us.</w:t>
      </w:r>
    </w:p>
    <w:p>
      <w:pPr>
        <w:spacing w:after="0" w:line="62" w:lineRule="exact"/>
        <w:rPr>
          <w:sz w:val="20"/>
          <w:szCs w:val="20"/>
          <w:color w:val="auto"/>
        </w:rPr>
      </w:pPr>
    </w:p>
    <w:p>
      <w:pPr>
        <w:ind w:left="120" w:right="40" w:firstLine="440"/>
        <w:spacing w:after="0" w:line="285" w:lineRule="auto"/>
        <w:rPr>
          <w:sz w:val="20"/>
          <w:szCs w:val="20"/>
          <w:color w:val="auto"/>
        </w:rPr>
      </w:pPr>
      <w:r>
        <w:rPr>
          <w:rFonts w:ascii="Arial" w:cs="Arial" w:eastAsia="Arial" w:hAnsi="Arial"/>
          <w:sz w:val="16"/>
          <w:szCs w:val="16"/>
          <w:color w:val="auto"/>
        </w:rPr>
        <w:t>Our amended and restated certificate of incorporation and amended and restated bylaws provide that we will indemnify our directors and officers, in each case, to the fullest extent permitted by Delaware law. Pursuant to our charter, our directors will not be liable to us or any stockholders for monetary damages for any breach of fiduciary duty, except (i) for acts that breach his or her duty of loyalty to us or our stockholders, (ii) for acts or omissions not in good faith or which involve intentional misconduct or a knowing violation of the law, (iii) pursuant to Section 174 of the Delaware General Corporate Law (the “DGCL”), which provides for liability of directors for unlawful payments of dividends of unlawful stock purchase, or</w:t>
      </w:r>
    </w:p>
    <w:p>
      <w:pPr>
        <w:spacing w:after="0" w:line="2" w:lineRule="exact"/>
        <w:rPr>
          <w:sz w:val="20"/>
          <w:szCs w:val="20"/>
          <w:color w:val="auto"/>
        </w:rPr>
      </w:pPr>
    </w:p>
    <w:p>
      <w:pPr>
        <w:ind w:left="120" w:right="80" w:hanging="4"/>
        <w:spacing w:after="0" w:line="253" w:lineRule="auto"/>
        <w:tabs>
          <w:tab w:leader="none" w:pos="425" w:val="left"/>
        </w:tabs>
        <w:numPr>
          <w:ilvl w:val="0"/>
          <w:numId w:val="53"/>
        </w:numPr>
        <w:rPr>
          <w:rFonts w:ascii="Arial" w:cs="Arial" w:eastAsia="Arial" w:hAnsi="Arial"/>
          <w:sz w:val="18"/>
          <w:szCs w:val="18"/>
          <w:color w:val="auto"/>
        </w:rPr>
      </w:pPr>
      <w:r>
        <w:rPr>
          <w:rFonts w:ascii="Arial" w:cs="Arial" w:eastAsia="Arial" w:hAnsi="Arial"/>
          <w:sz w:val="18"/>
          <w:szCs w:val="18"/>
          <w:color w:val="auto"/>
        </w:rPr>
        <w:t>for any transaction from which the director derived an improper personal benefit. The amended and restated bylaws also require us, if so requested, to advance expenses that such director or officer incurred in defending or investigating a threatened or pending action, suit or proceeding, provided that such person will return any such advance if it is ultimately determined that such person is not entitled to indemnification by us. Any claims for indemnification by our directors and officers may reduce our available funds to satisfy successful third-party claims against us and may reduce the amount of money available to us.</w:t>
      </w:r>
    </w:p>
    <w:p>
      <w:pPr>
        <w:spacing w:after="0" w:line="123" w:lineRule="exact"/>
        <w:rPr>
          <w:sz w:val="20"/>
          <w:szCs w:val="20"/>
          <w:color w:val="auto"/>
        </w:rPr>
      </w:pPr>
    </w:p>
    <w:p>
      <w:pPr>
        <w:jc w:val="center"/>
        <w:ind w:right="-379"/>
        <w:spacing w:after="0"/>
        <w:rPr>
          <w:sz w:val="20"/>
          <w:szCs w:val="20"/>
          <w:color w:val="auto"/>
        </w:rPr>
      </w:pPr>
      <w:r>
        <w:rPr>
          <w:rFonts w:ascii="Arial" w:cs="Arial" w:eastAsia="Arial" w:hAnsi="Arial"/>
          <w:sz w:val="18"/>
          <w:szCs w:val="18"/>
          <w:color w:val="auto"/>
        </w:rPr>
        <w:t>65</w:t>
      </w:r>
    </w:p>
    <w:p>
      <w:pPr>
        <w:sectPr>
          <w:pgSz w:w="11900" w:h="16838" w:orient="portrait"/>
          <w:cols w:equalWidth="0" w:num="1">
            <w:col w:w="11100"/>
          </w:cols>
          <w:pgMar w:left="320" w:top="459" w:right="479" w:bottom="1440" w:gutter="0" w:footer="0" w:header="0"/>
        </w:sectPr>
      </w:pPr>
    </w:p>
    <w:bookmarkStart w:id="72" w:name="page73"/>
    <w:bookmarkEnd w:id="7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Confidential Treatment Requested by Definitive Healthcare Corp.</w:t>
      </w:r>
    </w:p>
    <w:p>
      <w:pPr>
        <w:spacing w:after="0" w:line="27"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Pursuant to 17 C.F.R. Section 200.83</w:t>
      </w:r>
    </w:p>
    <w:p>
      <w:pPr>
        <w:spacing w:after="0" w:line="143" w:lineRule="exact"/>
        <w:rPr>
          <w:sz w:val="20"/>
          <w:szCs w:val="20"/>
          <w:color w:val="auto"/>
        </w:rPr>
      </w:pPr>
    </w:p>
    <w:p>
      <w:pPr>
        <w:ind w:left="120"/>
        <w:spacing w:after="0" w:line="301" w:lineRule="auto"/>
        <w:rPr>
          <w:sz w:val="20"/>
          <w:szCs w:val="20"/>
          <w:color w:val="auto"/>
        </w:rPr>
      </w:pPr>
      <w:r>
        <w:rPr>
          <w:rFonts w:ascii="Arial" w:cs="Arial" w:eastAsia="Arial" w:hAnsi="Arial"/>
          <w:sz w:val="16"/>
          <w:szCs w:val="16"/>
          <w:b w:val="1"/>
          <w:bCs w:val="1"/>
          <w:i w:val="1"/>
          <w:iCs w:val="1"/>
          <w:color w:val="auto"/>
        </w:rPr>
        <w:t>Our amended and restated certificate of incorporation designates the Court of Chancery of the State of Delaware as the sole and exclusive forum for certain types of actions and proceedings that may be initiated by our stockholders, and designates the federal district courts of the United States as the sole and exclusive forum for claims arising under the Securities Act, which, in each case could limit our stockholders’ ability to obtain a favorable judicial forum for disputes with us or our directors, officers employees, agents or other stockholders.</w:t>
      </w:r>
    </w:p>
    <w:p>
      <w:pPr>
        <w:spacing w:after="0" w:line="49" w:lineRule="exact"/>
        <w:rPr>
          <w:sz w:val="20"/>
          <w:szCs w:val="20"/>
          <w:color w:val="auto"/>
        </w:rPr>
      </w:pPr>
    </w:p>
    <w:p>
      <w:pPr>
        <w:ind w:left="120" w:right="20" w:firstLine="440"/>
        <w:spacing w:after="0" w:line="270" w:lineRule="auto"/>
        <w:rPr>
          <w:sz w:val="20"/>
          <w:szCs w:val="20"/>
          <w:color w:val="auto"/>
        </w:rPr>
      </w:pPr>
      <w:r>
        <w:rPr>
          <w:rFonts w:ascii="Arial" w:cs="Arial" w:eastAsia="Arial" w:hAnsi="Arial"/>
          <w:sz w:val="17"/>
          <w:szCs w:val="17"/>
          <w:color w:val="auto"/>
        </w:rPr>
        <w:t>Our amended and restated certificate of incorporation provides that, unless we consent in writing to an alternative forum, the Court of Chancery of the State of Delaware shall, to the fullest extent permitted by law, be the sole and exclusive forum for any (a) derivative action or proceeding brought on our behalf; (b) action asserting a claim of breach of a fiduciary duty owed by or other wrongdoing by any current or former director, officer, employee, agent or stockholder to us or our stockholders; (c) action asserting a claim arising under any provision of the DGCL or our amended and restated certificate of incorporation or amended and restated bylaws (as either may be amended from time to time), or as to which the DGCL confers jurisdiction on the Court of Chancery of the State of Delaware; or (d) action asserting a claim governed by the internal affairs doctrine. For the avoidance of doubt, our amended and restated certificate of incorporation provides that the foregoing exclusive forum provision does not apply to actions brought to enforce any liability or duty created by the Securities Act or the Exchange Act, or any rules or regulations promulgated thereunder, or any other claim or cause of action for which the federal courts have exclusive jurisdiction.</w:t>
      </w:r>
    </w:p>
    <w:p>
      <w:pPr>
        <w:spacing w:after="0" w:line="181" w:lineRule="exact"/>
        <w:rPr>
          <w:sz w:val="20"/>
          <w:szCs w:val="20"/>
          <w:color w:val="auto"/>
        </w:rPr>
      </w:pPr>
    </w:p>
    <w:p>
      <w:pPr>
        <w:ind w:left="120" w:right="20" w:firstLine="440"/>
        <w:spacing w:after="0" w:line="259" w:lineRule="auto"/>
        <w:rPr>
          <w:sz w:val="20"/>
          <w:szCs w:val="20"/>
          <w:color w:val="auto"/>
        </w:rPr>
      </w:pPr>
      <w:r>
        <w:rPr>
          <w:rFonts w:ascii="Arial" w:cs="Arial" w:eastAsia="Arial" w:hAnsi="Arial"/>
          <w:sz w:val="18"/>
          <w:szCs w:val="18"/>
          <w:color w:val="auto"/>
        </w:rPr>
        <w:t>Our amended and restated certificate of incorporation provides that, unless we consent in writing to an alternative forum, the federal district courts of the United States shall be the sole and exclusive forum for the resolution of any action asserting a claim arising under the Securities Act or the rules and regulations promulgated thereunder. Pursuant to the Exchange Act, claims arising thereunder must be brought in federal district courts of the United States.</w:t>
      </w:r>
    </w:p>
    <w:p>
      <w:pPr>
        <w:spacing w:after="0" w:line="187" w:lineRule="exact"/>
        <w:rPr>
          <w:sz w:val="20"/>
          <w:szCs w:val="20"/>
          <w:color w:val="auto"/>
        </w:rPr>
      </w:pPr>
    </w:p>
    <w:p>
      <w:pPr>
        <w:ind w:left="120" w:firstLine="440"/>
        <w:spacing w:after="0" w:line="255" w:lineRule="auto"/>
        <w:rPr>
          <w:sz w:val="20"/>
          <w:szCs w:val="20"/>
          <w:color w:val="auto"/>
        </w:rPr>
      </w:pPr>
      <w:r>
        <w:rPr>
          <w:rFonts w:ascii="Arial" w:cs="Arial" w:eastAsia="Arial" w:hAnsi="Arial"/>
          <w:sz w:val="18"/>
          <w:szCs w:val="18"/>
          <w:color w:val="auto"/>
        </w:rPr>
        <w:t>To the fullest extent permitted by law, any person or entity purchasing or otherwise acquiring or holding any interest in any shares of our capital stock shall be deemed to have notice of and consented to the forum provision in our amended and restated certificate of incorporation. This choice of forum provision may limit a stockholder’s ability to bring a claim in a different judicial forum, including one that it may find favorable or convenient for a specified class of disputes with us or our directors, officers, other stockholders or employees, which may discourage such lawsuits, make them more difficult or expensive to pursue and result in outcomes that are less favorable to such stockholders than outcomes that may have been attainable in other jurisdictions.</w:t>
      </w:r>
    </w:p>
    <w:p>
      <w:pPr>
        <w:spacing w:after="0" w:line="192" w:lineRule="exact"/>
        <w:rPr>
          <w:sz w:val="20"/>
          <w:szCs w:val="20"/>
          <w:color w:val="auto"/>
        </w:rPr>
      </w:pPr>
    </w:p>
    <w:p>
      <w:pPr>
        <w:ind w:left="120" w:right="60" w:firstLine="440"/>
        <w:spacing w:after="0" w:line="255" w:lineRule="auto"/>
        <w:rPr>
          <w:sz w:val="20"/>
          <w:szCs w:val="20"/>
          <w:color w:val="auto"/>
        </w:rPr>
      </w:pPr>
      <w:r>
        <w:rPr>
          <w:rFonts w:ascii="Arial" w:cs="Arial" w:eastAsia="Arial" w:hAnsi="Arial"/>
          <w:sz w:val="18"/>
          <w:szCs w:val="18"/>
          <w:color w:val="auto"/>
        </w:rPr>
        <w:t>By agreeing to this provision, however, stockholders are not be deemed to have waived our compliance with the federal securities laws and the rules and regulations thereunder. The enforceability of similar choice of forum provisions in other companies’ certificates of incorporation has been challenged in legal proceedings, and it is possible that a court could find these types of provisions to be inapplicable or unenforceable. If a court were to find the choice of forum provisions in our amended and restated certificate of incorporation to be inapplicable or unenforceable in an action, we may incur additional costs associated with resolving such action in other jurisdictions, which could have a material adverse effect on our business, financial condition and results of operations.</w:t>
      </w:r>
    </w:p>
    <w:p>
      <w:pPr>
        <w:spacing w:after="0" w:line="300"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Our ability to issue preferred stock may deter takeover attempts.</w:t>
      </w:r>
    </w:p>
    <w:p>
      <w:pPr>
        <w:spacing w:after="0" w:line="117" w:lineRule="exact"/>
        <w:rPr>
          <w:sz w:val="20"/>
          <w:szCs w:val="20"/>
          <w:color w:val="auto"/>
        </w:rPr>
      </w:pPr>
    </w:p>
    <w:p>
      <w:pPr>
        <w:ind w:left="120" w:right="20" w:firstLine="440"/>
        <w:spacing w:after="0" w:line="286" w:lineRule="auto"/>
        <w:rPr>
          <w:sz w:val="20"/>
          <w:szCs w:val="20"/>
          <w:color w:val="auto"/>
        </w:rPr>
      </w:pPr>
      <w:r>
        <w:rPr>
          <w:rFonts w:ascii="Arial" w:cs="Arial" w:eastAsia="Arial" w:hAnsi="Arial"/>
          <w:sz w:val="16"/>
          <w:szCs w:val="16"/>
          <w:color w:val="auto"/>
        </w:rPr>
        <w:t>Our Board is empowered to issue, without stockholder approval, preferred stock with dividends, liquidation, conversion, voting or other rights, which could decrease the amount of earnings and assets available for distribution to holders of our Class A common stock and adversely affect the relative voting power or other rights of the holders of our Class A common stock. In the event of issuance, the preferred stock could be used as a method of discouraging, delaying or preventing a change in control. Our amended and restated certificate of incorporation authorizes the issuance of up to</w:t>
      </w:r>
    </w:p>
    <w:p>
      <w:pPr>
        <w:spacing w:after="0" w:line="1" w:lineRule="exact"/>
        <w:rPr>
          <w:sz w:val="20"/>
          <w:szCs w:val="20"/>
          <w:color w:val="auto"/>
        </w:rPr>
      </w:pPr>
    </w:p>
    <w:p>
      <w:pPr>
        <w:ind w:left="120"/>
        <w:spacing w:after="0"/>
        <w:rPr>
          <w:sz w:val="20"/>
          <w:szCs w:val="20"/>
          <w:color w:val="auto"/>
        </w:rPr>
      </w:pPr>
      <w:r>
        <w:rPr>
          <w:rFonts w:ascii="Arial" w:cs="Arial" w:eastAsia="Arial" w:hAnsi="Arial"/>
          <w:sz w:val="16"/>
          <w:szCs w:val="16"/>
          <w:color w:val="auto"/>
        </w:rPr>
        <w:t>10 million shares of “blank check” preferred stock with such designations, rights and preferences as may be determined from time to time by our Board.</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7"/>
          <w:szCs w:val="17"/>
          <w:color w:val="auto"/>
        </w:rPr>
        <w:t>Although we have no present intention to issue any shares of our preferred stock, we may do so in the future under appropriate circumstances.</w:t>
      </w:r>
    </w:p>
    <w:p>
      <w:pPr>
        <w:spacing w:after="0" w:line="155" w:lineRule="exact"/>
        <w:rPr>
          <w:sz w:val="20"/>
          <w:szCs w:val="20"/>
          <w:color w:val="auto"/>
        </w:rPr>
      </w:pPr>
    </w:p>
    <w:p>
      <w:pPr>
        <w:jc w:val="center"/>
        <w:ind w:right="-359"/>
        <w:spacing w:after="0"/>
        <w:rPr>
          <w:sz w:val="20"/>
          <w:szCs w:val="20"/>
          <w:color w:val="auto"/>
        </w:rPr>
      </w:pPr>
      <w:r>
        <w:rPr>
          <w:rFonts w:ascii="Arial" w:cs="Arial" w:eastAsia="Arial" w:hAnsi="Arial"/>
          <w:sz w:val="18"/>
          <w:szCs w:val="18"/>
          <w:color w:val="auto"/>
        </w:rPr>
        <w:t>66</w:t>
      </w:r>
    </w:p>
    <w:p>
      <w:pPr>
        <w:sectPr>
          <w:pgSz w:w="11900" w:h="16838" w:orient="portrait"/>
          <w:cols w:equalWidth="0" w:num="1">
            <w:col w:w="11120"/>
          </w:cols>
          <w:pgMar w:left="320" w:top="459" w:right="459" w:bottom="1440" w:gutter="0" w:footer="0" w:header="0"/>
        </w:sectPr>
      </w:pPr>
    </w:p>
    <w:bookmarkStart w:id="73" w:name="page74"/>
    <w:bookmarkEnd w:id="7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Confidential Treatment Requested by Definitive Healthcare Corp.</w:t>
      </w:r>
    </w:p>
    <w:p>
      <w:pPr>
        <w:spacing w:after="0" w:line="27"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Pursuant to 17 C.F.R. Section 200.83</w:t>
      </w:r>
    </w:p>
    <w:p>
      <w:pPr>
        <w:spacing w:after="0" w:line="139"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CAUTIONARY NOTE REGARDING FORWARD-LOOKING STATEMENTS</w:t>
      </w:r>
    </w:p>
    <w:p>
      <w:pPr>
        <w:spacing w:after="0" w:line="229" w:lineRule="exact"/>
        <w:rPr>
          <w:sz w:val="20"/>
          <w:szCs w:val="20"/>
          <w:color w:val="auto"/>
        </w:rPr>
      </w:pPr>
    </w:p>
    <w:p>
      <w:pPr>
        <w:ind w:left="120" w:firstLine="440"/>
        <w:spacing w:after="0" w:line="257" w:lineRule="auto"/>
        <w:rPr>
          <w:sz w:val="20"/>
          <w:szCs w:val="20"/>
          <w:color w:val="auto"/>
        </w:rPr>
      </w:pPr>
      <w:r>
        <w:rPr>
          <w:rFonts w:ascii="Arial" w:cs="Arial" w:eastAsia="Arial" w:hAnsi="Arial"/>
          <w:sz w:val="18"/>
          <w:szCs w:val="18"/>
          <w:color w:val="auto"/>
        </w:rPr>
        <w:t>This prospectus contains forward-looking statements within the meaning of the Private Securities Litigation Reform Act of 1995. Forward-looking statements can be identified by words such as “anticipates,” “intends,” “plans,” “seeks,” “believes,” “estimates,” “expects” and similar references to future periods, or by the inclusion of forecasts or projections. Examples of forward-looking statements include, but are not limited to, statements we make regarding the outlook for our future business and financial performance, such as those contained in “Management’s Discussion and Analysis of Financial Condition and Results of Operations.”</w:t>
      </w:r>
    </w:p>
    <w:p>
      <w:pPr>
        <w:spacing w:after="0" w:line="188" w:lineRule="exact"/>
        <w:rPr>
          <w:sz w:val="20"/>
          <w:szCs w:val="20"/>
          <w:color w:val="auto"/>
        </w:rPr>
      </w:pPr>
    </w:p>
    <w:p>
      <w:pPr>
        <w:ind w:left="120" w:right="160" w:firstLine="440"/>
        <w:spacing w:after="0" w:line="275" w:lineRule="auto"/>
        <w:rPr>
          <w:sz w:val="20"/>
          <w:szCs w:val="20"/>
          <w:color w:val="auto"/>
        </w:rPr>
      </w:pPr>
      <w:r>
        <w:rPr>
          <w:rFonts w:ascii="Arial" w:cs="Arial" w:eastAsia="Arial" w:hAnsi="Arial"/>
          <w:sz w:val="17"/>
          <w:szCs w:val="17"/>
          <w:color w:val="auto"/>
        </w:rPr>
        <w:t>Forward-looking statements are based on our current expectations and assumptions regarding our business, the economy and other future conditions. Because forward-looking statements relate to the future, by their nature, they are subject to inherent uncertainties, risks and changes in circumstances that are difficult to predict. As a result, our actual results may differ materially from those contemplated by the forward-looking statements. Important factors that could cause actual results to differ materially from those in the forward-looking statements include regional, national or global political, economic, business, competitive, market and regulatory conditions and the following:</w:t>
      </w:r>
    </w:p>
    <w:p>
      <w:pPr>
        <w:spacing w:after="0" w:line="203" w:lineRule="exact"/>
        <w:rPr>
          <w:sz w:val="20"/>
          <w:szCs w:val="20"/>
          <w:color w:val="auto"/>
        </w:rPr>
      </w:pPr>
    </w:p>
    <w:p>
      <w:pPr>
        <w:jc w:val="both"/>
        <w:ind w:left="1080" w:right="460" w:hanging="532"/>
        <w:spacing w:after="0" w:line="263" w:lineRule="auto"/>
        <w:tabs>
          <w:tab w:leader="none" w:pos="1080" w:val="left"/>
        </w:tabs>
        <w:numPr>
          <w:ilvl w:val="0"/>
          <w:numId w:val="54"/>
        </w:numPr>
        <w:rPr>
          <w:rFonts w:ascii="Arial" w:cs="Arial" w:eastAsia="Arial" w:hAnsi="Arial"/>
          <w:sz w:val="18"/>
          <w:szCs w:val="18"/>
          <w:color w:val="auto"/>
        </w:rPr>
      </w:pPr>
      <w:r>
        <w:rPr>
          <w:rFonts w:ascii="Arial" w:cs="Arial" w:eastAsia="Arial" w:hAnsi="Arial"/>
          <w:sz w:val="18"/>
          <w:szCs w:val="18"/>
          <w:color w:val="auto"/>
        </w:rPr>
        <w:t>the inability to generate substantially all of our revenue and cash flows from sales of subscriptions to our platform and any decline in demand for our platform and the data we offer could have a material adverse effect on our business, financial condition and results of operations;</w:t>
      </w:r>
    </w:p>
    <w:p>
      <w:pPr>
        <w:spacing w:after="0" w:line="210" w:lineRule="exact"/>
        <w:rPr>
          <w:rFonts w:ascii="Arial" w:cs="Arial" w:eastAsia="Arial" w:hAnsi="Arial"/>
          <w:sz w:val="18"/>
          <w:szCs w:val="18"/>
          <w:color w:val="auto"/>
        </w:rPr>
      </w:pPr>
    </w:p>
    <w:p>
      <w:pPr>
        <w:ind w:left="1080" w:right="200" w:hanging="532"/>
        <w:spacing w:after="0" w:line="277" w:lineRule="auto"/>
        <w:tabs>
          <w:tab w:leader="none" w:pos="1080" w:val="left"/>
        </w:tabs>
        <w:numPr>
          <w:ilvl w:val="0"/>
          <w:numId w:val="54"/>
        </w:numPr>
        <w:rPr>
          <w:rFonts w:ascii="Arial" w:cs="Arial" w:eastAsia="Arial" w:hAnsi="Arial"/>
          <w:sz w:val="18"/>
          <w:szCs w:val="18"/>
          <w:color w:val="auto"/>
        </w:rPr>
      </w:pPr>
      <w:r>
        <w:rPr>
          <w:rFonts w:ascii="Arial" w:cs="Arial" w:eastAsia="Arial" w:hAnsi="Arial"/>
          <w:sz w:val="18"/>
          <w:szCs w:val="18"/>
          <w:color w:val="auto"/>
        </w:rPr>
        <w:t>the competitiveness of the market in which we operate, such that if we do not compete effectively, it could have a material adverse effect on our business, financial condition and results of operations;</w:t>
      </w:r>
    </w:p>
    <w:p>
      <w:pPr>
        <w:spacing w:after="0" w:line="197" w:lineRule="exact"/>
        <w:rPr>
          <w:rFonts w:ascii="Arial" w:cs="Arial" w:eastAsia="Arial" w:hAnsi="Arial"/>
          <w:sz w:val="18"/>
          <w:szCs w:val="18"/>
          <w:color w:val="auto"/>
        </w:rPr>
      </w:pPr>
    </w:p>
    <w:p>
      <w:pPr>
        <w:ind w:left="1080" w:right="380" w:hanging="532"/>
        <w:spacing w:after="0" w:line="277" w:lineRule="auto"/>
        <w:tabs>
          <w:tab w:leader="none" w:pos="1080" w:val="left"/>
        </w:tabs>
        <w:numPr>
          <w:ilvl w:val="0"/>
          <w:numId w:val="54"/>
        </w:numPr>
        <w:rPr>
          <w:rFonts w:ascii="Arial" w:cs="Arial" w:eastAsia="Arial" w:hAnsi="Arial"/>
          <w:sz w:val="18"/>
          <w:szCs w:val="18"/>
          <w:color w:val="auto"/>
        </w:rPr>
      </w:pPr>
      <w:r>
        <w:rPr>
          <w:rFonts w:ascii="Arial" w:cs="Arial" w:eastAsia="Arial" w:hAnsi="Arial"/>
          <w:sz w:val="18"/>
          <w:szCs w:val="18"/>
          <w:color w:val="auto"/>
        </w:rPr>
        <w:t>the failure to maintain and improve our platform, or develop new modules or insights for healthcare commercial intelligence, whereby competitors could surpass the depth, breadth or accuracy of our platform;</w:t>
      </w:r>
    </w:p>
    <w:p>
      <w:pPr>
        <w:spacing w:after="0" w:line="197" w:lineRule="exact"/>
        <w:rPr>
          <w:rFonts w:ascii="Arial" w:cs="Arial" w:eastAsia="Arial" w:hAnsi="Arial"/>
          <w:sz w:val="18"/>
          <w:szCs w:val="18"/>
          <w:color w:val="auto"/>
        </w:rPr>
      </w:pPr>
    </w:p>
    <w:p>
      <w:pPr>
        <w:ind w:left="1080" w:hanging="532"/>
        <w:spacing w:after="0"/>
        <w:tabs>
          <w:tab w:leader="none" w:pos="1080" w:val="left"/>
        </w:tabs>
        <w:numPr>
          <w:ilvl w:val="0"/>
          <w:numId w:val="54"/>
        </w:numPr>
        <w:rPr>
          <w:rFonts w:ascii="Arial" w:cs="Arial" w:eastAsia="Arial" w:hAnsi="Arial"/>
          <w:sz w:val="18"/>
          <w:szCs w:val="18"/>
          <w:color w:val="auto"/>
        </w:rPr>
      </w:pPr>
      <w:r>
        <w:rPr>
          <w:rFonts w:ascii="Arial" w:cs="Arial" w:eastAsia="Arial" w:hAnsi="Arial"/>
          <w:sz w:val="18"/>
          <w:szCs w:val="18"/>
          <w:color w:val="auto"/>
        </w:rPr>
        <w:t>the inability to obtain and maintain accurate, comprehensive or reliable data, could result in reduced demand for our platform;</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54"/>
        </w:numPr>
        <w:rPr>
          <w:rFonts w:ascii="Arial" w:cs="Arial" w:eastAsia="Arial" w:hAnsi="Arial"/>
          <w:sz w:val="18"/>
          <w:szCs w:val="18"/>
          <w:color w:val="auto"/>
        </w:rPr>
      </w:pPr>
      <w:r>
        <w:rPr>
          <w:rFonts w:ascii="Arial" w:cs="Arial" w:eastAsia="Arial" w:hAnsi="Arial"/>
          <w:sz w:val="18"/>
          <w:szCs w:val="18"/>
          <w:color w:val="auto"/>
        </w:rPr>
        <w:t>the risk that our recent growth rates may not be indicative of our future growth;</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54"/>
        </w:numPr>
        <w:rPr>
          <w:rFonts w:ascii="Arial" w:cs="Arial" w:eastAsia="Arial" w:hAnsi="Arial"/>
          <w:sz w:val="17"/>
          <w:szCs w:val="17"/>
          <w:color w:val="auto"/>
        </w:rPr>
      </w:pPr>
      <w:r>
        <w:rPr>
          <w:rFonts w:ascii="Arial" w:cs="Arial" w:eastAsia="Arial" w:hAnsi="Arial"/>
          <w:sz w:val="17"/>
          <w:szCs w:val="17"/>
          <w:color w:val="auto"/>
        </w:rPr>
        <w:t>the inability to achieve or sustain profitability in the future compared to historical levels as we increase investments in our business;</w:t>
      </w:r>
    </w:p>
    <w:p>
      <w:pPr>
        <w:spacing w:after="0" w:line="263" w:lineRule="exact"/>
        <w:rPr>
          <w:rFonts w:ascii="Arial" w:cs="Arial" w:eastAsia="Arial" w:hAnsi="Arial"/>
          <w:sz w:val="17"/>
          <w:szCs w:val="17"/>
          <w:color w:val="auto"/>
        </w:rPr>
      </w:pPr>
    </w:p>
    <w:p>
      <w:pPr>
        <w:ind w:left="1080" w:right="280" w:hanging="532"/>
        <w:spacing w:after="0" w:line="277" w:lineRule="auto"/>
        <w:tabs>
          <w:tab w:leader="none" w:pos="1080" w:val="left"/>
        </w:tabs>
        <w:numPr>
          <w:ilvl w:val="0"/>
          <w:numId w:val="54"/>
        </w:numPr>
        <w:rPr>
          <w:rFonts w:ascii="Arial" w:cs="Arial" w:eastAsia="Arial" w:hAnsi="Arial"/>
          <w:sz w:val="18"/>
          <w:szCs w:val="18"/>
          <w:color w:val="auto"/>
        </w:rPr>
      </w:pPr>
      <w:r>
        <w:rPr>
          <w:rFonts w:ascii="Arial" w:cs="Arial" w:eastAsia="Arial" w:hAnsi="Arial"/>
          <w:sz w:val="18"/>
          <w:szCs w:val="18"/>
          <w:color w:val="auto"/>
        </w:rPr>
        <w:t>the loss of our access to our data providers, which could negatively impact our platform and could have a material adverse effect on our business, financial condition and results of operations;</w:t>
      </w:r>
    </w:p>
    <w:p>
      <w:pPr>
        <w:spacing w:after="0" w:line="197" w:lineRule="exact"/>
        <w:rPr>
          <w:rFonts w:ascii="Arial" w:cs="Arial" w:eastAsia="Arial" w:hAnsi="Arial"/>
          <w:sz w:val="18"/>
          <w:szCs w:val="18"/>
          <w:color w:val="auto"/>
        </w:rPr>
      </w:pPr>
    </w:p>
    <w:p>
      <w:pPr>
        <w:ind w:left="1080" w:right="580" w:hanging="532"/>
        <w:spacing w:after="0" w:line="277" w:lineRule="auto"/>
        <w:tabs>
          <w:tab w:leader="none" w:pos="1080" w:val="left"/>
        </w:tabs>
        <w:numPr>
          <w:ilvl w:val="0"/>
          <w:numId w:val="54"/>
        </w:numPr>
        <w:rPr>
          <w:rFonts w:ascii="Arial" w:cs="Arial" w:eastAsia="Arial" w:hAnsi="Arial"/>
          <w:sz w:val="18"/>
          <w:szCs w:val="18"/>
          <w:color w:val="auto"/>
        </w:rPr>
      </w:pPr>
      <w:r>
        <w:rPr>
          <w:rFonts w:ascii="Arial" w:cs="Arial" w:eastAsia="Arial" w:hAnsi="Arial"/>
          <w:sz w:val="18"/>
          <w:szCs w:val="18"/>
          <w:color w:val="auto"/>
        </w:rPr>
        <w:t>the failure to respond to advances in healthcare commercial intelligence could result in competitors surpassing the depth, breadth or accuracy of our platform;</w:t>
      </w:r>
    </w:p>
    <w:p>
      <w:pPr>
        <w:spacing w:after="0" w:line="197" w:lineRule="exact"/>
        <w:rPr>
          <w:rFonts w:ascii="Arial" w:cs="Arial" w:eastAsia="Arial" w:hAnsi="Arial"/>
          <w:sz w:val="18"/>
          <w:szCs w:val="18"/>
          <w:color w:val="auto"/>
        </w:rPr>
      </w:pPr>
    </w:p>
    <w:p>
      <w:pPr>
        <w:ind w:left="1080" w:right="900" w:hanging="532"/>
        <w:spacing w:after="0" w:line="277" w:lineRule="auto"/>
        <w:tabs>
          <w:tab w:leader="none" w:pos="1080" w:val="left"/>
        </w:tabs>
        <w:numPr>
          <w:ilvl w:val="0"/>
          <w:numId w:val="54"/>
        </w:numPr>
        <w:rPr>
          <w:rFonts w:ascii="Arial" w:cs="Arial" w:eastAsia="Arial" w:hAnsi="Arial"/>
          <w:sz w:val="18"/>
          <w:szCs w:val="18"/>
          <w:color w:val="auto"/>
        </w:rPr>
      </w:pPr>
      <w:r>
        <w:rPr>
          <w:rFonts w:ascii="Arial" w:cs="Arial" w:eastAsia="Arial" w:hAnsi="Arial"/>
          <w:sz w:val="18"/>
          <w:szCs w:val="18"/>
          <w:color w:val="auto"/>
        </w:rPr>
        <w:t>an inability to attract new customers and expand subscriptions of current customers, whereby our revenue growth and financial performance will be negatively impacted;</w:t>
      </w:r>
    </w:p>
    <w:p>
      <w:pPr>
        <w:spacing w:after="0" w:line="197" w:lineRule="exact"/>
        <w:rPr>
          <w:rFonts w:ascii="Arial" w:cs="Arial" w:eastAsia="Arial" w:hAnsi="Arial"/>
          <w:sz w:val="18"/>
          <w:szCs w:val="18"/>
          <w:color w:val="auto"/>
        </w:rPr>
      </w:pPr>
    </w:p>
    <w:p>
      <w:pPr>
        <w:ind w:left="1080" w:right="260" w:hanging="532"/>
        <w:spacing w:after="0" w:line="277" w:lineRule="auto"/>
        <w:tabs>
          <w:tab w:leader="none" w:pos="1080" w:val="left"/>
        </w:tabs>
        <w:numPr>
          <w:ilvl w:val="0"/>
          <w:numId w:val="54"/>
        </w:numPr>
        <w:rPr>
          <w:rFonts w:ascii="Arial" w:cs="Arial" w:eastAsia="Arial" w:hAnsi="Arial"/>
          <w:sz w:val="18"/>
          <w:szCs w:val="18"/>
          <w:color w:val="auto"/>
        </w:rPr>
      </w:pPr>
      <w:r>
        <w:rPr>
          <w:rFonts w:ascii="Arial" w:cs="Arial" w:eastAsia="Arial" w:hAnsi="Arial"/>
          <w:sz w:val="18"/>
          <w:szCs w:val="18"/>
          <w:color w:val="auto"/>
        </w:rPr>
        <w:t>the risk of cyber-attacks and security vulnerabilities could have a material adverse effect on our reputation, business, financial condition and results of operations;</w:t>
      </w:r>
    </w:p>
    <w:p>
      <w:pPr>
        <w:spacing w:after="0" w:line="197" w:lineRule="exact"/>
        <w:rPr>
          <w:rFonts w:ascii="Arial" w:cs="Arial" w:eastAsia="Arial" w:hAnsi="Arial"/>
          <w:sz w:val="18"/>
          <w:szCs w:val="18"/>
          <w:color w:val="auto"/>
        </w:rPr>
      </w:pPr>
    </w:p>
    <w:p>
      <w:pPr>
        <w:ind w:left="1080" w:right="360" w:hanging="532"/>
        <w:spacing w:after="0" w:line="308" w:lineRule="auto"/>
        <w:tabs>
          <w:tab w:leader="none" w:pos="1080" w:val="left"/>
        </w:tabs>
        <w:numPr>
          <w:ilvl w:val="0"/>
          <w:numId w:val="54"/>
        </w:numPr>
        <w:rPr>
          <w:rFonts w:ascii="Arial" w:cs="Arial" w:eastAsia="Arial" w:hAnsi="Arial"/>
          <w:sz w:val="17"/>
          <w:szCs w:val="17"/>
          <w:color w:val="auto"/>
        </w:rPr>
      </w:pPr>
      <w:r>
        <w:rPr>
          <w:rFonts w:ascii="Arial" w:cs="Arial" w:eastAsia="Arial" w:hAnsi="Arial"/>
          <w:sz w:val="17"/>
          <w:szCs w:val="17"/>
          <w:color w:val="auto"/>
        </w:rPr>
        <w:t>if our security measures are breached or unauthorized access to data is otherwise obtained, our platform may be perceived as not being secure, customers may reduce the use of or stop using our platform, and we may incur significant liabilities; and</w:t>
      </w:r>
    </w:p>
    <w:p>
      <w:pPr>
        <w:spacing w:after="0" w:line="173" w:lineRule="exact"/>
        <w:rPr>
          <w:rFonts w:ascii="Arial" w:cs="Arial" w:eastAsia="Arial" w:hAnsi="Arial"/>
          <w:sz w:val="17"/>
          <w:szCs w:val="17"/>
          <w:color w:val="auto"/>
        </w:rPr>
      </w:pPr>
    </w:p>
    <w:p>
      <w:pPr>
        <w:ind w:left="1080" w:hanging="532"/>
        <w:spacing w:after="0"/>
        <w:tabs>
          <w:tab w:leader="none" w:pos="1080" w:val="left"/>
        </w:tabs>
        <w:numPr>
          <w:ilvl w:val="0"/>
          <w:numId w:val="54"/>
        </w:numPr>
        <w:rPr>
          <w:rFonts w:ascii="Arial" w:cs="Arial" w:eastAsia="Arial" w:hAnsi="Arial"/>
          <w:sz w:val="18"/>
          <w:szCs w:val="18"/>
          <w:color w:val="auto"/>
        </w:rPr>
      </w:pPr>
      <w:r>
        <w:rPr>
          <w:rFonts w:ascii="Arial" w:cs="Arial" w:eastAsia="Arial" w:hAnsi="Arial"/>
          <w:sz w:val="18"/>
          <w:szCs w:val="18"/>
          <w:color w:val="auto"/>
        </w:rPr>
        <w:t>the other factors set forth under “Risk Factors.”</w:t>
      </w:r>
    </w:p>
    <w:p>
      <w:pPr>
        <w:spacing w:after="0" w:line="158"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67</w:t>
      </w:r>
    </w:p>
    <w:p>
      <w:pPr>
        <w:sectPr>
          <w:pgSz w:w="11900" w:h="16838" w:orient="portrait"/>
          <w:cols w:equalWidth="0" w:num="1">
            <w:col w:w="11140"/>
          </w:cols>
          <w:pgMar w:left="320" w:top="459" w:right="439" w:bottom="1440" w:gutter="0" w:footer="0" w:header="0"/>
        </w:sectPr>
      </w:pPr>
    </w:p>
    <w:bookmarkStart w:id="74" w:name="page75"/>
    <w:bookmarkEnd w:id="7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Confidential Treatment Requested by Definitive Healthcare Corp.</w:t>
      </w:r>
    </w:p>
    <w:p>
      <w:pPr>
        <w:spacing w:after="0" w:line="27"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Pursuant to 17 C.F.R. Section 200.83</w:t>
      </w:r>
    </w:p>
    <w:p>
      <w:pPr>
        <w:spacing w:after="0" w:line="143" w:lineRule="exact"/>
        <w:rPr>
          <w:sz w:val="20"/>
          <w:szCs w:val="20"/>
          <w:color w:val="auto"/>
        </w:rPr>
      </w:pPr>
    </w:p>
    <w:p>
      <w:pPr>
        <w:ind w:left="120" w:firstLine="440"/>
        <w:spacing w:after="0" w:line="296" w:lineRule="auto"/>
        <w:rPr>
          <w:sz w:val="20"/>
          <w:szCs w:val="20"/>
          <w:color w:val="auto"/>
        </w:rPr>
      </w:pPr>
      <w:r>
        <w:rPr>
          <w:rFonts w:ascii="Arial" w:cs="Arial" w:eastAsia="Arial" w:hAnsi="Arial"/>
          <w:sz w:val="16"/>
          <w:szCs w:val="16"/>
          <w:color w:val="auto"/>
        </w:rPr>
        <w:t>See “Risk Factors” for a further description of these and other factors. For the reasons described above, we caution you against relying on any forward-looking statements, which should also be read in conjunction with the other cautionary statements that are included elsewhere in this prospectus. Any forward-looking statement made by us in this speaks only as of the date on which we make it. Factors or events that could cause our actual results to differ may emerge from time to time, and it is not possible for us to predict all of them. We undertake no obligation to publicly update or revise any forward-looking statement, whether as a result of new information, future developments or otherwise, except as may be required by law.</w:t>
      </w:r>
    </w:p>
    <w:p>
      <w:pPr>
        <w:spacing w:after="0" w:line="94" w:lineRule="exact"/>
        <w:rPr>
          <w:sz w:val="20"/>
          <w:szCs w:val="20"/>
          <w:color w:val="auto"/>
        </w:rPr>
      </w:pPr>
    </w:p>
    <w:p>
      <w:pPr>
        <w:jc w:val="center"/>
        <w:ind w:right="-359"/>
        <w:spacing w:after="0"/>
        <w:rPr>
          <w:sz w:val="20"/>
          <w:szCs w:val="20"/>
          <w:color w:val="auto"/>
        </w:rPr>
      </w:pPr>
      <w:r>
        <w:rPr>
          <w:rFonts w:ascii="Arial" w:cs="Arial" w:eastAsia="Arial" w:hAnsi="Arial"/>
          <w:sz w:val="18"/>
          <w:szCs w:val="18"/>
          <w:color w:val="auto"/>
        </w:rPr>
        <w:t>68</w:t>
      </w:r>
    </w:p>
    <w:p>
      <w:pPr>
        <w:sectPr>
          <w:pgSz w:w="11900" w:h="16838" w:orient="portrait"/>
          <w:cols w:equalWidth="0" w:num="1">
            <w:col w:w="11120"/>
          </w:cols>
          <w:pgMar w:left="320" w:top="459" w:right="459" w:bottom="1440" w:gutter="0" w:footer="0" w:header="0"/>
        </w:sectPr>
      </w:pPr>
    </w:p>
    <w:bookmarkStart w:id="75" w:name="page76"/>
    <w:bookmarkEnd w:id="75"/>
    <w:tbl>
      <w:tblPr>
        <w:tblLayout w:type="fixed"/>
        <w:tblInd w:w="0" w:type="dxa"/>
        <w:tblCellMar>
          <w:top w:w="0" w:type="dxa"/>
          <w:left w:w="0" w:type="dxa"/>
          <w:bottom w:w="0" w:type="dxa"/>
          <w:right w:w="0" w:type="dxa"/>
        </w:tblCellMar>
      </w:tblPr>
      <w:tr>
        <w:trPr>
          <w:trHeight w:val="207"/>
        </w:trPr>
        <w:tc>
          <w:tcPr>
            <w:tcW w:w="2640" w:type="dxa"/>
            <w:vAlign w:val="bottom"/>
            <w:gridSpan w:val="2"/>
          </w:tcPr>
          <w:p>
            <w:pPr>
              <w:spacing w:after="0"/>
              <w:rPr>
                <w:rFonts w:ascii="Arial" w:cs="Arial" w:eastAsia="Arial" w:hAnsi="Arial"/>
                <w:sz w:val="18"/>
                <w:szCs w:val="18"/>
                <w:b w:val="1"/>
                <w:bCs w:val="1"/>
                <w:color w:val="0000EE"/>
              </w:rPr>
            </w:pPr>
            <w:hyperlink w:anchor="page3">
              <w:r>
                <w:rPr>
                  <w:rFonts w:ascii="Arial" w:cs="Arial" w:eastAsia="Arial" w:hAnsi="Arial"/>
                  <w:sz w:val="18"/>
                  <w:szCs w:val="18"/>
                  <w:b w:val="1"/>
                  <w:bCs w:val="1"/>
                  <w:color w:val="0000EE"/>
                </w:rPr>
                <w:t>Table of Contents</w:t>
              </w:r>
            </w:hyperlink>
          </w:p>
        </w:tc>
        <w:tc>
          <w:tcPr>
            <w:tcW w:w="40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198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140" w:type="dxa"/>
            <w:vAlign w:val="bottom"/>
          </w:tcPr>
          <w:p>
            <w:pPr>
              <w:spacing w:after="0"/>
              <w:rPr>
                <w:sz w:val="17"/>
                <w:szCs w:val="17"/>
                <w:color w:val="auto"/>
              </w:rPr>
            </w:pPr>
          </w:p>
        </w:tc>
      </w:tr>
      <w:tr>
        <w:trPr>
          <w:trHeight w:val="515"/>
        </w:trPr>
        <w:tc>
          <w:tcPr>
            <w:tcW w:w="1360" w:type="dxa"/>
            <w:vAlign w:val="bottom"/>
            <w:tcBorders>
              <w:top w:val="single" w:sz="8" w:color="0000EE"/>
            </w:tcBorders>
          </w:tcPr>
          <w:p>
            <w:pPr>
              <w:spacing w:after="0"/>
              <w:rPr>
                <w:sz w:val="24"/>
                <w:szCs w:val="24"/>
                <w:color w:val="auto"/>
              </w:rPr>
            </w:pPr>
          </w:p>
        </w:tc>
        <w:tc>
          <w:tcPr>
            <w:tcW w:w="12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5220" w:type="dxa"/>
            <w:vAlign w:val="bottom"/>
            <w:gridSpan w:val="3"/>
          </w:tcPr>
          <w:p>
            <w:pPr>
              <w:jc w:val="center"/>
              <w:spacing w:after="0"/>
              <w:rPr>
                <w:sz w:val="20"/>
                <w:szCs w:val="20"/>
                <w:color w:val="auto"/>
              </w:rPr>
            </w:pPr>
            <w:r>
              <w:rPr>
                <w:rFonts w:ascii="Arial" w:cs="Arial" w:eastAsia="Arial" w:hAnsi="Arial"/>
                <w:sz w:val="18"/>
                <w:szCs w:val="18"/>
                <w:b w:val="1"/>
                <w:bCs w:val="1"/>
                <w:color w:val="auto"/>
                <w:w w:val="91"/>
              </w:rPr>
              <w:t>Confidential Treatment Requested by Definitive Healthcare Corp.</w:t>
            </w:r>
          </w:p>
        </w:tc>
        <w:tc>
          <w:tcPr>
            <w:tcW w:w="7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234"/>
        </w:trPr>
        <w:tc>
          <w:tcPr>
            <w:tcW w:w="136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5220" w:type="dxa"/>
            <w:vAlign w:val="bottom"/>
            <w:gridSpan w:val="3"/>
          </w:tcPr>
          <w:p>
            <w:pPr>
              <w:jc w:val="center"/>
              <w:spacing w:after="0"/>
              <w:rPr>
                <w:sz w:val="20"/>
                <w:szCs w:val="20"/>
                <w:color w:val="auto"/>
              </w:rPr>
            </w:pPr>
            <w:r>
              <w:rPr>
                <w:rFonts w:ascii="Arial" w:cs="Arial" w:eastAsia="Arial" w:hAnsi="Arial"/>
                <w:sz w:val="18"/>
                <w:szCs w:val="18"/>
                <w:b w:val="1"/>
                <w:bCs w:val="1"/>
                <w:color w:val="auto"/>
                <w:w w:val="89"/>
              </w:rPr>
              <w:t>Pursuant to 17 C.F.R. Section 200.83</w:t>
            </w:r>
          </w:p>
        </w:tc>
        <w:tc>
          <w:tcPr>
            <w:tcW w:w="7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140" w:type="dxa"/>
            <w:vAlign w:val="bottom"/>
          </w:tcPr>
          <w:p>
            <w:pPr>
              <w:spacing w:after="0"/>
              <w:rPr>
                <w:sz w:val="20"/>
                <w:szCs w:val="20"/>
                <w:color w:val="auto"/>
              </w:rPr>
            </w:pPr>
          </w:p>
        </w:tc>
      </w:tr>
      <w:tr>
        <w:trPr>
          <w:trHeight w:val="365"/>
        </w:trPr>
        <w:tc>
          <w:tcPr>
            <w:tcW w:w="13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1980" w:type="dxa"/>
            <w:vAlign w:val="bottom"/>
          </w:tcPr>
          <w:p>
            <w:pPr>
              <w:jc w:val="center"/>
              <w:ind w:right="10"/>
              <w:spacing w:after="0"/>
              <w:rPr>
                <w:sz w:val="20"/>
                <w:szCs w:val="20"/>
                <w:color w:val="auto"/>
              </w:rPr>
            </w:pPr>
            <w:r>
              <w:rPr>
                <w:rFonts w:ascii="Arial" w:cs="Arial" w:eastAsia="Arial" w:hAnsi="Arial"/>
                <w:sz w:val="18"/>
                <w:szCs w:val="18"/>
                <w:b w:val="1"/>
                <w:bCs w:val="1"/>
                <w:color w:val="auto"/>
                <w:w w:val="97"/>
              </w:rPr>
              <w:t>USE OF PROCEEDS</w:t>
            </w:r>
          </w:p>
        </w:tc>
        <w:tc>
          <w:tcPr>
            <w:tcW w:w="16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418"/>
        </w:trPr>
        <w:tc>
          <w:tcPr>
            <w:tcW w:w="4680" w:type="dxa"/>
            <w:vAlign w:val="bottom"/>
            <w:gridSpan w:val="4"/>
          </w:tcPr>
          <w:p>
            <w:pPr>
              <w:ind w:left="560"/>
              <w:spacing w:after="0"/>
              <w:rPr>
                <w:sz w:val="20"/>
                <w:szCs w:val="20"/>
                <w:color w:val="auto"/>
              </w:rPr>
            </w:pPr>
            <w:r>
              <w:rPr>
                <w:rFonts w:ascii="Arial" w:cs="Arial" w:eastAsia="Arial" w:hAnsi="Arial"/>
                <w:sz w:val="18"/>
                <w:szCs w:val="18"/>
                <w:color w:val="auto"/>
                <w:w w:val="91"/>
              </w:rPr>
              <w:t>We estimate that the net proceeds to us from our sale of</w:t>
            </w:r>
          </w:p>
        </w:tc>
        <w:tc>
          <w:tcPr>
            <w:tcW w:w="6420" w:type="dxa"/>
            <w:vAlign w:val="bottom"/>
            <w:gridSpan w:val="5"/>
          </w:tcPr>
          <w:p>
            <w:pPr>
              <w:jc w:val="right"/>
              <w:ind w:right="650"/>
              <w:spacing w:after="0"/>
              <w:rPr>
                <w:sz w:val="20"/>
                <w:szCs w:val="20"/>
                <w:color w:val="auto"/>
              </w:rPr>
            </w:pPr>
            <w:r>
              <w:rPr>
                <w:rFonts w:ascii="Arial" w:cs="Arial" w:eastAsia="Arial" w:hAnsi="Arial"/>
                <w:sz w:val="18"/>
                <w:szCs w:val="18"/>
                <w:color w:val="auto"/>
                <w:w w:val="99"/>
              </w:rPr>
              <w:t>shares of Class A common stock in this offering will be approximately $</w:t>
            </w:r>
          </w:p>
        </w:tc>
      </w:tr>
      <w:tr>
        <w:trPr>
          <w:trHeight w:val="216"/>
        </w:trPr>
        <w:tc>
          <w:tcPr>
            <w:tcW w:w="3040" w:type="dxa"/>
            <w:vAlign w:val="bottom"/>
            <w:gridSpan w:val="3"/>
          </w:tcPr>
          <w:p>
            <w:pPr>
              <w:ind w:left="120"/>
              <w:spacing w:after="0"/>
              <w:rPr>
                <w:sz w:val="20"/>
                <w:szCs w:val="20"/>
                <w:color w:val="auto"/>
              </w:rPr>
            </w:pPr>
            <w:r>
              <w:rPr>
                <w:rFonts w:ascii="Arial" w:cs="Arial" w:eastAsia="Arial" w:hAnsi="Arial"/>
                <w:sz w:val="18"/>
                <w:szCs w:val="18"/>
                <w:color w:val="auto"/>
                <w:w w:val="94"/>
              </w:rPr>
              <w:t>million, assuming an offering price of $</w:t>
            </w:r>
          </w:p>
        </w:tc>
        <w:tc>
          <w:tcPr>
            <w:tcW w:w="6920" w:type="dxa"/>
            <w:vAlign w:val="bottom"/>
            <w:gridSpan w:val="5"/>
          </w:tcPr>
          <w:p>
            <w:pPr>
              <w:ind w:left="300"/>
              <w:spacing w:after="0"/>
              <w:rPr>
                <w:sz w:val="20"/>
                <w:szCs w:val="20"/>
                <w:color w:val="auto"/>
              </w:rPr>
            </w:pPr>
            <w:r>
              <w:rPr>
                <w:rFonts w:ascii="Arial" w:cs="Arial" w:eastAsia="Arial" w:hAnsi="Arial"/>
                <w:sz w:val="18"/>
                <w:szCs w:val="18"/>
                <w:color w:val="auto"/>
                <w:w w:val="99"/>
              </w:rPr>
              <w:t>per share, the last reported share price of our Class A common stock on Nasdaq on</w:t>
            </w:r>
          </w:p>
        </w:tc>
        <w:tc>
          <w:tcPr>
            <w:tcW w:w="1140" w:type="dxa"/>
            <w:vAlign w:val="bottom"/>
          </w:tcPr>
          <w:p>
            <w:pPr>
              <w:jc w:val="right"/>
              <w:spacing w:after="0"/>
              <w:rPr>
                <w:sz w:val="20"/>
                <w:szCs w:val="20"/>
                <w:color w:val="auto"/>
              </w:rPr>
            </w:pPr>
            <w:r>
              <w:rPr>
                <w:rFonts w:ascii="Arial" w:cs="Arial" w:eastAsia="Arial" w:hAnsi="Arial"/>
                <w:sz w:val="18"/>
                <w:szCs w:val="18"/>
                <w:color w:val="auto"/>
              </w:rPr>
              <w:t>, 2021, after</w:t>
            </w:r>
          </w:p>
        </w:tc>
      </w:tr>
      <w:tr>
        <w:trPr>
          <w:trHeight w:val="216"/>
        </w:trPr>
        <w:tc>
          <w:tcPr>
            <w:tcW w:w="11100" w:type="dxa"/>
            <w:vAlign w:val="bottom"/>
            <w:gridSpan w:val="9"/>
          </w:tcPr>
          <w:p>
            <w:pPr>
              <w:ind w:left="120"/>
              <w:spacing w:after="0"/>
              <w:rPr>
                <w:sz w:val="20"/>
                <w:szCs w:val="20"/>
                <w:color w:val="auto"/>
              </w:rPr>
            </w:pPr>
            <w:r>
              <w:rPr>
                <w:rFonts w:ascii="Arial" w:cs="Arial" w:eastAsia="Arial" w:hAnsi="Arial"/>
                <w:sz w:val="18"/>
                <w:szCs w:val="18"/>
                <w:color w:val="auto"/>
                <w:w w:val="95"/>
              </w:rPr>
              <w:t>deducting underwriting discounts and estimated expenses payable by us in connection with this offering. The underwriters also have an option to</w:t>
            </w:r>
          </w:p>
        </w:tc>
      </w:tr>
      <w:tr>
        <w:trPr>
          <w:trHeight w:val="216"/>
        </w:trPr>
        <w:tc>
          <w:tcPr>
            <w:tcW w:w="2640" w:type="dxa"/>
            <w:vAlign w:val="bottom"/>
            <w:gridSpan w:val="2"/>
          </w:tcPr>
          <w:p>
            <w:pPr>
              <w:ind w:left="120"/>
              <w:spacing w:after="0"/>
              <w:rPr>
                <w:sz w:val="20"/>
                <w:szCs w:val="20"/>
                <w:color w:val="auto"/>
              </w:rPr>
            </w:pPr>
            <w:r>
              <w:rPr>
                <w:rFonts w:ascii="Arial" w:cs="Arial" w:eastAsia="Arial" w:hAnsi="Arial"/>
                <w:sz w:val="18"/>
                <w:szCs w:val="18"/>
                <w:color w:val="auto"/>
              </w:rPr>
              <w:t>purchase up to an additional</w:t>
            </w:r>
          </w:p>
        </w:tc>
        <w:tc>
          <w:tcPr>
            <w:tcW w:w="8460" w:type="dxa"/>
            <w:vAlign w:val="bottom"/>
            <w:gridSpan w:val="7"/>
          </w:tcPr>
          <w:p>
            <w:pPr>
              <w:jc w:val="right"/>
              <w:ind w:right="30"/>
              <w:spacing w:after="0"/>
              <w:rPr>
                <w:sz w:val="20"/>
                <w:szCs w:val="20"/>
                <w:color w:val="auto"/>
              </w:rPr>
            </w:pPr>
            <w:r>
              <w:rPr>
                <w:rFonts w:ascii="Arial" w:cs="Arial" w:eastAsia="Arial" w:hAnsi="Arial"/>
                <w:sz w:val="18"/>
                <w:szCs w:val="18"/>
                <w:color w:val="auto"/>
                <w:w w:val="90"/>
              </w:rPr>
              <w:t>shares of Class A common stock from us. We estimate that the net proceeds to us, if the underwriters exercise their</w:t>
            </w:r>
          </w:p>
        </w:tc>
      </w:tr>
      <w:tr>
        <w:trPr>
          <w:trHeight w:val="216"/>
        </w:trPr>
        <w:tc>
          <w:tcPr>
            <w:tcW w:w="2640" w:type="dxa"/>
            <w:vAlign w:val="bottom"/>
            <w:gridSpan w:val="2"/>
          </w:tcPr>
          <w:p>
            <w:pPr>
              <w:ind w:left="120"/>
              <w:spacing w:after="0"/>
              <w:rPr>
                <w:sz w:val="20"/>
                <w:szCs w:val="20"/>
                <w:color w:val="auto"/>
              </w:rPr>
            </w:pPr>
            <w:r>
              <w:rPr>
                <w:rFonts w:ascii="Arial" w:cs="Arial" w:eastAsia="Arial" w:hAnsi="Arial"/>
                <w:sz w:val="18"/>
                <w:szCs w:val="18"/>
                <w:color w:val="auto"/>
                <w:w w:val="93"/>
              </w:rPr>
              <w:t>right to purchase the maximum of</w:t>
            </w:r>
          </w:p>
        </w:tc>
        <w:tc>
          <w:tcPr>
            <w:tcW w:w="400" w:type="dxa"/>
            <w:vAlign w:val="bottom"/>
          </w:tcPr>
          <w:p>
            <w:pPr>
              <w:spacing w:after="0"/>
              <w:rPr>
                <w:sz w:val="18"/>
                <w:szCs w:val="18"/>
                <w:color w:val="auto"/>
              </w:rPr>
            </w:pPr>
          </w:p>
        </w:tc>
        <w:tc>
          <w:tcPr>
            <w:tcW w:w="5920" w:type="dxa"/>
            <w:vAlign w:val="bottom"/>
            <w:gridSpan w:val="4"/>
          </w:tcPr>
          <w:p>
            <w:pPr>
              <w:ind w:left="100"/>
              <w:spacing w:after="0"/>
              <w:rPr>
                <w:sz w:val="20"/>
                <w:szCs w:val="20"/>
                <w:color w:val="auto"/>
              </w:rPr>
            </w:pPr>
            <w:r>
              <w:rPr>
                <w:rFonts w:ascii="Arial" w:cs="Arial" w:eastAsia="Arial" w:hAnsi="Arial"/>
                <w:sz w:val="18"/>
                <w:szCs w:val="18"/>
                <w:color w:val="auto"/>
                <w:w w:val="96"/>
              </w:rPr>
              <w:t>additional shares of Class A common stock from us, will be approximately $</w:t>
            </w:r>
          </w:p>
        </w:tc>
        <w:tc>
          <w:tcPr>
            <w:tcW w:w="2140" w:type="dxa"/>
            <w:vAlign w:val="bottom"/>
            <w:gridSpan w:val="2"/>
          </w:tcPr>
          <w:p>
            <w:pPr>
              <w:jc w:val="right"/>
              <w:ind w:right="250"/>
              <w:spacing w:after="0"/>
              <w:rPr>
                <w:sz w:val="20"/>
                <w:szCs w:val="20"/>
                <w:color w:val="auto"/>
              </w:rPr>
            </w:pPr>
            <w:r>
              <w:rPr>
                <w:rFonts w:ascii="Arial" w:cs="Arial" w:eastAsia="Arial" w:hAnsi="Arial"/>
                <w:sz w:val="18"/>
                <w:szCs w:val="18"/>
                <w:color w:val="auto"/>
                <w:w w:val="98"/>
              </w:rPr>
              <w:t>million, after deducting</w:t>
            </w:r>
          </w:p>
        </w:tc>
      </w:tr>
      <w:tr>
        <w:trPr>
          <w:trHeight w:val="230"/>
        </w:trPr>
        <w:tc>
          <w:tcPr>
            <w:tcW w:w="8260" w:type="dxa"/>
            <w:vAlign w:val="bottom"/>
            <w:gridSpan w:val="6"/>
          </w:tcPr>
          <w:p>
            <w:pPr>
              <w:ind w:left="120"/>
              <w:spacing w:after="0"/>
              <w:rPr>
                <w:sz w:val="20"/>
                <w:szCs w:val="20"/>
                <w:color w:val="auto"/>
              </w:rPr>
            </w:pPr>
            <w:r>
              <w:rPr>
                <w:rFonts w:ascii="Arial" w:cs="Arial" w:eastAsia="Arial" w:hAnsi="Arial"/>
                <w:sz w:val="18"/>
                <w:szCs w:val="18"/>
                <w:color w:val="auto"/>
              </w:rPr>
              <w:t>underwriting discounts and estimated expenses payable by us in connection with this offering.</w:t>
            </w:r>
          </w:p>
        </w:tc>
        <w:tc>
          <w:tcPr>
            <w:tcW w:w="7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140" w:type="dxa"/>
            <w:vAlign w:val="bottom"/>
          </w:tcPr>
          <w:p>
            <w:pPr>
              <w:spacing w:after="0"/>
              <w:rPr>
                <w:sz w:val="20"/>
                <w:szCs w:val="20"/>
                <w:color w:val="auto"/>
              </w:rPr>
            </w:pPr>
          </w:p>
        </w:tc>
      </w:tr>
      <w:tr>
        <w:trPr>
          <w:trHeight w:val="418"/>
        </w:trPr>
        <w:tc>
          <w:tcPr>
            <w:tcW w:w="8260" w:type="dxa"/>
            <w:vAlign w:val="bottom"/>
            <w:gridSpan w:val="6"/>
          </w:tcPr>
          <w:p>
            <w:pPr>
              <w:ind w:left="560"/>
              <w:spacing w:after="0"/>
              <w:rPr>
                <w:sz w:val="20"/>
                <w:szCs w:val="20"/>
                <w:color w:val="auto"/>
              </w:rPr>
            </w:pPr>
            <w:r>
              <w:rPr>
                <w:rFonts w:ascii="Arial" w:cs="Arial" w:eastAsia="Arial" w:hAnsi="Arial"/>
                <w:sz w:val="18"/>
                <w:szCs w:val="18"/>
                <w:color w:val="auto"/>
                <w:w w:val="94"/>
              </w:rPr>
              <w:t>We estimate that the offering expenses (other than the underwriting discounts) will be approximately $</w:t>
            </w:r>
          </w:p>
        </w:tc>
        <w:tc>
          <w:tcPr>
            <w:tcW w:w="2840" w:type="dxa"/>
            <w:vAlign w:val="bottom"/>
            <w:gridSpan w:val="3"/>
          </w:tcPr>
          <w:p>
            <w:pPr>
              <w:jc w:val="right"/>
              <w:spacing w:after="0"/>
              <w:rPr>
                <w:sz w:val="20"/>
                <w:szCs w:val="20"/>
                <w:color w:val="auto"/>
              </w:rPr>
            </w:pPr>
            <w:r>
              <w:rPr>
                <w:rFonts w:ascii="Arial" w:cs="Arial" w:eastAsia="Arial" w:hAnsi="Arial"/>
                <w:sz w:val="18"/>
                <w:szCs w:val="18"/>
                <w:color w:val="auto"/>
                <w:w w:val="96"/>
              </w:rPr>
              <w:t>million. All of such offering expenses</w:t>
            </w:r>
          </w:p>
        </w:tc>
      </w:tr>
      <w:tr>
        <w:trPr>
          <w:trHeight w:val="230"/>
        </w:trPr>
        <w:tc>
          <w:tcPr>
            <w:tcW w:w="4680" w:type="dxa"/>
            <w:vAlign w:val="bottom"/>
            <w:gridSpan w:val="4"/>
          </w:tcPr>
          <w:p>
            <w:pPr>
              <w:ind w:left="120"/>
              <w:spacing w:after="0"/>
              <w:rPr>
                <w:sz w:val="20"/>
                <w:szCs w:val="20"/>
                <w:color w:val="auto"/>
              </w:rPr>
            </w:pPr>
            <w:r>
              <w:rPr>
                <w:rFonts w:ascii="Arial" w:cs="Arial" w:eastAsia="Arial" w:hAnsi="Arial"/>
                <w:sz w:val="18"/>
                <w:szCs w:val="18"/>
                <w:color w:val="auto"/>
              </w:rPr>
              <w:t>will be paid for or otherwise borne by Definitive OpCo.</w:t>
            </w:r>
          </w:p>
        </w:tc>
        <w:tc>
          <w:tcPr>
            <w:tcW w:w="198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140" w:type="dxa"/>
            <w:vAlign w:val="bottom"/>
          </w:tcPr>
          <w:p>
            <w:pPr>
              <w:spacing w:after="0"/>
              <w:rPr>
                <w:sz w:val="20"/>
                <w:szCs w:val="20"/>
                <w:color w:val="auto"/>
              </w:rPr>
            </w:pPr>
          </w:p>
        </w:tc>
      </w:tr>
      <w:tr>
        <w:trPr>
          <w:trHeight w:val="418"/>
        </w:trPr>
        <w:tc>
          <w:tcPr>
            <w:tcW w:w="6660" w:type="dxa"/>
            <w:vAlign w:val="bottom"/>
            <w:gridSpan w:val="5"/>
          </w:tcPr>
          <w:p>
            <w:pPr>
              <w:ind w:left="560"/>
              <w:spacing w:after="0"/>
              <w:rPr>
                <w:sz w:val="20"/>
                <w:szCs w:val="20"/>
                <w:color w:val="auto"/>
              </w:rPr>
            </w:pPr>
            <w:r>
              <w:rPr>
                <w:rFonts w:ascii="Arial" w:cs="Arial" w:eastAsia="Arial" w:hAnsi="Arial"/>
                <w:sz w:val="18"/>
                <w:szCs w:val="18"/>
                <w:color w:val="auto"/>
                <w:w w:val="96"/>
              </w:rPr>
              <w:t>We intend to use a portion of the net proceeds from this offering to (i) purchase</w:t>
            </w:r>
          </w:p>
        </w:tc>
        <w:tc>
          <w:tcPr>
            <w:tcW w:w="2300" w:type="dxa"/>
            <w:vAlign w:val="bottom"/>
            <w:gridSpan w:val="2"/>
          </w:tcPr>
          <w:p>
            <w:pPr>
              <w:ind w:left="180"/>
              <w:spacing w:after="0"/>
              <w:rPr>
                <w:sz w:val="20"/>
                <w:szCs w:val="20"/>
                <w:color w:val="auto"/>
              </w:rPr>
            </w:pPr>
            <w:r>
              <w:rPr>
                <w:rFonts w:ascii="Arial" w:cs="Arial" w:eastAsia="Arial" w:hAnsi="Arial"/>
                <w:sz w:val="18"/>
                <w:szCs w:val="18"/>
                <w:color w:val="auto"/>
                <w:w w:val="98"/>
              </w:rPr>
              <w:t>newly issued LLC Units (or</w:t>
            </w:r>
          </w:p>
        </w:tc>
        <w:tc>
          <w:tcPr>
            <w:tcW w:w="2140" w:type="dxa"/>
            <w:vAlign w:val="bottom"/>
            <w:gridSpan w:val="2"/>
          </w:tcPr>
          <w:p>
            <w:pPr>
              <w:jc w:val="right"/>
              <w:ind w:right="330"/>
              <w:spacing w:after="0"/>
              <w:rPr>
                <w:sz w:val="20"/>
                <w:szCs w:val="20"/>
                <w:color w:val="auto"/>
              </w:rPr>
            </w:pPr>
            <w:r>
              <w:rPr>
                <w:rFonts w:ascii="Arial" w:cs="Arial" w:eastAsia="Arial" w:hAnsi="Arial"/>
                <w:sz w:val="18"/>
                <w:szCs w:val="18"/>
                <w:color w:val="auto"/>
              </w:rPr>
              <w:t>LLC Units, if the</w:t>
            </w:r>
          </w:p>
        </w:tc>
      </w:tr>
      <w:tr>
        <w:trPr>
          <w:trHeight w:val="216"/>
        </w:trPr>
        <w:tc>
          <w:tcPr>
            <w:tcW w:w="9960" w:type="dxa"/>
            <w:vAlign w:val="bottom"/>
            <w:gridSpan w:val="8"/>
          </w:tcPr>
          <w:p>
            <w:pPr>
              <w:ind w:left="120"/>
              <w:spacing w:after="0"/>
              <w:rPr>
                <w:sz w:val="20"/>
                <w:szCs w:val="20"/>
                <w:color w:val="auto"/>
              </w:rPr>
            </w:pPr>
            <w:r>
              <w:rPr>
                <w:rFonts w:ascii="Arial" w:cs="Arial" w:eastAsia="Arial" w:hAnsi="Arial"/>
                <w:sz w:val="18"/>
                <w:szCs w:val="18"/>
                <w:color w:val="auto"/>
                <w:w w:val="93"/>
              </w:rPr>
              <w:t>underwriters exercise their option to purchase additional shares of Class A common stock in full) from Definitive OpCo, (ii) purchase</w:t>
            </w:r>
          </w:p>
        </w:tc>
        <w:tc>
          <w:tcPr>
            <w:tcW w:w="1140" w:type="dxa"/>
            <w:vAlign w:val="bottom"/>
          </w:tcPr>
          <w:p>
            <w:pPr>
              <w:jc w:val="right"/>
              <w:spacing w:after="0"/>
              <w:rPr>
                <w:sz w:val="20"/>
                <w:szCs w:val="20"/>
                <w:color w:val="auto"/>
              </w:rPr>
            </w:pPr>
            <w:r>
              <w:rPr>
                <w:rFonts w:ascii="Arial" w:cs="Arial" w:eastAsia="Arial" w:hAnsi="Arial"/>
                <w:sz w:val="18"/>
                <w:szCs w:val="18"/>
                <w:color w:val="auto"/>
              </w:rPr>
              <w:t>LLC Units</w:t>
            </w:r>
          </w:p>
        </w:tc>
      </w:tr>
      <w:tr>
        <w:trPr>
          <w:trHeight w:val="230"/>
        </w:trPr>
        <w:tc>
          <w:tcPr>
            <w:tcW w:w="3040" w:type="dxa"/>
            <w:vAlign w:val="bottom"/>
            <w:gridSpan w:val="3"/>
          </w:tcPr>
          <w:p>
            <w:pPr>
              <w:ind w:left="120"/>
              <w:spacing w:after="0"/>
              <w:rPr>
                <w:sz w:val="20"/>
                <w:szCs w:val="20"/>
                <w:color w:val="auto"/>
              </w:rPr>
            </w:pPr>
            <w:r>
              <w:rPr>
                <w:rFonts w:ascii="Arial" w:cs="Arial" w:eastAsia="Arial" w:hAnsi="Arial"/>
                <w:sz w:val="18"/>
                <w:szCs w:val="18"/>
                <w:color w:val="auto"/>
                <w:w w:val="97"/>
              </w:rPr>
              <w:t>from Unitholders, and (iii) repurchase</w:t>
            </w:r>
          </w:p>
        </w:tc>
        <w:tc>
          <w:tcPr>
            <w:tcW w:w="8060" w:type="dxa"/>
            <w:vAlign w:val="bottom"/>
            <w:gridSpan w:val="6"/>
          </w:tcPr>
          <w:p>
            <w:pPr>
              <w:jc w:val="right"/>
              <w:ind w:right="30"/>
              <w:spacing w:after="0"/>
              <w:rPr>
                <w:sz w:val="20"/>
                <w:szCs w:val="20"/>
                <w:color w:val="auto"/>
              </w:rPr>
            </w:pPr>
            <w:r>
              <w:rPr>
                <w:rFonts w:ascii="Arial" w:cs="Arial" w:eastAsia="Arial" w:hAnsi="Arial"/>
                <w:sz w:val="18"/>
                <w:szCs w:val="18"/>
                <w:color w:val="auto"/>
                <w:w w:val="95"/>
              </w:rPr>
              <w:t>shares of Class A common stock from certain of the Blocker Companies’ Former Owners. The foregoing</w:t>
            </w:r>
          </w:p>
        </w:tc>
      </w:tr>
    </w:tbl>
    <w:p>
      <w:pPr>
        <w:ind w:left="120" w:right="540"/>
        <w:spacing w:after="0" w:line="290"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purchases of LLC Units and Class A common stock, respectively, will be at a price per unit equal to the public offering price per share of Class A common stock in this offering, less the underwriting discounts. See “Prospectus Summary—Organizational Structure.”</w:t>
      </w:r>
    </w:p>
    <w:p>
      <w:pPr>
        <w:spacing w:after="0" w:line="161" w:lineRule="exact"/>
        <w:rPr>
          <w:sz w:val="20"/>
          <w:szCs w:val="20"/>
          <w:color w:val="auto"/>
        </w:rPr>
      </w:pPr>
    </w:p>
    <w:p>
      <w:pPr>
        <w:ind w:left="560"/>
        <w:spacing w:after="0"/>
        <w:rPr>
          <w:sz w:val="20"/>
          <w:szCs w:val="20"/>
          <w:color w:val="auto"/>
        </w:rPr>
      </w:pPr>
      <w:r>
        <w:rPr>
          <w:rFonts w:ascii="Arial" w:cs="Arial" w:eastAsia="Arial" w:hAnsi="Arial"/>
          <w:sz w:val="16"/>
          <w:szCs w:val="16"/>
          <w:color w:val="auto"/>
        </w:rPr>
        <w:t>We will cause Definitive OpCo to use the proceeds from the issuance of the newly issued LLC Units to Definitive Healthcare Corp. as follows:</w:t>
      </w:r>
    </w:p>
    <w:p>
      <w:pPr>
        <w:spacing w:after="0" w:line="46" w:lineRule="exact"/>
        <w:rPr>
          <w:sz w:val="20"/>
          <w:szCs w:val="20"/>
          <w:color w:val="auto"/>
        </w:rPr>
      </w:pPr>
    </w:p>
    <w:p>
      <w:pPr>
        <w:ind w:left="340" w:hanging="224"/>
        <w:spacing w:after="0"/>
        <w:tabs>
          <w:tab w:leader="none" w:pos="340" w:val="left"/>
        </w:tabs>
        <w:numPr>
          <w:ilvl w:val="0"/>
          <w:numId w:val="55"/>
        </w:numPr>
        <w:rPr>
          <w:rFonts w:ascii="Arial" w:cs="Arial" w:eastAsia="Arial" w:hAnsi="Arial"/>
          <w:sz w:val="16"/>
          <w:szCs w:val="16"/>
          <w:color w:val="auto"/>
        </w:rPr>
      </w:pPr>
      <w:r>
        <w:rPr>
          <w:rFonts w:ascii="Arial" w:cs="Arial" w:eastAsia="Arial" w:hAnsi="Arial"/>
          <w:sz w:val="16"/>
          <w:szCs w:val="16"/>
          <w:color w:val="auto"/>
        </w:rPr>
        <w:t>for general corporate purposes, including future acquisitions, capital expenditures and funding working capital and (ii) to pay fees and expenses not</w:t>
      </w:r>
    </w:p>
    <w:p>
      <w:pPr>
        <w:spacing w:after="0" w:line="32" w:lineRule="exact"/>
        <w:rPr>
          <w:rFonts w:ascii="Arial" w:cs="Arial" w:eastAsia="Arial" w:hAnsi="Arial"/>
          <w:sz w:val="16"/>
          <w:szCs w:val="16"/>
          <w:color w:val="auto"/>
        </w:rPr>
      </w:pPr>
    </w:p>
    <w:p>
      <w:pPr>
        <w:ind w:left="120" w:right="80"/>
        <w:spacing w:after="0" w:line="292" w:lineRule="auto"/>
        <w:rPr>
          <w:rFonts w:ascii="Arial" w:cs="Arial" w:eastAsia="Arial" w:hAnsi="Arial"/>
          <w:sz w:val="16"/>
          <w:szCs w:val="16"/>
          <w:color w:val="auto"/>
        </w:rPr>
      </w:pPr>
      <w:r>
        <w:rPr>
          <w:rFonts w:ascii="Arial" w:cs="Arial" w:eastAsia="Arial" w:hAnsi="Arial"/>
          <w:sz w:val="16"/>
          <w:szCs w:val="16"/>
          <w:color w:val="auto"/>
        </w:rPr>
        <w:t>already paid from our total estimate of approximately $ million in connection with this offering. Definitive OpCo will not receive any proceeds from the purchase of LLC Units from certain Unitholders by us or from the repurchase of shares of Class A common stock by us. We are in discussions with several targets or are in more advanced stages of negotiation to originate or enter into commitments for several potential acquisitions. We have not yet executed any binding agreements, no major terms have been agreed to between the parties, no commitment with respect thereto has arisen and there can be no assurance that satisfactory agreements can be reached or that any such acquisitions will be consummated.</w:t>
      </w:r>
    </w:p>
    <w:p>
      <w:pPr>
        <w:spacing w:after="0" w:line="162" w:lineRule="exact"/>
        <w:rPr>
          <w:sz w:val="20"/>
          <w:szCs w:val="20"/>
          <w:color w:val="auto"/>
        </w:rPr>
      </w:pPr>
    </w:p>
    <w:p>
      <w:pPr>
        <w:ind w:left="560"/>
        <w:spacing w:after="0"/>
        <w:rPr>
          <w:sz w:val="20"/>
          <w:szCs w:val="20"/>
          <w:color w:val="auto"/>
        </w:rPr>
      </w:pPr>
      <w:r>
        <w:rPr>
          <w:rFonts w:ascii="Arial" w:cs="Arial" w:eastAsia="Arial" w:hAnsi="Arial"/>
          <w:sz w:val="17"/>
          <w:szCs w:val="17"/>
          <w:color w:val="auto"/>
        </w:rPr>
        <w:t>If the underwriters exercise their option to purchase additional shares of Class A common stock in full, we estimate that our additional net</w:t>
      </w:r>
    </w:p>
    <w:p>
      <w:pPr>
        <w:spacing w:after="0" w:line="35" w:lineRule="exact"/>
        <w:rPr>
          <w:sz w:val="20"/>
          <w:szCs w:val="20"/>
          <w:color w:val="auto"/>
        </w:rPr>
      </w:pPr>
    </w:p>
    <w:p>
      <w:pPr>
        <w:ind w:left="120" w:right="40"/>
        <w:spacing w:after="0" w:line="273" w:lineRule="auto"/>
        <w:rPr>
          <w:sz w:val="20"/>
          <w:szCs w:val="20"/>
          <w:color w:val="auto"/>
        </w:rPr>
      </w:pPr>
      <w:r>
        <w:rPr>
          <w:rFonts w:ascii="Arial" w:cs="Arial" w:eastAsia="Arial" w:hAnsi="Arial"/>
          <w:sz w:val="17"/>
          <w:szCs w:val="17"/>
          <w:color w:val="auto"/>
        </w:rPr>
        <w:t>proceeds will be approximately $ million based on an assumed public offering price of $ per share. We will use the additional net proceeds we receive pursuant to any exercise of the underwriters’ option to purchase additional shares of Class A common stock to purchase LLC Units from certain Unitholders and/or to repurchase shares of the Class A common stock from certain stockholders at a price per LLC Unit and share of Class A common stock, in each case equal to the public offering price of our Class A common stock minus underwriting discounts.</w:t>
      </w:r>
    </w:p>
    <w:p>
      <w:pPr>
        <w:spacing w:after="0" w:line="176" w:lineRule="exact"/>
        <w:rPr>
          <w:sz w:val="20"/>
          <w:szCs w:val="20"/>
          <w:color w:val="auto"/>
        </w:rPr>
      </w:pPr>
    </w:p>
    <w:p>
      <w:pPr>
        <w:ind w:left="120" w:firstLine="440"/>
        <w:spacing w:after="0" w:line="287" w:lineRule="auto"/>
        <w:rPr>
          <w:sz w:val="20"/>
          <w:szCs w:val="20"/>
          <w:color w:val="auto"/>
        </w:rPr>
      </w:pPr>
      <w:r>
        <w:rPr>
          <w:rFonts w:ascii="Arial" w:cs="Arial" w:eastAsia="Arial" w:hAnsi="Arial"/>
          <w:sz w:val="16"/>
          <w:szCs w:val="16"/>
          <w:color w:val="auto"/>
        </w:rPr>
        <w:t>A $1.00 increase (decrease) in the assumed public offering price of $ per share would increase (decrease) the amount of proceeds to us from this offering available by approximately $ million, assuming the number of shares offered by us, as set forth on the cover page of this prospectus, remains the same, and after deducting the estimated underwriting discounts. An increase (decrease) of shares from the expected number of shares</w:t>
      </w:r>
    </w:p>
    <w:p>
      <w:pPr>
        <w:spacing w:after="0" w:line="2" w:lineRule="exact"/>
        <w:rPr>
          <w:sz w:val="20"/>
          <w:szCs w:val="20"/>
          <w:color w:val="auto"/>
        </w:rPr>
      </w:pPr>
    </w:p>
    <w:p>
      <w:pPr>
        <w:ind w:left="120"/>
        <w:spacing w:after="0"/>
        <w:rPr>
          <w:sz w:val="20"/>
          <w:szCs w:val="20"/>
          <w:color w:val="auto"/>
        </w:rPr>
      </w:pPr>
      <w:r>
        <w:rPr>
          <w:rFonts w:ascii="Arial" w:cs="Arial" w:eastAsia="Arial" w:hAnsi="Arial"/>
          <w:sz w:val="16"/>
          <w:szCs w:val="16"/>
          <w:color w:val="auto"/>
        </w:rPr>
        <w:t>to be sold by us in this offering, assuming no change in the assumed public offering price per share, would increase (decrease) the amount of proceeds to</w:t>
      </w:r>
    </w:p>
    <w:p>
      <w:pPr>
        <w:spacing w:after="0" w:line="386" w:lineRule="exact"/>
        <w:rPr>
          <w:sz w:val="20"/>
          <w:szCs w:val="20"/>
          <w:color w:val="auto"/>
        </w:rPr>
      </w:pPr>
    </w:p>
    <w:p>
      <w:pPr>
        <w:ind w:left="120"/>
        <w:spacing w:after="0"/>
        <w:tabs>
          <w:tab w:leader="none" w:pos="4120" w:val="left"/>
        </w:tabs>
        <w:rPr>
          <w:sz w:val="20"/>
          <w:szCs w:val="20"/>
          <w:color w:val="auto"/>
        </w:rPr>
      </w:pPr>
      <w:r>
        <w:rPr>
          <w:rFonts w:ascii="Arial" w:cs="Arial" w:eastAsia="Arial" w:hAnsi="Arial"/>
          <w:sz w:val="18"/>
          <w:szCs w:val="18"/>
          <w:color w:val="auto"/>
        </w:rPr>
        <w:t>us from this offering available by approximately $</w:t>
      </w:r>
      <w:r>
        <w:rPr>
          <w:sz w:val="20"/>
          <w:szCs w:val="20"/>
          <w:color w:val="auto"/>
        </w:rPr>
        <w:tab/>
      </w:r>
      <w:r>
        <w:rPr>
          <w:rFonts w:ascii="Arial" w:cs="Arial" w:eastAsia="Arial" w:hAnsi="Arial"/>
          <w:sz w:val="18"/>
          <w:szCs w:val="18"/>
          <w:color w:val="auto"/>
        </w:rPr>
        <w:t>million.</w:t>
      </w:r>
    </w:p>
    <w:p>
      <w:pPr>
        <w:spacing w:after="0" w:line="158"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69</w:t>
      </w:r>
    </w:p>
    <w:p>
      <w:pPr>
        <w:sectPr>
          <w:pgSz w:w="11900" w:h="16838" w:orient="portrait"/>
          <w:cols w:equalWidth="0" w:num="1">
            <w:col w:w="11120"/>
          </w:cols>
          <w:pgMar w:left="320" w:top="446" w:right="459" w:bottom="1440" w:gutter="0" w:footer="0" w:header="0"/>
        </w:sectPr>
      </w:pPr>
    </w:p>
    <w:bookmarkStart w:id="76" w:name="page77"/>
    <w:bookmarkEnd w:id="7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Confidential Treatment Requested by Definitive Healthcare Corp.</w:t>
      </w:r>
    </w:p>
    <w:p>
      <w:pPr>
        <w:spacing w:after="0" w:line="27"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Pursuant to 17 C.F.R. Section 200.83</w:t>
      </w:r>
    </w:p>
    <w:p>
      <w:pPr>
        <w:spacing w:after="0" w:line="139"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DIVIDEND POLICY</w:t>
      </w:r>
    </w:p>
    <w:p>
      <w:pPr>
        <w:spacing w:after="0" w:line="229" w:lineRule="exact"/>
        <w:rPr>
          <w:sz w:val="20"/>
          <w:szCs w:val="20"/>
          <w:color w:val="auto"/>
        </w:rPr>
      </w:pPr>
    </w:p>
    <w:p>
      <w:pPr>
        <w:ind w:left="120" w:right="20" w:firstLine="440"/>
        <w:spacing w:after="0" w:line="301" w:lineRule="auto"/>
        <w:rPr>
          <w:sz w:val="20"/>
          <w:szCs w:val="20"/>
          <w:color w:val="auto"/>
        </w:rPr>
      </w:pPr>
      <w:r>
        <w:rPr>
          <w:rFonts w:ascii="Arial" w:cs="Arial" w:eastAsia="Arial" w:hAnsi="Arial"/>
          <w:sz w:val="16"/>
          <w:szCs w:val="16"/>
          <w:color w:val="auto"/>
        </w:rPr>
        <w:t>We do not currently intend to pay dividends on our Class A common stock in the foreseeable future. However, in the future, subject to the factors described below and our future liquidity and capitalization, we may change this policy and choose to pay dividends. Any determination to pay dividends in the future will be at the discretion of our board of directors and will depend upon our results of operations, cash requirements, financial condition, contractual restrictions, restrictions imposed by applicable laws and other factors that our board of directors may deem relevant.</w:t>
      </w:r>
    </w:p>
    <w:p>
      <w:pPr>
        <w:spacing w:after="0" w:line="157" w:lineRule="exact"/>
        <w:rPr>
          <w:sz w:val="20"/>
          <w:szCs w:val="20"/>
          <w:color w:val="auto"/>
        </w:rPr>
      </w:pPr>
    </w:p>
    <w:p>
      <w:pPr>
        <w:ind w:left="120" w:right="20" w:firstLine="440"/>
        <w:spacing w:after="0" w:line="257" w:lineRule="auto"/>
        <w:rPr>
          <w:sz w:val="20"/>
          <w:szCs w:val="20"/>
          <w:color w:val="auto"/>
        </w:rPr>
      </w:pPr>
      <w:r>
        <w:rPr>
          <w:rFonts w:ascii="Arial" w:cs="Arial" w:eastAsia="Arial" w:hAnsi="Arial"/>
          <w:sz w:val="18"/>
          <w:szCs w:val="18"/>
          <w:color w:val="auto"/>
        </w:rPr>
        <w:t>We are a holding company that does not conduct any business operations of our own and has no material assets other than its ownership of LLC Units. As a result, our ability to pay dividends on our common stock, if our Board of Directors determines to do so, will be dependent upon the ability of Definitive OpCo to pay cash dividends and distributions to us. Definitive OpCo’s ability to pay cash dividends and distributions to us is currently restricted by the terms of our Senior Credit Facilities and may be further restricted by any future indebtedness we may incur. See “Description of Material Indebtedness.”</w:t>
      </w:r>
    </w:p>
    <w:p>
      <w:pPr>
        <w:spacing w:after="0" w:line="188" w:lineRule="exact"/>
        <w:rPr>
          <w:sz w:val="20"/>
          <w:szCs w:val="20"/>
          <w:color w:val="auto"/>
        </w:rPr>
      </w:pPr>
    </w:p>
    <w:p>
      <w:pPr>
        <w:ind w:left="120" w:right="120" w:firstLine="440"/>
        <w:spacing w:after="0" w:line="301" w:lineRule="auto"/>
        <w:rPr>
          <w:sz w:val="20"/>
          <w:szCs w:val="20"/>
          <w:color w:val="auto"/>
        </w:rPr>
      </w:pPr>
      <w:r>
        <w:rPr>
          <w:rFonts w:ascii="Arial" w:cs="Arial" w:eastAsia="Arial" w:hAnsi="Arial"/>
          <w:sz w:val="16"/>
          <w:szCs w:val="16"/>
          <w:color w:val="auto"/>
        </w:rPr>
        <w:t>If Definitive OpCo makes such distributions, the holders of LLC Units will be entitled to receive equivalent distributions from Definitive OpCo. However, because we must pay taxes, make payments under the Tax Receivable Agreement and pay our expenses, amounts ultimately distributed as dividends to holders of our Class A common stock are expected to be less than the amounts distributed by Definitive OpCo to the other holders of LLC Units on a per share basis. See “Certain Relationships and Related Party Transactions— Amended Definitive OpCo Agreement.”</w:t>
      </w:r>
    </w:p>
    <w:p>
      <w:pPr>
        <w:spacing w:after="0" w:line="157" w:lineRule="exact"/>
        <w:rPr>
          <w:sz w:val="20"/>
          <w:szCs w:val="20"/>
          <w:color w:val="auto"/>
        </w:rPr>
      </w:pPr>
    </w:p>
    <w:p>
      <w:pPr>
        <w:ind w:left="120" w:firstLine="440"/>
        <w:spacing w:after="0" w:line="268" w:lineRule="auto"/>
        <w:rPr>
          <w:sz w:val="20"/>
          <w:szCs w:val="20"/>
          <w:color w:val="auto"/>
        </w:rPr>
      </w:pPr>
      <w:r>
        <w:rPr>
          <w:rFonts w:ascii="Arial" w:cs="Arial" w:eastAsia="Arial" w:hAnsi="Arial"/>
          <w:sz w:val="17"/>
          <w:szCs w:val="17"/>
          <w:color w:val="auto"/>
        </w:rPr>
        <w:t>Under the Amended LLC Agreement, Definitive OpCo is generally required from time to time to make pro rata distributions in cash to us and the other holders of LLC Units at certain assumed tax rates in amounts that are intended to be sufficient to cover the income taxes payable on our and the other LLC Unit holders’ respective allocable shares of the taxable income of Definitive OpCo. We may receive tax distributions significantly in excess of our tax liabilities and obligations to make payments under the Tax Receivable Agreement. Our board of directors, in its sole discretion, may make any determination from time to time with respect to the use of any such excess cash so accumulated, which may include, among other uses, funding repurchases of Class A common stock; acquiring additional newly issued LLC Units from Definitive OpCo at a per unit price determined by reference to the market value of the Class A common stock; paying dividends, which may include special dividends, on its Class A common stock; or any combination of the foregoing. We have no obligation to distribute such cash (or other available cash other than any declared dividend) to our stockholders. We also expect, if necessary, to undertake ameliorative actions, which may include pro rata or non-pro rata reclassifications, combinations, subdivisions or adjustments of outstanding LLC Units, to maintain 1:1 parity between LLC Units and shares of Class A common stock. See “Risk Factors—Risks Related to Our Organizational Structure—We are a holding company and our principal asset is our % economic ownership interest in Definitive OpCo, and we are accordingly dependent upon distributions from Definitive OpCo to pay dividends, if any, and taxes, make payments under the Tax Receivable Agreement and pay other expenses.”</w:t>
      </w:r>
    </w:p>
    <w:p>
      <w:pPr>
        <w:spacing w:after="0" w:line="186" w:lineRule="exact"/>
        <w:rPr>
          <w:sz w:val="20"/>
          <w:szCs w:val="20"/>
          <w:color w:val="auto"/>
        </w:rPr>
      </w:pPr>
    </w:p>
    <w:p>
      <w:pPr>
        <w:ind w:left="120" w:right="820" w:firstLine="440"/>
        <w:spacing w:after="0" w:line="277" w:lineRule="auto"/>
        <w:rPr>
          <w:sz w:val="20"/>
          <w:szCs w:val="20"/>
          <w:color w:val="auto"/>
        </w:rPr>
      </w:pPr>
      <w:r>
        <w:rPr>
          <w:rFonts w:ascii="Arial" w:cs="Arial" w:eastAsia="Arial" w:hAnsi="Arial"/>
          <w:sz w:val="18"/>
          <w:szCs w:val="18"/>
          <w:color w:val="auto"/>
        </w:rPr>
        <w:t>In 2020 and 2019, Definitive OpCo made cash distributions to its equity holders in aggregate amounts of $2.9 million and $7.0 million, respectively, in connection with equity holder tax obligations.</w:t>
      </w:r>
    </w:p>
    <w:p>
      <w:pPr>
        <w:spacing w:after="0" w:line="170" w:lineRule="exact"/>
        <w:rPr>
          <w:sz w:val="20"/>
          <w:szCs w:val="20"/>
          <w:color w:val="auto"/>
        </w:rPr>
      </w:pPr>
    </w:p>
    <w:p>
      <w:pPr>
        <w:ind w:left="120" w:right="60" w:firstLine="440"/>
        <w:spacing w:after="0" w:line="259" w:lineRule="auto"/>
        <w:rPr>
          <w:sz w:val="20"/>
          <w:szCs w:val="20"/>
          <w:color w:val="auto"/>
        </w:rPr>
      </w:pPr>
      <w:r>
        <w:rPr>
          <w:rFonts w:ascii="Arial" w:cs="Arial" w:eastAsia="Arial" w:hAnsi="Arial"/>
          <w:sz w:val="18"/>
          <w:szCs w:val="18"/>
          <w:color w:val="auto"/>
        </w:rPr>
        <w:t>See “Risk Factors—Risks Related to this Offering and Ownership of Our Class A Common Stock—We do not anticipate paying any dividends on our Class A common stock in the foreseeable future,” “Prospectus Summary—Organizational Structure,” “Management’s Discussion and Analysis of Financial Condition and Results of Operations— Liquidity and Capital Resources,” “Description of Material Indebtedness” and “Description of Capital Stock.”</w:t>
      </w:r>
    </w:p>
    <w:p>
      <w:pPr>
        <w:spacing w:after="0" w:line="119" w:lineRule="exact"/>
        <w:rPr>
          <w:sz w:val="20"/>
          <w:szCs w:val="20"/>
          <w:color w:val="auto"/>
        </w:rPr>
      </w:pPr>
    </w:p>
    <w:p>
      <w:pPr>
        <w:jc w:val="center"/>
        <w:ind w:right="-359"/>
        <w:spacing w:after="0"/>
        <w:rPr>
          <w:sz w:val="20"/>
          <w:szCs w:val="20"/>
          <w:color w:val="auto"/>
        </w:rPr>
      </w:pPr>
      <w:r>
        <w:rPr>
          <w:rFonts w:ascii="Arial" w:cs="Arial" w:eastAsia="Arial" w:hAnsi="Arial"/>
          <w:sz w:val="18"/>
          <w:szCs w:val="18"/>
          <w:color w:val="auto"/>
        </w:rPr>
        <w:t>70</w:t>
      </w:r>
    </w:p>
    <w:p>
      <w:pPr>
        <w:sectPr>
          <w:pgSz w:w="11900" w:h="16838" w:orient="portrait"/>
          <w:cols w:equalWidth="0" w:num="1">
            <w:col w:w="11120"/>
          </w:cols>
          <w:pgMar w:left="320" w:top="459" w:right="459" w:bottom="1440" w:gutter="0" w:footer="0" w:header="0"/>
        </w:sectPr>
      </w:pPr>
    </w:p>
    <w:bookmarkStart w:id="77" w:name="page78"/>
    <w:bookmarkEnd w:id="7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Confidential Treatment Requested by Definitive Healthcare Corp.</w:t>
      </w:r>
    </w:p>
    <w:p>
      <w:pPr>
        <w:spacing w:after="0" w:line="27"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Pursuant to 17 C.F.R. Section 200.83</w:t>
      </w:r>
    </w:p>
    <w:p>
      <w:pPr>
        <w:spacing w:after="0" w:line="139"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CAPITALIZATION</w:t>
      </w:r>
    </w:p>
    <w:p>
      <w:pPr>
        <w:spacing w:after="0" w:line="229"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following table sets forth our cash and cash equivalents and our capitalization as of September 30, 2021:</w:t>
      </w:r>
    </w:p>
    <w:p>
      <w:pPr>
        <w:spacing w:after="0" w:line="131" w:lineRule="exact"/>
        <w:rPr>
          <w:sz w:val="20"/>
          <w:szCs w:val="20"/>
          <w:color w:val="auto"/>
        </w:rPr>
      </w:pPr>
    </w:p>
    <w:p>
      <w:pPr>
        <w:ind w:left="1080" w:hanging="532"/>
        <w:spacing w:after="0"/>
        <w:tabs>
          <w:tab w:leader="none" w:pos="1080" w:val="left"/>
        </w:tabs>
        <w:numPr>
          <w:ilvl w:val="0"/>
          <w:numId w:val="56"/>
        </w:numPr>
        <w:rPr>
          <w:rFonts w:ascii="Arial" w:cs="Arial" w:eastAsia="Arial" w:hAnsi="Arial"/>
          <w:sz w:val="18"/>
          <w:szCs w:val="18"/>
          <w:color w:val="auto"/>
        </w:rPr>
      </w:pPr>
      <w:r>
        <w:rPr>
          <w:rFonts w:ascii="Arial" w:cs="Arial" w:eastAsia="Arial" w:hAnsi="Arial"/>
          <w:sz w:val="18"/>
          <w:szCs w:val="18"/>
          <w:color w:val="auto"/>
        </w:rPr>
        <w:t>on an actual basis for Definitive Healthcare Corp.; and</w:t>
      </w:r>
    </w:p>
    <w:p>
      <w:pPr>
        <w:spacing w:after="0" w:line="130" w:lineRule="exact"/>
        <w:rPr>
          <w:rFonts w:ascii="Arial" w:cs="Arial" w:eastAsia="Arial" w:hAnsi="Arial"/>
          <w:sz w:val="18"/>
          <w:szCs w:val="18"/>
          <w:color w:val="auto"/>
        </w:rPr>
      </w:pPr>
    </w:p>
    <w:p>
      <w:pPr>
        <w:ind w:left="1080" w:right="540" w:hanging="532"/>
        <w:spacing w:after="0" w:line="277" w:lineRule="auto"/>
        <w:tabs>
          <w:tab w:leader="none" w:pos="1080" w:val="left"/>
        </w:tabs>
        <w:numPr>
          <w:ilvl w:val="0"/>
          <w:numId w:val="56"/>
        </w:numPr>
        <w:rPr>
          <w:rFonts w:ascii="Arial" w:cs="Arial" w:eastAsia="Arial" w:hAnsi="Arial"/>
          <w:sz w:val="18"/>
          <w:szCs w:val="18"/>
          <w:color w:val="auto"/>
        </w:rPr>
      </w:pPr>
      <w:r>
        <w:rPr>
          <w:rFonts w:ascii="Arial" w:cs="Arial" w:eastAsia="Arial" w:hAnsi="Arial"/>
          <w:sz w:val="18"/>
          <w:szCs w:val="18"/>
          <w:color w:val="auto"/>
        </w:rPr>
        <w:t>on an as adjusted basis after giving effect to this offering and the application of the net proceeds received by us from this offering as described under “Use of Proceeds.”</w:t>
      </w:r>
    </w:p>
    <w:p>
      <w:pPr>
        <w:spacing w:after="0" w:line="170" w:lineRule="exact"/>
        <w:rPr>
          <w:sz w:val="20"/>
          <w:szCs w:val="20"/>
          <w:color w:val="auto"/>
        </w:rPr>
      </w:pPr>
    </w:p>
    <w:p>
      <w:pPr>
        <w:jc w:val="both"/>
        <w:ind w:left="120" w:right="280" w:firstLine="440"/>
        <w:spacing w:after="0" w:line="263" w:lineRule="auto"/>
        <w:rPr>
          <w:sz w:val="20"/>
          <w:szCs w:val="20"/>
          <w:color w:val="auto"/>
        </w:rPr>
      </w:pPr>
      <w:r>
        <w:rPr>
          <w:rFonts w:ascii="Arial" w:cs="Arial" w:eastAsia="Arial" w:hAnsi="Arial"/>
          <w:sz w:val="18"/>
          <w:szCs w:val="18"/>
          <w:color w:val="auto"/>
        </w:rPr>
        <w:t>This table should be read in conjunction with “Use of Proceeds,” “Unaudited Pro Forma Consolidated Financial Information,” “Management’s Discussion and Analysis of Financial Condition and Results of Operations,” “Description of Capital Stock” and the consolidated financial statements and notes thereto appearing elsewhere in this prospectus.</w:t>
      </w:r>
    </w:p>
    <w:p>
      <w:pPr>
        <w:spacing w:after="0" w:line="202" w:lineRule="exact"/>
        <w:rPr>
          <w:sz w:val="20"/>
          <w:szCs w:val="20"/>
          <w:color w:val="auto"/>
        </w:rPr>
      </w:pPr>
    </w:p>
    <w:p>
      <w:pPr>
        <w:jc w:val="center"/>
        <w:ind w:left="8720"/>
        <w:spacing w:after="0"/>
        <w:rPr>
          <w:sz w:val="20"/>
          <w:szCs w:val="20"/>
          <w:color w:val="auto"/>
        </w:rPr>
      </w:pPr>
      <w:r>
        <w:rPr>
          <w:rFonts w:ascii="Arial" w:cs="Arial" w:eastAsia="Arial" w:hAnsi="Arial"/>
          <w:sz w:val="14"/>
          <w:szCs w:val="14"/>
          <w:b w:val="1"/>
          <w:bCs w:val="1"/>
          <w:color w:val="auto"/>
        </w:rPr>
        <w:t>Definitive Healthcare</w:t>
      </w:r>
    </w:p>
    <w:p>
      <w:pPr>
        <w:jc w:val="center"/>
        <w:ind w:left="8720"/>
        <w:spacing w:after="0" w:line="236" w:lineRule="auto"/>
        <w:rPr>
          <w:sz w:val="20"/>
          <w:szCs w:val="20"/>
          <w:color w:val="auto"/>
        </w:rPr>
      </w:pPr>
      <w:r>
        <w:rPr>
          <w:rFonts w:ascii="Arial" w:cs="Arial" w:eastAsia="Arial" w:hAnsi="Arial"/>
          <w:sz w:val="14"/>
          <w:szCs w:val="14"/>
          <w:b w:val="1"/>
          <w:bCs w:val="1"/>
          <w:color w:val="auto"/>
        </w:rPr>
        <w:t>Corp.</w:t>
      </w:r>
    </w:p>
    <w:tbl>
      <w:tblPr>
        <w:tblLayout w:type="fixed"/>
        <w:tblInd w:w="120" w:type="dxa"/>
        <w:tblCellMar>
          <w:top w:w="0" w:type="dxa"/>
          <w:left w:w="0" w:type="dxa"/>
          <w:bottom w:w="0" w:type="dxa"/>
          <w:right w:w="0" w:type="dxa"/>
        </w:tblCellMar>
      </w:tblPr>
      <w:tr>
        <w:trPr>
          <w:trHeight w:val="142"/>
        </w:trPr>
        <w:tc>
          <w:tcPr>
            <w:tcW w:w="820" w:type="dxa"/>
            <w:vAlign w:val="bottom"/>
            <w:vMerge w:val="restart"/>
          </w:tcPr>
          <w:p>
            <w:pPr>
              <w:spacing w:after="0"/>
              <w:rPr>
                <w:sz w:val="20"/>
                <w:szCs w:val="20"/>
                <w:color w:val="auto"/>
              </w:rPr>
            </w:pPr>
            <w:r>
              <w:rPr>
                <w:rFonts w:ascii="Arial" w:cs="Arial" w:eastAsia="Arial" w:hAnsi="Arial"/>
                <w:sz w:val="14"/>
                <w:szCs w:val="14"/>
                <w:color w:val="auto"/>
                <w:w w:val="90"/>
              </w:rPr>
              <w:t>(in thousands)</w:t>
            </w:r>
          </w:p>
        </w:tc>
        <w:tc>
          <w:tcPr>
            <w:tcW w:w="740" w:type="dxa"/>
            <w:vAlign w:val="bottom"/>
            <w:gridSpan w:val="2"/>
            <w:vMerge w:val="restart"/>
          </w:tcPr>
          <w:p>
            <w:pPr>
              <w:spacing w:after="0"/>
              <w:rPr>
                <w:sz w:val="12"/>
                <w:szCs w:val="12"/>
                <w:color w:val="auto"/>
              </w:rPr>
            </w:pPr>
          </w:p>
        </w:tc>
        <w:tc>
          <w:tcPr>
            <w:tcW w:w="2260" w:type="dxa"/>
            <w:vAlign w:val="bottom"/>
          </w:tcPr>
          <w:p>
            <w:pPr>
              <w:spacing w:after="0"/>
              <w:rPr>
                <w:sz w:val="12"/>
                <w:szCs w:val="12"/>
                <w:color w:val="auto"/>
              </w:rPr>
            </w:pPr>
          </w:p>
        </w:tc>
        <w:tc>
          <w:tcPr>
            <w:tcW w:w="4980" w:type="dxa"/>
            <w:vAlign w:val="bottom"/>
          </w:tcPr>
          <w:p>
            <w:pPr>
              <w:spacing w:after="0"/>
              <w:rPr>
                <w:sz w:val="12"/>
                <w:szCs w:val="12"/>
                <w:color w:val="auto"/>
              </w:rPr>
            </w:pPr>
          </w:p>
        </w:tc>
        <w:tc>
          <w:tcPr>
            <w:tcW w:w="2140" w:type="dxa"/>
            <w:vAlign w:val="bottom"/>
            <w:tcBorders>
              <w:top w:val="single" w:sz="8" w:color="auto"/>
              <w:bottom w:val="single" w:sz="8" w:color="auto"/>
            </w:tcBorders>
            <w:gridSpan w:val="3"/>
          </w:tcPr>
          <w:p>
            <w:pPr>
              <w:jc w:val="right"/>
              <w:ind w:right="227"/>
              <w:spacing w:after="0" w:line="142" w:lineRule="exact"/>
              <w:rPr>
                <w:sz w:val="20"/>
                <w:szCs w:val="20"/>
                <w:color w:val="auto"/>
              </w:rPr>
            </w:pPr>
            <w:r>
              <w:rPr>
                <w:rFonts w:ascii="Arial" w:cs="Arial" w:eastAsia="Arial" w:hAnsi="Arial"/>
                <w:sz w:val="14"/>
                <w:szCs w:val="14"/>
                <w:b w:val="1"/>
                <w:bCs w:val="1"/>
                <w:color w:val="auto"/>
              </w:rPr>
              <w:t>As of September 30, 2021</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820" w:type="dxa"/>
            <w:vAlign w:val="bottom"/>
            <w:tcBorders>
              <w:bottom w:val="single" w:sz="8" w:color="auto"/>
            </w:tcBorders>
            <w:vMerge w:val="continue"/>
          </w:tcPr>
          <w:p>
            <w:pPr>
              <w:spacing w:after="0"/>
              <w:rPr>
                <w:sz w:val="12"/>
                <w:szCs w:val="12"/>
                <w:color w:val="auto"/>
              </w:rPr>
            </w:pPr>
          </w:p>
        </w:tc>
        <w:tc>
          <w:tcPr>
            <w:tcW w:w="740" w:type="dxa"/>
            <w:vAlign w:val="bottom"/>
            <w:gridSpan w:val="2"/>
            <w:vMerge w:val="continue"/>
          </w:tcPr>
          <w:p>
            <w:pPr>
              <w:spacing w:after="0"/>
              <w:rPr>
                <w:sz w:val="12"/>
                <w:szCs w:val="12"/>
                <w:color w:val="auto"/>
              </w:rPr>
            </w:pPr>
          </w:p>
        </w:tc>
        <w:tc>
          <w:tcPr>
            <w:tcW w:w="2260" w:type="dxa"/>
            <w:vAlign w:val="bottom"/>
          </w:tcPr>
          <w:p>
            <w:pPr>
              <w:spacing w:after="0"/>
              <w:rPr>
                <w:sz w:val="12"/>
                <w:szCs w:val="12"/>
                <w:color w:val="auto"/>
              </w:rPr>
            </w:pPr>
          </w:p>
        </w:tc>
        <w:tc>
          <w:tcPr>
            <w:tcW w:w="4980" w:type="dxa"/>
            <w:vAlign w:val="bottom"/>
          </w:tcPr>
          <w:p>
            <w:pPr>
              <w:spacing w:after="0"/>
              <w:rPr>
                <w:sz w:val="12"/>
                <w:szCs w:val="12"/>
                <w:color w:val="auto"/>
              </w:rPr>
            </w:pPr>
          </w:p>
        </w:tc>
        <w:tc>
          <w:tcPr>
            <w:tcW w:w="920" w:type="dxa"/>
            <w:vAlign w:val="bottom"/>
          </w:tcPr>
          <w:p>
            <w:pPr>
              <w:jc w:val="right"/>
              <w:ind w:right="187"/>
              <w:spacing w:after="0" w:line="129" w:lineRule="exact"/>
              <w:rPr>
                <w:sz w:val="20"/>
                <w:szCs w:val="20"/>
                <w:color w:val="auto"/>
              </w:rPr>
            </w:pPr>
            <w:r>
              <w:rPr>
                <w:rFonts w:ascii="Arial" w:cs="Arial" w:eastAsia="Arial" w:hAnsi="Arial"/>
                <w:sz w:val="14"/>
                <w:szCs w:val="14"/>
                <w:b w:val="1"/>
                <w:bCs w:val="1"/>
                <w:color w:val="auto"/>
              </w:rPr>
              <w:t>Actual</w:t>
            </w:r>
          </w:p>
        </w:tc>
        <w:tc>
          <w:tcPr>
            <w:tcW w:w="280" w:type="dxa"/>
            <w:vAlign w:val="bottom"/>
          </w:tcPr>
          <w:p>
            <w:pPr>
              <w:spacing w:after="0"/>
              <w:rPr>
                <w:sz w:val="12"/>
                <w:szCs w:val="12"/>
                <w:color w:val="auto"/>
              </w:rPr>
            </w:pPr>
          </w:p>
        </w:tc>
        <w:tc>
          <w:tcPr>
            <w:tcW w:w="940" w:type="dxa"/>
            <w:vAlign w:val="bottom"/>
          </w:tcPr>
          <w:p>
            <w:pPr>
              <w:jc w:val="right"/>
              <w:ind w:right="27"/>
              <w:spacing w:after="0" w:line="129" w:lineRule="exact"/>
              <w:rPr>
                <w:sz w:val="20"/>
                <w:szCs w:val="20"/>
                <w:color w:val="auto"/>
              </w:rPr>
            </w:pPr>
            <w:r>
              <w:rPr>
                <w:rFonts w:ascii="Arial" w:cs="Arial" w:eastAsia="Arial" w:hAnsi="Arial"/>
                <w:sz w:val="14"/>
                <w:szCs w:val="14"/>
                <w:b w:val="1"/>
                <w:bCs w:val="1"/>
                <w:color w:val="auto"/>
              </w:rPr>
              <w:t>As Adjusted</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3"/>
        </w:trPr>
        <w:tc>
          <w:tcPr>
            <w:tcW w:w="3820" w:type="dxa"/>
            <w:vAlign w:val="bottom"/>
            <w:tcBorders>
              <w:top w:val="single" w:sz="8" w:color="CCEEFF"/>
            </w:tcBorders>
            <w:gridSpan w:val="4"/>
            <w:shd w:val="clear" w:color="auto" w:fill="CCEEFF"/>
          </w:tcPr>
          <w:p>
            <w:pPr>
              <w:spacing w:after="0" w:line="203" w:lineRule="exact"/>
              <w:rPr>
                <w:sz w:val="20"/>
                <w:szCs w:val="20"/>
                <w:color w:val="auto"/>
              </w:rPr>
            </w:pPr>
            <w:r>
              <w:rPr>
                <w:rFonts w:ascii="Arial" w:cs="Arial" w:eastAsia="Arial" w:hAnsi="Arial"/>
                <w:sz w:val="18"/>
                <w:szCs w:val="18"/>
                <w:color w:val="auto"/>
              </w:rPr>
              <w:t>Cash and cash equivalents</w:t>
            </w:r>
          </w:p>
        </w:tc>
        <w:tc>
          <w:tcPr>
            <w:tcW w:w="4980" w:type="dxa"/>
            <w:vAlign w:val="bottom"/>
            <w:tcBorders>
              <w:top w:val="single" w:sz="8" w:color="CCEEFF"/>
            </w:tcBorders>
            <w:shd w:val="clear" w:color="auto" w:fill="CCEEFF"/>
          </w:tcPr>
          <w:p>
            <w:pPr>
              <w:spacing w:after="0"/>
              <w:rPr>
                <w:sz w:val="17"/>
                <w:szCs w:val="17"/>
                <w:color w:val="auto"/>
              </w:rPr>
            </w:pPr>
          </w:p>
        </w:tc>
        <w:tc>
          <w:tcPr>
            <w:tcW w:w="920" w:type="dxa"/>
            <w:vAlign w:val="bottom"/>
            <w:tcBorders>
              <w:top w:val="single" w:sz="8" w:color="auto"/>
              <w:bottom w:val="single" w:sz="8" w:color="auto"/>
            </w:tcBorders>
            <w:shd w:val="clear" w:color="auto" w:fill="CCEEFF"/>
          </w:tcPr>
          <w:p>
            <w:pPr>
              <w:jc w:val="right"/>
              <w:ind w:right="767"/>
              <w:spacing w:after="0"/>
              <w:rPr>
                <w:sz w:val="20"/>
                <w:szCs w:val="20"/>
                <w:color w:val="auto"/>
              </w:rPr>
            </w:pPr>
            <w:r>
              <w:rPr>
                <w:rFonts w:ascii="Arial" w:cs="Arial" w:eastAsia="Arial" w:hAnsi="Arial"/>
                <w:sz w:val="15"/>
                <w:szCs w:val="15"/>
                <w:color w:val="auto"/>
                <w:w w:val="71"/>
              </w:rPr>
              <w:t>$</w:t>
            </w:r>
          </w:p>
        </w:tc>
        <w:tc>
          <w:tcPr>
            <w:tcW w:w="280" w:type="dxa"/>
            <w:vAlign w:val="bottom"/>
            <w:tcBorders>
              <w:top w:val="single" w:sz="8" w:color="CCEEFF"/>
            </w:tcBorders>
            <w:shd w:val="clear" w:color="auto" w:fill="CCEEFF"/>
          </w:tcPr>
          <w:p>
            <w:pPr>
              <w:spacing w:after="0"/>
              <w:rPr>
                <w:sz w:val="17"/>
                <w:szCs w:val="17"/>
                <w:color w:val="auto"/>
              </w:rPr>
            </w:pPr>
          </w:p>
        </w:tc>
        <w:tc>
          <w:tcPr>
            <w:tcW w:w="940" w:type="dxa"/>
            <w:vAlign w:val="bottom"/>
            <w:tcBorders>
              <w:top w:val="single" w:sz="8" w:color="auto"/>
              <w:bottom w:val="single" w:sz="8" w:color="auto"/>
            </w:tcBorders>
            <w:shd w:val="clear" w:color="auto" w:fill="CCEEFF"/>
          </w:tcPr>
          <w:p>
            <w:pPr>
              <w:jc w:val="right"/>
              <w:ind w:right="787"/>
              <w:spacing w:after="0"/>
              <w:rPr>
                <w:sz w:val="20"/>
                <w:szCs w:val="20"/>
                <w:color w:val="auto"/>
              </w:rPr>
            </w:pPr>
            <w:r>
              <w:rPr>
                <w:rFonts w:ascii="Arial" w:cs="Arial" w:eastAsia="Arial" w:hAnsi="Arial"/>
                <w:sz w:val="15"/>
                <w:szCs w:val="15"/>
                <w:color w:val="auto"/>
                <w:w w:val="71"/>
              </w:rPr>
              <w:t>$</w:t>
            </w:r>
          </w:p>
        </w:tc>
        <w:tc>
          <w:tcPr>
            <w:tcW w:w="8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3820" w:type="dxa"/>
            <w:vAlign w:val="bottom"/>
            <w:gridSpan w:val="4"/>
            <w:vMerge w:val="restart"/>
          </w:tcPr>
          <w:p>
            <w:pPr>
              <w:spacing w:after="0"/>
              <w:rPr>
                <w:sz w:val="20"/>
                <w:szCs w:val="20"/>
                <w:color w:val="auto"/>
              </w:rPr>
            </w:pPr>
            <w:r>
              <w:rPr>
                <w:rFonts w:ascii="Arial" w:cs="Arial" w:eastAsia="Arial" w:hAnsi="Arial"/>
                <w:sz w:val="18"/>
                <w:szCs w:val="18"/>
                <w:color w:val="auto"/>
              </w:rPr>
              <w:t>Debt, including current and long-term (2):</w:t>
            </w:r>
          </w:p>
        </w:tc>
        <w:tc>
          <w:tcPr>
            <w:tcW w:w="498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820" w:type="dxa"/>
            <w:vAlign w:val="bottom"/>
            <w:gridSpan w:val="4"/>
            <w:vMerge w:val="continue"/>
          </w:tcPr>
          <w:p>
            <w:pPr>
              <w:spacing w:after="0"/>
              <w:rPr>
                <w:sz w:val="18"/>
                <w:szCs w:val="18"/>
                <w:color w:val="auto"/>
              </w:rPr>
            </w:pPr>
          </w:p>
        </w:tc>
        <w:tc>
          <w:tcPr>
            <w:tcW w:w="49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2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Initial Term Loan Facility</w:t>
            </w:r>
          </w:p>
        </w:tc>
        <w:tc>
          <w:tcPr>
            <w:tcW w:w="49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20" w:type="dxa"/>
            <w:vAlign w:val="bottom"/>
            <w:gridSpan w:val="4"/>
          </w:tcPr>
          <w:p>
            <w:pPr>
              <w:spacing w:after="0"/>
              <w:rPr>
                <w:sz w:val="20"/>
                <w:szCs w:val="20"/>
                <w:color w:val="auto"/>
              </w:rPr>
            </w:pPr>
            <w:r>
              <w:rPr>
                <w:rFonts w:ascii="Arial" w:cs="Arial" w:eastAsia="Arial" w:hAnsi="Arial"/>
                <w:sz w:val="18"/>
                <w:szCs w:val="18"/>
                <w:color w:val="auto"/>
                <w:w w:val="99"/>
              </w:rPr>
              <w:t>Paid in kind interest on Initial Term Loan Facility</w:t>
            </w:r>
          </w:p>
        </w:tc>
        <w:tc>
          <w:tcPr>
            <w:tcW w:w="49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2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Delayed Draw Term Facility</w:t>
            </w:r>
          </w:p>
        </w:tc>
        <w:tc>
          <w:tcPr>
            <w:tcW w:w="49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560" w:type="dxa"/>
            <w:vAlign w:val="bottom"/>
            <w:gridSpan w:val="3"/>
          </w:tcPr>
          <w:p>
            <w:pPr>
              <w:spacing w:after="0"/>
              <w:rPr>
                <w:sz w:val="20"/>
                <w:szCs w:val="20"/>
                <w:color w:val="auto"/>
              </w:rPr>
            </w:pPr>
            <w:r>
              <w:rPr>
                <w:rFonts w:ascii="Arial" w:cs="Arial" w:eastAsia="Arial" w:hAnsi="Arial"/>
                <w:sz w:val="18"/>
                <w:szCs w:val="18"/>
                <w:color w:val="auto"/>
              </w:rPr>
              <w:t>Term Facility</w:t>
            </w:r>
          </w:p>
        </w:tc>
        <w:tc>
          <w:tcPr>
            <w:tcW w:w="2260" w:type="dxa"/>
            <w:vAlign w:val="bottom"/>
          </w:tcPr>
          <w:p>
            <w:pPr>
              <w:spacing w:after="0"/>
              <w:rPr>
                <w:sz w:val="18"/>
                <w:szCs w:val="18"/>
                <w:color w:val="auto"/>
              </w:rPr>
            </w:pPr>
          </w:p>
        </w:tc>
        <w:tc>
          <w:tcPr>
            <w:tcW w:w="49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2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Revolving Credit Facility</w:t>
            </w:r>
          </w:p>
        </w:tc>
        <w:tc>
          <w:tcPr>
            <w:tcW w:w="49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1560" w:type="dxa"/>
            <w:vAlign w:val="bottom"/>
            <w:gridSpan w:val="3"/>
          </w:tcPr>
          <w:p>
            <w:pPr>
              <w:ind w:left="360"/>
              <w:spacing w:after="0"/>
              <w:rPr>
                <w:sz w:val="20"/>
                <w:szCs w:val="20"/>
                <w:color w:val="auto"/>
              </w:rPr>
            </w:pPr>
            <w:r>
              <w:rPr>
                <w:rFonts w:ascii="Arial" w:cs="Arial" w:eastAsia="Arial" w:hAnsi="Arial"/>
                <w:sz w:val="18"/>
                <w:szCs w:val="18"/>
                <w:color w:val="auto"/>
              </w:rPr>
              <w:t>Total debt (2)</w:t>
            </w:r>
          </w:p>
        </w:tc>
        <w:tc>
          <w:tcPr>
            <w:tcW w:w="2260" w:type="dxa"/>
            <w:vAlign w:val="bottom"/>
          </w:tcPr>
          <w:p>
            <w:pPr>
              <w:spacing w:after="0"/>
              <w:rPr>
                <w:sz w:val="19"/>
                <w:szCs w:val="19"/>
                <w:color w:val="auto"/>
              </w:rPr>
            </w:pPr>
          </w:p>
        </w:tc>
        <w:tc>
          <w:tcPr>
            <w:tcW w:w="5900" w:type="dxa"/>
            <w:vAlign w:val="bottom"/>
            <w:gridSpan w:val="2"/>
          </w:tcPr>
          <w:p>
            <w:pPr>
              <w:jc w:val="right"/>
              <w:ind w:right="767"/>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787"/>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1560" w:type="dxa"/>
            <w:vAlign w:val="bottom"/>
            <w:gridSpan w:val="3"/>
            <w:shd w:val="clear" w:color="auto" w:fill="CCEEFF"/>
          </w:tcPr>
          <w:p>
            <w:pPr>
              <w:spacing w:after="0"/>
              <w:rPr>
                <w:sz w:val="20"/>
                <w:szCs w:val="20"/>
                <w:color w:val="auto"/>
              </w:rPr>
            </w:pPr>
            <w:r>
              <w:rPr>
                <w:rFonts w:ascii="Arial" w:cs="Arial" w:eastAsia="Arial" w:hAnsi="Arial"/>
                <w:sz w:val="18"/>
                <w:szCs w:val="18"/>
                <w:color w:val="auto"/>
                <w:w w:val="92"/>
              </w:rPr>
              <w:t>Stockholders’ equity:</w:t>
            </w:r>
          </w:p>
        </w:tc>
        <w:tc>
          <w:tcPr>
            <w:tcW w:w="2260" w:type="dxa"/>
            <w:vAlign w:val="bottom"/>
            <w:shd w:val="clear" w:color="auto" w:fill="CCEEFF"/>
          </w:tcPr>
          <w:p>
            <w:pPr>
              <w:spacing w:after="0"/>
              <w:rPr>
                <w:sz w:val="18"/>
                <w:szCs w:val="18"/>
                <w:color w:val="auto"/>
              </w:rPr>
            </w:pPr>
          </w:p>
        </w:tc>
        <w:tc>
          <w:tcPr>
            <w:tcW w:w="4980" w:type="dxa"/>
            <w:vAlign w:val="bottom"/>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9720" w:type="dxa"/>
            <w:vAlign w:val="bottom"/>
            <w:gridSpan w:val="6"/>
          </w:tcPr>
          <w:p>
            <w:pPr>
              <w:ind w:left="360"/>
              <w:spacing w:after="0" w:line="201" w:lineRule="exact"/>
              <w:rPr>
                <w:sz w:val="20"/>
                <w:szCs w:val="20"/>
                <w:color w:val="auto"/>
              </w:rPr>
            </w:pPr>
            <w:r>
              <w:rPr>
                <w:rFonts w:ascii="Arial" w:cs="Arial" w:eastAsia="Arial" w:hAnsi="Arial"/>
                <w:sz w:val="18"/>
                <w:szCs w:val="18"/>
                <w:color w:val="auto"/>
              </w:rPr>
              <w:t>Class A common stock, $0.001 par value per share, 0 shares authorized, actual, 600,000,000 authorized, pro</w:t>
            </w:r>
          </w:p>
        </w:tc>
        <w:tc>
          <w:tcPr>
            <w:tcW w:w="2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1560" w:type="dxa"/>
            <w:vAlign w:val="bottom"/>
            <w:gridSpan w:val="3"/>
          </w:tcPr>
          <w:p>
            <w:pPr>
              <w:ind w:left="540"/>
              <w:spacing w:after="0"/>
              <w:rPr>
                <w:sz w:val="20"/>
                <w:szCs w:val="20"/>
                <w:color w:val="auto"/>
              </w:rPr>
            </w:pPr>
            <w:r>
              <w:rPr>
                <w:rFonts w:ascii="Arial" w:cs="Arial" w:eastAsia="Arial" w:hAnsi="Arial"/>
                <w:sz w:val="18"/>
                <w:szCs w:val="18"/>
                <w:color w:val="auto"/>
              </w:rPr>
              <w:t>forma,</w:t>
            </w:r>
          </w:p>
        </w:tc>
        <w:tc>
          <w:tcPr>
            <w:tcW w:w="8160" w:type="dxa"/>
            <w:vAlign w:val="bottom"/>
            <w:gridSpan w:val="3"/>
          </w:tcPr>
          <w:p>
            <w:pPr>
              <w:jc w:val="right"/>
              <w:ind w:right="2027"/>
              <w:spacing w:after="0"/>
              <w:rPr>
                <w:sz w:val="20"/>
                <w:szCs w:val="20"/>
                <w:color w:val="auto"/>
              </w:rPr>
            </w:pPr>
            <w:r>
              <w:rPr>
                <w:rFonts w:ascii="Arial" w:cs="Arial" w:eastAsia="Arial" w:hAnsi="Arial"/>
                <w:sz w:val="18"/>
                <w:szCs w:val="18"/>
                <w:color w:val="auto"/>
                <w:w w:val="87"/>
              </w:rPr>
              <w:t>shares issued and outstanding, actual and shares issued and outstanding, as adjusted</w:t>
            </w:r>
          </w:p>
        </w:tc>
        <w:tc>
          <w:tcPr>
            <w:tcW w:w="2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9720" w:type="dxa"/>
            <w:vAlign w:val="bottom"/>
            <w:gridSpan w:val="6"/>
            <w:shd w:val="clear" w:color="auto" w:fill="CCEEFF"/>
          </w:tcPr>
          <w:p>
            <w:pPr>
              <w:ind w:left="360"/>
              <w:spacing w:after="0" w:line="201" w:lineRule="exact"/>
              <w:rPr>
                <w:sz w:val="20"/>
                <w:szCs w:val="20"/>
                <w:color w:val="auto"/>
              </w:rPr>
            </w:pPr>
            <w:r>
              <w:rPr>
                <w:rFonts w:ascii="Arial" w:cs="Arial" w:eastAsia="Arial" w:hAnsi="Arial"/>
                <w:sz w:val="18"/>
                <w:szCs w:val="18"/>
                <w:color w:val="auto"/>
              </w:rPr>
              <w:t>Class B common stock no par value per share, 0 shares authorized, actual, 65,000,000 authorized, pro forma, 0</w:t>
            </w:r>
          </w:p>
        </w:tc>
        <w:tc>
          <w:tcPr>
            <w:tcW w:w="28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820" w:type="dxa"/>
            <w:vAlign w:val="bottom"/>
            <w:gridSpan w:val="4"/>
            <w:shd w:val="clear" w:color="auto" w:fill="CCEEFF"/>
          </w:tcPr>
          <w:p>
            <w:pPr>
              <w:ind w:left="540"/>
              <w:spacing w:after="0"/>
              <w:rPr>
                <w:sz w:val="20"/>
                <w:szCs w:val="20"/>
                <w:color w:val="auto"/>
              </w:rPr>
            </w:pPr>
            <w:r>
              <w:rPr>
                <w:rFonts w:ascii="Arial" w:cs="Arial" w:eastAsia="Arial" w:hAnsi="Arial"/>
                <w:sz w:val="18"/>
                <w:szCs w:val="18"/>
                <w:color w:val="auto"/>
                <w:w w:val="96"/>
              </w:rPr>
              <w:t>shares issued and outstanding, actual and</w:t>
            </w:r>
          </w:p>
        </w:tc>
        <w:tc>
          <w:tcPr>
            <w:tcW w:w="5900" w:type="dxa"/>
            <w:vAlign w:val="bottom"/>
            <w:gridSpan w:val="2"/>
            <w:shd w:val="clear" w:color="auto" w:fill="CCEEFF"/>
          </w:tcPr>
          <w:p>
            <w:pPr>
              <w:jc w:val="right"/>
              <w:ind w:right="2547"/>
              <w:spacing w:after="0"/>
              <w:rPr>
                <w:sz w:val="20"/>
                <w:szCs w:val="20"/>
                <w:color w:val="auto"/>
              </w:rPr>
            </w:pPr>
            <w:r>
              <w:rPr>
                <w:rFonts w:ascii="Arial" w:cs="Arial" w:eastAsia="Arial" w:hAnsi="Arial"/>
                <w:sz w:val="18"/>
                <w:szCs w:val="18"/>
                <w:color w:val="auto"/>
                <w:w w:val="94"/>
              </w:rPr>
              <w:t>shares issued and outstanding, as adjusted</w:t>
            </w:r>
          </w:p>
        </w:tc>
        <w:tc>
          <w:tcPr>
            <w:tcW w:w="280" w:type="dxa"/>
            <w:vAlign w:val="bottom"/>
            <w:shd w:val="clear" w:color="auto" w:fill="CCEEFF"/>
          </w:tcPr>
          <w:p>
            <w:pPr>
              <w:spacing w:after="0"/>
              <w:rPr>
                <w:sz w:val="20"/>
                <w:szCs w:val="20"/>
                <w:color w:val="auto"/>
              </w:rPr>
            </w:pPr>
          </w:p>
        </w:tc>
        <w:tc>
          <w:tcPr>
            <w:tcW w:w="9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9720" w:type="dxa"/>
            <w:vAlign w:val="bottom"/>
            <w:gridSpan w:val="6"/>
          </w:tcPr>
          <w:p>
            <w:pPr>
              <w:ind w:left="360"/>
              <w:spacing w:after="0" w:line="201" w:lineRule="exact"/>
              <w:rPr>
                <w:sz w:val="20"/>
                <w:szCs w:val="20"/>
                <w:color w:val="auto"/>
              </w:rPr>
            </w:pPr>
            <w:r>
              <w:rPr>
                <w:rFonts w:ascii="Arial" w:cs="Arial" w:eastAsia="Arial" w:hAnsi="Arial"/>
                <w:sz w:val="18"/>
                <w:szCs w:val="18"/>
                <w:color w:val="auto"/>
              </w:rPr>
              <w:t>Preferred common stock, $0.001 par value per share, 10,000,000 shares authorized, as adjusted, no shares issued</w:t>
            </w:r>
          </w:p>
        </w:tc>
        <w:tc>
          <w:tcPr>
            <w:tcW w:w="2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820" w:type="dxa"/>
            <w:vAlign w:val="bottom"/>
            <w:gridSpan w:val="4"/>
          </w:tcPr>
          <w:p>
            <w:pPr>
              <w:ind w:left="540"/>
              <w:spacing w:after="0"/>
              <w:rPr>
                <w:sz w:val="20"/>
                <w:szCs w:val="20"/>
                <w:color w:val="auto"/>
              </w:rPr>
            </w:pPr>
            <w:r>
              <w:rPr>
                <w:rFonts w:ascii="Arial" w:cs="Arial" w:eastAsia="Arial" w:hAnsi="Arial"/>
                <w:sz w:val="18"/>
                <w:szCs w:val="18"/>
                <w:color w:val="auto"/>
              </w:rPr>
              <w:t>and outstanding, actual and as adjusted</w:t>
            </w:r>
          </w:p>
        </w:tc>
        <w:tc>
          <w:tcPr>
            <w:tcW w:w="49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382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Additional paid-in capital</w:t>
            </w:r>
          </w:p>
        </w:tc>
        <w:tc>
          <w:tcPr>
            <w:tcW w:w="49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20" w:type="dxa"/>
            <w:vAlign w:val="bottom"/>
            <w:gridSpan w:val="4"/>
          </w:tcPr>
          <w:p>
            <w:pPr>
              <w:spacing w:after="0"/>
              <w:rPr>
                <w:sz w:val="20"/>
                <w:szCs w:val="20"/>
                <w:color w:val="auto"/>
              </w:rPr>
            </w:pPr>
            <w:r>
              <w:rPr>
                <w:rFonts w:ascii="Arial" w:cs="Arial" w:eastAsia="Arial" w:hAnsi="Arial"/>
                <w:sz w:val="18"/>
                <w:szCs w:val="18"/>
                <w:color w:val="auto"/>
              </w:rPr>
              <w:t>Accumulated other comprehensive loss</w:t>
            </w:r>
          </w:p>
        </w:tc>
        <w:tc>
          <w:tcPr>
            <w:tcW w:w="49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2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Noncontrolling interest</w:t>
            </w:r>
          </w:p>
        </w:tc>
        <w:tc>
          <w:tcPr>
            <w:tcW w:w="49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1560" w:type="dxa"/>
            <w:vAlign w:val="bottom"/>
            <w:gridSpan w:val="3"/>
          </w:tcPr>
          <w:p>
            <w:pPr>
              <w:spacing w:after="0"/>
              <w:rPr>
                <w:sz w:val="20"/>
                <w:szCs w:val="20"/>
                <w:color w:val="auto"/>
              </w:rPr>
            </w:pPr>
            <w:r>
              <w:rPr>
                <w:rFonts w:ascii="Arial" w:cs="Arial" w:eastAsia="Arial" w:hAnsi="Arial"/>
                <w:sz w:val="18"/>
                <w:szCs w:val="18"/>
                <w:color w:val="auto"/>
              </w:rPr>
              <w:t>Members’ capital</w:t>
            </w:r>
          </w:p>
        </w:tc>
        <w:tc>
          <w:tcPr>
            <w:tcW w:w="2260" w:type="dxa"/>
            <w:vAlign w:val="bottom"/>
          </w:tcPr>
          <w:p>
            <w:pPr>
              <w:spacing w:after="0"/>
              <w:rPr>
                <w:sz w:val="19"/>
                <w:szCs w:val="19"/>
                <w:color w:val="auto"/>
              </w:rPr>
            </w:pPr>
          </w:p>
        </w:tc>
        <w:tc>
          <w:tcPr>
            <w:tcW w:w="4980" w:type="dxa"/>
            <w:vAlign w:val="bottom"/>
          </w:tcPr>
          <w:p>
            <w:pPr>
              <w:spacing w:after="0"/>
              <w:rPr>
                <w:sz w:val="19"/>
                <w:szCs w:val="19"/>
                <w:color w:val="auto"/>
              </w:rPr>
            </w:pPr>
          </w:p>
        </w:tc>
        <w:tc>
          <w:tcPr>
            <w:tcW w:w="920" w:type="dxa"/>
            <w:vAlign w:val="bottom"/>
            <w:tcBorders>
              <w:bottom w:val="single" w:sz="8" w:color="auto"/>
            </w:tcBorders>
          </w:tcPr>
          <w:p>
            <w:pPr>
              <w:spacing w:after="0"/>
              <w:rPr>
                <w:sz w:val="19"/>
                <w:szCs w:val="19"/>
                <w:color w:val="auto"/>
              </w:rPr>
            </w:pPr>
          </w:p>
        </w:tc>
        <w:tc>
          <w:tcPr>
            <w:tcW w:w="280" w:type="dxa"/>
            <w:vAlign w:val="bottom"/>
          </w:tcPr>
          <w:p>
            <w:pPr>
              <w:spacing w:after="0"/>
              <w:rPr>
                <w:sz w:val="19"/>
                <w:szCs w:val="19"/>
                <w:color w:val="auto"/>
              </w:rPr>
            </w:pPr>
          </w:p>
        </w:tc>
        <w:tc>
          <w:tcPr>
            <w:tcW w:w="94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382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Total members capital/stockholders’ equity</w:t>
            </w:r>
          </w:p>
        </w:tc>
        <w:tc>
          <w:tcPr>
            <w:tcW w:w="4980" w:type="dxa"/>
            <w:vAlign w:val="bottom"/>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1560" w:type="dxa"/>
            <w:vAlign w:val="bottom"/>
            <w:gridSpan w:val="3"/>
          </w:tcPr>
          <w:p>
            <w:pPr>
              <w:spacing w:after="0"/>
              <w:rPr>
                <w:sz w:val="20"/>
                <w:szCs w:val="20"/>
                <w:color w:val="auto"/>
              </w:rPr>
            </w:pPr>
            <w:r>
              <w:rPr>
                <w:rFonts w:ascii="Arial" w:cs="Arial" w:eastAsia="Arial" w:hAnsi="Arial"/>
                <w:sz w:val="18"/>
                <w:szCs w:val="18"/>
                <w:color w:val="auto"/>
              </w:rPr>
              <w:t>Total capitalization</w:t>
            </w:r>
          </w:p>
        </w:tc>
        <w:tc>
          <w:tcPr>
            <w:tcW w:w="2260" w:type="dxa"/>
            <w:vAlign w:val="bottom"/>
          </w:tcPr>
          <w:p>
            <w:pPr>
              <w:spacing w:after="0"/>
              <w:rPr>
                <w:sz w:val="19"/>
                <w:szCs w:val="19"/>
                <w:color w:val="auto"/>
              </w:rPr>
            </w:pPr>
          </w:p>
        </w:tc>
        <w:tc>
          <w:tcPr>
            <w:tcW w:w="4980" w:type="dxa"/>
            <w:vAlign w:val="bottom"/>
          </w:tcPr>
          <w:p>
            <w:pPr>
              <w:spacing w:after="0"/>
              <w:rPr>
                <w:sz w:val="19"/>
                <w:szCs w:val="19"/>
                <w:color w:val="auto"/>
              </w:rPr>
            </w:pPr>
          </w:p>
        </w:tc>
        <w:tc>
          <w:tcPr>
            <w:tcW w:w="920" w:type="dxa"/>
            <w:vAlign w:val="bottom"/>
            <w:tcBorders>
              <w:bottom w:val="single" w:sz="8" w:color="auto"/>
            </w:tcBorders>
          </w:tcPr>
          <w:p>
            <w:pPr>
              <w:jc w:val="right"/>
              <w:ind w:right="767"/>
              <w:spacing w:after="0"/>
              <w:rPr>
                <w:sz w:val="20"/>
                <w:szCs w:val="20"/>
                <w:color w:val="auto"/>
              </w:rPr>
            </w:pPr>
            <w:r>
              <w:rPr>
                <w:rFonts w:ascii="Arial" w:cs="Arial" w:eastAsia="Arial" w:hAnsi="Arial"/>
                <w:sz w:val="15"/>
                <w:szCs w:val="15"/>
                <w:color w:val="auto"/>
                <w:w w:val="71"/>
              </w:rPr>
              <w:t>$</w:t>
            </w:r>
          </w:p>
        </w:tc>
        <w:tc>
          <w:tcPr>
            <w:tcW w:w="280" w:type="dxa"/>
            <w:vAlign w:val="bottom"/>
          </w:tcPr>
          <w:p>
            <w:pPr>
              <w:spacing w:after="0"/>
              <w:rPr>
                <w:sz w:val="19"/>
                <w:szCs w:val="19"/>
                <w:color w:val="auto"/>
              </w:rPr>
            </w:pPr>
          </w:p>
        </w:tc>
        <w:tc>
          <w:tcPr>
            <w:tcW w:w="940" w:type="dxa"/>
            <w:vAlign w:val="bottom"/>
            <w:tcBorders>
              <w:bottom w:val="single" w:sz="8" w:color="auto"/>
            </w:tcBorders>
          </w:tcPr>
          <w:p>
            <w:pPr>
              <w:jc w:val="right"/>
              <w:ind w:right="787"/>
              <w:spacing w:after="0"/>
              <w:rPr>
                <w:sz w:val="20"/>
                <w:szCs w:val="20"/>
                <w:color w:val="auto"/>
              </w:rPr>
            </w:pPr>
            <w:r>
              <w:rPr>
                <w:rFonts w:ascii="Arial" w:cs="Arial" w:eastAsia="Arial" w:hAnsi="Arial"/>
                <w:sz w:val="15"/>
                <w:szCs w:val="15"/>
                <w:color w:val="auto"/>
                <w:w w:val="71"/>
              </w:rPr>
              <w:t>$</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498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820" w:type="dxa"/>
            <w:vAlign w:val="bottom"/>
            <w:tcBorders>
              <w:bottom w:val="single" w:sz="8" w:color="auto"/>
            </w:tcBorders>
          </w:tcPr>
          <w:p>
            <w:pPr>
              <w:spacing w:after="0"/>
              <w:rPr>
                <w:sz w:val="11"/>
                <w:szCs w:val="11"/>
                <w:color w:val="auto"/>
              </w:rPr>
            </w:pPr>
          </w:p>
        </w:tc>
        <w:tc>
          <w:tcPr>
            <w:tcW w:w="400" w:type="dxa"/>
            <w:vAlign w:val="bottom"/>
            <w:tcBorders>
              <w:bottom w:val="single" w:sz="8" w:color="auto"/>
            </w:tcBorders>
          </w:tcPr>
          <w:p>
            <w:pPr>
              <w:spacing w:after="0"/>
              <w:rPr>
                <w:sz w:val="11"/>
                <w:szCs w:val="11"/>
                <w:color w:val="auto"/>
              </w:rPr>
            </w:pPr>
          </w:p>
        </w:tc>
        <w:tc>
          <w:tcPr>
            <w:tcW w:w="340" w:type="dxa"/>
            <w:vAlign w:val="bottom"/>
          </w:tcPr>
          <w:p>
            <w:pPr>
              <w:spacing w:after="0"/>
              <w:rPr>
                <w:sz w:val="11"/>
                <w:szCs w:val="11"/>
                <w:color w:val="auto"/>
              </w:rPr>
            </w:pPr>
          </w:p>
        </w:tc>
        <w:tc>
          <w:tcPr>
            <w:tcW w:w="2260" w:type="dxa"/>
            <w:vAlign w:val="bottom"/>
          </w:tcPr>
          <w:p>
            <w:pPr>
              <w:spacing w:after="0"/>
              <w:rPr>
                <w:sz w:val="11"/>
                <w:szCs w:val="11"/>
                <w:color w:val="auto"/>
              </w:rPr>
            </w:pPr>
          </w:p>
        </w:tc>
        <w:tc>
          <w:tcPr>
            <w:tcW w:w="49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6" w:lineRule="exact"/>
        <w:rPr>
          <w:sz w:val="20"/>
          <w:szCs w:val="20"/>
          <w:color w:val="auto"/>
        </w:rPr>
      </w:pPr>
    </w:p>
    <w:p>
      <w:pPr>
        <w:ind w:left="540" w:hanging="424"/>
        <w:spacing w:after="0"/>
        <w:tabs>
          <w:tab w:leader="none" w:pos="540" w:val="left"/>
        </w:tabs>
        <w:numPr>
          <w:ilvl w:val="0"/>
          <w:numId w:val="57"/>
        </w:numPr>
        <w:rPr>
          <w:rFonts w:ascii="Arial" w:cs="Arial" w:eastAsia="Arial" w:hAnsi="Arial"/>
          <w:sz w:val="16"/>
          <w:szCs w:val="16"/>
          <w:color w:val="auto"/>
        </w:rPr>
      </w:pPr>
      <w:r>
        <w:rPr>
          <w:rFonts w:ascii="Arial" w:cs="Arial" w:eastAsia="Arial" w:hAnsi="Arial"/>
          <w:sz w:val="16"/>
          <w:szCs w:val="16"/>
          <w:color w:val="auto"/>
        </w:rPr>
        <w:t>Each $1.00 increase or decrease in the public offering price per share would increase or decrease, as applicable, our net proceeds, after deducting</w:t>
      </w:r>
    </w:p>
    <w:p>
      <w:pPr>
        <w:spacing w:after="0" w:line="46" w:lineRule="exact"/>
        <w:rPr>
          <w:sz w:val="20"/>
          <w:szCs w:val="20"/>
          <w:color w:val="auto"/>
        </w:rPr>
      </w:pPr>
    </w:p>
    <w:p>
      <w:pPr>
        <w:ind w:left="540" w:right="40"/>
        <w:spacing w:after="0" w:line="281" w:lineRule="auto"/>
        <w:rPr>
          <w:sz w:val="20"/>
          <w:szCs w:val="20"/>
          <w:color w:val="auto"/>
        </w:rPr>
      </w:pPr>
      <w:r>
        <w:rPr>
          <w:rFonts w:ascii="Arial" w:cs="Arial" w:eastAsia="Arial" w:hAnsi="Arial"/>
          <w:sz w:val="16"/>
          <w:szCs w:val="16"/>
          <w:color w:val="auto"/>
        </w:rPr>
        <w:t>the underwriting discounts and estimated offering expenses payable by us, by $ million (assuming no exercise of the underwriters’ option to purchase additional shares). Similarly, an increase or decrease of one million shares of Class A common stock sold in this offering by us would increase or decrease, as applicable, our net proceeds, after deducting the underwriting discounts and estimated offering expenses payable by us, by</w:t>
      </w:r>
    </w:p>
    <w:p>
      <w:pPr>
        <w:spacing w:after="0" w:line="2" w:lineRule="exact"/>
        <w:rPr>
          <w:sz w:val="20"/>
          <w:szCs w:val="20"/>
          <w:color w:val="auto"/>
        </w:rPr>
      </w:pPr>
    </w:p>
    <w:p>
      <w:pPr>
        <w:ind w:left="540"/>
        <w:spacing w:after="0"/>
        <w:tabs>
          <w:tab w:leader="none" w:pos="1020" w:val="left"/>
          <w:tab w:leader="none" w:pos="478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million, based on a public offering price of $</w:t>
      </w:r>
      <w:r>
        <w:rPr>
          <w:sz w:val="20"/>
          <w:szCs w:val="20"/>
          <w:color w:val="auto"/>
        </w:rPr>
        <w:tab/>
      </w:r>
      <w:r>
        <w:rPr>
          <w:rFonts w:ascii="Arial" w:cs="Arial" w:eastAsia="Arial" w:hAnsi="Arial"/>
          <w:sz w:val="13"/>
          <w:szCs w:val="13"/>
          <w:color w:val="auto"/>
        </w:rPr>
        <w:t>.</w:t>
      </w:r>
    </w:p>
    <w:p>
      <w:pPr>
        <w:spacing w:after="0" w:line="9" w:lineRule="exact"/>
        <w:rPr>
          <w:sz w:val="20"/>
          <w:szCs w:val="20"/>
          <w:color w:val="auto"/>
        </w:rPr>
      </w:pPr>
    </w:p>
    <w:p>
      <w:pPr>
        <w:ind w:left="540" w:right="180" w:hanging="424"/>
        <w:spacing w:after="0" w:line="260" w:lineRule="auto"/>
        <w:tabs>
          <w:tab w:leader="none" w:pos="540" w:val="left"/>
        </w:tabs>
        <w:numPr>
          <w:ilvl w:val="0"/>
          <w:numId w:val="58"/>
        </w:numPr>
        <w:rPr>
          <w:rFonts w:ascii="Arial" w:cs="Arial" w:eastAsia="Arial" w:hAnsi="Arial"/>
          <w:sz w:val="18"/>
          <w:szCs w:val="18"/>
          <w:color w:val="auto"/>
        </w:rPr>
      </w:pPr>
      <w:r>
        <w:rPr>
          <w:rFonts w:ascii="Arial" w:cs="Arial" w:eastAsia="Arial" w:hAnsi="Arial"/>
          <w:sz w:val="18"/>
          <w:szCs w:val="18"/>
          <w:color w:val="auto"/>
        </w:rPr>
        <w:t>For a description of our debt, see “Description of Material Indebtedness.” For a description of our debt refinancing, see “Prospectus Summary— Debt Refinancing.”</w:t>
      </w:r>
    </w:p>
    <w:p>
      <w:pPr>
        <w:spacing w:after="0" w:line="118"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71</w:t>
      </w:r>
    </w:p>
    <w:p>
      <w:pPr>
        <w:sectPr>
          <w:pgSz w:w="11900" w:h="16838" w:orient="portrait"/>
          <w:cols w:equalWidth="0" w:num="1">
            <w:col w:w="11140"/>
          </w:cols>
          <w:pgMar w:left="320" w:top="459" w:right="439" w:bottom="1440" w:gutter="0" w:footer="0" w:header="0"/>
        </w:sectPr>
      </w:pPr>
    </w:p>
    <w:bookmarkStart w:id="78" w:name="page79"/>
    <w:bookmarkEnd w:id="7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Confidential Treatment Requested by Definitive Healthcare Corp.</w:t>
      </w:r>
    </w:p>
    <w:p>
      <w:pPr>
        <w:spacing w:after="0" w:line="27"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Pursuant to 17 C.F.R. Section 200.83</w:t>
      </w:r>
    </w:p>
    <w:p>
      <w:pPr>
        <w:spacing w:after="0" w:line="139"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UNAUDITED PRO FORMA CONSOLIDATED FINANCIAL INFORMATION</w:t>
      </w:r>
    </w:p>
    <w:p>
      <w:pPr>
        <w:spacing w:after="0" w:line="229" w:lineRule="exact"/>
        <w:rPr>
          <w:sz w:val="20"/>
          <w:szCs w:val="20"/>
          <w:color w:val="auto"/>
        </w:rPr>
      </w:pPr>
    </w:p>
    <w:p>
      <w:pPr>
        <w:ind w:left="120" w:right="500" w:firstLine="440"/>
        <w:spacing w:after="0" w:line="291" w:lineRule="auto"/>
        <w:rPr>
          <w:sz w:val="20"/>
          <w:szCs w:val="20"/>
          <w:color w:val="auto"/>
        </w:rPr>
      </w:pPr>
      <w:r>
        <w:rPr>
          <w:rFonts w:ascii="Arial" w:cs="Arial" w:eastAsia="Arial" w:hAnsi="Arial"/>
          <w:sz w:val="16"/>
          <w:szCs w:val="16"/>
          <w:color w:val="auto"/>
        </w:rPr>
        <w:t>The following unaudited pro forma consolidated statements of operations for the year ended December 31, 2020 and nine months ended September 30, 2021 give effect to the pro forma adjustments related to (i) the Reorganization Transactions, which we refer to as the “Transactions</w:t>
      </w:r>
    </w:p>
    <w:p>
      <w:pPr>
        <w:ind w:left="120" w:right="20"/>
        <w:spacing w:after="0" w:line="269" w:lineRule="auto"/>
        <w:rPr>
          <w:sz w:val="20"/>
          <w:szCs w:val="20"/>
          <w:color w:val="auto"/>
        </w:rPr>
      </w:pPr>
      <w:r>
        <w:rPr>
          <w:rFonts w:ascii="Arial" w:cs="Arial" w:eastAsia="Arial" w:hAnsi="Arial"/>
          <w:sz w:val="17"/>
          <w:szCs w:val="17"/>
          <w:color w:val="auto"/>
        </w:rPr>
        <w:t>Adjustments,” (ii) the sale of 17,888,888 shares of Class A common stock in our IPO and (iii) the sale of shares of Class A common stock and the application of the net proceeds from this offering, which we refer to as the “Offering Adjustments.” We refer to the Reorganization Transactions and this offering collectively as the “Transactions.” The unaudited pro forma consolidated statements of operations for the year ended December 31, 2020 and nine months ended September 30, 2021 give pro forma effect to the Transactions as if they had occurred on January 1, 2020. The unaudited pro forma financial information has been prepared by our management and is based on Definitive OpCo’s historical financial statements and the assumptions and adjustments described in the notes to the unaudited pro forma financial information below. The presentation of the unaudited pro forma financial information is prepared in conformity with Article 11 of Regulation S-X rules effective January 1, 2021.</w:t>
      </w:r>
    </w:p>
    <w:p>
      <w:pPr>
        <w:spacing w:after="0" w:line="180" w:lineRule="exact"/>
        <w:rPr>
          <w:sz w:val="20"/>
          <w:szCs w:val="20"/>
          <w:color w:val="auto"/>
        </w:rPr>
      </w:pPr>
    </w:p>
    <w:p>
      <w:pPr>
        <w:ind w:left="120" w:right="220" w:firstLine="440"/>
        <w:spacing w:after="0" w:line="342" w:lineRule="auto"/>
        <w:rPr>
          <w:sz w:val="20"/>
          <w:szCs w:val="20"/>
          <w:color w:val="auto"/>
        </w:rPr>
      </w:pPr>
      <w:r>
        <w:rPr>
          <w:rFonts w:ascii="Arial" w:cs="Arial" w:eastAsia="Arial" w:hAnsi="Arial"/>
          <w:sz w:val="16"/>
          <w:szCs w:val="16"/>
          <w:color w:val="auto"/>
        </w:rPr>
        <w:t>Our historical financial information as of September 30, 2021 and for the year ended December 31, 2020 and nine months ended September 30, 2021 has been derived from Definitive OpCo’s consolidated financial statements and accompanying notes included elsewhere in this prospectus.</w:t>
      </w:r>
    </w:p>
    <w:p>
      <w:pPr>
        <w:spacing w:after="0" w:line="124" w:lineRule="exact"/>
        <w:rPr>
          <w:sz w:val="20"/>
          <w:szCs w:val="20"/>
          <w:color w:val="auto"/>
        </w:rPr>
      </w:pPr>
    </w:p>
    <w:p>
      <w:pPr>
        <w:ind w:left="120" w:right="60" w:firstLine="440"/>
        <w:spacing w:after="0" w:line="275" w:lineRule="auto"/>
        <w:rPr>
          <w:sz w:val="20"/>
          <w:szCs w:val="20"/>
          <w:color w:val="auto"/>
        </w:rPr>
      </w:pPr>
      <w:r>
        <w:rPr>
          <w:rFonts w:ascii="Arial" w:cs="Arial" w:eastAsia="Arial" w:hAnsi="Arial"/>
          <w:sz w:val="17"/>
          <w:szCs w:val="17"/>
          <w:color w:val="auto"/>
        </w:rPr>
        <w:t>We based the pro forma adjustments on available information and on assumptions that we believe are reasonable under the circumstances in order to reflect, on a pro forma basis, the impact of the relevant transactions on the historical financial information of Definitive OpCo. See the notes to unaudited pro forma financial information below for a discussion of assumptions made. The unaudited pro forma financial information does not purport to be indicative of our results of operations or financial position had the relevant transactions occurred on the dates assumed and does not project our results of operations or financial position for any future period or date.</w:t>
      </w:r>
    </w:p>
    <w:p>
      <w:pPr>
        <w:spacing w:after="0" w:line="176" w:lineRule="exact"/>
        <w:rPr>
          <w:sz w:val="20"/>
          <w:szCs w:val="20"/>
          <w:color w:val="auto"/>
        </w:rPr>
      </w:pPr>
    </w:p>
    <w:p>
      <w:pPr>
        <w:ind w:left="120" w:right="900" w:firstLine="440"/>
        <w:spacing w:after="0" w:line="277" w:lineRule="auto"/>
        <w:rPr>
          <w:sz w:val="20"/>
          <w:szCs w:val="20"/>
          <w:color w:val="auto"/>
        </w:rPr>
      </w:pPr>
      <w:r>
        <w:rPr>
          <w:rFonts w:ascii="Arial" w:cs="Arial" w:eastAsia="Arial" w:hAnsi="Arial"/>
          <w:sz w:val="18"/>
          <w:szCs w:val="18"/>
          <w:color w:val="auto"/>
        </w:rPr>
        <w:t>The pro forma adjustments, which we refer to as the “Transactions Adjustments” are described in the notes to the unaudited pro forma consolidated financial information and primarily include:</w:t>
      </w:r>
    </w:p>
    <w:p>
      <w:pPr>
        <w:spacing w:after="0" w:line="76" w:lineRule="exact"/>
        <w:rPr>
          <w:sz w:val="20"/>
          <w:szCs w:val="20"/>
          <w:color w:val="auto"/>
        </w:rPr>
      </w:pPr>
    </w:p>
    <w:p>
      <w:pPr>
        <w:ind w:left="1080" w:right="80" w:hanging="532"/>
        <w:spacing w:after="0" w:line="277" w:lineRule="auto"/>
        <w:tabs>
          <w:tab w:leader="none" w:pos="1080" w:val="left"/>
        </w:tabs>
        <w:numPr>
          <w:ilvl w:val="0"/>
          <w:numId w:val="59"/>
        </w:numPr>
        <w:rPr>
          <w:rFonts w:ascii="Arial" w:cs="Arial" w:eastAsia="Arial" w:hAnsi="Arial"/>
          <w:sz w:val="18"/>
          <w:szCs w:val="18"/>
          <w:color w:val="auto"/>
        </w:rPr>
      </w:pPr>
      <w:r>
        <w:rPr>
          <w:rFonts w:ascii="Arial" w:cs="Arial" w:eastAsia="Arial" w:hAnsi="Arial"/>
          <w:sz w:val="18"/>
          <w:szCs w:val="18"/>
          <w:color w:val="auto"/>
        </w:rPr>
        <w:t>the recognition of a non-controlling interest in Definitive OpCo held by the Unitholders, which will be exchangeable for shares of Class A common stock on a one-for-one basis in accordance with the terms of the Amended LLC Agreement; and</w:t>
      </w:r>
    </w:p>
    <w:p>
      <w:pPr>
        <w:spacing w:after="0" w:line="75" w:lineRule="exact"/>
        <w:rPr>
          <w:rFonts w:ascii="Arial" w:cs="Arial" w:eastAsia="Arial" w:hAnsi="Arial"/>
          <w:sz w:val="18"/>
          <w:szCs w:val="18"/>
          <w:color w:val="auto"/>
        </w:rPr>
      </w:pPr>
    </w:p>
    <w:p>
      <w:pPr>
        <w:ind w:left="1080" w:hanging="532"/>
        <w:spacing w:after="0"/>
        <w:tabs>
          <w:tab w:leader="none" w:pos="1080" w:val="left"/>
        </w:tabs>
        <w:numPr>
          <w:ilvl w:val="0"/>
          <w:numId w:val="59"/>
        </w:numPr>
        <w:rPr>
          <w:rFonts w:ascii="Arial" w:cs="Arial" w:eastAsia="Arial" w:hAnsi="Arial"/>
          <w:sz w:val="18"/>
          <w:szCs w:val="18"/>
          <w:color w:val="auto"/>
        </w:rPr>
      </w:pPr>
      <w:r>
        <w:rPr>
          <w:rFonts w:ascii="Arial" w:cs="Arial" w:eastAsia="Arial" w:hAnsi="Arial"/>
          <w:sz w:val="18"/>
          <w:szCs w:val="18"/>
          <w:color w:val="auto"/>
        </w:rPr>
        <w:t>provision for federal and state income taxes of Definitive Healthcare Corp. as a taxable corporation;</w:t>
      </w:r>
    </w:p>
    <w:p>
      <w:pPr>
        <w:spacing w:after="0" w:line="225" w:lineRule="exact"/>
        <w:rPr>
          <w:sz w:val="20"/>
          <w:szCs w:val="20"/>
          <w:color w:val="auto"/>
        </w:rPr>
      </w:pPr>
    </w:p>
    <w:p>
      <w:pPr>
        <w:ind w:left="120" w:right="220" w:firstLine="440"/>
        <w:spacing w:after="0" w:line="277" w:lineRule="auto"/>
        <w:rPr>
          <w:sz w:val="20"/>
          <w:szCs w:val="20"/>
          <w:color w:val="auto"/>
        </w:rPr>
      </w:pPr>
      <w:r>
        <w:rPr>
          <w:rFonts w:ascii="Arial" w:cs="Arial" w:eastAsia="Arial" w:hAnsi="Arial"/>
          <w:sz w:val="18"/>
          <w:szCs w:val="18"/>
          <w:color w:val="auto"/>
        </w:rPr>
        <w:t>The pro forma adjustments related to the adjustments relating to this offering, which we refer to as the “Offering Adjustments,” are described in the notes to the unaudited pro forma consolidated financial information and primarily include:</w:t>
      </w:r>
    </w:p>
    <w:p>
      <w:pPr>
        <w:spacing w:after="0" w:line="76" w:lineRule="exact"/>
        <w:rPr>
          <w:sz w:val="20"/>
          <w:szCs w:val="20"/>
          <w:color w:val="auto"/>
        </w:rPr>
      </w:pPr>
    </w:p>
    <w:p>
      <w:pPr>
        <w:ind w:left="1080" w:hanging="532"/>
        <w:spacing w:after="0"/>
        <w:tabs>
          <w:tab w:leader="none" w:pos="1080" w:val="left"/>
        </w:tabs>
        <w:numPr>
          <w:ilvl w:val="0"/>
          <w:numId w:val="60"/>
        </w:numPr>
        <w:rPr>
          <w:rFonts w:ascii="Arial" w:cs="Arial" w:eastAsia="Arial" w:hAnsi="Arial"/>
          <w:sz w:val="16"/>
          <w:szCs w:val="16"/>
          <w:color w:val="auto"/>
        </w:rPr>
      </w:pPr>
      <w:r>
        <w:rPr>
          <w:rFonts w:ascii="Arial" w:cs="Arial" w:eastAsia="Arial" w:hAnsi="Arial"/>
          <w:sz w:val="16"/>
          <w:szCs w:val="16"/>
          <w:color w:val="auto"/>
        </w:rPr>
        <w:t>the issuance of shares of our Class A common stock to the purchasers in this offering in exchange for net proceeds of approximately $</w:t>
      </w:r>
    </w:p>
    <w:p>
      <w:pPr>
        <w:spacing w:after="0" w:line="46" w:lineRule="exact"/>
        <w:rPr>
          <w:rFonts w:ascii="Arial" w:cs="Arial" w:eastAsia="Arial" w:hAnsi="Arial"/>
          <w:sz w:val="16"/>
          <w:szCs w:val="16"/>
          <w:color w:val="auto"/>
        </w:rPr>
      </w:pPr>
    </w:p>
    <w:p>
      <w:pPr>
        <w:ind w:left="1080"/>
        <w:spacing w:after="0"/>
        <w:rPr>
          <w:rFonts w:ascii="Arial" w:cs="Arial" w:eastAsia="Arial" w:hAnsi="Arial"/>
          <w:sz w:val="16"/>
          <w:szCs w:val="16"/>
          <w:color w:val="auto"/>
        </w:rPr>
      </w:pPr>
      <w:r>
        <w:rPr>
          <w:rFonts w:ascii="Arial" w:cs="Arial" w:eastAsia="Arial" w:hAnsi="Arial"/>
          <w:sz w:val="18"/>
          <w:szCs w:val="18"/>
          <w:color w:val="auto"/>
        </w:rPr>
        <w:t>million, assuming that the shares are offered at $</w:t>
      </w:r>
      <w:r>
        <w:rPr>
          <w:rFonts w:ascii="Arial" w:cs="Arial" w:eastAsia="Arial" w:hAnsi="Arial"/>
          <w:sz w:val="16"/>
          <w:szCs w:val="16"/>
          <w:color w:val="auto"/>
        </w:rPr>
        <w:t>per share, after deducting underwriting discounts but before offering expenses;</w:t>
      </w:r>
    </w:p>
    <w:p>
      <w:pPr>
        <w:spacing w:after="0" w:line="116" w:lineRule="exact"/>
        <w:rPr>
          <w:rFonts w:ascii="Arial" w:cs="Arial" w:eastAsia="Arial" w:hAnsi="Arial"/>
          <w:sz w:val="16"/>
          <w:szCs w:val="16"/>
          <w:color w:val="auto"/>
        </w:rPr>
      </w:pPr>
    </w:p>
    <w:p>
      <w:pPr>
        <w:ind w:left="1080" w:hanging="532"/>
        <w:spacing w:after="0"/>
        <w:tabs>
          <w:tab w:leader="none" w:pos="1080" w:val="left"/>
        </w:tabs>
        <w:numPr>
          <w:ilvl w:val="0"/>
          <w:numId w:val="60"/>
        </w:numPr>
        <w:rPr>
          <w:rFonts w:ascii="Arial" w:cs="Arial" w:eastAsia="Arial" w:hAnsi="Arial"/>
          <w:sz w:val="16"/>
          <w:szCs w:val="16"/>
          <w:color w:val="auto"/>
        </w:rPr>
      </w:pPr>
      <w:r>
        <w:rPr>
          <w:rFonts w:ascii="Arial" w:cs="Arial" w:eastAsia="Arial" w:hAnsi="Arial"/>
          <w:sz w:val="16"/>
          <w:szCs w:val="16"/>
          <w:color w:val="auto"/>
        </w:rPr>
        <w:t>the application by Definitive Healthcare Corp. of the net proceeds from this offering to (i) acquire newly issued LLC Units from Definitive</w:t>
      </w:r>
    </w:p>
    <w:p>
      <w:pPr>
        <w:spacing w:after="0" w:line="46" w:lineRule="exact"/>
        <w:rPr>
          <w:sz w:val="20"/>
          <w:szCs w:val="20"/>
          <w:color w:val="auto"/>
        </w:rPr>
      </w:pPr>
    </w:p>
    <w:p>
      <w:pPr>
        <w:ind w:left="1080" w:right="40"/>
        <w:spacing w:after="0" w:line="255" w:lineRule="auto"/>
        <w:rPr>
          <w:sz w:val="20"/>
          <w:szCs w:val="20"/>
          <w:color w:val="auto"/>
        </w:rPr>
      </w:pPr>
      <w:r>
        <w:rPr>
          <w:rFonts w:ascii="Arial" w:cs="Arial" w:eastAsia="Arial" w:hAnsi="Arial"/>
          <w:sz w:val="18"/>
          <w:szCs w:val="18"/>
          <w:color w:val="auto"/>
        </w:rPr>
        <w:t>OpCo, (ii) acquire LLC Units from certain Unitholders and (iii) repurchase shares of our Class A common stock from certain stockholders at a purchase price per LLC Unit and share of Class A common stock, in each case equal to the IPO price of Class A common stock net of underwriting discounts; and</w:t>
      </w:r>
    </w:p>
    <w:p>
      <w:pPr>
        <w:spacing w:after="0" w:line="95" w:lineRule="exact"/>
        <w:rPr>
          <w:sz w:val="20"/>
          <w:szCs w:val="20"/>
          <w:color w:val="auto"/>
        </w:rPr>
      </w:pPr>
    </w:p>
    <w:p>
      <w:pPr>
        <w:ind w:left="1080" w:hanging="532"/>
        <w:spacing w:after="0" w:line="277" w:lineRule="auto"/>
        <w:tabs>
          <w:tab w:leader="none" w:pos="1080" w:val="left"/>
        </w:tabs>
        <w:numPr>
          <w:ilvl w:val="0"/>
          <w:numId w:val="61"/>
        </w:numPr>
        <w:rPr>
          <w:rFonts w:ascii="Arial" w:cs="Arial" w:eastAsia="Arial" w:hAnsi="Arial"/>
          <w:sz w:val="18"/>
          <w:szCs w:val="18"/>
          <w:color w:val="auto"/>
        </w:rPr>
      </w:pPr>
      <w:r>
        <w:rPr>
          <w:rFonts w:ascii="Arial" w:cs="Arial" w:eastAsia="Arial" w:hAnsi="Arial"/>
          <w:sz w:val="18"/>
          <w:szCs w:val="18"/>
          <w:color w:val="auto"/>
        </w:rPr>
        <w:t>the application by Definitive OpCo of a portion of the proceeds of the sale of LLC Units to Definitive Healthcare Corp. as set forth in “Use of Proceeds.”</w:t>
      </w:r>
    </w:p>
    <w:p>
      <w:pPr>
        <w:spacing w:after="0" w:line="170" w:lineRule="exact"/>
        <w:rPr>
          <w:sz w:val="20"/>
          <w:szCs w:val="20"/>
          <w:color w:val="auto"/>
        </w:rPr>
      </w:pPr>
    </w:p>
    <w:p>
      <w:pPr>
        <w:ind w:left="120" w:right="720" w:firstLine="440"/>
        <w:spacing w:after="0" w:line="277" w:lineRule="auto"/>
        <w:rPr>
          <w:sz w:val="20"/>
          <w:szCs w:val="20"/>
          <w:color w:val="auto"/>
        </w:rPr>
      </w:pPr>
      <w:r>
        <w:rPr>
          <w:rFonts w:ascii="Arial" w:cs="Arial" w:eastAsia="Arial" w:hAnsi="Arial"/>
          <w:sz w:val="18"/>
          <w:szCs w:val="18"/>
          <w:color w:val="auto"/>
        </w:rPr>
        <w:t>We are in the process of implementing additional procedures and processes for the purpose of addressing the standards and requirements applicable to public companies. We expect to incur additional annual expenses</w:t>
      </w:r>
    </w:p>
    <w:p>
      <w:pPr>
        <w:spacing w:after="0" w:line="103" w:lineRule="exact"/>
        <w:rPr>
          <w:sz w:val="20"/>
          <w:szCs w:val="20"/>
          <w:color w:val="auto"/>
        </w:rPr>
      </w:pPr>
    </w:p>
    <w:p>
      <w:pPr>
        <w:jc w:val="center"/>
        <w:ind w:right="-359"/>
        <w:spacing w:after="0"/>
        <w:rPr>
          <w:sz w:val="20"/>
          <w:szCs w:val="20"/>
          <w:color w:val="auto"/>
        </w:rPr>
      </w:pPr>
      <w:r>
        <w:rPr>
          <w:rFonts w:ascii="Arial" w:cs="Arial" w:eastAsia="Arial" w:hAnsi="Arial"/>
          <w:sz w:val="18"/>
          <w:szCs w:val="18"/>
          <w:color w:val="auto"/>
        </w:rPr>
        <w:t>72</w:t>
      </w:r>
    </w:p>
    <w:p>
      <w:pPr>
        <w:sectPr>
          <w:pgSz w:w="11900" w:h="16838" w:orient="portrait"/>
          <w:cols w:equalWidth="0" w:num="1">
            <w:col w:w="11120"/>
          </w:cols>
          <w:pgMar w:left="320" w:top="459" w:right="459" w:bottom="1440" w:gutter="0" w:footer="0" w:header="0"/>
        </w:sectPr>
      </w:pPr>
    </w:p>
    <w:bookmarkStart w:id="79" w:name="page80"/>
    <w:bookmarkEnd w:id="7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Confidential Treatment Requested by Definitive Healthcare Corp.</w:t>
      </w:r>
    </w:p>
    <w:p>
      <w:pPr>
        <w:spacing w:after="0" w:line="27"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Pursuant to 17 C.F.R. Section 200.83</w:t>
      </w:r>
    </w:p>
    <w:p>
      <w:pPr>
        <w:spacing w:after="0" w:line="143" w:lineRule="exact"/>
        <w:rPr>
          <w:sz w:val="20"/>
          <w:szCs w:val="20"/>
          <w:color w:val="auto"/>
        </w:rPr>
      </w:pPr>
    </w:p>
    <w:p>
      <w:pPr>
        <w:ind w:left="120" w:right="280"/>
        <w:spacing w:after="0" w:line="257" w:lineRule="auto"/>
        <w:rPr>
          <w:sz w:val="20"/>
          <w:szCs w:val="20"/>
          <w:color w:val="auto"/>
        </w:rPr>
      </w:pPr>
      <w:r>
        <w:rPr>
          <w:rFonts w:ascii="Arial" w:cs="Arial" w:eastAsia="Arial" w:hAnsi="Arial"/>
          <w:sz w:val="18"/>
          <w:szCs w:val="18"/>
          <w:color w:val="auto"/>
        </w:rPr>
        <w:t>related to these procedures and processes and, among other things, additional directors’ and officers’ liability insurance, director fees, reporting requirements of the SEC, transfer agent fees, hiring additional accounting, legal, and administrative personnel, increased auditing and legal expenses, and other related costs. Due to the scope and complexity of these activities, the amount of these costs could increase or decrease materially and are based on subjective estimates and assumptions that cannot be factually supported. We have not included any pro forma adjustments related to these costs.</w:t>
      </w:r>
    </w:p>
    <w:p>
      <w:pPr>
        <w:spacing w:after="0" w:line="188" w:lineRule="exact"/>
        <w:rPr>
          <w:sz w:val="20"/>
          <w:szCs w:val="20"/>
          <w:color w:val="auto"/>
        </w:rPr>
      </w:pPr>
    </w:p>
    <w:p>
      <w:pPr>
        <w:jc w:val="both"/>
        <w:ind w:left="120" w:right="200" w:firstLine="440"/>
        <w:spacing w:after="0" w:line="263" w:lineRule="auto"/>
        <w:rPr>
          <w:sz w:val="20"/>
          <w:szCs w:val="20"/>
          <w:color w:val="auto"/>
        </w:rPr>
      </w:pPr>
      <w:r>
        <w:rPr>
          <w:rFonts w:ascii="Arial" w:cs="Arial" w:eastAsia="Arial" w:hAnsi="Arial"/>
          <w:sz w:val="18"/>
          <w:szCs w:val="18"/>
          <w:color w:val="auto"/>
        </w:rPr>
        <w:t>Because Definitive Healthcare Corp. was formed on May 5, 2021 and had no material assets or results of operations until the completion of the IPO, its historical financial information is not included in the unaudited pro forma consolidated financial information for the year ended December 31, 2020 and nine months ended September 30, 2021.</w:t>
      </w:r>
    </w:p>
    <w:p>
      <w:pPr>
        <w:spacing w:after="0" w:line="184" w:lineRule="exact"/>
        <w:rPr>
          <w:sz w:val="20"/>
          <w:szCs w:val="20"/>
          <w:color w:val="auto"/>
        </w:rPr>
      </w:pPr>
    </w:p>
    <w:p>
      <w:pPr>
        <w:ind w:left="120" w:firstLine="440"/>
        <w:spacing w:after="0" w:line="301" w:lineRule="auto"/>
        <w:rPr>
          <w:sz w:val="20"/>
          <w:szCs w:val="20"/>
          <w:color w:val="auto"/>
        </w:rPr>
      </w:pPr>
      <w:r>
        <w:rPr>
          <w:rFonts w:ascii="Arial" w:cs="Arial" w:eastAsia="Arial" w:hAnsi="Arial"/>
          <w:sz w:val="16"/>
          <w:szCs w:val="16"/>
          <w:color w:val="auto"/>
        </w:rPr>
        <w:t>The unaudited pro forma consolidated financial information is provided for informational purposes only and is not necessarily indicative of the operating results that would have occurred if the Transactions had been completed as of the dates set forth above, nor is it indicative of our future results. Additionally, the unaudited pro forma consolidated financial information does not give effect to the potential impact of any anticipated synergies, operating efficiencies, or cost savings that may result from the Transactions or any integration costs that will not have a continuing impact.</w:t>
      </w:r>
    </w:p>
    <w:p>
      <w:pPr>
        <w:spacing w:after="0" w:line="157" w:lineRule="exact"/>
        <w:rPr>
          <w:sz w:val="20"/>
          <w:szCs w:val="20"/>
          <w:color w:val="auto"/>
        </w:rPr>
      </w:pPr>
    </w:p>
    <w:p>
      <w:pPr>
        <w:ind w:left="120" w:right="60" w:firstLine="440"/>
        <w:spacing w:after="0" w:line="263" w:lineRule="auto"/>
        <w:rPr>
          <w:sz w:val="20"/>
          <w:szCs w:val="20"/>
          <w:color w:val="auto"/>
        </w:rPr>
      </w:pPr>
      <w:r>
        <w:rPr>
          <w:rFonts w:ascii="Arial" w:cs="Arial" w:eastAsia="Arial" w:hAnsi="Arial"/>
          <w:sz w:val="18"/>
          <w:szCs w:val="18"/>
          <w:color w:val="auto"/>
        </w:rPr>
        <w:t>The unaudited pro forma consolidated financial information should be read together with “Prospectus Summary—Organizational Structure,” “Capitalization,” “Management’s Discussion and Analysis of Financial Condition and Results of Operations” and our historical financial statements and related notes thereto included elsewhere in this prospectus.</w:t>
      </w:r>
    </w:p>
    <w:p>
      <w:pPr>
        <w:spacing w:after="0" w:line="116"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73</w:t>
      </w:r>
    </w:p>
    <w:p>
      <w:pPr>
        <w:sectPr>
          <w:pgSz w:w="11900" w:h="16838" w:orient="portrait"/>
          <w:cols w:equalWidth="0" w:num="1">
            <w:col w:w="11140"/>
          </w:cols>
          <w:pgMar w:left="320" w:top="459" w:right="439" w:bottom="1440" w:gutter="0" w:footer="0" w:header="0"/>
        </w:sectPr>
      </w:pPr>
    </w:p>
    <w:bookmarkStart w:id="80" w:name="page81"/>
    <w:bookmarkEnd w:id="8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Confidential Treatment Requested by Definitive Healthcare Corp.</w:t>
      </w:r>
    </w:p>
    <w:p>
      <w:pPr>
        <w:spacing w:after="0" w:line="27"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Pursuant to 17 C.F.R. Section 200.83</w:t>
      </w:r>
    </w:p>
    <w:p>
      <w:pPr>
        <w:spacing w:after="0" w:line="139" w:lineRule="exact"/>
        <w:rPr>
          <w:sz w:val="20"/>
          <w:szCs w:val="20"/>
          <w:color w:val="auto"/>
        </w:rPr>
      </w:pPr>
    </w:p>
    <w:p>
      <w:pPr>
        <w:ind w:left="860"/>
        <w:spacing w:after="0"/>
        <w:rPr>
          <w:sz w:val="20"/>
          <w:szCs w:val="20"/>
          <w:color w:val="auto"/>
        </w:rPr>
      </w:pPr>
      <w:r>
        <w:rPr>
          <w:rFonts w:ascii="Arial" w:cs="Arial" w:eastAsia="Arial" w:hAnsi="Arial"/>
          <w:sz w:val="18"/>
          <w:szCs w:val="18"/>
          <w:b w:val="1"/>
          <w:bCs w:val="1"/>
          <w:color w:val="auto"/>
        </w:rPr>
        <w:t>UNAUDITED PRO FORMA CONSOLIDATED STATEMENT OF OPERATIONS Nine Months Ended September 30, 2021</w:t>
      </w:r>
    </w:p>
    <w:p>
      <w:pPr>
        <w:spacing w:after="0" w:line="235"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47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6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3"/>
              </w:rPr>
              <w:t>Historical</w:t>
            </w:r>
          </w:p>
        </w:tc>
        <w:tc>
          <w:tcPr>
            <w:tcW w:w="2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80" w:type="dxa"/>
            <w:vAlign w:val="bottom"/>
            <w:vMerge w:val="restart"/>
          </w:tcPr>
          <w:p>
            <w:pPr>
              <w:ind w:left="220"/>
              <w:spacing w:after="0"/>
              <w:rPr>
                <w:sz w:val="20"/>
                <w:szCs w:val="20"/>
                <w:color w:val="auto"/>
              </w:rPr>
            </w:pPr>
            <w:r>
              <w:rPr>
                <w:rFonts w:ascii="Arial" w:cs="Arial" w:eastAsia="Arial" w:hAnsi="Arial"/>
                <w:sz w:val="14"/>
                <w:szCs w:val="14"/>
                <w:b w:val="1"/>
                <w:bCs w:val="1"/>
                <w:color w:val="auto"/>
              </w:rPr>
              <w:t>Pro forma</w:t>
            </w:r>
          </w:p>
        </w:tc>
        <w:tc>
          <w:tcPr>
            <w:tcW w:w="1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00" w:type="dxa"/>
            <w:vAlign w:val="bottom"/>
          </w:tcPr>
          <w:p>
            <w:pPr>
              <w:jc w:val="center"/>
              <w:spacing w:after="0"/>
              <w:rPr>
                <w:sz w:val="20"/>
                <w:szCs w:val="20"/>
                <w:color w:val="auto"/>
              </w:rPr>
            </w:pPr>
            <w:r>
              <w:rPr>
                <w:rFonts w:ascii="Arial" w:cs="Arial" w:eastAsia="Arial" w:hAnsi="Arial"/>
                <w:sz w:val="14"/>
                <w:szCs w:val="14"/>
                <w:b w:val="1"/>
                <w:bCs w:val="1"/>
                <w:color w:val="auto"/>
                <w:w w:val="93"/>
              </w:rPr>
              <w:t>Pro forma</w:t>
            </w:r>
          </w:p>
        </w:tc>
        <w:tc>
          <w:tcPr>
            <w:tcW w:w="0" w:type="dxa"/>
            <w:vAlign w:val="bottom"/>
          </w:tcPr>
          <w:p>
            <w:pPr>
              <w:spacing w:after="0"/>
              <w:rPr>
                <w:sz w:val="1"/>
                <w:szCs w:val="1"/>
                <w:color w:val="auto"/>
              </w:rPr>
            </w:pPr>
          </w:p>
        </w:tc>
      </w:tr>
      <w:tr>
        <w:trPr>
          <w:trHeight w:val="149"/>
        </w:trPr>
        <w:tc>
          <w:tcPr>
            <w:tcW w:w="47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66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80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w w:val="93"/>
              </w:rPr>
              <w:t>Transaction</w:t>
            </w:r>
          </w:p>
        </w:tc>
        <w:tc>
          <w:tcPr>
            <w:tcW w:w="720" w:type="dxa"/>
            <w:vAlign w:val="bottom"/>
          </w:tcPr>
          <w:p>
            <w:pPr>
              <w:spacing w:after="0"/>
              <w:rPr>
                <w:sz w:val="12"/>
                <w:szCs w:val="12"/>
                <w:color w:val="auto"/>
              </w:rPr>
            </w:pPr>
          </w:p>
        </w:tc>
        <w:tc>
          <w:tcPr>
            <w:tcW w:w="1080" w:type="dxa"/>
            <w:vAlign w:val="bottom"/>
            <w:vMerge w:val="continue"/>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vMerge w:val="restart"/>
          </w:tcPr>
          <w:p>
            <w:pPr>
              <w:ind w:left="100"/>
              <w:spacing w:after="0"/>
              <w:rPr>
                <w:sz w:val="20"/>
                <w:szCs w:val="20"/>
                <w:color w:val="auto"/>
              </w:rPr>
            </w:pPr>
            <w:r>
              <w:rPr>
                <w:rFonts w:ascii="Arial" w:cs="Arial" w:eastAsia="Arial" w:hAnsi="Arial"/>
                <w:sz w:val="14"/>
                <w:szCs w:val="14"/>
                <w:b w:val="1"/>
                <w:bCs w:val="1"/>
                <w:color w:val="auto"/>
              </w:rPr>
              <w:t>Offering</w:t>
            </w:r>
          </w:p>
        </w:tc>
        <w:tc>
          <w:tcPr>
            <w:tcW w:w="740" w:type="dxa"/>
            <w:vAlign w:val="bottom"/>
          </w:tcPr>
          <w:p>
            <w:pPr>
              <w:spacing w:after="0"/>
              <w:rPr>
                <w:sz w:val="12"/>
                <w:szCs w:val="12"/>
                <w:color w:val="auto"/>
              </w:rPr>
            </w:pPr>
          </w:p>
        </w:tc>
        <w:tc>
          <w:tcPr>
            <w:tcW w:w="7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5"/>
              </w:rPr>
              <w:t>Definitive</w:t>
            </w:r>
          </w:p>
        </w:tc>
        <w:tc>
          <w:tcPr>
            <w:tcW w:w="0" w:type="dxa"/>
            <w:vAlign w:val="bottom"/>
          </w:tcPr>
          <w:p>
            <w:pPr>
              <w:spacing w:after="0"/>
              <w:rPr>
                <w:sz w:val="1"/>
                <w:szCs w:val="1"/>
                <w:color w:val="auto"/>
              </w:rPr>
            </w:pPr>
          </w:p>
        </w:tc>
      </w:tr>
      <w:tr>
        <w:trPr>
          <w:trHeight w:val="148"/>
        </w:trPr>
        <w:tc>
          <w:tcPr>
            <w:tcW w:w="47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6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5"/>
              </w:rPr>
              <w:t>Definitive</w:t>
            </w:r>
          </w:p>
        </w:tc>
        <w:tc>
          <w:tcPr>
            <w:tcW w:w="220" w:type="dxa"/>
            <w:vAlign w:val="bottom"/>
          </w:tcPr>
          <w:p>
            <w:pPr>
              <w:spacing w:after="0"/>
              <w:rPr>
                <w:sz w:val="12"/>
                <w:szCs w:val="12"/>
                <w:color w:val="auto"/>
              </w:rPr>
            </w:pPr>
          </w:p>
        </w:tc>
        <w:tc>
          <w:tcPr>
            <w:tcW w:w="800" w:type="dxa"/>
            <w:vAlign w:val="bottom"/>
            <w:gridSpan w:val="2"/>
            <w:vMerge w:val="continue"/>
          </w:tcPr>
          <w:p>
            <w:pPr>
              <w:spacing w:after="0"/>
              <w:rPr>
                <w:sz w:val="12"/>
                <w:szCs w:val="12"/>
                <w:color w:val="auto"/>
              </w:rPr>
            </w:pPr>
          </w:p>
        </w:tc>
        <w:tc>
          <w:tcPr>
            <w:tcW w:w="720" w:type="dxa"/>
            <w:vAlign w:val="bottom"/>
          </w:tcPr>
          <w:p>
            <w:pPr>
              <w:spacing w:after="0"/>
              <w:rPr>
                <w:sz w:val="12"/>
                <w:szCs w:val="12"/>
                <w:color w:val="auto"/>
              </w:rPr>
            </w:pPr>
          </w:p>
        </w:tc>
        <w:tc>
          <w:tcPr>
            <w:tcW w:w="1080" w:type="dxa"/>
            <w:vAlign w:val="bottom"/>
          </w:tcPr>
          <w:p>
            <w:pPr>
              <w:ind w:left="240"/>
              <w:spacing w:after="0" w:line="149" w:lineRule="exact"/>
              <w:rPr>
                <w:sz w:val="20"/>
                <w:szCs w:val="20"/>
                <w:color w:val="auto"/>
              </w:rPr>
            </w:pPr>
            <w:r>
              <w:rPr>
                <w:rFonts w:ascii="Arial" w:cs="Arial" w:eastAsia="Arial" w:hAnsi="Arial"/>
                <w:sz w:val="14"/>
                <w:szCs w:val="14"/>
                <w:b w:val="1"/>
                <w:bCs w:val="1"/>
                <w:color w:val="auto"/>
              </w:rPr>
              <w:t>Definitive</w:t>
            </w:r>
          </w:p>
        </w:tc>
        <w:tc>
          <w:tcPr>
            <w:tcW w:w="180" w:type="dxa"/>
            <w:vAlign w:val="bottom"/>
          </w:tcPr>
          <w:p>
            <w:pPr>
              <w:spacing w:after="0"/>
              <w:rPr>
                <w:sz w:val="12"/>
                <w:szCs w:val="12"/>
                <w:color w:val="auto"/>
              </w:rPr>
            </w:pPr>
          </w:p>
        </w:tc>
        <w:tc>
          <w:tcPr>
            <w:tcW w:w="720" w:type="dxa"/>
            <w:vAlign w:val="bottom"/>
            <w:vMerge w:val="continue"/>
          </w:tcPr>
          <w:p>
            <w:pPr>
              <w:spacing w:after="0"/>
              <w:rPr>
                <w:sz w:val="12"/>
                <w:szCs w:val="12"/>
                <w:color w:val="auto"/>
              </w:rPr>
            </w:pPr>
          </w:p>
        </w:tc>
        <w:tc>
          <w:tcPr>
            <w:tcW w:w="740" w:type="dxa"/>
            <w:vAlign w:val="bottom"/>
          </w:tcPr>
          <w:p>
            <w:pPr>
              <w:spacing w:after="0"/>
              <w:rPr>
                <w:sz w:val="12"/>
                <w:szCs w:val="12"/>
                <w:color w:val="auto"/>
              </w:rPr>
            </w:pPr>
          </w:p>
        </w:tc>
        <w:tc>
          <w:tcPr>
            <w:tcW w:w="700" w:type="dxa"/>
            <w:vAlign w:val="bottom"/>
          </w:tcPr>
          <w:p>
            <w:pPr>
              <w:spacing w:after="0" w:line="149" w:lineRule="exact"/>
              <w:rPr>
                <w:sz w:val="20"/>
                <w:szCs w:val="20"/>
                <w:color w:val="auto"/>
              </w:rPr>
            </w:pPr>
            <w:r>
              <w:rPr>
                <w:rFonts w:ascii="Arial" w:cs="Arial" w:eastAsia="Arial" w:hAnsi="Arial"/>
                <w:sz w:val="14"/>
                <w:szCs w:val="14"/>
                <w:b w:val="1"/>
                <w:bCs w:val="1"/>
                <w:color w:val="auto"/>
                <w:w w:val="94"/>
              </w:rPr>
              <w:t>Healthcare</w:t>
            </w:r>
          </w:p>
        </w:tc>
        <w:tc>
          <w:tcPr>
            <w:tcW w:w="0" w:type="dxa"/>
            <w:vAlign w:val="bottom"/>
          </w:tcPr>
          <w:p>
            <w:pPr>
              <w:spacing w:after="0"/>
              <w:rPr>
                <w:sz w:val="1"/>
                <w:szCs w:val="1"/>
                <w:color w:val="auto"/>
              </w:rPr>
            </w:pPr>
          </w:p>
        </w:tc>
      </w:tr>
      <w:tr>
        <w:trPr>
          <w:trHeight w:val="171"/>
        </w:trPr>
        <w:tc>
          <w:tcPr>
            <w:tcW w:w="4700" w:type="dxa"/>
            <w:vAlign w:val="bottom"/>
            <w:tcBorders>
              <w:bottom w:val="single" w:sz="8" w:color="CCEEFF"/>
            </w:tcBorders>
          </w:tcPr>
          <w:p>
            <w:pPr>
              <w:spacing w:after="0"/>
              <w:rPr>
                <w:sz w:val="14"/>
                <w:szCs w:val="14"/>
                <w:color w:val="auto"/>
              </w:rPr>
            </w:pPr>
          </w:p>
        </w:tc>
        <w:tc>
          <w:tcPr>
            <w:tcW w:w="500" w:type="dxa"/>
            <w:vAlign w:val="bottom"/>
            <w:tcBorders>
              <w:bottom w:val="single" w:sz="8" w:color="CCEEFF"/>
            </w:tcBorders>
          </w:tcPr>
          <w:p>
            <w:pPr>
              <w:spacing w:after="0"/>
              <w:rPr>
                <w:sz w:val="14"/>
                <w:szCs w:val="14"/>
                <w:color w:val="auto"/>
              </w:rPr>
            </w:pPr>
          </w:p>
        </w:tc>
        <w:tc>
          <w:tcPr>
            <w:tcW w:w="6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OpCo</w:t>
            </w:r>
          </w:p>
        </w:tc>
        <w:tc>
          <w:tcPr>
            <w:tcW w:w="220" w:type="dxa"/>
            <w:vAlign w:val="bottom"/>
            <w:tcBorders>
              <w:bottom w:val="single" w:sz="8" w:color="CCEEFF"/>
            </w:tcBorders>
          </w:tcPr>
          <w:p>
            <w:pPr>
              <w:spacing w:after="0"/>
              <w:rPr>
                <w:sz w:val="14"/>
                <w:szCs w:val="14"/>
                <w:color w:val="auto"/>
              </w:rPr>
            </w:pPr>
          </w:p>
        </w:tc>
        <w:tc>
          <w:tcPr>
            <w:tcW w:w="800" w:type="dxa"/>
            <w:vAlign w:val="bottom"/>
            <w:tcBorders>
              <w:bottom w:val="single" w:sz="8" w:color="auto"/>
            </w:tcBorders>
            <w:gridSpan w:val="2"/>
          </w:tcPr>
          <w:p>
            <w:pPr>
              <w:ind w:left="20"/>
              <w:spacing w:after="0"/>
              <w:rPr>
                <w:sz w:val="20"/>
                <w:szCs w:val="20"/>
                <w:color w:val="auto"/>
              </w:rPr>
            </w:pPr>
            <w:r>
              <w:rPr>
                <w:rFonts w:ascii="Arial" w:cs="Arial" w:eastAsia="Arial" w:hAnsi="Arial"/>
                <w:sz w:val="14"/>
                <w:szCs w:val="14"/>
                <w:b w:val="1"/>
                <w:bCs w:val="1"/>
                <w:color w:val="auto"/>
                <w:w w:val="89"/>
              </w:rPr>
              <w:t>Adjustments</w:t>
            </w:r>
          </w:p>
        </w:tc>
        <w:tc>
          <w:tcPr>
            <w:tcW w:w="720" w:type="dxa"/>
            <w:vAlign w:val="bottom"/>
            <w:tcBorders>
              <w:bottom w:val="single" w:sz="8" w:color="CCEEFF"/>
            </w:tcBorders>
          </w:tcPr>
          <w:p>
            <w:pPr>
              <w:spacing w:after="0"/>
              <w:rPr>
                <w:sz w:val="14"/>
                <w:szCs w:val="14"/>
                <w:color w:val="auto"/>
              </w:rPr>
            </w:pPr>
          </w:p>
        </w:tc>
        <w:tc>
          <w:tcPr>
            <w:tcW w:w="108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4"/>
              </w:rPr>
              <w:t>Healthcare Corp.</w:t>
            </w:r>
          </w:p>
        </w:tc>
        <w:tc>
          <w:tcPr>
            <w:tcW w:w="180" w:type="dxa"/>
            <w:vAlign w:val="bottom"/>
            <w:tcBorders>
              <w:bottom w:val="single" w:sz="8" w:color="CCEEFF"/>
            </w:tcBorders>
          </w:tcPr>
          <w:p>
            <w:pPr>
              <w:spacing w:after="0"/>
              <w:rPr>
                <w:sz w:val="14"/>
                <w:szCs w:val="14"/>
                <w:color w:val="auto"/>
              </w:rPr>
            </w:pPr>
          </w:p>
        </w:tc>
        <w:tc>
          <w:tcPr>
            <w:tcW w:w="72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0"/>
              </w:rPr>
              <w:t>Adjustment</w:t>
            </w:r>
          </w:p>
        </w:tc>
        <w:tc>
          <w:tcPr>
            <w:tcW w:w="740" w:type="dxa"/>
            <w:vAlign w:val="bottom"/>
            <w:tcBorders>
              <w:bottom w:val="single" w:sz="8" w:color="CCEEFF"/>
            </w:tcBorders>
          </w:tcPr>
          <w:p>
            <w:pPr>
              <w:spacing w:after="0"/>
              <w:rPr>
                <w:sz w:val="14"/>
                <w:szCs w:val="14"/>
                <w:color w:val="auto"/>
              </w:rPr>
            </w:pPr>
          </w:p>
        </w:tc>
        <w:tc>
          <w:tcPr>
            <w:tcW w:w="7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Corp.</w:t>
            </w:r>
          </w:p>
        </w:tc>
        <w:tc>
          <w:tcPr>
            <w:tcW w:w="0" w:type="dxa"/>
            <w:vAlign w:val="bottom"/>
          </w:tcPr>
          <w:p>
            <w:pPr>
              <w:spacing w:after="0"/>
              <w:rPr>
                <w:sz w:val="1"/>
                <w:szCs w:val="1"/>
                <w:color w:val="auto"/>
              </w:rPr>
            </w:pPr>
          </w:p>
        </w:tc>
      </w:tr>
      <w:tr>
        <w:trPr>
          <w:trHeight w:val="183"/>
        </w:trPr>
        <w:tc>
          <w:tcPr>
            <w:tcW w:w="4700" w:type="dxa"/>
            <w:vAlign w:val="bottom"/>
            <w:shd w:val="clear" w:color="auto" w:fill="CCEEFF"/>
          </w:tcPr>
          <w:p>
            <w:pPr>
              <w:spacing w:after="0" w:line="183" w:lineRule="exact"/>
              <w:rPr>
                <w:sz w:val="20"/>
                <w:szCs w:val="20"/>
                <w:color w:val="auto"/>
              </w:rPr>
            </w:pPr>
            <w:r>
              <w:rPr>
                <w:rFonts w:ascii="Arial" w:cs="Arial" w:eastAsia="Arial" w:hAnsi="Arial"/>
                <w:sz w:val="17"/>
                <w:szCs w:val="17"/>
                <w:color w:val="auto"/>
              </w:rPr>
              <w:t>($ in thousands, except per share data)</w:t>
            </w:r>
          </w:p>
        </w:tc>
        <w:tc>
          <w:tcPr>
            <w:tcW w:w="50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4700" w:type="dxa"/>
            <w:vAlign w:val="bottom"/>
          </w:tcPr>
          <w:p>
            <w:pPr>
              <w:spacing w:after="0"/>
              <w:rPr>
                <w:sz w:val="20"/>
                <w:szCs w:val="20"/>
                <w:color w:val="auto"/>
              </w:rPr>
            </w:pPr>
            <w:r>
              <w:rPr>
                <w:rFonts w:ascii="Arial" w:cs="Arial" w:eastAsia="Arial" w:hAnsi="Arial"/>
                <w:sz w:val="17"/>
                <w:szCs w:val="17"/>
                <w:b w:val="1"/>
                <w:bCs w:val="1"/>
                <w:color w:val="auto"/>
              </w:rPr>
              <w:t>Revenue</w:t>
            </w:r>
          </w:p>
        </w:tc>
        <w:tc>
          <w:tcPr>
            <w:tcW w:w="1160" w:type="dxa"/>
            <w:vAlign w:val="bottom"/>
            <w:gridSpan w:val="2"/>
          </w:tcPr>
          <w:p>
            <w:pPr>
              <w:jc w:val="right"/>
              <w:ind w:right="508"/>
              <w:spacing w:after="0"/>
              <w:rPr>
                <w:sz w:val="20"/>
                <w:szCs w:val="20"/>
                <w:color w:val="auto"/>
              </w:rPr>
            </w:pPr>
            <w:r>
              <w:rPr>
                <w:rFonts w:ascii="Arial" w:cs="Arial" w:eastAsia="Arial" w:hAnsi="Arial"/>
                <w:sz w:val="17"/>
                <w:szCs w:val="17"/>
                <w:color w:val="auto"/>
              </w:rPr>
              <w:t>$</w:t>
            </w:r>
          </w:p>
        </w:tc>
        <w:tc>
          <w:tcPr>
            <w:tcW w:w="540" w:type="dxa"/>
            <w:vAlign w:val="bottom"/>
            <w:gridSpan w:val="2"/>
          </w:tcPr>
          <w:p>
            <w:pPr>
              <w:ind w:left="220"/>
              <w:spacing w:after="0"/>
              <w:rPr>
                <w:sz w:val="20"/>
                <w:szCs w:val="20"/>
                <w:color w:val="auto"/>
              </w:rPr>
            </w:pPr>
            <w:r>
              <w:rPr>
                <w:rFonts w:ascii="Arial" w:cs="Arial" w:eastAsia="Arial" w:hAnsi="Arial"/>
                <w:sz w:val="17"/>
                <w:szCs w:val="17"/>
                <w:color w:val="auto"/>
              </w:rPr>
              <w:t>$</w:t>
            </w:r>
          </w:p>
        </w:tc>
        <w:tc>
          <w:tcPr>
            <w:tcW w:w="480" w:type="dxa"/>
            <w:vAlign w:val="bottom"/>
          </w:tcPr>
          <w:p>
            <w:pPr>
              <w:ind w:left="220"/>
              <w:spacing w:after="0"/>
              <w:rPr>
                <w:sz w:val="20"/>
                <w:szCs w:val="20"/>
                <w:color w:val="auto"/>
              </w:rPr>
            </w:pPr>
            <w:r>
              <w:rPr>
                <w:rFonts w:ascii="Arial" w:cs="Arial" w:eastAsia="Arial" w:hAnsi="Arial"/>
                <w:sz w:val="17"/>
                <w:szCs w:val="17"/>
                <w:color w:val="auto"/>
              </w:rPr>
              <w:t>—</w:t>
            </w:r>
          </w:p>
        </w:tc>
        <w:tc>
          <w:tcPr>
            <w:tcW w:w="1800" w:type="dxa"/>
            <w:vAlign w:val="bottom"/>
            <w:gridSpan w:val="2"/>
          </w:tcPr>
          <w:p>
            <w:pPr>
              <w:ind w:left="720"/>
              <w:spacing w:after="0"/>
              <w:rPr>
                <w:sz w:val="20"/>
                <w:szCs w:val="20"/>
                <w:color w:val="auto"/>
              </w:rPr>
            </w:pPr>
            <w:r>
              <w:rPr>
                <w:rFonts w:ascii="Arial" w:cs="Arial" w:eastAsia="Arial" w:hAnsi="Arial"/>
                <w:sz w:val="17"/>
                <w:szCs w:val="17"/>
                <w:color w:val="auto"/>
              </w:rPr>
              <w:t>$</w:t>
            </w:r>
          </w:p>
        </w:tc>
        <w:tc>
          <w:tcPr>
            <w:tcW w:w="900" w:type="dxa"/>
            <w:vAlign w:val="bottom"/>
            <w:gridSpan w:val="2"/>
          </w:tcPr>
          <w:p>
            <w:pPr>
              <w:ind w:left="180"/>
              <w:spacing w:after="0"/>
              <w:rPr>
                <w:sz w:val="20"/>
                <w:szCs w:val="20"/>
                <w:color w:val="auto"/>
              </w:rPr>
            </w:pPr>
            <w:r>
              <w:rPr>
                <w:rFonts w:ascii="Arial" w:cs="Arial" w:eastAsia="Arial" w:hAnsi="Arial"/>
                <w:sz w:val="17"/>
                <w:szCs w:val="17"/>
                <w:color w:val="auto"/>
              </w:rPr>
              <w:t>$</w:t>
            </w:r>
          </w:p>
        </w:tc>
        <w:tc>
          <w:tcPr>
            <w:tcW w:w="1440" w:type="dxa"/>
            <w:vAlign w:val="bottom"/>
            <w:gridSpan w:val="2"/>
          </w:tcPr>
          <w:p>
            <w:pPr>
              <w:ind w:left="74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3"/>
        </w:trPr>
        <w:tc>
          <w:tcPr>
            <w:tcW w:w="4700" w:type="dxa"/>
            <w:vAlign w:val="bottom"/>
            <w:shd w:val="clear" w:color="auto" w:fill="CCEEFF"/>
          </w:tcPr>
          <w:p>
            <w:pPr>
              <w:spacing w:after="0"/>
              <w:rPr>
                <w:sz w:val="20"/>
                <w:szCs w:val="20"/>
                <w:color w:val="auto"/>
              </w:rPr>
            </w:pPr>
            <w:r>
              <w:rPr>
                <w:rFonts w:ascii="Arial" w:cs="Arial" w:eastAsia="Arial" w:hAnsi="Arial"/>
                <w:sz w:val="17"/>
                <w:szCs w:val="17"/>
                <w:color w:val="auto"/>
              </w:rPr>
              <w:t>Cost of revenue:</w:t>
            </w:r>
          </w:p>
        </w:tc>
        <w:tc>
          <w:tcPr>
            <w:tcW w:w="5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700" w:type="dxa"/>
            <w:vAlign w:val="bottom"/>
          </w:tcPr>
          <w:p>
            <w:pPr>
              <w:ind w:left="340"/>
              <w:spacing w:after="0"/>
              <w:rPr>
                <w:sz w:val="20"/>
                <w:szCs w:val="20"/>
                <w:color w:val="auto"/>
              </w:rPr>
            </w:pPr>
            <w:r>
              <w:rPr>
                <w:rFonts w:ascii="Arial" w:cs="Arial" w:eastAsia="Arial" w:hAnsi="Arial"/>
                <w:sz w:val="17"/>
                <w:szCs w:val="17"/>
                <w:color w:val="auto"/>
              </w:rPr>
              <w:t>Cost of revenue exclusive of amortization shown below</w:t>
            </w:r>
          </w:p>
        </w:tc>
        <w:tc>
          <w:tcPr>
            <w:tcW w:w="5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80" w:type="dxa"/>
            <w:vAlign w:val="bottom"/>
          </w:tcPr>
          <w:p>
            <w:pPr>
              <w:ind w:left="220"/>
              <w:spacing w:after="0"/>
              <w:rPr>
                <w:sz w:val="20"/>
                <w:szCs w:val="20"/>
                <w:color w:val="auto"/>
              </w:rPr>
            </w:pPr>
            <w:r>
              <w:rPr>
                <w:rFonts w:ascii="Arial" w:cs="Arial" w:eastAsia="Arial" w:hAnsi="Arial"/>
                <w:sz w:val="17"/>
                <w:szCs w:val="17"/>
                <w:color w:val="auto"/>
              </w:rPr>
              <w:t>—</w:t>
            </w:r>
          </w:p>
        </w:tc>
        <w:tc>
          <w:tcPr>
            <w:tcW w:w="7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700" w:type="dxa"/>
            <w:vAlign w:val="bottom"/>
            <w:shd w:val="clear" w:color="auto" w:fill="CCEEFF"/>
          </w:tcPr>
          <w:p>
            <w:pPr>
              <w:ind w:left="340"/>
              <w:spacing w:after="0"/>
              <w:rPr>
                <w:sz w:val="20"/>
                <w:szCs w:val="20"/>
                <w:color w:val="auto"/>
              </w:rPr>
            </w:pPr>
            <w:r>
              <w:rPr>
                <w:rFonts w:ascii="Arial" w:cs="Arial" w:eastAsia="Arial" w:hAnsi="Arial"/>
                <w:sz w:val="17"/>
                <w:szCs w:val="17"/>
                <w:color w:val="auto"/>
              </w:rPr>
              <w:t>Amortization</w:t>
            </w:r>
          </w:p>
        </w:tc>
        <w:tc>
          <w:tcPr>
            <w:tcW w:w="500" w:type="dxa"/>
            <w:vAlign w:val="bottom"/>
            <w:shd w:val="clear" w:color="auto" w:fill="CCEEFF"/>
          </w:tcPr>
          <w:p>
            <w:pPr>
              <w:spacing w:after="0"/>
              <w:rPr>
                <w:sz w:val="17"/>
                <w:szCs w:val="17"/>
                <w:color w:val="auto"/>
              </w:rPr>
            </w:pPr>
          </w:p>
        </w:tc>
        <w:tc>
          <w:tcPr>
            <w:tcW w:w="660" w:type="dxa"/>
            <w:vAlign w:val="bottom"/>
            <w:tcBorders>
              <w:bottom w:val="single" w:sz="8" w:color="auto"/>
            </w:tcBorders>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320" w:type="dxa"/>
            <w:vAlign w:val="bottom"/>
            <w:tcBorders>
              <w:bottom w:val="single" w:sz="8" w:color="auto"/>
            </w:tcBorders>
            <w:shd w:val="clear" w:color="auto" w:fill="CCEEFF"/>
          </w:tcPr>
          <w:p>
            <w:pPr>
              <w:spacing w:after="0"/>
              <w:rPr>
                <w:sz w:val="17"/>
                <w:szCs w:val="17"/>
                <w:color w:val="auto"/>
              </w:rPr>
            </w:pPr>
          </w:p>
        </w:tc>
        <w:tc>
          <w:tcPr>
            <w:tcW w:w="480" w:type="dxa"/>
            <w:vAlign w:val="bottom"/>
            <w:tcBorders>
              <w:bottom w:val="single" w:sz="8" w:color="auto"/>
            </w:tcBorders>
            <w:shd w:val="clear" w:color="auto" w:fill="CCEEFF"/>
          </w:tcPr>
          <w:p>
            <w:pPr>
              <w:ind w:left="220"/>
              <w:spacing w:after="0"/>
              <w:rPr>
                <w:sz w:val="20"/>
                <w:szCs w:val="20"/>
                <w:color w:val="auto"/>
              </w:rPr>
            </w:pPr>
            <w:r>
              <w:rPr>
                <w:rFonts w:ascii="Arial" w:cs="Arial" w:eastAsia="Arial" w:hAnsi="Arial"/>
                <w:sz w:val="17"/>
                <w:szCs w:val="17"/>
                <w:color w:val="auto"/>
              </w:rPr>
              <w:t>—</w:t>
            </w:r>
          </w:p>
        </w:tc>
        <w:tc>
          <w:tcPr>
            <w:tcW w:w="720" w:type="dxa"/>
            <w:vAlign w:val="bottom"/>
            <w:shd w:val="clear" w:color="auto" w:fill="CCEEFF"/>
          </w:tcPr>
          <w:p>
            <w:pPr>
              <w:spacing w:after="0"/>
              <w:rPr>
                <w:sz w:val="17"/>
                <w:szCs w:val="17"/>
                <w:color w:val="auto"/>
              </w:rPr>
            </w:pPr>
          </w:p>
        </w:tc>
        <w:tc>
          <w:tcPr>
            <w:tcW w:w="1080" w:type="dxa"/>
            <w:vAlign w:val="bottom"/>
            <w:tcBorders>
              <w:bottom w:val="single" w:sz="8" w:color="auto"/>
            </w:tcBorders>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20" w:type="dxa"/>
            <w:vAlign w:val="bottom"/>
            <w:tcBorders>
              <w:bottom w:val="single" w:sz="8" w:color="auto"/>
            </w:tcBorders>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700" w:type="dxa"/>
            <w:vAlign w:val="bottom"/>
            <w:tcBorders>
              <w:bottom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8"/>
        </w:trPr>
        <w:tc>
          <w:tcPr>
            <w:tcW w:w="4700" w:type="dxa"/>
            <w:vAlign w:val="bottom"/>
          </w:tcPr>
          <w:p>
            <w:pPr>
              <w:ind w:left="680"/>
              <w:spacing w:after="0"/>
              <w:rPr>
                <w:sz w:val="20"/>
                <w:szCs w:val="20"/>
                <w:color w:val="auto"/>
              </w:rPr>
            </w:pPr>
            <w:r>
              <w:rPr>
                <w:rFonts w:ascii="Arial" w:cs="Arial" w:eastAsia="Arial" w:hAnsi="Arial"/>
                <w:sz w:val="17"/>
                <w:szCs w:val="17"/>
                <w:color w:val="auto"/>
              </w:rPr>
              <w:t>Gross Profit</w:t>
            </w:r>
          </w:p>
        </w:tc>
        <w:tc>
          <w:tcPr>
            <w:tcW w:w="5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4"/>
        </w:trPr>
        <w:tc>
          <w:tcPr>
            <w:tcW w:w="4700" w:type="dxa"/>
            <w:vAlign w:val="bottom"/>
            <w:shd w:val="clear" w:color="auto" w:fill="CCEEFF"/>
          </w:tcPr>
          <w:p>
            <w:pPr>
              <w:spacing w:after="0"/>
              <w:rPr>
                <w:sz w:val="20"/>
                <w:szCs w:val="20"/>
                <w:color w:val="auto"/>
              </w:rPr>
            </w:pPr>
            <w:r>
              <w:rPr>
                <w:rFonts w:ascii="Arial" w:cs="Arial" w:eastAsia="Arial" w:hAnsi="Arial"/>
                <w:sz w:val="17"/>
                <w:szCs w:val="17"/>
                <w:color w:val="auto"/>
              </w:rPr>
              <w:t>Operating Expenses:</w:t>
            </w:r>
          </w:p>
        </w:tc>
        <w:tc>
          <w:tcPr>
            <w:tcW w:w="5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480" w:type="dxa"/>
            <w:vAlign w:val="bottom"/>
            <w:shd w:val="clear" w:color="auto" w:fill="CCEEFF"/>
          </w:tcPr>
          <w:p>
            <w:pPr>
              <w:ind w:left="220"/>
              <w:spacing w:after="0"/>
              <w:rPr>
                <w:sz w:val="20"/>
                <w:szCs w:val="20"/>
                <w:color w:val="auto"/>
              </w:rPr>
            </w:pPr>
            <w:r>
              <w:rPr>
                <w:rFonts w:ascii="Arial" w:cs="Arial" w:eastAsia="Arial" w:hAnsi="Arial"/>
                <w:sz w:val="17"/>
                <w:szCs w:val="17"/>
                <w:color w:val="auto"/>
              </w:rPr>
              <w:t>—</w:t>
            </w:r>
          </w:p>
        </w:tc>
        <w:tc>
          <w:tcPr>
            <w:tcW w:w="72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700" w:type="dxa"/>
            <w:vAlign w:val="bottom"/>
          </w:tcPr>
          <w:p>
            <w:pPr>
              <w:ind w:left="340"/>
              <w:spacing w:after="0"/>
              <w:rPr>
                <w:sz w:val="20"/>
                <w:szCs w:val="20"/>
                <w:color w:val="auto"/>
              </w:rPr>
            </w:pPr>
            <w:r>
              <w:rPr>
                <w:rFonts w:ascii="Arial" w:cs="Arial" w:eastAsia="Arial" w:hAnsi="Arial"/>
                <w:sz w:val="17"/>
                <w:szCs w:val="17"/>
                <w:color w:val="auto"/>
              </w:rPr>
              <w:t>Sales and marketing</w:t>
            </w:r>
          </w:p>
        </w:tc>
        <w:tc>
          <w:tcPr>
            <w:tcW w:w="5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80" w:type="dxa"/>
            <w:vAlign w:val="bottom"/>
          </w:tcPr>
          <w:p>
            <w:pPr>
              <w:ind w:left="220"/>
              <w:spacing w:after="0"/>
              <w:rPr>
                <w:sz w:val="20"/>
                <w:szCs w:val="20"/>
                <w:color w:val="auto"/>
              </w:rPr>
            </w:pPr>
            <w:r>
              <w:rPr>
                <w:rFonts w:ascii="Arial" w:cs="Arial" w:eastAsia="Arial" w:hAnsi="Arial"/>
                <w:sz w:val="17"/>
                <w:szCs w:val="17"/>
                <w:color w:val="auto"/>
              </w:rPr>
              <w:t>—</w:t>
            </w:r>
          </w:p>
        </w:tc>
        <w:tc>
          <w:tcPr>
            <w:tcW w:w="7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700" w:type="dxa"/>
            <w:vAlign w:val="bottom"/>
            <w:shd w:val="clear" w:color="auto" w:fill="CCEEFF"/>
          </w:tcPr>
          <w:p>
            <w:pPr>
              <w:ind w:left="340"/>
              <w:spacing w:after="0"/>
              <w:rPr>
                <w:sz w:val="20"/>
                <w:szCs w:val="20"/>
                <w:color w:val="auto"/>
              </w:rPr>
            </w:pPr>
            <w:r>
              <w:rPr>
                <w:rFonts w:ascii="Arial" w:cs="Arial" w:eastAsia="Arial" w:hAnsi="Arial"/>
                <w:sz w:val="17"/>
                <w:szCs w:val="17"/>
                <w:color w:val="auto"/>
              </w:rPr>
              <w:t>Product development</w:t>
            </w:r>
          </w:p>
        </w:tc>
        <w:tc>
          <w:tcPr>
            <w:tcW w:w="5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480" w:type="dxa"/>
            <w:vAlign w:val="bottom"/>
            <w:shd w:val="clear" w:color="auto" w:fill="CCEEFF"/>
          </w:tcPr>
          <w:p>
            <w:pPr>
              <w:ind w:left="220"/>
              <w:spacing w:after="0"/>
              <w:rPr>
                <w:sz w:val="20"/>
                <w:szCs w:val="20"/>
                <w:color w:val="auto"/>
              </w:rPr>
            </w:pPr>
            <w:r>
              <w:rPr>
                <w:rFonts w:ascii="Arial" w:cs="Arial" w:eastAsia="Arial" w:hAnsi="Arial"/>
                <w:sz w:val="17"/>
                <w:szCs w:val="17"/>
                <w:color w:val="auto"/>
              </w:rPr>
              <w:t>—</w:t>
            </w:r>
          </w:p>
        </w:tc>
        <w:tc>
          <w:tcPr>
            <w:tcW w:w="72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700" w:type="dxa"/>
            <w:vAlign w:val="bottom"/>
          </w:tcPr>
          <w:p>
            <w:pPr>
              <w:ind w:left="340"/>
              <w:spacing w:after="0"/>
              <w:rPr>
                <w:sz w:val="20"/>
                <w:szCs w:val="20"/>
                <w:color w:val="auto"/>
              </w:rPr>
            </w:pPr>
            <w:r>
              <w:rPr>
                <w:rFonts w:ascii="Arial" w:cs="Arial" w:eastAsia="Arial" w:hAnsi="Arial"/>
                <w:sz w:val="17"/>
                <w:szCs w:val="17"/>
                <w:color w:val="auto"/>
              </w:rPr>
              <w:t>General and administrative</w:t>
            </w:r>
          </w:p>
        </w:tc>
        <w:tc>
          <w:tcPr>
            <w:tcW w:w="5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80" w:type="dxa"/>
            <w:vAlign w:val="bottom"/>
          </w:tcPr>
          <w:p>
            <w:pPr>
              <w:ind w:left="220"/>
              <w:spacing w:after="0"/>
              <w:rPr>
                <w:sz w:val="20"/>
                <w:szCs w:val="20"/>
                <w:color w:val="auto"/>
              </w:rPr>
            </w:pPr>
            <w:r>
              <w:rPr>
                <w:rFonts w:ascii="Arial" w:cs="Arial" w:eastAsia="Arial" w:hAnsi="Arial"/>
                <w:sz w:val="17"/>
                <w:szCs w:val="17"/>
                <w:color w:val="auto"/>
              </w:rPr>
              <w:t>—</w:t>
            </w:r>
          </w:p>
        </w:tc>
        <w:tc>
          <w:tcPr>
            <w:tcW w:w="7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700" w:type="dxa"/>
            <w:vAlign w:val="bottom"/>
            <w:shd w:val="clear" w:color="auto" w:fill="CCEEFF"/>
          </w:tcPr>
          <w:p>
            <w:pPr>
              <w:ind w:left="340"/>
              <w:spacing w:after="0"/>
              <w:rPr>
                <w:sz w:val="20"/>
                <w:szCs w:val="20"/>
                <w:color w:val="auto"/>
              </w:rPr>
            </w:pPr>
            <w:r>
              <w:rPr>
                <w:rFonts w:ascii="Arial" w:cs="Arial" w:eastAsia="Arial" w:hAnsi="Arial"/>
                <w:sz w:val="17"/>
                <w:szCs w:val="17"/>
                <w:color w:val="auto"/>
              </w:rPr>
              <w:t>Depreciation and amortization</w:t>
            </w:r>
          </w:p>
        </w:tc>
        <w:tc>
          <w:tcPr>
            <w:tcW w:w="5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480" w:type="dxa"/>
            <w:vAlign w:val="bottom"/>
            <w:shd w:val="clear" w:color="auto" w:fill="CCEEFF"/>
          </w:tcPr>
          <w:p>
            <w:pPr>
              <w:ind w:left="220"/>
              <w:spacing w:after="0"/>
              <w:rPr>
                <w:sz w:val="20"/>
                <w:szCs w:val="20"/>
                <w:color w:val="auto"/>
              </w:rPr>
            </w:pPr>
            <w:r>
              <w:rPr>
                <w:rFonts w:ascii="Arial" w:cs="Arial" w:eastAsia="Arial" w:hAnsi="Arial"/>
                <w:sz w:val="17"/>
                <w:szCs w:val="17"/>
                <w:color w:val="auto"/>
              </w:rPr>
              <w:t>—</w:t>
            </w:r>
          </w:p>
        </w:tc>
        <w:tc>
          <w:tcPr>
            <w:tcW w:w="72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4700" w:type="dxa"/>
            <w:vAlign w:val="bottom"/>
          </w:tcPr>
          <w:p>
            <w:pPr>
              <w:ind w:left="340"/>
              <w:spacing w:after="0"/>
              <w:rPr>
                <w:sz w:val="20"/>
                <w:szCs w:val="20"/>
                <w:color w:val="auto"/>
              </w:rPr>
            </w:pPr>
            <w:r>
              <w:rPr>
                <w:rFonts w:ascii="Arial" w:cs="Arial" w:eastAsia="Arial" w:hAnsi="Arial"/>
                <w:sz w:val="17"/>
                <w:szCs w:val="17"/>
                <w:color w:val="auto"/>
              </w:rPr>
              <w:t>Transaction expenses</w:t>
            </w:r>
          </w:p>
        </w:tc>
        <w:tc>
          <w:tcPr>
            <w:tcW w:w="500" w:type="dxa"/>
            <w:vAlign w:val="bottom"/>
          </w:tcPr>
          <w:p>
            <w:pPr>
              <w:spacing w:after="0"/>
              <w:rPr>
                <w:sz w:val="18"/>
                <w:szCs w:val="18"/>
                <w:color w:val="auto"/>
              </w:rPr>
            </w:pPr>
          </w:p>
        </w:tc>
        <w:tc>
          <w:tcPr>
            <w:tcW w:w="660" w:type="dxa"/>
            <w:vAlign w:val="bottom"/>
            <w:tcBorders>
              <w:bottom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480" w:type="dxa"/>
            <w:vAlign w:val="bottom"/>
            <w:tcBorders>
              <w:bottom w:val="single" w:sz="8" w:color="auto"/>
            </w:tcBorders>
          </w:tcPr>
          <w:p>
            <w:pPr>
              <w:ind w:left="220"/>
              <w:spacing w:after="0"/>
              <w:rPr>
                <w:sz w:val="20"/>
                <w:szCs w:val="20"/>
                <w:color w:val="auto"/>
              </w:rPr>
            </w:pPr>
            <w:r>
              <w:rPr>
                <w:rFonts w:ascii="Arial" w:cs="Arial" w:eastAsia="Arial" w:hAnsi="Arial"/>
                <w:sz w:val="17"/>
                <w:szCs w:val="17"/>
                <w:color w:val="auto"/>
              </w:rPr>
              <w:t>—</w:t>
            </w:r>
          </w:p>
        </w:tc>
        <w:tc>
          <w:tcPr>
            <w:tcW w:w="720" w:type="dxa"/>
            <w:vAlign w:val="bottom"/>
          </w:tcPr>
          <w:p>
            <w:pPr>
              <w:spacing w:after="0"/>
              <w:rPr>
                <w:sz w:val="18"/>
                <w:szCs w:val="18"/>
                <w:color w:val="auto"/>
              </w:rPr>
            </w:pPr>
          </w:p>
        </w:tc>
        <w:tc>
          <w:tcPr>
            <w:tcW w:w="1080" w:type="dxa"/>
            <w:vAlign w:val="bottom"/>
            <w:tcBorders>
              <w:bottom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Borders>
              <w:bottom w:val="single" w:sz="8" w:color="auto"/>
            </w:tcBorders>
          </w:tcPr>
          <w:p>
            <w:pPr>
              <w:spacing w:after="0"/>
              <w:rPr>
                <w:sz w:val="18"/>
                <w:szCs w:val="18"/>
                <w:color w:val="auto"/>
              </w:rPr>
            </w:pPr>
          </w:p>
        </w:tc>
        <w:tc>
          <w:tcPr>
            <w:tcW w:w="740" w:type="dxa"/>
            <w:vAlign w:val="bottom"/>
          </w:tcPr>
          <w:p>
            <w:pPr>
              <w:jc w:val="right"/>
              <w:ind w:right="155"/>
              <w:spacing w:after="0"/>
              <w:rPr>
                <w:sz w:val="20"/>
                <w:szCs w:val="20"/>
                <w:color w:val="auto"/>
              </w:rPr>
            </w:pPr>
            <w:r>
              <w:rPr>
                <w:rFonts w:ascii="Arial" w:cs="Arial" w:eastAsia="Arial" w:hAnsi="Arial"/>
                <w:sz w:val="17"/>
                <w:szCs w:val="17"/>
                <w:color w:val="auto"/>
              </w:rPr>
              <w:t>(4)</w:t>
            </w:r>
          </w:p>
        </w:tc>
        <w:tc>
          <w:tcPr>
            <w:tcW w:w="70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4700" w:type="dxa"/>
            <w:vAlign w:val="bottom"/>
            <w:shd w:val="clear" w:color="auto" w:fill="CCEEFF"/>
          </w:tcPr>
          <w:p>
            <w:pPr>
              <w:ind w:left="680"/>
              <w:spacing w:after="0"/>
              <w:rPr>
                <w:sz w:val="20"/>
                <w:szCs w:val="20"/>
                <w:color w:val="auto"/>
              </w:rPr>
            </w:pPr>
            <w:r>
              <w:rPr>
                <w:rFonts w:ascii="Arial" w:cs="Arial" w:eastAsia="Arial" w:hAnsi="Arial"/>
                <w:sz w:val="17"/>
                <w:szCs w:val="17"/>
                <w:b w:val="1"/>
                <w:bCs w:val="1"/>
                <w:color w:val="auto"/>
              </w:rPr>
              <w:t>Total operating expenses</w:t>
            </w:r>
          </w:p>
        </w:tc>
        <w:tc>
          <w:tcPr>
            <w:tcW w:w="5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480" w:type="dxa"/>
            <w:vAlign w:val="bottom"/>
            <w:shd w:val="clear" w:color="auto" w:fill="CCEEFF"/>
          </w:tcPr>
          <w:p>
            <w:pPr>
              <w:ind w:left="220"/>
              <w:spacing w:after="0"/>
              <w:rPr>
                <w:sz w:val="20"/>
                <w:szCs w:val="20"/>
                <w:color w:val="auto"/>
              </w:rPr>
            </w:pPr>
            <w:r>
              <w:rPr>
                <w:rFonts w:ascii="Arial" w:cs="Arial" w:eastAsia="Arial" w:hAnsi="Arial"/>
                <w:sz w:val="17"/>
                <w:szCs w:val="17"/>
                <w:color w:val="auto"/>
              </w:rPr>
              <w:t>—</w:t>
            </w:r>
          </w:p>
        </w:tc>
        <w:tc>
          <w:tcPr>
            <w:tcW w:w="72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700" w:type="dxa"/>
            <w:vAlign w:val="bottom"/>
          </w:tcPr>
          <w:p>
            <w:pPr>
              <w:ind w:left="1020"/>
              <w:spacing w:after="0"/>
              <w:rPr>
                <w:sz w:val="20"/>
                <w:szCs w:val="20"/>
                <w:color w:val="auto"/>
              </w:rPr>
            </w:pPr>
            <w:r>
              <w:rPr>
                <w:rFonts w:ascii="Arial" w:cs="Arial" w:eastAsia="Arial" w:hAnsi="Arial"/>
                <w:sz w:val="17"/>
                <w:szCs w:val="17"/>
                <w:color w:val="auto"/>
              </w:rPr>
              <w:t>(Loss) income from operations</w:t>
            </w:r>
          </w:p>
        </w:tc>
        <w:tc>
          <w:tcPr>
            <w:tcW w:w="5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80" w:type="dxa"/>
            <w:vAlign w:val="bottom"/>
          </w:tcPr>
          <w:p>
            <w:pPr>
              <w:ind w:left="220"/>
              <w:spacing w:after="0"/>
              <w:rPr>
                <w:sz w:val="20"/>
                <w:szCs w:val="20"/>
                <w:color w:val="auto"/>
              </w:rPr>
            </w:pPr>
            <w:r>
              <w:rPr>
                <w:rFonts w:ascii="Arial" w:cs="Arial" w:eastAsia="Arial" w:hAnsi="Arial"/>
                <w:sz w:val="17"/>
                <w:szCs w:val="17"/>
                <w:color w:val="auto"/>
              </w:rPr>
              <w:t>—</w:t>
            </w:r>
          </w:p>
        </w:tc>
        <w:tc>
          <w:tcPr>
            <w:tcW w:w="7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700" w:type="dxa"/>
            <w:vAlign w:val="bottom"/>
            <w:shd w:val="clear" w:color="auto" w:fill="CCEEFF"/>
          </w:tcPr>
          <w:p>
            <w:pPr>
              <w:spacing w:after="0"/>
              <w:rPr>
                <w:sz w:val="20"/>
                <w:szCs w:val="20"/>
                <w:color w:val="auto"/>
              </w:rPr>
            </w:pPr>
            <w:r>
              <w:rPr>
                <w:rFonts w:ascii="Arial" w:cs="Arial" w:eastAsia="Arial" w:hAnsi="Arial"/>
                <w:sz w:val="17"/>
                <w:szCs w:val="17"/>
                <w:color w:val="auto"/>
              </w:rPr>
              <w:t>Other expense, net:</w:t>
            </w:r>
          </w:p>
        </w:tc>
        <w:tc>
          <w:tcPr>
            <w:tcW w:w="5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700" w:type="dxa"/>
            <w:vAlign w:val="bottom"/>
          </w:tcPr>
          <w:p>
            <w:pPr>
              <w:ind w:left="340"/>
              <w:spacing w:after="0"/>
              <w:rPr>
                <w:sz w:val="20"/>
                <w:szCs w:val="20"/>
                <w:color w:val="auto"/>
              </w:rPr>
            </w:pPr>
            <w:r>
              <w:rPr>
                <w:rFonts w:ascii="Arial" w:cs="Arial" w:eastAsia="Arial" w:hAnsi="Arial"/>
                <w:sz w:val="17"/>
                <w:szCs w:val="17"/>
                <w:color w:val="auto"/>
              </w:rPr>
              <w:t>Foreign currency transactions loss</w:t>
            </w:r>
          </w:p>
        </w:tc>
        <w:tc>
          <w:tcPr>
            <w:tcW w:w="5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80" w:type="dxa"/>
            <w:vAlign w:val="bottom"/>
          </w:tcPr>
          <w:p>
            <w:pPr>
              <w:ind w:left="220"/>
              <w:spacing w:after="0"/>
              <w:rPr>
                <w:sz w:val="20"/>
                <w:szCs w:val="20"/>
                <w:color w:val="auto"/>
              </w:rPr>
            </w:pPr>
            <w:r>
              <w:rPr>
                <w:rFonts w:ascii="Arial" w:cs="Arial" w:eastAsia="Arial" w:hAnsi="Arial"/>
                <w:sz w:val="17"/>
                <w:szCs w:val="17"/>
                <w:color w:val="auto"/>
              </w:rPr>
              <w:t>—</w:t>
            </w:r>
          </w:p>
        </w:tc>
        <w:tc>
          <w:tcPr>
            <w:tcW w:w="7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700" w:type="dxa"/>
            <w:vAlign w:val="bottom"/>
            <w:shd w:val="clear" w:color="auto" w:fill="CCEEFF"/>
          </w:tcPr>
          <w:p>
            <w:pPr>
              <w:ind w:left="340"/>
              <w:spacing w:after="0"/>
              <w:rPr>
                <w:sz w:val="20"/>
                <w:szCs w:val="20"/>
                <w:color w:val="auto"/>
              </w:rPr>
            </w:pPr>
            <w:r>
              <w:rPr>
                <w:rFonts w:ascii="Arial" w:cs="Arial" w:eastAsia="Arial" w:hAnsi="Arial"/>
                <w:sz w:val="17"/>
                <w:szCs w:val="17"/>
                <w:color w:val="auto"/>
              </w:rPr>
              <w:t>Interest expense, net</w:t>
            </w:r>
          </w:p>
        </w:tc>
        <w:tc>
          <w:tcPr>
            <w:tcW w:w="500" w:type="dxa"/>
            <w:vAlign w:val="bottom"/>
            <w:shd w:val="clear" w:color="auto" w:fill="CCEEFF"/>
          </w:tcPr>
          <w:p>
            <w:pPr>
              <w:spacing w:after="0"/>
              <w:rPr>
                <w:sz w:val="17"/>
                <w:szCs w:val="17"/>
                <w:color w:val="auto"/>
              </w:rPr>
            </w:pPr>
          </w:p>
        </w:tc>
        <w:tc>
          <w:tcPr>
            <w:tcW w:w="660" w:type="dxa"/>
            <w:vAlign w:val="bottom"/>
            <w:tcBorders>
              <w:bottom w:val="single" w:sz="8" w:color="auto"/>
            </w:tcBorders>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320" w:type="dxa"/>
            <w:vAlign w:val="bottom"/>
            <w:tcBorders>
              <w:bottom w:val="single" w:sz="8" w:color="auto"/>
            </w:tcBorders>
            <w:shd w:val="clear" w:color="auto" w:fill="CCEEFF"/>
          </w:tcPr>
          <w:p>
            <w:pPr>
              <w:spacing w:after="0"/>
              <w:rPr>
                <w:sz w:val="17"/>
                <w:szCs w:val="17"/>
                <w:color w:val="auto"/>
              </w:rPr>
            </w:pPr>
          </w:p>
        </w:tc>
        <w:tc>
          <w:tcPr>
            <w:tcW w:w="480" w:type="dxa"/>
            <w:vAlign w:val="bottom"/>
            <w:tcBorders>
              <w:bottom w:val="single" w:sz="8" w:color="auto"/>
            </w:tcBorders>
            <w:shd w:val="clear" w:color="auto" w:fill="CCEEFF"/>
          </w:tcPr>
          <w:p>
            <w:pPr>
              <w:ind w:left="220"/>
              <w:spacing w:after="0"/>
              <w:rPr>
                <w:sz w:val="20"/>
                <w:szCs w:val="20"/>
                <w:color w:val="auto"/>
              </w:rPr>
            </w:pPr>
            <w:r>
              <w:rPr>
                <w:rFonts w:ascii="Arial" w:cs="Arial" w:eastAsia="Arial" w:hAnsi="Arial"/>
                <w:sz w:val="17"/>
                <w:szCs w:val="17"/>
                <w:color w:val="auto"/>
              </w:rPr>
              <w:t>—</w:t>
            </w:r>
          </w:p>
        </w:tc>
        <w:tc>
          <w:tcPr>
            <w:tcW w:w="720" w:type="dxa"/>
            <w:vAlign w:val="bottom"/>
            <w:shd w:val="clear" w:color="auto" w:fill="CCEEFF"/>
          </w:tcPr>
          <w:p>
            <w:pPr>
              <w:spacing w:after="0"/>
              <w:rPr>
                <w:sz w:val="17"/>
                <w:szCs w:val="17"/>
                <w:color w:val="auto"/>
              </w:rPr>
            </w:pPr>
          </w:p>
        </w:tc>
        <w:tc>
          <w:tcPr>
            <w:tcW w:w="1080" w:type="dxa"/>
            <w:vAlign w:val="bottom"/>
            <w:tcBorders>
              <w:bottom w:val="single" w:sz="8" w:color="auto"/>
            </w:tcBorders>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20" w:type="dxa"/>
            <w:vAlign w:val="bottom"/>
            <w:tcBorders>
              <w:bottom w:val="single" w:sz="8" w:color="auto"/>
            </w:tcBorders>
            <w:shd w:val="clear" w:color="auto" w:fill="CCEEFF"/>
          </w:tcPr>
          <w:p>
            <w:pPr>
              <w:spacing w:after="0"/>
              <w:rPr>
                <w:sz w:val="17"/>
                <w:szCs w:val="17"/>
                <w:color w:val="auto"/>
              </w:rPr>
            </w:pPr>
          </w:p>
        </w:tc>
        <w:tc>
          <w:tcPr>
            <w:tcW w:w="740" w:type="dxa"/>
            <w:vAlign w:val="bottom"/>
            <w:shd w:val="clear" w:color="auto" w:fill="CCEEFF"/>
          </w:tcPr>
          <w:p>
            <w:pPr>
              <w:jc w:val="right"/>
              <w:ind w:right="155"/>
              <w:spacing w:after="0"/>
              <w:rPr>
                <w:sz w:val="20"/>
                <w:szCs w:val="20"/>
                <w:color w:val="auto"/>
              </w:rPr>
            </w:pPr>
            <w:r>
              <w:rPr>
                <w:rFonts w:ascii="Arial" w:cs="Arial" w:eastAsia="Arial" w:hAnsi="Arial"/>
                <w:sz w:val="17"/>
                <w:szCs w:val="17"/>
                <w:color w:val="auto"/>
              </w:rPr>
              <w:t>(5)</w:t>
            </w:r>
          </w:p>
        </w:tc>
        <w:tc>
          <w:tcPr>
            <w:tcW w:w="700" w:type="dxa"/>
            <w:vAlign w:val="bottom"/>
            <w:tcBorders>
              <w:bottom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700" w:type="dxa"/>
            <w:vAlign w:val="bottom"/>
          </w:tcPr>
          <w:p>
            <w:pPr>
              <w:ind w:left="680"/>
              <w:spacing w:after="0"/>
              <w:rPr>
                <w:sz w:val="20"/>
                <w:szCs w:val="20"/>
                <w:color w:val="auto"/>
              </w:rPr>
            </w:pPr>
            <w:r>
              <w:rPr>
                <w:rFonts w:ascii="Arial" w:cs="Arial" w:eastAsia="Arial" w:hAnsi="Arial"/>
                <w:sz w:val="17"/>
                <w:szCs w:val="17"/>
                <w:color w:val="auto"/>
              </w:rPr>
              <w:t>Total other expense, net</w:t>
            </w:r>
          </w:p>
        </w:tc>
        <w:tc>
          <w:tcPr>
            <w:tcW w:w="500" w:type="dxa"/>
            <w:vAlign w:val="bottom"/>
          </w:tcPr>
          <w:p>
            <w:pPr>
              <w:spacing w:after="0"/>
              <w:rPr>
                <w:sz w:val="18"/>
                <w:szCs w:val="18"/>
                <w:color w:val="auto"/>
              </w:rPr>
            </w:pPr>
          </w:p>
        </w:tc>
        <w:tc>
          <w:tcPr>
            <w:tcW w:w="660" w:type="dxa"/>
            <w:vAlign w:val="bottom"/>
            <w:tcBorders>
              <w:bottom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480" w:type="dxa"/>
            <w:vAlign w:val="bottom"/>
            <w:tcBorders>
              <w:bottom w:val="single" w:sz="8" w:color="auto"/>
            </w:tcBorders>
          </w:tcPr>
          <w:p>
            <w:pPr>
              <w:ind w:left="220"/>
              <w:spacing w:after="0"/>
              <w:rPr>
                <w:sz w:val="20"/>
                <w:szCs w:val="20"/>
                <w:color w:val="auto"/>
              </w:rPr>
            </w:pPr>
            <w:r>
              <w:rPr>
                <w:rFonts w:ascii="Arial" w:cs="Arial" w:eastAsia="Arial" w:hAnsi="Arial"/>
                <w:sz w:val="17"/>
                <w:szCs w:val="17"/>
                <w:color w:val="auto"/>
              </w:rPr>
              <w:t>—</w:t>
            </w:r>
          </w:p>
        </w:tc>
        <w:tc>
          <w:tcPr>
            <w:tcW w:w="720" w:type="dxa"/>
            <w:vAlign w:val="bottom"/>
          </w:tcPr>
          <w:p>
            <w:pPr>
              <w:spacing w:after="0"/>
              <w:rPr>
                <w:sz w:val="18"/>
                <w:szCs w:val="18"/>
                <w:color w:val="auto"/>
              </w:rPr>
            </w:pPr>
          </w:p>
        </w:tc>
        <w:tc>
          <w:tcPr>
            <w:tcW w:w="1080" w:type="dxa"/>
            <w:vAlign w:val="bottom"/>
            <w:tcBorders>
              <w:bottom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Borders>
              <w:bottom w:val="single" w:sz="8" w:color="auto"/>
            </w:tcBorders>
          </w:tcPr>
          <w:p>
            <w:pPr>
              <w:spacing w:after="0"/>
              <w:rPr>
                <w:sz w:val="18"/>
                <w:szCs w:val="18"/>
                <w:color w:val="auto"/>
              </w:rPr>
            </w:pPr>
          </w:p>
        </w:tc>
        <w:tc>
          <w:tcPr>
            <w:tcW w:w="740" w:type="dxa"/>
            <w:vAlign w:val="bottom"/>
          </w:tcPr>
          <w:p>
            <w:pPr>
              <w:spacing w:after="0"/>
              <w:rPr>
                <w:sz w:val="18"/>
                <w:szCs w:val="18"/>
                <w:color w:val="auto"/>
              </w:rPr>
            </w:pPr>
          </w:p>
        </w:tc>
        <w:tc>
          <w:tcPr>
            <w:tcW w:w="70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4700" w:type="dxa"/>
            <w:vAlign w:val="bottom"/>
            <w:shd w:val="clear" w:color="auto" w:fill="CCEEFF"/>
          </w:tcPr>
          <w:p>
            <w:pPr>
              <w:ind w:left="680"/>
              <w:spacing w:after="0"/>
              <w:rPr>
                <w:sz w:val="20"/>
                <w:szCs w:val="20"/>
                <w:color w:val="auto"/>
              </w:rPr>
            </w:pPr>
            <w:r>
              <w:rPr>
                <w:rFonts w:ascii="Arial" w:cs="Arial" w:eastAsia="Arial" w:hAnsi="Arial"/>
                <w:sz w:val="17"/>
                <w:szCs w:val="17"/>
                <w:b w:val="1"/>
                <w:bCs w:val="1"/>
                <w:color w:val="auto"/>
              </w:rPr>
              <w:t>Loss before income taxes</w:t>
            </w:r>
          </w:p>
        </w:tc>
        <w:tc>
          <w:tcPr>
            <w:tcW w:w="5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480" w:type="dxa"/>
            <w:vAlign w:val="bottom"/>
            <w:shd w:val="clear" w:color="auto" w:fill="CCEEFF"/>
          </w:tcPr>
          <w:p>
            <w:pPr>
              <w:ind w:left="220"/>
              <w:spacing w:after="0"/>
              <w:rPr>
                <w:sz w:val="20"/>
                <w:szCs w:val="20"/>
                <w:color w:val="auto"/>
              </w:rPr>
            </w:pPr>
            <w:r>
              <w:rPr>
                <w:rFonts w:ascii="Arial" w:cs="Arial" w:eastAsia="Arial" w:hAnsi="Arial"/>
                <w:sz w:val="17"/>
                <w:szCs w:val="17"/>
                <w:color w:val="auto"/>
              </w:rPr>
              <w:t>—</w:t>
            </w:r>
          </w:p>
        </w:tc>
        <w:tc>
          <w:tcPr>
            <w:tcW w:w="72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740" w:type="dxa"/>
            <w:vAlign w:val="bottom"/>
            <w:shd w:val="clear" w:color="auto" w:fill="CCEEFF"/>
          </w:tcPr>
          <w:p>
            <w:pPr>
              <w:jc w:val="right"/>
              <w:ind w:right="155"/>
              <w:spacing w:after="0"/>
              <w:rPr>
                <w:sz w:val="20"/>
                <w:szCs w:val="20"/>
                <w:color w:val="auto"/>
              </w:rPr>
            </w:pPr>
            <w:r>
              <w:rPr>
                <w:rFonts w:ascii="Arial" w:cs="Arial" w:eastAsia="Arial" w:hAnsi="Arial"/>
                <w:sz w:val="17"/>
                <w:szCs w:val="17"/>
                <w:color w:val="auto"/>
              </w:rPr>
              <w:t>(5)</w:t>
            </w:r>
          </w:p>
        </w:tc>
        <w:tc>
          <w:tcPr>
            <w:tcW w:w="7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4700" w:type="dxa"/>
            <w:vAlign w:val="bottom"/>
          </w:tcPr>
          <w:p>
            <w:pPr>
              <w:spacing w:after="0"/>
              <w:rPr>
                <w:sz w:val="20"/>
                <w:szCs w:val="20"/>
                <w:color w:val="auto"/>
              </w:rPr>
            </w:pPr>
            <w:r>
              <w:rPr>
                <w:rFonts w:ascii="Arial" w:cs="Arial" w:eastAsia="Arial" w:hAnsi="Arial"/>
                <w:sz w:val="17"/>
                <w:szCs w:val="17"/>
                <w:color w:val="auto"/>
              </w:rPr>
              <w:t>Income tax expense</w:t>
            </w:r>
          </w:p>
        </w:tc>
        <w:tc>
          <w:tcPr>
            <w:tcW w:w="500" w:type="dxa"/>
            <w:vAlign w:val="bottom"/>
          </w:tcPr>
          <w:p>
            <w:pPr>
              <w:spacing w:after="0"/>
              <w:rPr>
                <w:sz w:val="18"/>
                <w:szCs w:val="18"/>
                <w:color w:val="auto"/>
              </w:rPr>
            </w:pPr>
          </w:p>
        </w:tc>
        <w:tc>
          <w:tcPr>
            <w:tcW w:w="660" w:type="dxa"/>
            <w:vAlign w:val="bottom"/>
            <w:tcBorders>
              <w:bottom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480" w:type="dxa"/>
            <w:vAlign w:val="bottom"/>
            <w:tcBorders>
              <w:bottom w:val="single" w:sz="8" w:color="auto"/>
            </w:tcBorders>
          </w:tcPr>
          <w:p>
            <w:pPr>
              <w:ind w:left="220"/>
              <w:spacing w:after="0"/>
              <w:rPr>
                <w:sz w:val="20"/>
                <w:szCs w:val="20"/>
                <w:color w:val="auto"/>
              </w:rPr>
            </w:pPr>
            <w:r>
              <w:rPr>
                <w:rFonts w:ascii="Arial" w:cs="Arial" w:eastAsia="Arial" w:hAnsi="Arial"/>
                <w:sz w:val="17"/>
                <w:szCs w:val="17"/>
                <w:color w:val="auto"/>
              </w:rPr>
              <w:t>—</w:t>
            </w:r>
          </w:p>
        </w:tc>
        <w:tc>
          <w:tcPr>
            <w:tcW w:w="720" w:type="dxa"/>
            <w:vAlign w:val="bottom"/>
          </w:tcPr>
          <w:p>
            <w:pPr>
              <w:jc w:val="right"/>
              <w:ind w:right="135"/>
              <w:spacing w:after="0"/>
              <w:rPr>
                <w:sz w:val="20"/>
                <w:szCs w:val="20"/>
                <w:color w:val="auto"/>
              </w:rPr>
            </w:pPr>
            <w:r>
              <w:rPr>
                <w:rFonts w:ascii="Arial" w:cs="Arial" w:eastAsia="Arial" w:hAnsi="Arial"/>
                <w:sz w:val="17"/>
                <w:szCs w:val="17"/>
                <w:color w:val="auto"/>
              </w:rPr>
              <w:t>(1)</w:t>
            </w:r>
          </w:p>
        </w:tc>
        <w:tc>
          <w:tcPr>
            <w:tcW w:w="1080" w:type="dxa"/>
            <w:vAlign w:val="bottom"/>
            <w:tcBorders>
              <w:bottom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Borders>
              <w:bottom w:val="single" w:sz="8" w:color="auto"/>
            </w:tcBorders>
          </w:tcPr>
          <w:p>
            <w:pPr>
              <w:spacing w:after="0"/>
              <w:rPr>
                <w:sz w:val="18"/>
                <w:szCs w:val="18"/>
                <w:color w:val="auto"/>
              </w:rPr>
            </w:pPr>
          </w:p>
        </w:tc>
        <w:tc>
          <w:tcPr>
            <w:tcW w:w="740" w:type="dxa"/>
            <w:vAlign w:val="bottom"/>
          </w:tcPr>
          <w:p>
            <w:pPr>
              <w:spacing w:after="0"/>
              <w:rPr>
                <w:sz w:val="18"/>
                <w:szCs w:val="18"/>
                <w:color w:val="auto"/>
              </w:rPr>
            </w:pPr>
          </w:p>
        </w:tc>
        <w:tc>
          <w:tcPr>
            <w:tcW w:w="70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4700" w:type="dxa"/>
            <w:vAlign w:val="bottom"/>
            <w:shd w:val="clear" w:color="auto" w:fill="CCEEFF"/>
          </w:tcPr>
          <w:p>
            <w:pPr>
              <w:ind w:left="340"/>
              <w:spacing w:after="0"/>
              <w:rPr>
                <w:sz w:val="20"/>
                <w:szCs w:val="20"/>
                <w:color w:val="auto"/>
              </w:rPr>
            </w:pPr>
            <w:r>
              <w:rPr>
                <w:rFonts w:ascii="Arial" w:cs="Arial" w:eastAsia="Arial" w:hAnsi="Arial"/>
                <w:sz w:val="17"/>
                <w:szCs w:val="17"/>
                <w:color w:val="auto"/>
              </w:rPr>
              <w:t>Net loss</w:t>
            </w:r>
          </w:p>
        </w:tc>
        <w:tc>
          <w:tcPr>
            <w:tcW w:w="5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480" w:type="dxa"/>
            <w:vAlign w:val="bottom"/>
            <w:shd w:val="clear" w:color="auto" w:fill="CCEEFF"/>
          </w:tcPr>
          <w:p>
            <w:pPr>
              <w:ind w:left="220"/>
              <w:spacing w:after="0"/>
              <w:rPr>
                <w:sz w:val="20"/>
                <w:szCs w:val="20"/>
                <w:color w:val="auto"/>
              </w:rPr>
            </w:pPr>
            <w:r>
              <w:rPr>
                <w:rFonts w:ascii="Arial" w:cs="Arial" w:eastAsia="Arial" w:hAnsi="Arial"/>
                <w:sz w:val="17"/>
                <w:szCs w:val="17"/>
                <w:color w:val="auto"/>
              </w:rPr>
              <w:t>—</w:t>
            </w:r>
          </w:p>
        </w:tc>
        <w:tc>
          <w:tcPr>
            <w:tcW w:w="72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4700" w:type="dxa"/>
            <w:vAlign w:val="bottom"/>
          </w:tcPr>
          <w:p>
            <w:pPr>
              <w:spacing w:after="0"/>
              <w:rPr>
                <w:sz w:val="20"/>
                <w:szCs w:val="20"/>
                <w:color w:val="auto"/>
              </w:rPr>
            </w:pPr>
            <w:r>
              <w:rPr>
                <w:rFonts w:ascii="Arial" w:cs="Arial" w:eastAsia="Arial" w:hAnsi="Arial"/>
                <w:sz w:val="17"/>
                <w:szCs w:val="17"/>
                <w:color w:val="auto"/>
              </w:rPr>
              <w:t>Net loss attributable to noncontrolling interests</w:t>
            </w:r>
          </w:p>
        </w:tc>
        <w:tc>
          <w:tcPr>
            <w:tcW w:w="500" w:type="dxa"/>
            <w:vAlign w:val="bottom"/>
          </w:tcPr>
          <w:p>
            <w:pPr>
              <w:spacing w:after="0"/>
              <w:rPr>
                <w:sz w:val="18"/>
                <w:szCs w:val="18"/>
                <w:color w:val="auto"/>
              </w:rPr>
            </w:pPr>
          </w:p>
        </w:tc>
        <w:tc>
          <w:tcPr>
            <w:tcW w:w="660" w:type="dxa"/>
            <w:vAlign w:val="bottom"/>
            <w:tcBorders>
              <w:bottom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480" w:type="dxa"/>
            <w:vAlign w:val="bottom"/>
            <w:tcBorders>
              <w:bottom w:val="single" w:sz="8" w:color="auto"/>
            </w:tcBorders>
          </w:tcPr>
          <w:p>
            <w:pPr>
              <w:ind w:left="220"/>
              <w:spacing w:after="0"/>
              <w:rPr>
                <w:sz w:val="20"/>
                <w:szCs w:val="20"/>
                <w:color w:val="auto"/>
              </w:rPr>
            </w:pPr>
            <w:r>
              <w:rPr>
                <w:rFonts w:ascii="Arial" w:cs="Arial" w:eastAsia="Arial" w:hAnsi="Arial"/>
                <w:sz w:val="17"/>
                <w:szCs w:val="17"/>
                <w:color w:val="auto"/>
              </w:rPr>
              <w:t>—</w:t>
            </w:r>
          </w:p>
        </w:tc>
        <w:tc>
          <w:tcPr>
            <w:tcW w:w="720" w:type="dxa"/>
            <w:vAlign w:val="bottom"/>
          </w:tcPr>
          <w:p>
            <w:pPr>
              <w:jc w:val="right"/>
              <w:ind w:right="135"/>
              <w:spacing w:after="0"/>
              <w:rPr>
                <w:sz w:val="20"/>
                <w:szCs w:val="20"/>
                <w:color w:val="auto"/>
              </w:rPr>
            </w:pPr>
            <w:r>
              <w:rPr>
                <w:rFonts w:ascii="Arial" w:cs="Arial" w:eastAsia="Arial" w:hAnsi="Arial"/>
                <w:sz w:val="17"/>
                <w:szCs w:val="17"/>
                <w:color w:val="auto"/>
              </w:rPr>
              <w:t>(2)</w:t>
            </w:r>
          </w:p>
        </w:tc>
        <w:tc>
          <w:tcPr>
            <w:tcW w:w="1080" w:type="dxa"/>
            <w:vAlign w:val="bottom"/>
            <w:tcBorders>
              <w:bottom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Borders>
              <w:bottom w:val="single" w:sz="8" w:color="auto"/>
            </w:tcBorders>
          </w:tcPr>
          <w:p>
            <w:pPr>
              <w:spacing w:after="0"/>
              <w:rPr>
                <w:sz w:val="18"/>
                <w:szCs w:val="18"/>
                <w:color w:val="auto"/>
              </w:rPr>
            </w:pPr>
          </w:p>
        </w:tc>
        <w:tc>
          <w:tcPr>
            <w:tcW w:w="740" w:type="dxa"/>
            <w:vAlign w:val="bottom"/>
          </w:tcPr>
          <w:p>
            <w:pPr>
              <w:spacing w:after="0"/>
              <w:rPr>
                <w:sz w:val="18"/>
                <w:szCs w:val="18"/>
                <w:color w:val="auto"/>
              </w:rPr>
            </w:pPr>
          </w:p>
        </w:tc>
        <w:tc>
          <w:tcPr>
            <w:tcW w:w="70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4700" w:type="dxa"/>
            <w:vAlign w:val="bottom"/>
            <w:shd w:val="clear" w:color="auto" w:fill="CCEEFF"/>
          </w:tcPr>
          <w:p>
            <w:pPr>
              <w:ind w:left="340"/>
              <w:spacing w:after="0"/>
              <w:rPr>
                <w:sz w:val="20"/>
                <w:szCs w:val="20"/>
                <w:color w:val="auto"/>
              </w:rPr>
            </w:pPr>
            <w:r>
              <w:rPr>
                <w:rFonts w:ascii="Arial" w:cs="Arial" w:eastAsia="Arial" w:hAnsi="Arial"/>
                <w:sz w:val="17"/>
                <w:szCs w:val="17"/>
                <w:color w:val="auto"/>
              </w:rPr>
              <w:t>Net loss attributable to Definitive Healthcare Corp.</w:t>
            </w:r>
          </w:p>
        </w:tc>
        <w:tc>
          <w:tcPr>
            <w:tcW w:w="1160" w:type="dxa"/>
            <w:vAlign w:val="bottom"/>
            <w:gridSpan w:val="2"/>
            <w:shd w:val="clear" w:color="auto" w:fill="CCEEFF"/>
          </w:tcPr>
          <w:p>
            <w:pPr>
              <w:jc w:val="right"/>
              <w:ind w:right="508"/>
              <w:spacing w:after="0"/>
              <w:rPr>
                <w:sz w:val="20"/>
                <w:szCs w:val="20"/>
                <w:color w:val="auto"/>
              </w:rPr>
            </w:pPr>
            <w:r>
              <w:rPr>
                <w:rFonts w:ascii="Arial" w:cs="Arial" w:eastAsia="Arial" w:hAnsi="Arial"/>
                <w:sz w:val="17"/>
                <w:szCs w:val="17"/>
                <w:color w:val="auto"/>
              </w:rPr>
              <w:t>$</w:t>
            </w:r>
          </w:p>
        </w:tc>
        <w:tc>
          <w:tcPr>
            <w:tcW w:w="540" w:type="dxa"/>
            <w:vAlign w:val="bottom"/>
            <w:gridSpan w:val="2"/>
            <w:shd w:val="clear" w:color="auto" w:fill="CCEEFF"/>
          </w:tcPr>
          <w:p>
            <w:pPr>
              <w:ind w:left="220"/>
              <w:spacing w:after="0"/>
              <w:rPr>
                <w:sz w:val="20"/>
                <w:szCs w:val="20"/>
                <w:color w:val="auto"/>
              </w:rPr>
            </w:pPr>
            <w:r>
              <w:rPr>
                <w:rFonts w:ascii="Arial" w:cs="Arial" w:eastAsia="Arial" w:hAnsi="Arial"/>
                <w:sz w:val="17"/>
                <w:szCs w:val="17"/>
                <w:color w:val="auto"/>
              </w:rPr>
              <w:t>$</w:t>
            </w:r>
          </w:p>
        </w:tc>
        <w:tc>
          <w:tcPr>
            <w:tcW w:w="480" w:type="dxa"/>
            <w:vAlign w:val="bottom"/>
            <w:shd w:val="clear" w:color="auto" w:fill="CCEEFF"/>
          </w:tcPr>
          <w:p>
            <w:pPr>
              <w:ind w:left="220"/>
              <w:spacing w:after="0"/>
              <w:rPr>
                <w:sz w:val="20"/>
                <w:szCs w:val="20"/>
                <w:color w:val="auto"/>
              </w:rPr>
            </w:pPr>
            <w:r>
              <w:rPr>
                <w:rFonts w:ascii="Arial" w:cs="Arial" w:eastAsia="Arial" w:hAnsi="Arial"/>
                <w:sz w:val="17"/>
                <w:szCs w:val="17"/>
                <w:color w:val="auto"/>
              </w:rPr>
              <w:t>—</w:t>
            </w:r>
          </w:p>
        </w:tc>
        <w:tc>
          <w:tcPr>
            <w:tcW w:w="1800" w:type="dxa"/>
            <w:vAlign w:val="bottom"/>
            <w:gridSpan w:val="2"/>
            <w:shd w:val="clear" w:color="auto" w:fill="CCEEFF"/>
          </w:tcPr>
          <w:p>
            <w:pPr>
              <w:ind w:left="720"/>
              <w:spacing w:after="0"/>
              <w:rPr>
                <w:sz w:val="20"/>
                <w:szCs w:val="20"/>
                <w:color w:val="auto"/>
              </w:rPr>
            </w:pPr>
            <w:r>
              <w:rPr>
                <w:rFonts w:ascii="Arial" w:cs="Arial" w:eastAsia="Arial" w:hAnsi="Arial"/>
                <w:sz w:val="17"/>
                <w:szCs w:val="17"/>
                <w:color w:val="auto"/>
              </w:rPr>
              <w:t>$</w:t>
            </w:r>
          </w:p>
        </w:tc>
        <w:tc>
          <w:tcPr>
            <w:tcW w:w="900" w:type="dxa"/>
            <w:vAlign w:val="bottom"/>
            <w:gridSpan w:val="2"/>
            <w:shd w:val="clear" w:color="auto" w:fill="CCEEFF"/>
          </w:tcPr>
          <w:p>
            <w:pPr>
              <w:ind w:left="180"/>
              <w:spacing w:after="0"/>
              <w:rPr>
                <w:sz w:val="20"/>
                <w:szCs w:val="20"/>
                <w:color w:val="auto"/>
              </w:rPr>
            </w:pPr>
            <w:r>
              <w:rPr>
                <w:rFonts w:ascii="Arial" w:cs="Arial" w:eastAsia="Arial" w:hAnsi="Arial"/>
                <w:sz w:val="17"/>
                <w:szCs w:val="17"/>
                <w:color w:val="auto"/>
              </w:rPr>
              <w:t>$</w:t>
            </w:r>
          </w:p>
        </w:tc>
        <w:tc>
          <w:tcPr>
            <w:tcW w:w="1440" w:type="dxa"/>
            <w:vAlign w:val="bottom"/>
            <w:gridSpan w:val="2"/>
            <w:shd w:val="clear" w:color="auto" w:fill="CCEEFF"/>
          </w:tcPr>
          <w:p>
            <w:pPr>
              <w:ind w:left="74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
        </w:trPr>
        <w:tc>
          <w:tcPr>
            <w:tcW w:w="4700" w:type="dxa"/>
            <w:vAlign w:val="bottom"/>
            <w:vMerge w:val="restart"/>
          </w:tcPr>
          <w:p>
            <w:pPr>
              <w:spacing w:after="0"/>
              <w:rPr>
                <w:sz w:val="20"/>
                <w:szCs w:val="20"/>
                <w:color w:val="auto"/>
              </w:rPr>
            </w:pPr>
            <w:r>
              <w:rPr>
                <w:rFonts w:ascii="Arial" w:cs="Arial" w:eastAsia="Arial" w:hAnsi="Arial"/>
                <w:sz w:val="17"/>
                <w:szCs w:val="17"/>
                <w:b w:val="1"/>
                <w:bCs w:val="1"/>
                <w:color w:val="auto"/>
              </w:rPr>
              <w:t>Pro forma net loss per share data</w:t>
            </w:r>
          </w:p>
        </w:tc>
        <w:tc>
          <w:tcPr>
            <w:tcW w:w="50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5"/>
        </w:trPr>
        <w:tc>
          <w:tcPr>
            <w:tcW w:w="4700" w:type="dxa"/>
            <w:vAlign w:val="bottom"/>
            <w:vMerge w:val="continue"/>
          </w:tcPr>
          <w:p>
            <w:pPr>
              <w:spacing w:after="0"/>
              <w:rPr>
                <w:sz w:val="16"/>
                <w:szCs w:val="16"/>
                <w:color w:val="auto"/>
              </w:rPr>
            </w:pPr>
          </w:p>
        </w:tc>
        <w:tc>
          <w:tcPr>
            <w:tcW w:w="5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4700" w:type="dxa"/>
            <w:vAlign w:val="bottom"/>
            <w:shd w:val="clear" w:color="auto" w:fill="CCEEFF"/>
          </w:tcPr>
          <w:p>
            <w:pPr>
              <w:spacing w:after="0" w:line="187" w:lineRule="exact"/>
              <w:rPr>
                <w:sz w:val="20"/>
                <w:szCs w:val="20"/>
                <w:color w:val="auto"/>
              </w:rPr>
            </w:pPr>
            <w:r>
              <w:rPr>
                <w:rFonts w:ascii="Arial" w:cs="Arial" w:eastAsia="Arial" w:hAnsi="Arial"/>
                <w:sz w:val="17"/>
                <w:szCs w:val="17"/>
                <w:color w:val="auto"/>
              </w:rPr>
              <w:t>Pro forma weighted-average shares of Class A common stock</w:t>
            </w:r>
          </w:p>
        </w:tc>
        <w:tc>
          <w:tcPr>
            <w:tcW w:w="50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10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20"/>
        </w:trPr>
        <w:tc>
          <w:tcPr>
            <w:tcW w:w="4700" w:type="dxa"/>
            <w:vAlign w:val="bottom"/>
            <w:shd w:val="clear" w:color="auto" w:fill="CCEEFF"/>
          </w:tcPr>
          <w:p>
            <w:pPr>
              <w:ind w:left="160"/>
              <w:spacing w:after="0"/>
              <w:rPr>
                <w:sz w:val="20"/>
                <w:szCs w:val="20"/>
                <w:color w:val="auto"/>
              </w:rPr>
            </w:pPr>
            <w:r>
              <w:rPr>
                <w:rFonts w:ascii="Arial" w:cs="Arial" w:eastAsia="Arial" w:hAnsi="Arial"/>
                <w:sz w:val="17"/>
                <w:szCs w:val="17"/>
                <w:color w:val="auto"/>
              </w:rPr>
              <w:t>outstanding (3)</w:t>
            </w:r>
          </w:p>
        </w:tc>
        <w:tc>
          <w:tcPr>
            <w:tcW w:w="50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4700" w:type="dxa"/>
            <w:vAlign w:val="bottom"/>
          </w:tcPr>
          <w:p>
            <w:pPr>
              <w:ind w:left="340"/>
              <w:spacing w:after="0"/>
              <w:rPr>
                <w:sz w:val="20"/>
                <w:szCs w:val="20"/>
                <w:color w:val="auto"/>
              </w:rPr>
            </w:pPr>
            <w:r>
              <w:rPr>
                <w:rFonts w:ascii="Arial" w:cs="Arial" w:eastAsia="Arial" w:hAnsi="Arial"/>
                <w:sz w:val="17"/>
                <w:szCs w:val="17"/>
                <w:color w:val="auto"/>
              </w:rPr>
              <w:t>Basic</w:t>
            </w:r>
          </w:p>
        </w:tc>
        <w:tc>
          <w:tcPr>
            <w:tcW w:w="5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700" w:type="dxa"/>
            <w:vAlign w:val="bottom"/>
            <w:shd w:val="clear" w:color="auto" w:fill="CCEEFF"/>
          </w:tcPr>
          <w:p>
            <w:pPr>
              <w:ind w:left="340"/>
              <w:spacing w:after="0"/>
              <w:rPr>
                <w:sz w:val="20"/>
                <w:szCs w:val="20"/>
                <w:color w:val="auto"/>
              </w:rPr>
            </w:pPr>
            <w:r>
              <w:rPr>
                <w:rFonts w:ascii="Arial" w:cs="Arial" w:eastAsia="Arial" w:hAnsi="Arial"/>
                <w:sz w:val="17"/>
                <w:szCs w:val="17"/>
                <w:color w:val="auto"/>
              </w:rPr>
              <w:t>Diluted</w:t>
            </w:r>
          </w:p>
        </w:tc>
        <w:tc>
          <w:tcPr>
            <w:tcW w:w="5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4700" w:type="dxa"/>
            <w:vAlign w:val="bottom"/>
          </w:tcPr>
          <w:p>
            <w:pPr>
              <w:spacing w:after="0"/>
              <w:rPr>
                <w:sz w:val="20"/>
                <w:szCs w:val="20"/>
                <w:color w:val="auto"/>
              </w:rPr>
            </w:pPr>
            <w:r>
              <w:rPr>
                <w:rFonts w:ascii="Arial" w:cs="Arial" w:eastAsia="Arial" w:hAnsi="Arial"/>
                <w:sz w:val="17"/>
                <w:szCs w:val="17"/>
                <w:color w:val="auto"/>
              </w:rPr>
              <w:t>Net loss per share of Class A common stock</w:t>
            </w:r>
          </w:p>
        </w:tc>
        <w:tc>
          <w:tcPr>
            <w:tcW w:w="5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700" w:type="dxa"/>
            <w:vAlign w:val="bottom"/>
            <w:shd w:val="clear" w:color="auto" w:fill="CCEEFF"/>
          </w:tcPr>
          <w:p>
            <w:pPr>
              <w:ind w:left="340"/>
              <w:spacing w:after="0"/>
              <w:rPr>
                <w:sz w:val="20"/>
                <w:szCs w:val="20"/>
                <w:color w:val="auto"/>
              </w:rPr>
            </w:pPr>
            <w:r>
              <w:rPr>
                <w:rFonts w:ascii="Arial" w:cs="Arial" w:eastAsia="Arial" w:hAnsi="Arial"/>
                <w:sz w:val="17"/>
                <w:szCs w:val="17"/>
                <w:color w:val="auto"/>
              </w:rPr>
              <w:t>Basic</w:t>
            </w:r>
          </w:p>
        </w:tc>
        <w:tc>
          <w:tcPr>
            <w:tcW w:w="5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440" w:type="dxa"/>
            <w:vAlign w:val="bottom"/>
            <w:gridSpan w:val="2"/>
            <w:shd w:val="clear" w:color="auto" w:fill="CCEEFF"/>
          </w:tcPr>
          <w:p>
            <w:pPr>
              <w:ind w:left="74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16"/>
        </w:trPr>
        <w:tc>
          <w:tcPr>
            <w:tcW w:w="4700" w:type="dxa"/>
            <w:vAlign w:val="bottom"/>
          </w:tcPr>
          <w:p>
            <w:pPr>
              <w:ind w:left="340"/>
              <w:spacing w:after="0"/>
              <w:rPr>
                <w:sz w:val="20"/>
                <w:szCs w:val="20"/>
                <w:color w:val="auto"/>
              </w:rPr>
            </w:pPr>
            <w:r>
              <w:rPr>
                <w:rFonts w:ascii="Arial" w:cs="Arial" w:eastAsia="Arial" w:hAnsi="Arial"/>
                <w:sz w:val="17"/>
                <w:szCs w:val="17"/>
                <w:color w:val="auto"/>
              </w:rPr>
              <w:t>Diluted</w:t>
            </w:r>
          </w:p>
        </w:tc>
        <w:tc>
          <w:tcPr>
            <w:tcW w:w="5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440" w:type="dxa"/>
            <w:vAlign w:val="bottom"/>
            <w:gridSpan w:val="2"/>
          </w:tcPr>
          <w:p>
            <w:pPr>
              <w:ind w:left="74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bl>
    <w:p>
      <w:pPr>
        <w:spacing w:after="0" w:line="120"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74</w:t>
      </w:r>
    </w:p>
    <w:p>
      <w:pPr>
        <w:sectPr>
          <w:pgSz w:w="11900" w:h="16838" w:orient="portrait"/>
          <w:cols w:equalWidth="0" w:num="1">
            <w:col w:w="11140"/>
          </w:cols>
          <w:pgMar w:left="320" w:top="459" w:right="439" w:bottom="1440" w:gutter="0" w:footer="0" w:header="0"/>
        </w:sectPr>
      </w:pPr>
    </w:p>
    <w:bookmarkStart w:id="81" w:name="page82"/>
    <w:bookmarkEnd w:id="8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Confidential Treatment Requested by Definitive Healthcare Corp.</w:t>
      </w:r>
    </w:p>
    <w:p>
      <w:pPr>
        <w:spacing w:after="0" w:line="27"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Pursuant to 17 C.F.R. Section 200.83</w:t>
      </w:r>
    </w:p>
    <w:p>
      <w:pPr>
        <w:spacing w:after="0" w:line="139" w:lineRule="exact"/>
        <w:rPr>
          <w:sz w:val="20"/>
          <w:szCs w:val="20"/>
          <w:color w:val="auto"/>
        </w:rPr>
      </w:pPr>
    </w:p>
    <w:p>
      <w:pPr>
        <w:ind w:left="900"/>
        <w:spacing w:after="0"/>
        <w:rPr>
          <w:sz w:val="20"/>
          <w:szCs w:val="20"/>
          <w:color w:val="auto"/>
        </w:rPr>
      </w:pPr>
      <w:r>
        <w:rPr>
          <w:rFonts w:ascii="Arial" w:cs="Arial" w:eastAsia="Arial" w:hAnsi="Arial"/>
          <w:sz w:val="18"/>
          <w:szCs w:val="18"/>
          <w:b w:val="1"/>
          <w:bCs w:val="1"/>
          <w:color w:val="auto"/>
        </w:rPr>
        <w:t>UNAUDITED PRO FORMA CONSOLIDATED STATEMENT OF OPERATIONS For the Year Ended December 31, 2020</w:t>
      </w:r>
    </w:p>
    <w:p>
      <w:pPr>
        <w:spacing w:after="0" w:line="235"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47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96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w w:val="97"/>
              </w:rPr>
              <w:t>Historical</w:t>
            </w:r>
          </w:p>
        </w:tc>
        <w:tc>
          <w:tcPr>
            <w:tcW w:w="2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80" w:type="dxa"/>
            <w:vAlign w:val="bottom"/>
          </w:tcPr>
          <w:p>
            <w:pPr>
              <w:jc w:val="center"/>
              <w:spacing w:after="0"/>
              <w:rPr>
                <w:sz w:val="20"/>
                <w:szCs w:val="20"/>
                <w:color w:val="auto"/>
              </w:rPr>
            </w:pPr>
            <w:r>
              <w:rPr>
                <w:rFonts w:ascii="Arial" w:cs="Arial" w:eastAsia="Arial" w:hAnsi="Arial"/>
                <w:sz w:val="14"/>
                <w:szCs w:val="14"/>
                <w:b w:val="1"/>
                <w:bCs w:val="1"/>
                <w:color w:val="auto"/>
                <w:w w:val="96"/>
              </w:rPr>
              <w:t>Pro forma</w:t>
            </w:r>
          </w:p>
        </w:tc>
        <w:tc>
          <w:tcPr>
            <w:tcW w:w="5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60" w:type="dxa"/>
            <w:vAlign w:val="bottom"/>
            <w:gridSpan w:val="2"/>
          </w:tcPr>
          <w:p>
            <w:pPr>
              <w:jc w:val="center"/>
              <w:ind w:right="40"/>
              <w:spacing w:after="0"/>
              <w:rPr>
                <w:sz w:val="20"/>
                <w:szCs w:val="20"/>
                <w:color w:val="auto"/>
              </w:rPr>
            </w:pPr>
            <w:r>
              <w:rPr>
                <w:rFonts w:ascii="Arial" w:cs="Arial" w:eastAsia="Arial" w:hAnsi="Arial"/>
                <w:sz w:val="14"/>
                <w:szCs w:val="14"/>
                <w:b w:val="1"/>
                <w:bCs w:val="1"/>
                <w:color w:val="auto"/>
                <w:w w:val="96"/>
              </w:rPr>
              <w:t>Pro forma</w:t>
            </w:r>
          </w:p>
        </w:tc>
        <w:tc>
          <w:tcPr>
            <w:tcW w:w="0" w:type="dxa"/>
            <w:vAlign w:val="bottom"/>
          </w:tcPr>
          <w:p>
            <w:pPr>
              <w:spacing w:after="0"/>
              <w:rPr>
                <w:sz w:val="1"/>
                <w:szCs w:val="1"/>
                <w:color w:val="auto"/>
              </w:rPr>
            </w:pPr>
          </w:p>
        </w:tc>
      </w:tr>
      <w:tr>
        <w:trPr>
          <w:trHeight w:val="149"/>
        </w:trPr>
        <w:tc>
          <w:tcPr>
            <w:tcW w:w="47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960" w:type="dxa"/>
            <w:vAlign w:val="bottom"/>
            <w:gridSpan w:val="2"/>
            <w:vMerge w:val="continue"/>
          </w:tcPr>
          <w:p>
            <w:pPr>
              <w:spacing w:after="0"/>
              <w:rPr>
                <w:sz w:val="12"/>
                <w:szCs w:val="12"/>
                <w:color w:val="auto"/>
              </w:rPr>
            </w:pPr>
          </w:p>
        </w:tc>
        <w:tc>
          <w:tcPr>
            <w:tcW w:w="200" w:type="dxa"/>
            <w:vAlign w:val="bottom"/>
          </w:tcPr>
          <w:p>
            <w:pPr>
              <w:spacing w:after="0"/>
              <w:rPr>
                <w:sz w:val="12"/>
                <w:szCs w:val="12"/>
                <w:color w:val="auto"/>
              </w:rPr>
            </w:pPr>
          </w:p>
        </w:tc>
        <w:tc>
          <w:tcPr>
            <w:tcW w:w="800" w:type="dxa"/>
            <w:vAlign w:val="bottom"/>
            <w:vMerge w:val="restart"/>
          </w:tcPr>
          <w:p>
            <w:pPr>
              <w:ind w:left="40"/>
              <w:spacing w:after="0"/>
              <w:rPr>
                <w:sz w:val="20"/>
                <w:szCs w:val="20"/>
                <w:color w:val="auto"/>
              </w:rPr>
            </w:pPr>
            <w:r>
              <w:rPr>
                <w:rFonts w:ascii="Arial" w:cs="Arial" w:eastAsia="Arial" w:hAnsi="Arial"/>
                <w:sz w:val="14"/>
                <w:szCs w:val="14"/>
                <w:b w:val="1"/>
                <w:bCs w:val="1"/>
                <w:color w:val="auto"/>
                <w:w w:val="93"/>
              </w:rPr>
              <w:t>Transaction</w:t>
            </w:r>
          </w:p>
        </w:tc>
        <w:tc>
          <w:tcPr>
            <w:tcW w:w="480" w:type="dxa"/>
            <w:vAlign w:val="bottom"/>
          </w:tcPr>
          <w:p>
            <w:pPr>
              <w:spacing w:after="0"/>
              <w:rPr>
                <w:sz w:val="12"/>
                <w:szCs w:val="12"/>
                <w:color w:val="auto"/>
              </w:rPr>
            </w:pPr>
          </w:p>
        </w:tc>
        <w:tc>
          <w:tcPr>
            <w:tcW w:w="6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5"/>
              </w:rPr>
              <w:t>Definitive</w:t>
            </w:r>
          </w:p>
        </w:tc>
        <w:tc>
          <w:tcPr>
            <w:tcW w:w="560" w:type="dxa"/>
            <w:vAlign w:val="bottom"/>
          </w:tcPr>
          <w:p>
            <w:pPr>
              <w:spacing w:after="0"/>
              <w:rPr>
                <w:sz w:val="12"/>
                <w:szCs w:val="12"/>
                <w:color w:val="auto"/>
              </w:rPr>
            </w:pPr>
          </w:p>
        </w:tc>
        <w:tc>
          <w:tcPr>
            <w:tcW w:w="740" w:type="dxa"/>
            <w:vAlign w:val="bottom"/>
            <w:vMerge w:val="restart"/>
          </w:tcPr>
          <w:p>
            <w:pPr>
              <w:ind w:left="100"/>
              <w:spacing w:after="0"/>
              <w:rPr>
                <w:sz w:val="20"/>
                <w:szCs w:val="20"/>
                <w:color w:val="auto"/>
              </w:rPr>
            </w:pPr>
            <w:r>
              <w:rPr>
                <w:rFonts w:ascii="Arial" w:cs="Arial" w:eastAsia="Arial" w:hAnsi="Arial"/>
                <w:sz w:val="14"/>
                <w:szCs w:val="14"/>
                <w:b w:val="1"/>
                <w:bCs w:val="1"/>
                <w:color w:val="auto"/>
              </w:rPr>
              <w:t>Offering</w:t>
            </w:r>
          </w:p>
        </w:tc>
        <w:tc>
          <w:tcPr>
            <w:tcW w:w="460" w:type="dxa"/>
            <w:vAlign w:val="bottom"/>
          </w:tcPr>
          <w:p>
            <w:pPr>
              <w:spacing w:after="0"/>
              <w:rPr>
                <w:sz w:val="12"/>
                <w:szCs w:val="12"/>
                <w:color w:val="auto"/>
              </w:rPr>
            </w:pPr>
          </w:p>
        </w:tc>
        <w:tc>
          <w:tcPr>
            <w:tcW w:w="760" w:type="dxa"/>
            <w:vAlign w:val="bottom"/>
            <w:gridSpan w:val="2"/>
          </w:tcPr>
          <w:p>
            <w:pPr>
              <w:jc w:val="center"/>
              <w:ind w:right="40"/>
              <w:spacing w:after="0" w:line="149" w:lineRule="exact"/>
              <w:rPr>
                <w:sz w:val="20"/>
                <w:szCs w:val="20"/>
                <w:color w:val="auto"/>
              </w:rPr>
            </w:pPr>
            <w:r>
              <w:rPr>
                <w:rFonts w:ascii="Arial" w:cs="Arial" w:eastAsia="Arial" w:hAnsi="Arial"/>
                <w:sz w:val="14"/>
                <w:szCs w:val="14"/>
                <w:b w:val="1"/>
                <w:bCs w:val="1"/>
                <w:color w:val="auto"/>
                <w:w w:val="95"/>
              </w:rPr>
              <w:t>Definitive</w:t>
            </w:r>
          </w:p>
        </w:tc>
        <w:tc>
          <w:tcPr>
            <w:tcW w:w="0" w:type="dxa"/>
            <w:vAlign w:val="bottom"/>
          </w:tcPr>
          <w:p>
            <w:pPr>
              <w:spacing w:after="0"/>
              <w:rPr>
                <w:sz w:val="1"/>
                <w:szCs w:val="1"/>
                <w:color w:val="auto"/>
              </w:rPr>
            </w:pPr>
          </w:p>
        </w:tc>
      </w:tr>
      <w:tr>
        <w:trPr>
          <w:trHeight w:val="148"/>
        </w:trPr>
        <w:tc>
          <w:tcPr>
            <w:tcW w:w="47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96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5"/>
              </w:rPr>
              <w:t>Definitive</w:t>
            </w:r>
          </w:p>
        </w:tc>
        <w:tc>
          <w:tcPr>
            <w:tcW w:w="200" w:type="dxa"/>
            <w:vAlign w:val="bottom"/>
          </w:tcPr>
          <w:p>
            <w:pPr>
              <w:spacing w:after="0"/>
              <w:rPr>
                <w:sz w:val="12"/>
                <w:szCs w:val="12"/>
                <w:color w:val="auto"/>
              </w:rPr>
            </w:pPr>
          </w:p>
        </w:tc>
        <w:tc>
          <w:tcPr>
            <w:tcW w:w="800" w:type="dxa"/>
            <w:vAlign w:val="bottom"/>
            <w:vMerge w:val="continue"/>
          </w:tcPr>
          <w:p>
            <w:pPr>
              <w:spacing w:after="0"/>
              <w:rPr>
                <w:sz w:val="12"/>
                <w:szCs w:val="12"/>
                <w:color w:val="auto"/>
              </w:rPr>
            </w:pPr>
          </w:p>
        </w:tc>
        <w:tc>
          <w:tcPr>
            <w:tcW w:w="480" w:type="dxa"/>
            <w:vAlign w:val="bottom"/>
          </w:tcPr>
          <w:p>
            <w:pPr>
              <w:spacing w:after="0"/>
              <w:rPr>
                <w:sz w:val="12"/>
                <w:szCs w:val="12"/>
                <w:color w:val="auto"/>
              </w:rPr>
            </w:pPr>
          </w:p>
        </w:tc>
        <w:tc>
          <w:tcPr>
            <w:tcW w:w="6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4"/>
              </w:rPr>
              <w:t>Healthcare</w:t>
            </w:r>
          </w:p>
        </w:tc>
        <w:tc>
          <w:tcPr>
            <w:tcW w:w="560" w:type="dxa"/>
            <w:vAlign w:val="bottom"/>
          </w:tcPr>
          <w:p>
            <w:pPr>
              <w:spacing w:after="0"/>
              <w:rPr>
                <w:sz w:val="12"/>
                <w:szCs w:val="12"/>
                <w:color w:val="auto"/>
              </w:rPr>
            </w:pPr>
          </w:p>
        </w:tc>
        <w:tc>
          <w:tcPr>
            <w:tcW w:w="740" w:type="dxa"/>
            <w:vAlign w:val="bottom"/>
            <w:vMerge w:val="continue"/>
          </w:tcPr>
          <w:p>
            <w:pPr>
              <w:spacing w:after="0"/>
              <w:rPr>
                <w:sz w:val="12"/>
                <w:szCs w:val="12"/>
                <w:color w:val="auto"/>
              </w:rPr>
            </w:pPr>
          </w:p>
        </w:tc>
        <w:tc>
          <w:tcPr>
            <w:tcW w:w="460" w:type="dxa"/>
            <w:vAlign w:val="bottom"/>
          </w:tcPr>
          <w:p>
            <w:pPr>
              <w:spacing w:after="0"/>
              <w:rPr>
                <w:sz w:val="12"/>
                <w:szCs w:val="12"/>
                <w:color w:val="auto"/>
              </w:rPr>
            </w:pPr>
          </w:p>
        </w:tc>
        <w:tc>
          <w:tcPr>
            <w:tcW w:w="760" w:type="dxa"/>
            <w:vAlign w:val="bottom"/>
            <w:gridSpan w:val="2"/>
          </w:tcPr>
          <w:p>
            <w:pPr>
              <w:jc w:val="center"/>
              <w:ind w:right="40"/>
              <w:spacing w:after="0" w:line="149" w:lineRule="exact"/>
              <w:rPr>
                <w:sz w:val="20"/>
                <w:szCs w:val="20"/>
                <w:color w:val="auto"/>
              </w:rPr>
            </w:pPr>
            <w:r>
              <w:rPr>
                <w:rFonts w:ascii="Arial" w:cs="Arial" w:eastAsia="Arial" w:hAnsi="Arial"/>
                <w:sz w:val="14"/>
                <w:szCs w:val="14"/>
                <w:b w:val="1"/>
                <w:bCs w:val="1"/>
                <w:color w:val="auto"/>
                <w:w w:val="94"/>
              </w:rPr>
              <w:t>Healthcare</w:t>
            </w:r>
          </w:p>
        </w:tc>
        <w:tc>
          <w:tcPr>
            <w:tcW w:w="0" w:type="dxa"/>
            <w:vAlign w:val="bottom"/>
          </w:tcPr>
          <w:p>
            <w:pPr>
              <w:spacing w:after="0"/>
              <w:rPr>
                <w:sz w:val="1"/>
                <w:szCs w:val="1"/>
                <w:color w:val="auto"/>
              </w:rPr>
            </w:pPr>
          </w:p>
        </w:tc>
      </w:tr>
      <w:tr>
        <w:trPr>
          <w:trHeight w:val="171"/>
        </w:trPr>
        <w:tc>
          <w:tcPr>
            <w:tcW w:w="47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96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9"/>
              </w:rPr>
              <w:t>OpCo</w:t>
            </w:r>
          </w:p>
        </w:tc>
        <w:tc>
          <w:tcPr>
            <w:tcW w:w="200" w:type="dxa"/>
            <w:vAlign w:val="bottom"/>
          </w:tcPr>
          <w:p>
            <w:pPr>
              <w:spacing w:after="0"/>
              <w:rPr>
                <w:sz w:val="14"/>
                <w:szCs w:val="14"/>
                <w:color w:val="auto"/>
              </w:rPr>
            </w:pPr>
          </w:p>
        </w:tc>
        <w:tc>
          <w:tcPr>
            <w:tcW w:w="800" w:type="dxa"/>
            <w:vAlign w:val="bottom"/>
          </w:tcPr>
          <w:p>
            <w:pPr>
              <w:ind w:left="20"/>
              <w:spacing w:after="0"/>
              <w:rPr>
                <w:sz w:val="20"/>
                <w:szCs w:val="20"/>
                <w:color w:val="auto"/>
              </w:rPr>
            </w:pPr>
            <w:r>
              <w:rPr>
                <w:rFonts w:ascii="Arial" w:cs="Arial" w:eastAsia="Arial" w:hAnsi="Arial"/>
                <w:sz w:val="14"/>
                <w:szCs w:val="14"/>
                <w:b w:val="1"/>
                <w:bCs w:val="1"/>
                <w:color w:val="auto"/>
                <w:w w:val="89"/>
              </w:rPr>
              <w:t>Adjustments</w:t>
            </w:r>
          </w:p>
        </w:tc>
        <w:tc>
          <w:tcPr>
            <w:tcW w:w="480" w:type="dxa"/>
            <w:vAlign w:val="bottom"/>
          </w:tcPr>
          <w:p>
            <w:pPr>
              <w:spacing w:after="0"/>
              <w:rPr>
                <w:sz w:val="14"/>
                <w:szCs w:val="14"/>
                <w:color w:val="auto"/>
              </w:rPr>
            </w:pPr>
          </w:p>
        </w:tc>
        <w:tc>
          <w:tcPr>
            <w:tcW w:w="680" w:type="dxa"/>
            <w:vAlign w:val="bottom"/>
          </w:tcPr>
          <w:p>
            <w:pPr>
              <w:jc w:val="center"/>
              <w:spacing w:after="0"/>
              <w:rPr>
                <w:sz w:val="20"/>
                <w:szCs w:val="20"/>
                <w:color w:val="auto"/>
              </w:rPr>
            </w:pPr>
            <w:r>
              <w:rPr>
                <w:rFonts w:ascii="Arial" w:cs="Arial" w:eastAsia="Arial" w:hAnsi="Arial"/>
                <w:sz w:val="14"/>
                <w:szCs w:val="14"/>
                <w:b w:val="1"/>
                <w:bCs w:val="1"/>
                <w:color w:val="auto"/>
                <w:w w:val="98"/>
              </w:rPr>
              <w:t>Corp.</w:t>
            </w:r>
          </w:p>
        </w:tc>
        <w:tc>
          <w:tcPr>
            <w:tcW w:w="560" w:type="dxa"/>
            <w:vAlign w:val="bottom"/>
          </w:tcPr>
          <w:p>
            <w:pPr>
              <w:spacing w:after="0"/>
              <w:rPr>
                <w:sz w:val="14"/>
                <w:szCs w:val="14"/>
                <w:color w:val="auto"/>
              </w:rPr>
            </w:pPr>
          </w:p>
        </w:tc>
        <w:tc>
          <w:tcPr>
            <w:tcW w:w="740" w:type="dxa"/>
            <w:vAlign w:val="bottom"/>
          </w:tcPr>
          <w:p>
            <w:pPr>
              <w:spacing w:after="0"/>
              <w:rPr>
                <w:sz w:val="20"/>
                <w:szCs w:val="20"/>
                <w:color w:val="auto"/>
              </w:rPr>
            </w:pPr>
            <w:r>
              <w:rPr>
                <w:rFonts w:ascii="Arial" w:cs="Arial" w:eastAsia="Arial" w:hAnsi="Arial"/>
                <w:sz w:val="14"/>
                <w:szCs w:val="14"/>
                <w:b w:val="1"/>
                <w:bCs w:val="1"/>
                <w:color w:val="auto"/>
                <w:w w:val="93"/>
              </w:rPr>
              <w:t>Adjustment</w:t>
            </w:r>
          </w:p>
        </w:tc>
        <w:tc>
          <w:tcPr>
            <w:tcW w:w="460" w:type="dxa"/>
            <w:vAlign w:val="bottom"/>
          </w:tcPr>
          <w:p>
            <w:pPr>
              <w:spacing w:after="0"/>
              <w:rPr>
                <w:sz w:val="14"/>
                <w:szCs w:val="14"/>
                <w:color w:val="auto"/>
              </w:rPr>
            </w:pPr>
          </w:p>
        </w:tc>
        <w:tc>
          <w:tcPr>
            <w:tcW w:w="760" w:type="dxa"/>
            <w:vAlign w:val="bottom"/>
            <w:gridSpan w:val="2"/>
          </w:tcPr>
          <w:p>
            <w:pPr>
              <w:jc w:val="center"/>
              <w:ind w:right="40"/>
              <w:spacing w:after="0"/>
              <w:rPr>
                <w:sz w:val="20"/>
                <w:szCs w:val="20"/>
                <w:color w:val="auto"/>
              </w:rPr>
            </w:pPr>
            <w:r>
              <w:rPr>
                <w:rFonts w:ascii="Arial" w:cs="Arial" w:eastAsia="Arial" w:hAnsi="Arial"/>
                <w:sz w:val="14"/>
                <w:szCs w:val="14"/>
                <w:b w:val="1"/>
                <w:bCs w:val="1"/>
                <w:color w:val="auto"/>
                <w:w w:val="98"/>
              </w:rPr>
              <w:t>Corp.</w:t>
            </w:r>
          </w:p>
        </w:tc>
        <w:tc>
          <w:tcPr>
            <w:tcW w:w="0" w:type="dxa"/>
            <w:vAlign w:val="bottom"/>
          </w:tcPr>
          <w:p>
            <w:pPr>
              <w:spacing w:after="0"/>
              <w:rPr>
                <w:sz w:val="1"/>
                <w:szCs w:val="1"/>
                <w:color w:val="auto"/>
              </w:rPr>
            </w:pPr>
          </w:p>
        </w:tc>
      </w:tr>
      <w:tr>
        <w:trPr>
          <w:trHeight w:val="196"/>
        </w:trPr>
        <w:tc>
          <w:tcPr>
            <w:tcW w:w="47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4"/>
                <w:szCs w:val="14"/>
                <w:color w:val="auto"/>
              </w:rPr>
              <w:t>($ in thousands, except per share data)</w:t>
            </w:r>
          </w:p>
        </w:tc>
        <w:tc>
          <w:tcPr>
            <w:tcW w:w="660" w:type="dxa"/>
            <w:vAlign w:val="bottom"/>
            <w:tcBorders>
              <w:top w:val="single" w:sz="8" w:color="CCEEFF"/>
            </w:tcBorders>
            <w:shd w:val="clear" w:color="auto" w:fill="CCEEFF"/>
          </w:tcPr>
          <w:p>
            <w:pPr>
              <w:spacing w:after="0"/>
              <w:rPr>
                <w:sz w:val="17"/>
                <w:szCs w:val="17"/>
                <w:color w:val="auto"/>
              </w:rPr>
            </w:pPr>
          </w:p>
        </w:tc>
        <w:tc>
          <w:tcPr>
            <w:tcW w:w="700" w:type="dxa"/>
            <w:vAlign w:val="bottom"/>
            <w:tcBorders>
              <w:top w:val="single" w:sz="8" w:color="auto"/>
            </w:tcBorders>
            <w:shd w:val="clear" w:color="auto" w:fill="CCEEFF"/>
          </w:tcPr>
          <w:p>
            <w:pPr>
              <w:spacing w:after="0"/>
              <w:rPr>
                <w:sz w:val="17"/>
                <w:szCs w:val="17"/>
                <w:color w:val="auto"/>
              </w:rPr>
            </w:pPr>
          </w:p>
        </w:tc>
        <w:tc>
          <w:tcPr>
            <w:tcW w:w="26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800" w:type="dxa"/>
            <w:vAlign w:val="bottom"/>
            <w:tcBorders>
              <w:top w:val="single" w:sz="8" w:color="auto"/>
            </w:tcBorders>
            <w:shd w:val="clear" w:color="auto" w:fill="CCEEFF"/>
          </w:tcPr>
          <w:p>
            <w:pPr>
              <w:spacing w:after="0"/>
              <w:rPr>
                <w:sz w:val="17"/>
                <w:szCs w:val="17"/>
                <w:color w:val="auto"/>
              </w:rPr>
            </w:pPr>
          </w:p>
        </w:tc>
        <w:tc>
          <w:tcPr>
            <w:tcW w:w="480" w:type="dxa"/>
            <w:vAlign w:val="bottom"/>
            <w:tcBorders>
              <w:top w:val="single" w:sz="8" w:color="CCEEFF"/>
            </w:tcBorders>
            <w:shd w:val="clear" w:color="auto" w:fill="CCEEFF"/>
          </w:tcPr>
          <w:p>
            <w:pPr>
              <w:spacing w:after="0"/>
              <w:rPr>
                <w:sz w:val="17"/>
                <w:szCs w:val="17"/>
                <w:color w:val="auto"/>
              </w:rPr>
            </w:pPr>
          </w:p>
        </w:tc>
        <w:tc>
          <w:tcPr>
            <w:tcW w:w="680" w:type="dxa"/>
            <w:vAlign w:val="bottom"/>
            <w:tcBorders>
              <w:top w:val="single" w:sz="8" w:color="auto"/>
            </w:tcBorders>
            <w:shd w:val="clear" w:color="auto" w:fill="CCEEFF"/>
          </w:tcPr>
          <w:p>
            <w:pPr>
              <w:spacing w:after="0"/>
              <w:rPr>
                <w:sz w:val="17"/>
                <w:szCs w:val="17"/>
                <w:color w:val="auto"/>
              </w:rPr>
            </w:pPr>
          </w:p>
        </w:tc>
        <w:tc>
          <w:tcPr>
            <w:tcW w:w="560" w:type="dxa"/>
            <w:vAlign w:val="bottom"/>
            <w:tcBorders>
              <w:top w:val="single" w:sz="8" w:color="CCEEFF"/>
            </w:tcBorders>
            <w:shd w:val="clear" w:color="auto" w:fill="CCEEFF"/>
          </w:tcPr>
          <w:p>
            <w:pPr>
              <w:spacing w:after="0"/>
              <w:rPr>
                <w:sz w:val="17"/>
                <w:szCs w:val="17"/>
                <w:color w:val="auto"/>
              </w:rPr>
            </w:pPr>
          </w:p>
        </w:tc>
        <w:tc>
          <w:tcPr>
            <w:tcW w:w="740" w:type="dxa"/>
            <w:vAlign w:val="bottom"/>
            <w:tcBorders>
              <w:top w:val="single" w:sz="8" w:color="auto"/>
            </w:tcBorders>
            <w:shd w:val="clear" w:color="auto" w:fill="CCEEFF"/>
          </w:tcPr>
          <w:p>
            <w:pPr>
              <w:spacing w:after="0"/>
              <w:rPr>
                <w:sz w:val="17"/>
                <w:szCs w:val="17"/>
                <w:color w:val="auto"/>
              </w:rPr>
            </w:pPr>
          </w:p>
        </w:tc>
        <w:tc>
          <w:tcPr>
            <w:tcW w:w="460" w:type="dxa"/>
            <w:vAlign w:val="bottom"/>
            <w:tcBorders>
              <w:top w:val="single" w:sz="8" w:color="CCEEFF"/>
            </w:tcBorders>
            <w:shd w:val="clear" w:color="auto" w:fill="CCEEFF"/>
          </w:tcPr>
          <w:p>
            <w:pPr>
              <w:spacing w:after="0"/>
              <w:rPr>
                <w:sz w:val="17"/>
                <w:szCs w:val="17"/>
                <w:color w:val="auto"/>
              </w:rPr>
            </w:pPr>
          </w:p>
        </w:tc>
        <w:tc>
          <w:tcPr>
            <w:tcW w:w="700" w:type="dxa"/>
            <w:vAlign w:val="bottom"/>
            <w:tcBorders>
              <w:top w:val="single" w:sz="8" w:color="auto"/>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720" w:type="dxa"/>
            <w:vAlign w:val="bottom"/>
          </w:tcPr>
          <w:p>
            <w:pPr>
              <w:spacing w:after="0"/>
              <w:rPr>
                <w:sz w:val="20"/>
                <w:szCs w:val="20"/>
                <w:color w:val="auto"/>
              </w:rPr>
            </w:pPr>
            <w:r>
              <w:rPr>
                <w:rFonts w:ascii="Arial" w:cs="Arial" w:eastAsia="Arial" w:hAnsi="Arial"/>
                <w:sz w:val="18"/>
                <w:szCs w:val="18"/>
                <w:color w:val="auto"/>
              </w:rPr>
              <w:t>Revenue</w:t>
            </w:r>
          </w:p>
        </w:tc>
        <w:tc>
          <w:tcPr>
            <w:tcW w:w="1620" w:type="dxa"/>
            <w:vAlign w:val="bottom"/>
            <w:gridSpan w:val="3"/>
          </w:tcPr>
          <w:p>
            <w:pPr>
              <w:jc w:val="right"/>
              <w:ind w:right="260"/>
              <w:spacing w:after="0"/>
              <w:rPr>
                <w:sz w:val="20"/>
                <w:szCs w:val="20"/>
                <w:color w:val="auto"/>
              </w:rPr>
            </w:pPr>
            <w:r>
              <w:rPr>
                <w:rFonts w:ascii="Arial" w:cs="Arial" w:eastAsia="Arial" w:hAnsi="Arial"/>
                <w:sz w:val="18"/>
                <w:szCs w:val="18"/>
                <w:color w:val="auto"/>
              </w:rPr>
              <w:t>$ 118,317</w:t>
            </w: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160" w:type="dxa"/>
            <w:vAlign w:val="bottom"/>
            <w:gridSpan w:val="2"/>
          </w:tcPr>
          <w:p>
            <w:pPr>
              <w:jc w:val="right"/>
              <w:ind w:right="528"/>
              <w:spacing w:after="0"/>
              <w:rPr>
                <w:sz w:val="20"/>
                <w:szCs w:val="20"/>
                <w:color w:val="auto"/>
              </w:rPr>
            </w:pPr>
            <w:r>
              <w:rPr>
                <w:rFonts w:ascii="Arial" w:cs="Arial" w:eastAsia="Arial" w:hAnsi="Arial"/>
                <w:sz w:val="18"/>
                <w:szCs w:val="18"/>
                <w:color w:val="auto"/>
              </w:rPr>
              <w:t>$</w:t>
            </w:r>
          </w:p>
        </w:tc>
        <w:tc>
          <w:tcPr>
            <w:tcW w:w="5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160" w:type="dxa"/>
            <w:vAlign w:val="bottom"/>
            <w:gridSpan w:val="2"/>
          </w:tcPr>
          <w:p>
            <w:pPr>
              <w:jc w:val="right"/>
              <w:ind w:right="528"/>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20" w:type="dxa"/>
            <w:vAlign w:val="bottom"/>
            <w:shd w:val="clear" w:color="auto" w:fill="CCEEFF"/>
          </w:tcPr>
          <w:p>
            <w:pPr>
              <w:spacing w:after="0"/>
              <w:rPr>
                <w:sz w:val="20"/>
                <w:szCs w:val="20"/>
                <w:color w:val="auto"/>
              </w:rPr>
            </w:pPr>
            <w:r>
              <w:rPr>
                <w:rFonts w:ascii="Arial" w:cs="Arial" w:eastAsia="Arial" w:hAnsi="Arial"/>
                <w:sz w:val="18"/>
                <w:szCs w:val="18"/>
                <w:color w:val="auto"/>
              </w:rPr>
              <w:t>Cost of revenue:</w:t>
            </w:r>
          </w:p>
        </w:tc>
        <w:tc>
          <w:tcPr>
            <w:tcW w:w="6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20" w:type="dxa"/>
            <w:vAlign w:val="bottom"/>
          </w:tcPr>
          <w:p>
            <w:pPr>
              <w:spacing w:after="0"/>
              <w:rPr>
                <w:sz w:val="20"/>
                <w:szCs w:val="20"/>
                <w:color w:val="auto"/>
              </w:rPr>
            </w:pPr>
            <w:r>
              <w:rPr>
                <w:rFonts w:ascii="Arial" w:cs="Arial" w:eastAsia="Arial" w:hAnsi="Arial"/>
                <w:sz w:val="18"/>
                <w:szCs w:val="18"/>
                <w:color w:val="auto"/>
              </w:rPr>
              <w:t>Cost of revenue exclusive of amortization shown below</w:t>
            </w:r>
          </w:p>
        </w:tc>
        <w:tc>
          <w:tcPr>
            <w:tcW w:w="1620" w:type="dxa"/>
            <w:vAlign w:val="bottom"/>
            <w:gridSpan w:val="3"/>
          </w:tcPr>
          <w:p>
            <w:pPr>
              <w:jc w:val="right"/>
              <w:ind w:right="260"/>
              <w:spacing w:after="0"/>
              <w:rPr>
                <w:sz w:val="20"/>
                <w:szCs w:val="20"/>
                <w:color w:val="auto"/>
              </w:rPr>
            </w:pPr>
            <w:r>
              <w:rPr>
                <w:rFonts w:ascii="Arial" w:cs="Arial" w:eastAsia="Arial" w:hAnsi="Arial"/>
                <w:sz w:val="18"/>
                <w:szCs w:val="18"/>
                <w:color w:val="auto"/>
              </w:rPr>
              <w:t>11,085</w:t>
            </w: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20" w:type="dxa"/>
            <w:vAlign w:val="bottom"/>
            <w:shd w:val="clear" w:color="auto" w:fill="CCEEFF"/>
          </w:tcPr>
          <w:p>
            <w:pPr>
              <w:spacing w:after="0"/>
              <w:rPr>
                <w:sz w:val="20"/>
                <w:szCs w:val="20"/>
                <w:color w:val="auto"/>
              </w:rPr>
            </w:pPr>
            <w:r>
              <w:rPr>
                <w:rFonts w:ascii="Arial" w:cs="Arial" w:eastAsia="Arial" w:hAnsi="Arial"/>
                <w:sz w:val="18"/>
                <w:szCs w:val="18"/>
                <w:color w:val="auto"/>
              </w:rPr>
              <w:t>Amortization</w:t>
            </w:r>
          </w:p>
        </w:tc>
        <w:tc>
          <w:tcPr>
            <w:tcW w:w="162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19,383</w:t>
            </w:r>
          </w:p>
        </w:tc>
        <w:tc>
          <w:tcPr>
            <w:tcW w:w="2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720" w:type="dxa"/>
            <w:vAlign w:val="bottom"/>
          </w:tcPr>
          <w:p>
            <w:pPr>
              <w:spacing w:after="0"/>
              <w:rPr>
                <w:sz w:val="20"/>
                <w:szCs w:val="20"/>
                <w:color w:val="auto"/>
              </w:rPr>
            </w:pPr>
            <w:r>
              <w:rPr>
                <w:rFonts w:ascii="Arial" w:cs="Arial" w:eastAsia="Arial" w:hAnsi="Arial"/>
                <w:sz w:val="18"/>
                <w:szCs w:val="18"/>
                <w:b w:val="1"/>
                <w:bCs w:val="1"/>
                <w:color w:val="auto"/>
              </w:rPr>
              <w:t>Gross profit</w:t>
            </w:r>
          </w:p>
        </w:tc>
        <w:tc>
          <w:tcPr>
            <w:tcW w:w="660" w:type="dxa"/>
            <w:vAlign w:val="bottom"/>
          </w:tcPr>
          <w:p>
            <w:pPr>
              <w:spacing w:after="0"/>
              <w:rPr>
                <w:sz w:val="20"/>
                <w:szCs w:val="20"/>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87,849</w:t>
            </w:r>
          </w:p>
        </w:tc>
        <w:tc>
          <w:tcPr>
            <w:tcW w:w="2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0" w:type="dxa"/>
            <w:vAlign w:val="bottom"/>
            <w:tcBorders>
              <w:top w:val="single" w:sz="8" w:color="auto"/>
              <w:bottom w:val="single" w:sz="8" w:color="auto"/>
            </w:tcBorders>
          </w:tcPr>
          <w:p>
            <w:pPr>
              <w:spacing w:after="0"/>
              <w:rPr>
                <w:sz w:val="20"/>
                <w:szCs w:val="20"/>
                <w:color w:val="auto"/>
              </w:rPr>
            </w:pPr>
          </w:p>
        </w:tc>
        <w:tc>
          <w:tcPr>
            <w:tcW w:w="480" w:type="dxa"/>
            <w:vAlign w:val="bottom"/>
          </w:tcPr>
          <w:p>
            <w:pPr>
              <w:spacing w:after="0"/>
              <w:rPr>
                <w:sz w:val="20"/>
                <w:szCs w:val="20"/>
                <w:color w:val="auto"/>
              </w:rPr>
            </w:pPr>
          </w:p>
        </w:tc>
        <w:tc>
          <w:tcPr>
            <w:tcW w:w="680" w:type="dxa"/>
            <w:vAlign w:val="bottom"/>
            <w:tcBorders>
              <w:top w:val="single" w:sz="8" w:color="auto"/>
              <w:bottom w:val="single" w:sz="8" w:color="auto"/>
            </w:tcBorders>
          </w:tcPr>
          <w:p>
            <w:pPr>
              <w:spacing w:after="0"/>
              <w:rPr>
                <w:sz w:val="20"/>
                <w:szCs w:val="20"/>
                <w:color w:val="auto"/>
              </w:rPr>
            </w:pPr>
          </w:p>
        </w:tc>
        <w:tc>
          <w:tcPr>
            <w:tcW w:w="560" w:type="dxa"/>
            <w:vAlign w:val="bottom"/>
          </w:tcPr>
          <w:p>
            <w:pPr>
              <w:spacing w:after="0"/>
              <w:rPr>
                <w:sz w:val="20"/>
                <w:szCs w:val="20"/>
                <w:color w:val="auto"/>
              </w:rPr>
            </w:pPr>
          </w:p>
        </w:tc>
        <w:tc>
          <w:tcPr>
            <w:tcW w:w="740" w:type="dxa"/>
            <w:vAlign w:val="bottom"/>
            <w:tcBorders>
              <w:top w:val="single" w:sz="8" w:color="auto"/>
              <w:bottom w:val="single" w:sz="8" w:color="auto"/>
            </w:tcBorders>
          </w:tcPr>
          <w:p>
            <w:pPr>
              <w:spacing w:after="0"/>
              <w:rPr>
                <w:sz w:val="20"/>
                <w:szCs w:val="20"/>
                <w:color w:val="auto"/>
              </w:rPr>
            </w:pPr>
          </w:p>
        </w:tc>
        <w:tc>
          <w:tcPr>
            <w:tcW w:w="460" w:type="dxa"/>
            <w:vAlign w:val="bottom"/>
          </w:tcPr>
          <w:p>
            <w:pPr>
              <w:spacing w:after="0"/>
              <w:rPr>
                <w:sz w:val="20"/>
                <w:szCs w:val="20"/>
                <w:color w:val="auto"/>
              </w:rPr>
            </w:pPr>
          </w:p>
        </w:tc>
        <w:tc>
          <w:tcPr>
            <w:tcW w:w="700" w:type="dxa"/>
            <w:vAlign w:val="bottom"/>
            <w:tcBorders>
              <w:top w:val="single" w:sz="8" w:color="auto"/>
              <w:bottom w:val="single" w:sz="8" w:color="auto"/>
            </w:tcBorders>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4720" w:type="dxa"/>
            <w:vAlign w:val="bottom"/>
            <w:shd w:val="clear" w:color="auto" w:fill="CCEEFF"/>
          </w:tcPr>
          <w:p>
            <w:pPr>
              <w:spacing w:after="0"/>
              <w:rPr>
                <w:sz w:val="20"/>
                <w:szCs w:val="20"/>
                <w:color w:val="auto"/>
              </w:rPr>
            </w:pPr>
            <w:r>
              <w:rPr>
                <w:rFonts w:ascii="Arial" w:cs="Arial" w:eastAsia="Arial" w:hAnsi="Arial"/>
                <w:sz w:val="18"/>
                <w:szCs w:val="18"/>
                <w:color w:val="auto"/>
              </w:rPr>
              <w:t>Operating expenses:</w:t>
            </w:r>
          </w:p>
        </w:tc>
        <w:tc>
          <w:tcPr>
            <w:tcW w:w="6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20" w:type="dxa"/>
            <w:vAlign w:val="bottom"/>
          </w:tcPr>
          <w:p>
            <w:pPr>
              <w:spacing w:after="0"/>
              <w:rPr>
                <w:sz w:val="20"/>
                <w:szCs w:val="20"/>
                <w:color w:val="auto"/>
              </w:rPr>
            </w:pPr>
            <w:r>
              <w:rPr>
                <w:rFonts w:ascii="Arial" w:cs="Arial" w:eastAsia="Arial" w:hAnsi="Arial"/>
                <w:sz w:val="18"/>
                <w:szCs w:val="18"/>
                <w:color w:val="auto"/>
              </w:rPr>
              <w:t>Sales and marketing</w:t>
            </w:r>
          </w:p>
        </w:tc>
        <w:tc>
          <w:tcPr>
            <w:tcW w:w="1620" w:type="dxa"/>
            <w:vAlign w:val="bottom"/>
            <w:gridSpan w:val="3"/>
          </w:tcPr>
          <w:p>
            <w:pPr>
              <w:jc w:val="right"/>
              <w:ind w:right="260"/>
              <w:spacing w:after="0"/>
              <w:rPr>
                <w:sz w:val="20"/>
                <w:szCs w:val="20"/>
                <w:color w:val="auto"/>
              </w:rPr>
            </w:pPr>
            <w:r>
              <w:rPr>
                <w:rFonts w:ascii="Arial" w:cs="Arial" w:eastAsia="Arial" w:hAnsi="Arial"/>
                <w:sz w:val="18"/>
                <w:szCs w:val="18"/>
                <w:color w:val="auto"/>
              </w:rPr>
              <w:t>34,332</w:t>
            </w: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20" w:type="dxa"/>
            <w:vAlign w:val="bottom"/>
            <w:shd w:val="clear" w:color="auto" w:fill="CCEEFF"/>
          </w:tcPr>
          <w:p>
            <w:pPr>
              <w:spacing w:after="0"/>
              <w:rPr>
                <w:sz w:val="20"/>
                <w:szCs w:val="20"/>
                <w:color w:val="auto"/>
              </w:rPr>
            </w:pPr>
            <w:r>
              <w:rPr>
                <w:rFonts w:ascii="Arial" w:cs="Arial" w:eastAsia="Arial" w:hAnsi="Arial"/>
                <w:sz w:val="18"/>
                <w:szCs w:val="18"/>
                <w:color w:val="auto"/>
              </w:rPr>
              <w:t>Product development</w:t>
            </w:r>
          </w:p>
        </w:tc>
        <w:tc>
          <w:tcPr>
            <w:tcW w:w="162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11,062</w:t>
            </w:r>
          </w:p>
        </w:tc>
        <w:tc>
          <w:tcPr>
            <w:tcW w:w="2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20" w:type="dxa"/>
            <w:vAlign w:val="bottom"/>
          </w:tcPr>
          <w:p>
            <w:pPr>
              <w:spacing w:after="0"/>
              <w:rPr>
                <w:sz w:val="20"/>
                <w:szCs w:val="20"/>
                <w:color w:val="auto"/>
              </w:rPr>
            </w:pPr>
            <w:r>
              <w:rPr>
                <w:rFonts w:ascii="Arial" w:cs="Arial" w:eastAsia="Arial" w:hAnsi="Arial"/>
                <w:sz w:val="18"/>
                <w:szCs w:val="18"/>
                <w:color w:val="auto"/>
              </w:rPr>
              <w:t>General and administrative</w:t>
            </w:r>
          </w:p>
        </w:tc>
        <w:tc>
          <w:tcPr>
            <w:tcW w:w="1620" w:type="dxa"/>
            <w:vAlign w:val="bottom"/>
            <w:gridSpan w:val="3"/>
          </w:tcPr>
          <w:p>
            <w:pPr>
              <w:jc w:val="right"/>
              <w:ind w:right="260"/>
              <w:spacing w:after="0"/>
              <w:rPr>
                <w:sz w:val="20"/>
                <w:szCs w:val="20"/>
                <w:color w:val="auto"/>
              </w:rPr>
            </w:pPr>
            <w:r>
              <w:rPr>
                <w:rFonts w:ascii="Arial" w:cs="Arial" w:eastAsia="Arial" w:hAnsi="Arial"/>
                <w:sz w:val="18"/>
                <w:szCs w:val="18"/>
                <w:color w:val="auto"/>
              </w:rPr>
              <w:t>12,927</w:t>
            </w: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20" w:type="dxa"/>
            <w:vAlign w:val="bottom"/>
            <w:shd w:val="clear" w:color="auto" w:fill="CCEEFF"/>
          </w:tcPr>
          <w:p>
            <w:pPr>
              <w:spacing w:after="0"/>
              <w:rPr>
                <w:sz w:val="20"/>
                <w:szCs w:val="20"/>
                <w:color w:val="auto"/>
              </w:rPr>
            </w:pPr>
            <w:r>
              <w:rPr>
                <w:rFonts w:ascii="Arial" w:cs="Arial" w:eastAsia="Arial" w:hAnsi="Arial"/>
                <w:sz w:val="18"/>
                <w:szCs w:val="18"/>
                <w:color w:val="auto"/>
              </w:rPr>
              <w:t>Depreciation and amortization</w:t>
            </w:r>
          </w:p>
        </w:tc>
        <w:tc>
          <w:tcPr>
            <w:tcW w:w="162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40,197</w:t>
            </w:r>
          </w:p>
        </w:tc>
        <w:tc>
          <w:tcPr>
            <w:tcW w:w="2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720" w:type="dxa"/>
            <w:vAlign w:val="bottom"/>
          </w:tcPr>
          <w:p>
            <w:pPr>
              <w:spacing w:after="0"/>
              <w:rPr>
                <w:sz w:val="20"/>
                <w:szCs w:val="20"/>
                <w:color w:val="auto"/>
              </w:rPr>
            </w:pPr>
            <w:r>
              <w:rPr>
                <w:rFonts w:ascii="Arial" w:cs="Arial" w:eastAsia="Arial" w:hAnsi="Arial"/>
                <w:sz w:val="18"/>
                <w:szCs w:val="18"/>
                <w:color w:val="auto"/>
              </w:rPr>
              <w:t>Transaction expenses</w:t>
            </w:r>
          </w:p>
        </w:tc>
        <w:tc>
          <w:tcPr>
            <w:tcW w:w="660" w:type="dxa"/>
            <w:vAlign w:val="bottom"/>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3,776</w:t>
            </w: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0" w:type="dxa"/>
            <w:vAlign w:val="bottom"/>
            <w:tcBorders>
              <w:bottom w:val="single" w:sz="8" w:color="auto"/>
            </w:tcBorders>
          </w:tcPr>
          <w:p>
            <w:pPr>
              <w:spacing w:after="0"/>
              <w:rPr>
                <w:sz w:val="19"/>
                <w:szCs w:val="19"/>
                <w:color w:val="auto"/>
              </w:rPr>
            </w:pPr>
          </w:p>
        </w:tc>
        <w:tc>
          <w:tcPr>
            <w:tcW w:w="480" w:type="dxa"/>
            <w:vAlign w:val="bottom"/>
          </w:tcPr>
          <w:p>
            <w:pPr>
              <w:spacing w:after="0"/>
              <w:rPr>
                <w:sz w:val="19"/>
                <w:szCs w:val="19"/>
                <w:color w:val="auto"/>
              </w:rPr>
            </w:pPr>
          </w:p>
        </w:tc>
        <w:tc>
          <w:tcPr>
            <w:tcW w:w="680" w:type="dxa"/>
            <w:vAlign w:val="bottom"/>
            <w:tcBorders>
              <w:bottom w:val="single" w:sz="8" w:color="auto"/>
            </w:tcBorders>
          </w:tcPr>
          <w:p>
            <w:pPr>
              <w:spacing w:after="0"/>
              <w:rPr>
                <w:sz w:val="19"/>
                <w:szCs w:val="19"/>
                <w:color w:val="auto"/>
              </w:rPr>
            </w:pPr>
          </w:p>
        </w:tc>
        <w:tc>
          <w:tcPr>
            <w:tcW w:w="560" w:type="dxa"/>
            <w:vAlign w:val="bottom"/>
          </w:tcPr>
          <w:p>
            <w:pPr>
              <w:spacing w:after="0"/>
              <w:rPr>
                <w:sz w:val="19"/>
                <w:szCs w:val="19"/>
                <w:color w:val="auto"/>
              </w:rPr>
            </w:pPr>
          </w:p>
        </w:tc>
        <w:tc>
          <w:tcPr>
            <w:tcW w:w="740" w:type="dxa"/>
            <w:vAlign w:val="bottom"/>
            <w:tcBorders>
              <w:bottom w:val="single" w:sz="8" w:color="auto"/>
            </w:tcBorders>
          </w:tcPr>
          <w:p>
            <w:pPr>
              <w:spacing w:after="0"/>
              <w:rPr>
                <w:sz w:val="19"/>
                <w:szCs w:val="19"/>
                <w:color w:val="auto"/>
              </w:rPr>
            </w:pPr>
          </w:p>
        </w:tc>
        <w:tc>
          <w:tcPr>
            <w:tcW w:w="460" w:type="dxa"/>
            <w:vAlign w:val="bottom"/>
          </w:tcPr>
          <w:p>
            <w:pPr>
              <w:spacing w:after="0"/>
              <w:rPr>
                <w:sz w:val="19"/>
                <w:szCs w:val="19"/>
                <w:color w:val="auto"/>
              </w:rPr>
            </w:pPr>
          </w:p>
        </w:tc>
        <w:tc>
          <w:tcPr>
            <w:tcW w:w="700" w:type="dxa"/>
            <w:vAlign w:val="bottom"/>
            <w:tcBorders>
              <w:bottom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7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operating expenses</w:t>
            </w:r>
          </w:p>
        </w:tc>
        <w:tc>
          <w:tcPr>
            <w:tcW w:w="162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102,294</w:t>
            </w:r>
          </w:p>
        </w:tc>
        <w:tc>
          <w:tcPr>
            <w:tcW w:w="2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20" w:type="dxa"/>
            <w:vAlign w:val="bottom"/>
          </w:tcPr>
          <w:p>
            <w:pPr>
              <w:spacing w:after="0"/>
              <w:rPr>
                <w:sz w:val="20"/>
                <w:szCs w:val="20"/>
                <w:color w:val="auto"/>
              </w:rPr>
            </w:pPr>
            <w:r>
              <w:rPr>
                <w:rFonts w:ascii="Arial" w:cs="Arial" w:eastAsia="Arial" w:hAnsi="Arial"/>
                <w:sz w:val="18"/>
                <w:szCs w:val="18"/>
                <w:color w:val="auto"/>
              </w:rPr>
              <w:t>(Loss) income from operations</w:t>
            </w:r>
          </w:p>
        </w:tc>
        <w:tc>
          <w:tcPr>
            <w:tcW w:w="1620" w:type="dxa"/>
            <w:vAlign w:val="bottom"/>
            <w:gridSpan w:val="3"/>
          </w:tcPr>
          <w:p>
            <w:pPr>
              <w:jc w:val="right"/>
              <w:ind w:right="200"/>
              <w:spacing w:after="0"/>
              <w:rPr>
                <w:sz w:val="20"/>
                <w:szCs w:val="20"/>
                <w:color w:val="auto"/>
              </w:rPr>
            </w:pPr>
            <w:r>
              <w:rPr>
                <w:rFonts w:ascii="Arial" w:cs="Arial" w:eastAsia="Arial" w:hAnsi="Arial"/>
                <w:sz w:val="18"/>
                <w:szCs w:val="18"/>
                <w:color w:val="auto"/>
              </w:rPr>
              <w:t>(14,445)</w:t>
            </w: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20" w:type="dxa"/>
            <w:vAlign w:val="bottom"/>
            <w:shd w:val="clear" w:color="auto" w:fill="CCEEFF"/>
          </w:tcPr>
          <w:p>
            <w:pPr>
              <w:spacing w:after="0"/>
              <w:rPr>
                <w:sz w:val="20"/>
                <w:szCs w:val="20"/>
                <w:color w:val="auto"/>
              </w:rPr>
            </w:pPr>
            <w:r>
              <w:rPr>
                <w:rFonts w:ascii="Arial" w:cs="Arial" w:eastAsia="Arial" w:hAnsi="Arial"/>
                <w:sz w:val="18"/>
                <w:szCs w:val="18"/>
                <w:color w:val="auto"/>
              </w:rPr>
              <w:t>Other expense, net:</w:t>
            </w:r>
          </w:p>
        </w:tc>
        <w:tc>
          <w:tcPr>
            <w:tcW w:w="6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20" w:type="dxa"/>
            <w:vAlign w:val="bottom"/>
          </w:tcPr>
          <w:p>
            <w:pPr>
              <w:spacing w:after="0"/>
              <w:rPr>
                <w:sz w:val="20"/>
                <w:szCs w:val="20"/>
                <w:color w:val="auto"/>
              </w:rPr>
            </w:pPr>
            <w:r>
              <w:rPr>
                <w:rFonts w:ascii="Arial" w:cs="Arial" w:eastAsia="Arial" w:hAnsi="Arial"/>
                <w:sz w:val="18"/>
                <w:szCs w:val="18"/>
                <w:color w:val="auto"/>
              </w:rPr>
              <w:t>Foreign currency transaction gain (loss)</w:t>
            </w:r>
          </w:p>
        </w:tc>
        <w:tc>
          <w:tcPr>
            <w:tcW w:w="1620" w:type="dxa"/>
            <w:vAlign w:val="bottom"/>
            <w:gridSpan w:val="3"/>
          </w:tcPr>
          <w:p>
            <w:pPr>
              <w:jc w:val="right"/>
              <w:ind w:right="200"/>
              <w:spacing w:after="0"/>
              <w:rPr>
                <w:sz w:val="20"/>
                <w:szCs w:val="20"/>
                <w:color w:val="auto"/>
              </w:rPr>
            </w:pPr>
            <w:r>
              <w:rPr>
                <w:rFonts w:ascii="Arial" w:cs="Arial" w:eastAsia="Arial" w:hAnsi="Arial"/>
                <w:sz w:val="18"/>
                <w:szCs w:val="18"/>
                <w:color w:val="auto"/>
              </w:rPr>
              <w:t>(222)</w:t>
            </w: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20" w:type="dxa"/>
            <w:vAlign w:val="bottom"/>
            <w:shd w:val="clear" w:color="auto" w:fill="CCEEFF"/>
          </w:tcPr>
          <w:p>
            <w:pPr>
              <w:spacing w:after="0"/>
              <w:rPr>
                <w:sz w:val="20"/>
                <w:szCs w:val="20"/>
                <w:color w:val="auto"/>
              </w:rPr>
            </w:pPr>
            <w:r>
              <w:rPr>
                <w:rFonts w:ascii="Arial" w:cs="Arial" w:eastAsia="Arial" w:hAnsi="Arial"/>
                <w:sz w:val="18"/>
                <w:szCs w:val="18"/>
                <w:color w:val="auto"/>
              </w:rPr>
              <w:t>Interest expense, net</w:t>
            </w:r>
          </w:p>
        </w:tc>
        <w:tc>
          <w:tcPr>
            <w:tcW w:w="162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(36,490)</w:t>
            </w:r>
          </w:p>
        </w:tc>
        <w:tc>
          <w:tcPr>
            <w:tcW w:w="2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720" w:type="dxa"/>
            <w:vAlign w:val="bottom"/>
          </w:tcPr>
          <w:p>
            <w:pPr>
              <w:spacing w:after="0"/>
              <w:rPr>
                <w:sz w:val="20"/>
                <w:szCs w:val="20"/>
                <w:color w:val="auto"/>
              </w:rPr>
            </w:pPr>
            <w:r>
              <w:rPr>
                <w:rFonts w:ascii="Arial" w:cs="Arial" w:eastAsia="Arial" w:hAnsi="Arial"/>
                <w:sz w:val="18"/>
                <w:szCs w:val="18"/>
                <w:color w:val="auto"/>
              </w:rPr>
              <w:t>Total other expense, net</w:t>
            </w:r>
          </w:p>
        </w:tc>
        <w:tc>
          <w:tcPr>
            <w:tcW w:w="660" w:type="dxa"/>
            <w:vAlign w:val="bottom"/>
          </w:tcPr>
          <w:p>
            <w:pPr>
              <w:spacing w:after="0"/>
              <w:rPr>
                <w:sz w:val="20"/>
                <w:szCs w:val="20"/>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(36,712)</w:t>
            </w:r>
          </w:p>
        </w:tc>
        <w:tc>
          <w:tcPr>
            <w:tcW w:w="2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0" w:type="dxa"/>
            <w:vAlign w:val="bottom"/>
            <w:tcBorders>
              <w:top w:val="single" w:sz="8" w:color="auto"/>
              <w:bottom w:val="single" w:sz="8" w:color="auto"/>
            </w:tcBorders>
          </w:tcPr>
          <w:p>
            <w:pPr>
              <w:spacing w:after="0"/>
              <w:rPr>
                <w:sz w:val="20"/>
                <w:szCs w:val="20"/>
                <w:color w:val="auto"/>
              </w:rPr>
            </w:pPr>
          </w:p>
        </w:tc>
        <w:tc>
          <w:tcPr>
            <w:tcW w:w="480" w:type="dxa"/>
            <w:vAlign w:val="bottom"/>
          </w:tcPr>
          <w:p>
            <w:pPr>
              <w:spacing w:after="0"/>
              <w:rPr>
                <w:sz w:val="20"/>
                <w:szCs w:val="20"/>
                <w:color w:val="auto"/>
              </w:rPr>
            </w:pPr>
          </w:p>
        </w:tc>
        <w:tc>
          <w:tcPr>
            <w:tcW w:w="680" w:type="dxa"/>
            <w:vAlign w:val="bottom"/>
            <w:tcBorders>
              <w:top w:val="single" w:sz="8" w:color="auto"/>
              <w:bottom w:val="single" w:sz="8" w:color="auto"/>
            </w:tcBorders>
          </w:tcPr>
          <w:p>
            <w:pPr>
              <w:spacing w:after="0"/>
              <w:rPr>
                <w:sz w:val="20"/>
                <w:szCs w:val="20"/>
                <w:color w:val="auto"/>
              </w:rPr>
            </w:pPr>
          </w:p>
        </w:tc>
        <w:tc>
          <w:tcPr>
            <w:tcW w:w="560" w:type="dxa"/>
            <w:vAlign w:val="bottom"/>
          </w:tcPr>
          <w:p>
            <w:pPr>
              <w:spacing w:after="0"/>
              <w:rPr>
                <w:sz w:val="20"/>
                <w:szCs w:val="20"/>
                <w:color w:val="auto"/>
              </w:rPr>
            </w:pPr>
          </w:p>
        </w:tc>
        <w:tc>
          <w:tcPr>
            <w:tcW w:w="740" w:type="dxa"/>
            <w:vAlign w:val="bottom"/>
            <w:tcBorders>
              <w:top w:val="single" w:sz="8" w:color="auto"/>
              <w:bottom w:val="single" w:sz="8" w:color="auto"/>
            </w:tcBorders>
          </w:tcPr>
          <w:p>
            <w:pPr>
              <w:spacing w:after="0"/>
              <w:rPr>
                <w:sz w:val="20"/>
                <w:szCs w:val="20"/>
                <w:color w:val="auto"/>
              </w:rPr>
            </w:pPr>
          </w:p>
        </w:tc>
        <w:tc>
          <w:tcPr>
            <w:tcW w:w="460" w:type="dxa"/>
            <w:vAlign w:val="bottom"/>
          </w:tcPr>
          <w:p>
            <w:pPr>
              <w:spacing w:after="0"/>
              <w:rPr>
                <w:sz w:val="20"/>
                <w:szCs w:val="20"/>
                <w:color w:val="auto"/>
              </w:rPr>
            </w:pPr>
          </w:p>
        </w:tc>
        <w:tc>
          <w:tcPr>
            <w:tcW w:w="700" w:type="dxa"/>
            <w:vAlign w:val="bottom"/>
            <w:tcBorders>
              <w:top w:val="single" w:sz="8" w:color="auto"/>
              <w:bottom w:val="single" w:sz="8" w:color="auto"/>
            </w:tcBorders>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47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Loss before income taxes</w:t>
            </w:r>
          </w:p>
        </w:tc>
        <w:tc>
          <w:tcPr>
            <w:tcW w:w="162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(51,157)</w:t>
            </w:r>
          </w:p>
        </w:tc>
        <w:tc>
          <w:tcPr>
            <w:tcW w:w="2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720" w:type="dxa"/>
            <w:vAlign w:val="bottom"/>
          </w:tcPr>
          <w:p>
            <w:pPr>
              <w:spacing w:after="0"/>
              <w:rPr>
                <w:sz w:val="20"/>
                <w:szCs w:val="20"/>
                <w:color w:val="auto"/>
              </w:rPr>
            </w:pPr>
            <w:r>
              <w:rPr>
                <w:rFonts w:ascii="Arial" w:cs="Arial" w:eastAsia="Arial" w:hAnsi="Arial"/>
                <w:sz w:val="18"/>
                <w:szCs w:val="18"/>
                <w:color w:val="auto"/>
              </w:rPr>
              <w:t>Income tax expense</w:t>
            </w:r>
          </w:p>
        </w:tc>
        <w:tc>
          <w:tcPr>
            <w:tcW w:w="660" w:type="dxa"/>
            <w:vAlign w:val="bottom"/>
          </w:tcPr>
          <w:p>
            <w:pPr>
              <w:spacing w:after="0"/>
              <w:rPr>
                <w:sz w:val="19"/>
                <w:szCs w:val="19"/>
                <w:color w:val="auto"/>
              </w:rPr>
            </w:pPr>
          </w:p>
        </w:tc>
        <w:tc>
          <w:tcPr>
            <w:tcW w:w="700" w:type="dxa"/>
            <w:vAlign w:val="bottom"/>
            <w:tcBorders>
              <w:bottom w:val="single" w:sz="8" w:color="auto"/>
            </w:tcBorders>
          </w:tcPr>
          <w:p>
            <w:pPr>
              <w:jc w:val="right"/>
              <w:ind w:right="17"/>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0" w:type="dxa"/>
            <w:vAlign w:val="bottom"/>
            <w:tcBorders>
              <w:bottom w:val="single" w:sz="8" w:color="auto"/>
            </w:tcBorders>
          </w:tcPr>
          <w:p>
            <w:pPr>
              <w:spacing w:after="0"/>
              <w:rPr>
                <w:sz w:val="19"/>
                <w:szCs w:val="19"/>
                <w:color w:val="auto"/>
              </w:rPr>
            </w:pPr>
          </w:p>
        </w:tc>
        <w:tc>
          <w:tcPr>
            <w:tcW w:w="480" w:type="dxa"/>
            <w:vAlign w:val="bottom"/>
          </w:tcPr>
          <w:p>
            <w:pPr>
              <w:spacing w:after="0"/>
              <w:rPr>
                <w:sz w:val="19"/>
                <w:szCs w:val="19"/>
                <w:color w:val="auto"/>
              </w:rPr>
            </w:pPr>
          </w:p>
        </w:tc>
        <w:tc>
          <w:tcPr>
            <w:tcW w:w="680" w:type="dxa"/>
            <w:vAlign w:val="bottom"/>
            <w:tcBorders>
              <w:bottom w:val="single" w:sz="8" w:color="auto"/>
            </w:tcBorders>
          </w:tcPr>
          <w:p>
            <w:pPr>
              <w:spacing w:after="0"/>
              <w:rPr>
                <w:sz w:val="19"/>
                <w:szCs w:val="19"/>
                <w:color w:val="auto"/>
              </w:rPr>
            </w:pPr>
          </w:p>
        </w:tc>
        <w:tc>
          <w:tcPr>
            <w:tcW w:w="560" w:type="dxa"/>
            <w:vAlign w:val="bottom"/>
          </w:tcPr>
          <w:p>
            <w:pPr>
              <w:spacing w:after="0"/>
              <w:rPr>
                <w:sz w:val="19"/>
                <w:szCs w:val="19"/>
                <w:color w:val="auto"/>
              </w:rPr>
            </w:pPr>
          </w:p>
        </w:tc>
        <w:tc>
          <w:tcPr>
            <w:tcW w:w="740" w:type="dxa"/>
            <w:vAlign w:val="bottom"/>
            <w:tcBorders>
              <w:bottom w:val="single" w:sz="8" w:color="auto"/>
            </w:tcBorders>
          </w:tcPr>
          <w:p>
            <w:pPr>
              <w:spacing w:after="0"/>
              <w:rPr>
                <w:sz w:val="19"/>
                <w:szCs w:val="19"/>
                <w:color w:val="auto"/>
              </w:rPr>
            </w:pPr>
          </w:p>
        </w:tc>
        <w:tc>
          <w:tcPr>
            <w:tcW w:w="460" w:type="dxa"/>
            <w:vAlign w:val="bottom"/>
          </w:tcPr>
          <w:p>
            <w:pPr>
              <w:spacing w:after="0"/>
              <w:rPr>
                <w:sz w:val="19"/>
                <w:szCs w:val="19"/>
                <w:color w:val="auto"/>
              </w:rPr>
            </w:pPr>
          </w:p>
        </w:tc>
        <w:tc>
          <w:tcPr>
            <w:tcW w:w="700" w:type="dxa"/>
            <w:vAlign w:val="bottom"/>
            <w:tcBorders>
              <w:bottom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7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Net loss</w:t>
            </w:r>
          </w:p>
        </w:tc>
        <w:tc>
          <w:tcPr>
            <w:tcW w:w="162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(51,157)</w:t>
            </w:r>
          </w:p>
        </w:tc>
        <w:tc>
          <w:tcPr>
            <w:tcW w:w="2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720" w:type="dxa"/>
            <w:vAlign w:val="bottom"/>
          </w:tcPr>
          <w:p>
            <w:pPr>
              <w:spacing w:after="0"/>
              <w:rPr>
                <w:sz w:val="20"/>
                <w:szCs w:val="20"/>
                <w:color w:val="auto"/>
              </w:rPr>
            </w:pPr>
            <w:r>
              <w:rPr>
                <w:rFonts w:ascii="Arial" w:cs="Arial" w:eastAsia="Arial" w:hAnsi="Arial"/>
                <w:sz w:val="18"/>
                <w:szCs w:val="18"/>
                <w:color w:val="auto"/>
              </w:rPr>
              <w:t>Net loss attributable to noncontrolling interests</w:t>
            </w:r>
          </w:p>
        </w:tc>
        <w:tc>
          <w:tcPr>
            <w:tcW w:w="660" w:type="dxa"/>
            <w:vAlign w:val="bottom"/>
          </w:tcPr>
          <w:p>
            <w:pPr>
              <w:spacing w:after="0"/>
              <w:rPr>
                <w:sz w:val="19"/>
                <w:szCs w:val="19"/>
                <w:color w:val="auto"/>
              </w:rPr>
            </w:pPr>
          </w:p>
        </w:tc>
        <w:tc>
          <w:tcPr>
            <w:tcW w:w="700" w:type="dxa"/>
            <w:vAlign w:val="bottom"/>
            <w:tcBorders>
              <w:bottom w:val="single" w:sz="8" w:color="auto"/>
            </w:tcBorders>
          </w:tcPr>
          <w:p>
            <w:pPr>
              <w:jc w:val="right"/>
              <w:ind w:right="17"/>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0" w:type="dxa"/>
            <w:vAlign w:val="bottom"/>
            <w:tcBorders>
              <w:bottom w:val="single" w:sz="8" w:color="auto"/>
            </w:tcBorders>
          </w:tcPr>
          <w:p>
            <w:pPr>
              <w:spacing w:after="0"/>
              <w:rPr>
                <w:sz w:val="19"/>
                <w:szCs w:val="19"/>
                <w:color w:val="auto"/>
              </w:rPr>
            </w:pPr>
          </w:p>
        </w:tc>
        <w:tc>
          <w:tcPr>
            <w:tcW w:w="480" w:type="dxa"/>
            <w:vAlign w:val="bottom"/>
          </w:tcPr>
          <w:p>
            <w:pPr>
              <w:spacing w:after="0"/>
              <w:rPr>
                <w:sz w:val="19"/>
                <w:szCs w:val="19"/>
                <w:color w:val="auto"/>
              </w:rPr>
            </w:pPr>
          </w:p>
        </w:tc>
        <w:tc>
          <w:tcPr>
            <w:tcW w:w="680" w:type="dxa"/>
            <w:vAlign w:val="bottom"/>
            <w:tcBorders>
              <w:bottom w:val="single" w:sz="8" w:color="auto"/>
            </w:tcBorders>
          </w:tcPr>
          <w:p>
            <w:pPr>
              <w:spacing w:after="0"/>
              <w:rPr>
                <w:sz w:val="19"/>
                <w:szCs w:val="19"/>
                <w:color w:val="auto"/>
              </w:rPr>
            </w:pPr>
          </w:p>
        </w:tc>
        <w:tc>
          <w:tcPr>
            <w:tcW w:w="560" w:type="dxa"/>
            <w:vAlign w:val="bottom"/>
          </w:tcPr>
          <w:p>
            <w:pPr>
              <w:spacing w:after="0"/>
              <w:rPr>
                <w:sz w:val="19"/>
                <w:szCs w:val="19"/>
                <w:color w:val="auto"/>
              </w:rPr>
            </w:pPr>
          </w:p>
        </w:tc>
        <w:tc>
          <w:tcPr>
            <w:tcW w:w="740" w:type="dxa"/>
            <w:vAlign w:val="bottom"/>
            <w:tcBorders>
              <w:bottom w:val="single" w:sz="8" w:color="auto"/>
            </w:tcBorders>
          </w:tcPr>
          <w:p>
            <w:pPr>
              <w:spacing w:after="0"/>
              <w:rPr>
                <w:sz w:val="19"/>
                <w:szCs w:val="19"/>
                <w:color w:val="auto"/>
              </w:rPr>
            </w:pPr>
          </w:p>
        </w:tc>
        <w:tc>
          <w:tcPr>
            <w:tcW w:w="460" w:type="dxa"/>
            <w:vAlign w:val="bottom"/>
          </w:tcPr>
          <w:p>
            <w:pPr>
              <w:spacing w:after="0"/>
              <w:rPr>
                <w:sz w:val="19"/>
                <w:szCs w:val="19"/>
                <w:color w:val="auto"/>
              </w:rPr>
            </w:pPr>
          </w:p>
        </w:tc>
        <w:tc>
          <w:tcPr>
            <w:tcW w:w="700" w:type="dxa"/>
            <w:vAlign w:val="bottom"/>
            <w:tcBorders>
              <w:bottom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7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Net loss attributable to Definitive Healthcare Corp.</w:t>
            </w:r>
          </w:p>
        </w:tc>
        <w:tc>
          <w:tcPr>
            <w:tcW w:w="162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 (51,157)</w:t>
            </w:r>
          </w:p>
        </w:tc>
        <w:tc>
          <w:tcPr>
            <w:tcW w:w="100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528"/>
              <w:spacing w:after="0"/>
              <w:rPr>
                <w:sz w:val="20"/>
                <w:szCs w:val="20"/>
                <w:color w:val="auto"/>
              </w:rPr>
            </w:pPr>
            <w:r>
              <w:rPr>
                <w:rFonts w:ascii="Arial" w:cs="Arial" w:eastAsia="Arial" w:hAnsi="Arial"/>
                <w:sz w:val="18"/>
                <w:szCs w:val="18"/>
                <w:color w:val="auto"/>
              </w:rPr>
              <w:t>$</w:t>
            </w:r>
          </w:p>
        </w:tc>
        <w:tc>
          <w:tcPr>
            <w:tcW w:w="1300" w:type="dxa"/>
            <w:vAlign w:val="bottom"/>
            <w:gridSpan w:val="2"/>
            <w:shd w:val="clear" w:color="auto" w:fill="CCEEFF"/>
          </w:tcPr>
          <w:p>
            <w:pPr>
              <w:ind w:left="56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528"/>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7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ind w:left="120"/>
        <w:spacing w:after="0"/>
        <w:rPr>
          <w:sz w:val="20"/>
          <w:szCs w:val="20"/>
          <w:color w:val="auto"/>
        </w:rPr>
      </w:pPr>
      <w:r>
        <w:rPr>
          <w:rFonts w:ascii="Arial" w:cs="Arial" w:eastAsia="Arial" w:hAnsi="Arial"/>
          <w:sz w:val="18"/>
          <w:szCs w:val="18"/>
          <w:b w:val="1"/>
          <w:bCs w:val="1"/>
          <w:color w:val="auto"/>
        </w:rPr>
        <w:t>Pro forma net loss per share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14605</wp:posOffset>
            </wp:positionV>
            <wp:extent cx="6995160" cy="27432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6995160" cy="274320"/>
                    </a:xfrm>
                    <a:prstGeom prst="rect">
                      <a:avLst/>
                    </a:prstGeom>
                    <a:noFill/>
                  </pic:spPr>
                </pic:pic>
              </a:graphicData>
            </a:graphic>
          </wp:anchor>
        </w:drawing>
      </w:r>
    </w:p>
    <w:p>
      <w:pPr>
        <w:spacing w:after="0" w:line="3" w:lineRule="exact"/>
        <w:rPr>
          <w:sz w:val="20"/>
          <w:szCs w:val="20"/>
          <w:color w:val="auto"/>
        </w:rPr>
      </w:pPr>
    </w:p>
    <w:p>
      <w:pPr>
        <w:ind w:left="120"/>
        <w:spacing w:after="0"/>
        <w:rPr>
          <w:sz w:val="20"/>
          <w:szCs w:val="20"/>
          <w:color w:val="auto"/>
        </w:rPr>
      </w:pPr>
      <w:r>
        <w:rPr>
          <w:rFonts w:ascii="Arial" w:cs="Arial" w:eastAsia="Arial" w:hAnsi="Arial"/>
          <w:sz w:val="18"/>
          <w:szCs w:val="18"/>
          <w:color w:val="auto"/>
        </w:rPr>
        <w:t>Pro forma weighted-average shares of Class A common stock</w:t>
      </w:r>
    </w:p>
    <w:p>
      <w:pPr>
        <w:spacing w:after="0" w:line="9" w:lineRule="exact"/>
        <w:rPr>
          <w:sz w:val="20"/>
          <w:szCs w:val="20"/>
          <w:color w:val="auto"/>
        </w:rPr>
      </w:pPr>
    </w:p>
    <w:p>
      <w:pPr>
        <w:ind w:left="300"/>
        <w:spacing w:after="0"/>
        <w:rPr>
          <w:sz w:val="20"/>
          <w:szCs w:val="20"/>
          <w:color w:val="auto"/>
        </w:rPr>
      </w:pPr>
      <w:r>
        <w:rPr>
          <w:rFonts w:ascii="Arial" w:cs="Arial" w:eastAsia="Arial" w:hAnsi="Arial"/>
          <w:sz w:val="18"/>
          <w:szCs w:val="18"/>
          <w:color w:val="auto"/>
        </w:rPr>
        <w:t>outstanding (3)</w:t>
      </w:r>
    </w:p>
    <w:p>
      <w:pPr>
        <w:spacing w:after="0" w:line="9" w:lineRule="exact"/>
        <w:rPr>
          <w:sz w:val="20"/>
          <w:szCs w:val="20"/>
          <w:color w:val="auto"/>
        </w:rPr>
      </w:pPr>
    </w:p>
    <w:p>
      <w:pPr>
        <w:ind w:left="480"/>
        <w:spacing w:after="0"/>
        <w:rPr>
          <w:sz w:val="20"/>
          <w:szCs w:val="20"/>
          <w:color w:val="auto"/>
        </w:rPr>
      </w:pPr>
      <w:r>
        <w:rPr>
          <w:rFonts w:ascii="Arial" w:cs="Arial" w:eastAsia="Arial" w:hAnsi="Arial"/>
          <w:sz w:val="18"/>
          <w:szCs w:val="18"/>
          <w:color w:val="auto"/>
        </w:rPr>
        <w:t>Basic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5715</wp:posOffset>
            </wp:positionV>
            <wp:extent cx="6995160" cy="13716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6995160" cy="137160"/>
                    </a:xfrm>
                    <a:prstGeom prst="rect">
                      <a:avLst/>
                    </a:prstGeom>
                    <a:noFill/>
                  </pic:spPr>
                </pic:pic>
              </a:graphicData>
            </a:graphic>
          </wp:anchor>
        </w:drawing>
      </w:r>
    </w:p>
    <w:p>
      <w:pPr>
        <w:ind w:left="480"/>
        <w:spacing w:after="0"/>
        <w:rPr>
          <w:sz w:val="20"/>
          <w:szCs w:val="20"/>
          <w:color w:val="auto"/>
        </w:rPr>
      </w:pPr>
      <w:r>
        <w:rPr>
          <w:rFonts w:ascii="Arial" w:cs="Arial" w:eastAsia="Arial" w:hAnsi="Arial"/>
          <w:sz w:val="18"/>
          <w:szCs w:val="18"/>
          <w:color w:val="auto"/>
        </w:rPr>
        <w:t>Diluted</w:t>
      </w:r>
    </w:p>
    <w:p>
      <w:pPr>
        <w:spacing w:after="0" w:line="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Net loss per share of Class A 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5715</wp:posOffset>
            </wp:positionV>
            <wp:extent cx="6995160" cy="13716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6995160" cy="137160"/>
                    </a:xfrm>
                    <a:prstGeom prst="rect">
                      <a:avLst/>
                    </a:prstGeom>
                    <a:noFill/>
                  </pic:spPr>
                </pic:pic>
              </a:graphicData>
            </a:graphic>
          </wp:anchor>
        </w:drawing>
      </w:r>
    </w:p>
    <w:p>
      <w:pPr>
        <w:ind w:left="480"/>
        <w:spacing w:after="0"/>
        <w:rPr>
          <w:sz w:val="20"/>
          <w:szCs w:val="20"/>
          <w:color w:val="auto"/>
        </w:rPr>
      </w:pPr>
      <w:r>
        <w:rPr>
          <w:rFonts w:ascii="Arial" w:cs="Arial" w:eastAsia="Arial" w:hAnsi="Arial"/>
          <w:sz w:val="18"/>
          <w:szCs w:val="18"/>
          <w:color w:val="auto"/>
        </w:rPr>
        <w:t>Basic</w:t>
      </w:r>
    </w:p>
    <w:p>
      <w:pPr>
        <w:spacing w:after="0" w:line="9" w:lineRule="exact"/>
        <w:rPr>
          <w:sz w:val="20"/>
          <w:szCs w:val="20"/>
          <w:color w:val="auto"/>
        </w:rPr>
      </w:pPr>
    </w:p>
    <w:p>
      <w:pPr>
        <w:ind w:left="480"/>
        <w:spacing w:after="0"/>
        <w:rPr>
          <w:sz w:val="20"/>
          <w:szCs w:val="20"/>
          <w:color w:val="auto"/>
        </w:rPr>
      </w:pPr>
      <w:r>
        <w:rPr>
          <w:rFonts w:ascii="Arial" w:cs="Arial" w:eastAsia="Arial" w:hAnsi="Arial"/>
          <w:sz w:val="18"/>
          <w:szCs w:val="18"/>
          <w:color w:val="auto"/>
        </w:rPr>
        <w:t>Diluted</w:t>
      </w:r>
    </w:p>
    <w:p>
      <w:pPr>
        <w:spacing w:after="0" w:line="211" w:lineRule="exact"/>
        <w:rPr>
          <w:sz w:val="20"/>
          <w:szCs w:val="20"/>
          <w:color w:val="auto"/>
        </w:rPr>
      </w:pPr>
    </w:p>
    <w:p>
      <w:pPr>
        <w:jc w:val="center"/>
        <w:ind w:right="-99"/>
        <w:spacing w:after="0"/>
        <w:rPr>
          <w:sz w:val="20"/>
          <w:szCs w:val="20"/>
          <w:color w:val="auto"/>
        </w:rPr>
      </w:pPr>
      <w:r>
        <w:rPr>
          <w:rFonts w:ascii="Arial" w:cs="Arial" w:eastAsia="Arial" w:hAnsi="Arial"/>
          <w:sz w:val="18"/>
          <w:szCs w:val="18"/>
          <w:i w:val="1"/>
          <w:iCs w:val="1"/>
          <w:color w:val="auto"/>
        </w:rPr>
        <w:t>See accompanying notes to unaudited pro forma financial information.</w:t>
      </w:r>
    </w:p>
    <w:p>
      <w:pPr>
        <w:spacing w:after="0" w:line="158"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75</w:t>
      </w:r>
    </w:p>
    <w:p>
      <w:pPr>
        <w:sectPr>
          <w:pgSz w:w="11900" w:h="16838" w:orient="portrait"/>
          <w:cols w:equalWidth="0" w:num="1">
            <w:col w:w="11140"/>
          </w:cols>
          <w:pgMar w:left="320" w:top="459" w:right="439" w:bottom="1440" w:gutter="0" w:footer="0" w:header="0"/>
        </w:sectPr>
      </w:pPr>
    </w:p>
    <w:bookmarkStart w:id="82" w:name="page83"/>
    <w:bookmarkEnd w:id="8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Confidential Treatment Requested by Definitive Healthcare Corp.</w:t>
      </w:r>
    </w:p>
    <w:p>
      <w:pPr>
        <w:spacing w:after="0" w:line="27"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Pursuant to 17 C.F.R. Section 200.83</w:t>
      </w:r>
    </w:p>
    <w:p>
      <w:pPr>
        <w:spacing w:after="0" w:line="13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Notes to Unaudited Pro Forma Consolidated Financial Information (Year Ended December 31, 2020)</w:t>
      </w:r>
    </w:p>
    <w:p>
      <w:pPr>
        <w:spacing w:after="0" w:line="135" w:lineRule="exact"/>
        <w:rPr>
          <w:sz w:val="20"/>
          <w:szCs w:val="20"/>
          <w:color w:val="auto"/>
        </w:rPr>
      </w:pPr>
    </w:p>
    <w:p>
      <w:pPr>
        <w:ind w:left="540" w:right="380" w:hanging="424"/>
        <w:spacing w:after="0" w:line="287" w:lineRule="auto"/>
        <w:tabs>
          <w:tab w:leader="none" w:pos="540" w:val="left"/>
        </w:tabs>
        <w:numPr>
          <w:ilvl w:val="0"/>
          <w:numId w:val="62"/>
        </w:numPr>
        <w:rPr>
          <w:rFonts w:ascii="Arial" w:cs="Arial" w:eastAsia="Arial" w:hAnsi="Arial"/>
          <w:sz w:val="16"/>
          <w:szCs w:val="16"/>
          <w:color w:val="auto"/>
        </w:rPr>
      </w:pPr>
      <w:r>
        <w:rPr>
          <w:rFonts w:ascii="Arial" w:cs="Arial" w:eastAsia="Arial" w:hAnsi="Arial"/>
          <w:sz w:val="16"/>
          <w:szCs w:val="16"/>
          <w:color w:val="auto"/>
        </w:rPr>
        <w:t>Following the Reorganization Transactions, Definitive Healthcare Corp. became subject to U.S. federal, state, local and foreign income taxes. Definitive OpCo is, and will continue to be, taxed as a partnership for federal income tax purposes and applicable state and local income tax purposes, and, as a result, its members, including Definitive Healthcare Corp., pays income taxes with respect to their allocable shares of its</w:t>
      </w:r>
    </w:p>
    <w:p>
      <w:pPr>
        <w:spacing w:after="0" w:line="2" w:lineRule="exact"/>
        <w:rPr>
          <w:sz w:val="20"/>
          <w:szCs w:val="20"/>
          <w:color w:val="auto"/>
        </w:rPr>
      </w:pPr>
    </w:p>
    <w:p>
      <w:pPr>
        <w:ind w:left="540" w:right="140"/>
        <w:spacing w:after="0" w:line="281" w:lineRule="auto"/>
        <w:rPr>
          <w:sz w:val="20"/>
          <w:szCs w:val="20"/>
          <w:color w:val="auto"/>
        </w:rPr>
      </w:pPr>
      <w:r>
        <w:rPr>
          <w:rFonts w:ascii="Arial" w:cs="Arial" w:eastAsia="Arial" w:hAnsi="Arial"/>
          <w:sz w:val="16"/>
          <w:szCs w:val="16"/>
          <w:color w:val="auto"/>
        </w:rPr>
        <w:t>taxable income. The pro forma adjustment for income tax expense represents tax expense on income that is taxable in jurisdictions after our corporate reorganization that previously had not been taxable. As a result, the pro forma statement of operations reflects an adjustment to income</w:t>
      </w:r>
    </w:p>
    <w:p>
      <w:pPr>
        <w:spacing w:after="0" w:line="1" w:lineRule="exact"/>
        <w:rPr>
          <w:sz w:val="20"/>
          <w:szCs w:val="20"/>
          <w:color w:val="auto"/>
        </w:rPr>
      </w:pPr>
    </w:p>
    <w:p>
      <w:pPr>
        <w:ind w:left="540" w:right="60"/>
        <w:spacing w:after="0" w:line="260" w:lineRule="auto"/>
        <w:rPr>
          <w:sz w:val="20"/>
          <w:szCs w:val="20"/>
          <w:color w:val="auto"/>
        </w:rPr>
      </w:pPr>
      <w:r>
        <w:rPr>
          <w:rFonts w:ascii="Arial" w:cs="Arial" w:eastAsia="Arial" w:hAnsi="Arial"/>
          <w:sz w:val="18"/>
          <w:szCs w:val="18"/>
          <w:color w:val="auto"/>
        </w:rPr>
        <w:t>tax expense for corporate income taxes of $ million for the year ended December 31, 2020 and $ million for the nine months ended September 30, 2021.</w:t>
      </w:r>
    </w:p>
    <w:p>
      <w:pPr>
        <w:spacing w:after="0" w:line="191" w:lineRule="exact"/>
        <w:rPr>
          <w:sz w:val="20"/>
          <w:szCs w:val="20"/>
          <w:color w:val="auto"/>
        </w:rPr>
      </w:pPr>
    </w:p>
    <w:tbl>
      <w:tblPr>
        <w:tblLayout w:type="fixed"/>
        <w:tblInd w:w="1880" w:type="dxa"/>
        <w:tblCellMar>
          <w:top w:w="0" w:type="dxa"/>
          <w:left w:w="0" w:type="dxa"/>
          <w:bottom w:w="0" w:type="dxa"/>
          <w:right w:w="0" w:type="dxa"/>
        </w:tblCellMar>
      </w:tblPr>
      <w:tr>
        <w:trPr>
          <w:trHeight w:val="161"/>
        </w:trPr>
        <w:tc>
          <w:tcPr>
            <w:tcW w:w="51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220" w:type="dxa"/>
            <w:vAlign w:val="bottom"/>
            <w:gridSpan w:val="2"/>
          </w:tcPr>
          <w:p>
            <w:pPr>
              <w:jc w:val="center"/>
              <w:ind w:right="40"/>
              <w:spacing w:after="0"/>
              <w:rPr>
                <w:sz w:val="20"/>
                <w:szCs w:val="20"/>
                <w:color w:val="auto"/>
              </w:rPr>
            </w:pPr>
            <w:r>
              <w:rPr>
                <w:rFonts w:ascii="Arial" w:cs="Arial" w:eastAsia="Arial" w:hAnsi="Arial"/>
                <w:sz w:val="14"/>
                <w:szCs w:val="14"/>
                <w:b w:val="1"/>
                <w:bCs w:val="1"/>
                <w:color w:val="auto"/>
                <w:w w:val="93"/>
              </w:rPr>
              <w:t>Twelve Months</w:t>
            </w:r>
          </w:p>
        </w:tc>
      </w:tr>
      <w:tr>
        <w:trPr>
          <w:trHeight w:val="148"/>
        </w:trPr>
        <w:tc>
          <w:tcPr>
            <w:tcW w:w="514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220" w:type="dxa"/>
            <w:vAlign w:val="bottom"/>
            <w:gridSpan w:val="2"/>
          </w:tcPr>
          <w:p>
            <w:pPr>
              <w:jc w:val="center"/>
              <w:ind w:right="60"/>
              <w:spacing w:after="0" w:line="149" w:lineRule="exact"/>
              <w:rPr>
                <w:sz w:val="20"/>
                <w:szCs w:val="20"/>
                <w:color w:val="auto"/>
              </w:rPr>
            </w:pPr>
            <w:r>
              <w:rPr>
                <w:rFonts w:ascii="Arial" w:cs="Arial" w:eastAsia="Arial" w:hAnsi="Arial"/>
                <w:sz w:val="14"/>
                <w:szCs w:val="14"/>
                <w:b w:val="1"/>
                <w:bCs w:val="1"/>
                <w:color w:val="auto"/>
                <w:w w:val="93"/>
              </w:rPr>
              <w:t>Ended</w:t>
            </w:r>
          </w:p>
        </w:tc>
      </w:tr>
      <w:tr>
        <w:trPr>
          <w:trHeight w:val="171"/>
        </w:trPr>
        <w:tc>
          <w:tcPr>
            <w:tcW w:w="51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220" w:type="dxa"/>
            <w:vAlign w:val="bottom"/>
            <w:gridSpan w:val="2"/>
          </w:tcPr>
          <w:p>
            <w:pPr>
              <w:spacing w:after="0"/>
              <w:rPr>
                <w:sz w:val="20"/>
                <w:szCs w:val="20"/>
                <w:color w:val="auto"/>
              </w:rPr>
            </w:pPr>
            <w:r>
              <w:rPr>
                <w:rFonts w:ascii="Arial" w:cs="Arial" w:eastAsia="Arial" w:hAnsi="Arial"/>
                <w:sz w:val="14"/>
                <w:szCs w:val="14"/>
                <w:b w:val="1"/>
                <w:bCs w:val="1"/>
                <w:color w:val="auto"/>
                <w:w w:val="95"/>
              </w:rPr>
              <w:t>December 31, 2020</w:t>
            </w:r>
          </w:p>
        </w:tc>
      </w:tr>
      <w:tr>
        <w:trPr>
          <w:trHeight w:val="209"/>
        </w:trPr>
        <w:tc>
          <w:tcPr>
            <w:tcW w:w="51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Income tax expense</w:t>
            </w:r>
          </w:p>
        </w:tc>
        <w:tc>
          <w:tcPr>
            <w:tcW w:w="1120" w:type="dxa"/>
            <w:vAlign w:val="bottom"/>
            <w:tcBorders>
              <w:top w:val="single" w:sz="8" w:color="CCEEFF"/>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0" w:type="dxa"/>
            <w:vAlign w:val="bottom"/>
            <w:tcBorders>
              <w:top w:val="single" w:sz="8" w:color="CCEEFF"/>
            </w:tcBorders>
            <w:shd w:val="clear" w:color="auto" w:fill="CCEEFF"/>
          </w:tcPr>
          <w:p>
            <w:pPr>
              <w:spacing w:after="0"/>
              <w:rPr>
                <w:sz w:val="18"/>
                <w:szCs w:val="18"/>
                <w:color w:val="auto"/>
              </w:rPr>
            </w:pPr>
          </w:p>
        </w:tc>
      </w:tr>
      <w:tr>
        <w:trPr>
          <w:trHeight w:val="216"/>
        </w:trPr>
        <w:tc>
          <w:tcPr>
            <w:tcW w:w="5140" w:type="dxa"/>
            <w:vAlign w:val="bottom"/>
          </w:tcPr>
          <w:p>
            <w:pPr>
              <w:spacing w:after="0"/>
              <w:rPr>
                <w:sz w:val="20"/>
                <w:szCs w:val="20"/>
                <w:color w:val="auto"/>
              </w:rPr>
            </w:pPr>
            <w:r>
              <w:rPr>
                <w:rFonts w:ascii="Arial" w:cs="Arial" w:eastAsia="Arial" w:hAnsi="Arial"/>
                <w:sz w:val="18"/>
                <w:szCs w:val="18"/>
                <w:color w:val="auto"/>
              </w:rPr>
              <w:t>Ownership % of the controlling interest</w:t>
            </w:r>
          </w:p>
        </w:tc>
        <w:tc>
          <w:tcPr>
            <w:tcW w:w="2340" w:type="dxa"/>
            <w:vAlign w:val="bottom"/>
            <w:gridSpan w:val="3"/>
          </w:tcPr>
          <w:p>
            <w:pPr>
              <w:jc w:val="right"/>
              <w:ind w:right="60"/>
              <w:spacing w:after="0"/>
              <w:rPr>
                <w:sz w:val="20"/>
                <w:szCs w:val="20"/>
                <w:color w:val="auto"/>
              </w:rPr>
            </w:pPr>
            <w:r>
              <w:rPr>
                <w:rFonts w:ascii="Arial" w:cs="Arial" w:eastAsia="Arial" w:hAnsi="Arial"/>
                <w:sz w:val="18"/>
                <w:szCs w:val="18"/>
                <w:color w:val="auto"/>
              </w:rPr>
              <w:t>%</w:t>
            </w:r>
          </w:p>
        </w:tc>
      </w:tr>
      <w:tr>
        <w:trPr>
          <w:trHeight w:val="216"/>
        </w:trPr>
        <w:tc>
          <w:tcPr>
            <w:tcW w:w="5140" w:type="dxa"/>
            <w:vAlign w:val="bottom"/>
            <w:shd w:val="clear" w:color="auto" w:fill="CCEEFF"/>
          </w:tcPr>
          <w:p>
            <w:pPr>
              <w:spacing w:after="0"/>
              <w:rPr>
                <w:sz w:val="20"/>
                <w:szCs w:val="20"/>
                <w:color w:val="auto"/>
              </w:rPr>
            </w:pPr>
            <w:r>
              <w:rPr>
                <w:rFonts w:ascii="Arial" w:cs="Arial" w:eastAsia="Arial" w:hAnsi="Arial"/>
                <w:sz w:val="18"/>
                <w:szCs w:val="18"/>
                <w:color w:val="auto"/>
              </w:rPr>
              <w:t>Pro forma income attributable to the controlling interest</w:t>
            </w:r>
          </w:p>
        </w:tc>
        <w:tc>
          <w:tcPr>
            <w:tcW w:w="1120" w:type="dxa"/>
            <w:vAlign w:val="bottom"/>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r>
    </w:tbl>
    <w:p>
      <w:pPr>
        <w:ind w:left="540" w:hanging="424"/>
        <w:spacing w:after="0" w:line="190" w:lineRule="auto"/>
        <w:tabs>
          <w:tab w:leader="none" w:pos="540" w:val="left"/>
        </w:tabs>
        <w:numPr>
          <w:ilvl w:val="0"/>
          <w:numId w:val="63"/>
        </w:numPr>
        <w:rPr>
          <w:rFonts w:ascii="Arial" w:cs="Arial" w:eastAsia="Arial" w:hAnsi="Arial"/>
          <w:sz w:val="15"/>
          <w:szCs w:val="15"/>
          <w:color w:val="auto"/>
        </w:rPr>
      </w:pPr>
      <w:r>
        <w:rPr>
          <w:rFonts w:ascii="Arial" w:cs="Arial" w:eastAsia="Arial" w:hAnsi="Arial"/>
          <w:sz w:val="15"/>
          <w:szCs w:val="15"/>
          <w:color w:val="auto"/>
        </w:rPr>
        <w:t>We are the sole managing member of Definitive OpCo pursuant to the Amended LLC Agreement. As a result, while we own less than 100% of the</w:t>
      </w:r>
    </w:p>
    <w:p>
      <w:pPr>
        <w:spacing w:after="0" w:line="200" w:lineRule="exact"/>
        <w:rPr>
          <w:sz w:val="20"/>
          <w:szCs w:val="20"/>
          <w:color w:val="auto"/>
        </w:rPr>
      </w:pPr>
    </w:p>
    <w:p>
      <w:pPr>
        <w:ind w:left="540"/>
        <w:spacing w:after="0" w:line="285" w:lineRule="auto"/>
        <w:rPr>
          <w:sz w:val="20"/>
          <w:szCs w:val="20"/>
          <w:color w:val="auto"/>
        </w:rPr>
      </w:pPr>
      <w:r>
        <w:rPr>
          <w:rFonts w:ascii="Arial" w:cs="Arial" w:eastAsia="Arial" w:hAnsi="Arial"/>
          <w:sz w:val="16"/>
          <w:szCs w:val="16"/>
          <w:color w:val="auto"/>
        </w:rPr>
        <w:t>economic interest in Definitive OpCo, we have 100% of the voting power and control the management of Definitive OpCo. Because we manage and operate the business and control the strategic decisions and day-to-day operations of Definitive OpCo and also have a substantial financial interest in Definitive OpCo, we consolidate the financial results of Definitive OpCo, and a portion of our net income (loss) is allocated to the noncontrolling interest to reflect the entitlement of Unitholders to a portion of Definitive OpCo’s net income (loss). We hold approximately % of Definitive OpCo’s outstanding LLC Units, exclusive of unvested incentive units as of the IPO date (or approximately % if the underwriters</w:t>
      </w:r>
    </w:p>
    <w:p>
      <w:pPr>
        <w:spacing w:after="0" w:line="2" w:lineRule="exact"/>
        <w:rPr>
          <w:sz w:val="20"/>
          <w:szCs w:val="20"/>
          <w:color w:val="auto"/>
        </w:rPr>
      </w:pPr>
    </w:p>
    <w:p>
      <w:pPr>
        <w:ind w:left="540" w:right="60"/>
        <w:spacing w:after="0" w:line="281" w:lineRule="auto"/>
        <w:rPr>
          <w:sz w:val="20"/>
          <w:szCs w:val="20"/>
          <w:color w:val="auto"/>
        </w:rPr>
      </w:pPr>
      <w:r>
        <w:rPr>
          <w:rFonts w:ascii="Arial" w:cs="Arial" w:eastAsia="Arial" w:hAnsi="Arial"/>
          <w:sz w:val="16"/>
          <w:szCs w:val="16"/>
          <w:color w:val="auto"/>
        </w:rPr>
        <w:t>exercise their option to purchase additional shares of Class A common stock in full), and the remaining LLC Units of Definitive OpCo are held by the Unitholders. Immediately following the Reorganization Transactions, the ownership percentage held by the noncontrolling interest was</w:t>
      </w:r>
    </w:p>
    <w:p>
      <w:pPr>
        <w:spacing w:after="0" w:line="1" w:lineRule="exact"/>
        <w:rPr>
          <w:sz w:val="20"/>
          <w:szCs w:val="20"/>
          <w:color w:val="auto"/>
        </w:rPr>
      </w:pPr>
    </w:p>
    <w:p>
      <w:pPr>
        <w:ind w:left="540"/>
        <w:spacing w:after="0"/>
        <w:tabs>
          <w:tab w:leader="none" w:pos="1980" w:val="left"/>
          <w:tab w:leader="none" w:pos="8300" w:val="left"/>
        </w:tabs>
        <w:rPr>
          <w:sz w:val="20"/>
          <w:szCs w:val="20"/>
          <w:color w:val="auto"/>
        </w:rPr>
      </w:pPr>
      <w:r>
        <w:rPr>
          <w:rFonts w:ascii="Arial" w:cs="Arial" w:eastAsia="Arial" w:hAnsi="Arial"/>
          <w:sz w:val="18"/>
          <w:szCs w:val="18"/>
          <w:color w:val="auto"/>
        </w:rPr>
        <w:t>approximately</w:t>
      </w:r>
      <w:r>
        <w:rPr>
          <w:sz w:val="20"/>
          <w:szCs w:val="20"/>
          <w:color w:val="auto"/>
        </w:rPr>
        <w:tab/>
      </w:r>
      <w:r>
        <w:rPr>
          <w:rFonts w:ascii="Arial" w:cs="Arial" w:eastAsia="Arial" w:hAnsi="Arial"/>
          <w:sz w:val="18"/>
          <w:szCs w:val="18"/>
          <w:color w:val="auto"/>
        </w:rPr>
        <w:t>%. Net loss attributable to the noncontrolling interest will represent approximately</w:t>
      </w:r>
      <w:r>
        <w:rPr>
          <w:sz w:val="20"/>
          <w:szCs w:val="20"/>
          <w:color w:val="auto"/>
        </w:rPr>
        <w:tab/>
      </w:r>
      <w:r>
        <w:rPr>
          <w:rFonts w:ascii="Arial" w:cs="Arial" w:eastAsia="Arial" w:hAnsi="Arial"/>
          <w:sz w:val="16"/>
          <w:szCs w:val="16"/>
          <w:color w:val="auto"/>
        </w:rPr>
        <w:t>% of net loss.</w:t>
      </w:r>
    </w:p>
    <w:p>
      <w:pPr>
        <w:spacing w:after="0" w:line="116" w:lineRule="exact"/>
        <w:rPr>
          <w:sz w:val="20"/>
          <w:szCs w:val="20"/>
          <w:color w:val="auto"/>
        </w:rPr>
      </w:pPr>
    </w:p>
    <w:p>
      <w:pPr>
        <w:ind w:left="540" w:right="320" w:hanging="424"/>
        <w:spacing w:after="0" w:line="301" w:lineRule="auto"/>
        <w:tabs>
          <w:tab w:leader="none" w:pos="540" w:val="left"/>
        </w:tabs>
        <w:numPr>
          <w:ilvl w:val="0"/>
          <w:numId w:val="64"/>
        </w:numPr>
        <w:rPr>
          <w:rFonts w:ascii="Arial" w:cs="Arial" w:eastAsia="Arial" w:hAnsi="Arial"/>
          <w:sz w:val="16"/>
          <w:szCs w:val="16"/>
          <w:color w:val="auto"/>
        </w:rPr>
      </w:pPr>
      <w:r>
        <w:rPr>
          <w:rFonts w:ascii="Arial" w:cs="Arial" w:eastAsia="Arial" w:hAnsi="Arial"/>
          <w:sz w:val="16"/>
          <w:szCs w:val="16"/>
          <w:color w:val="auto"/>
        </w:rPr>
        <w:t>Pro forma basic net loss per share of Class A common stock is computed by dividing the pro forma net loss available to Class A common stockholders by the pro forma weighted-average shares of Class A common stock outstanding during the period. Pro forma diluted net loss per share of Class A common stock is computed by adjusting the pro forma net loss available to Class A common stockholders and the pro forma weighted-average shares of Class A common stock outstanding to give effect to potentially dilutive securities.</w:t>
      </w:r>
    </w:p>
    <w:p>
      <w:pPr>
        <w:spacing w:after="0" w:line="163" w:lineRule="exact"/>
        <w:rPr>
          <w:sz w:val="20"/>
          <w:szCs w:val="20"/>
          <w:color w:val="auto"/>
        </w:rPr>
      </w:pPr>
    </w:p>
    <w:tbl>
      <w:tblPr>
        <w:tblLayout w:type="fixed"/>
        <w:tblInd w:w="560" w:type="dxa"/>
        <w:tblCellMar>
          <w:top w:w="0" w:type="dxa"/>
          <w:left w:w="0" w:type="dxa"/>
          <w:bottom w:w="0" w:type="dxa"/>
          <w:right w:w="0" w:type="dxa"/>
        </w:tblCellMar>
      </w:tblPr>
      <w:tr>
        <w:trPr>
          <w:trHeight w:val="161"/>
        </w:trPr>
        <w:tc>
          <w:tcPr>
            <w:tcW w:w="3100" w:type="dxa"/>
            <w:vAlign w:val="bottom"/>
          </w:tcPr>
          <w:p>
            <w:pPr>
              <w:spacing w:after="0"/>
              <w:rPr>
                <w:sz w:val="14"/>
                <w:szCs w:val="14"/>
                <w:color w:val="auto"/>
              </w:rPr>
            </w:pPr>
          </w:p>
        </w:tc>
        <w:tc>
          <w:tcPr>
            <w:tcW w:w="47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66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93"/>
              </w:rPr>
              <w:t>For the Twelve Months</w:t>
            </w:r>
          </w:p>
        </w:tc>
        <w:tc>
          <w:tcPr>
            <w:tcW w:w="0" w:type="dxa"/>
            <w:vAlign w:val="bottom"/>
          </w:tcPr>
          <w:p>
            <w:pPr>
              <w:spacing w:after="0"/>
              <w:rPr>
                <w:sz w:val="1"/>
                <w:szCs w:val="1"/>
                <w:color w:val="auto"/>
              </w:rPr>
            </w:pPr>
          </w:p>
        </w:tc>
      </w:tr>
      <w:tr>
        <w:trPr>
          <w:trHeight w:val="171"/>
        </w:trPr>
        <w:tc>
          <w:tcPr>
            <w:tcW w:w="3100" w:type="dxa"/>
            <w:vAlign w:val="bottom"/>
            <w:vMerge w:val="restart"/>
          </w:tcPr>
          <w:p>
            <w:pPr>
              <w:spacing w:after="0"/>
              <w:rPr>
                <w:sz w:val="20"/>
                <w:szCs w:val="20"/>
                <w:color w:val="auto"/>
              </w:rPr>
            </w:pPr>
            <w:r>
              <w:rPr>
                <w:rFonts w:ascii="Arial" w:cs="Arial" w:eastAsia="Arial" w:hAnsi="Arial"/>
                <w:sz w:val="14"/>
                <w:szCs w:val="14"/>
                <w:b w:val="1"/>
                <w:bCs w:val="1"/>
                <w:color w:val="auto"/>
                <w:w w:val="90"/>
              </w:rPr>
              <w:t>Pro forma loss per share of Class A common stock</w:t>
            </w:r>
          </w:p>
        </w:tc>
        <w:tc>
          <w:tcPr>
            <w:tcW w:w="4780" w:type="dxa"/>
            <w:vAlign w:val="bottom"/>
            <w:vMerge w:val="restart"/>
          </w:tcPr>
          <w:p>
            <w:pPr>
              <w:spacing w:after="0"/>
              <w:rPr>
                <w:sz w:val="14"/>
                <w:szCs w:val="14"/>
                <w:color w:val="auto"/>
              </w:rPr>
            </w:pPr>
          </w:p>
        </w:tc>
        <w:tc>
          <w:tcPr>
            <w:tcW w:w="1040" w:type="dxa"/>
            <w:vAlign w:val="bottom"/>
          </w:tcPr>
          <w:p>
            <w:pPr>
              <w:spacing w:after="0"/>
              <w:rPr>
                <w:sz w:val="14"/>
                <w:szCs w:val="14"/>
                <w:color w:val="auto"/>
              </w:rPr>
            </w:pPr>
          </w:p>
        </w:tc>
        <w:tc>
          <w:tcPr>
            <w:tcW w:w="1660" w:type="dxa"/>
            <w:vAlign w:val="bottom"/>
            <w:gridSpan w:val="2"/>
          </w:tcPr>
          <w:p>
            <w:pPr>
              <w:spacing w:after="0"/>
              <w:rPr>
                <w:sz w:val="20"/>
                <w:szCs w:val="20"/>
                <w:color w:val="auto"/>
              </w:rPr>
            </w:pPr>
            <w:r>
              <w:rPr>
                <w:rFonts w:ascii="Arial" w:cs="Arial" w:eastAsia="Arial" w:hAnsi="Arial"/>
                <w:sz w:val="14"/>
                <w:szCs w:val="14"/>
                <w:b w:val="1"/>
                <w:bCs w:val="1"/>
                <w:color w:val="auto"/>
                <w:w w:val="94"/>
              </w:rPr>
              <w:t>Ended December 31, 2020</w:t>
            </w:r>
          </w:p>
        </w:tc>
        <w:tc>
          <w:tcPr>
            <w:tcW w:w="0" w:type="dxa"/>
            <w:vAlign w:val="bottom"/>
          </w:tcPr>
          <w:p>
            <w:pPr>
              <w:spacing w:after="0"/>
              <w:rPr>
                <w:sz w:val="1"/>
                <w:szCs w:val="1"/>
                <w:color w:val="auto"/>
              </w:rPr>
            </w:pPr>
          </w:p>
        </w:tc>
      </w:tr>
      <w:tr>
        <w:trPr>
          <w:trHeight w:val="148"/>
        </w:trPr>
        <w:tc>
          <w:tcPr>
            <w:tcW w:w="3100" w:type="dxa"/>
            <w:vAlign w:val="bottom"/>
            <w:tcBorders>
              <w:bottom w:val="single" w:sz="8" w:color="auto"/>
            </w:tcBorders>
            <w:vMerge w:val="continue"/>
          </w:tcPr>
          <w:p>
            <w:pPr>
              <w:spacing w:after="0"/>
              <w:rPr>
                <w:sz w:val="12"/>
                <w:szCs w:val="12"/>
                <w:color w:val="auto"/>
              </w:rPr>
            </w:pPr>
          </w:p>
        </w:tc>
        <w:tc>
          <w:tcPr>
            <w:tcW w:w="4780" w:type="dxa"/>
            <w:vAlign w:val="bottom"/>
            <w:vMerge w:val="continue"/>
          </w:tcPr>
          <w:p>
            <w:pPr>
              <w:spacing w:after="0"/>
              <w:rPr>
                <w:sz w:val="12"/>
                <w:szCs w:val="12"/>
                <w:color w:val="auto"/>
              </w:rPr>
            </w:pPr>
          </w:p>
        </w:tc>
        <w:tc>
          <w:tcPr>
            <w:tcW w:w="1040" w:type="dxa"/>
            <w:vAlign w:val="bottom"/>
          </w:tcPr>
          <w:p>
            <w:pPr>
              <w:spacing w:after="0"/>
              <w:rPr>
                <w:sz w:val="12"/>
                <w:szCs w:val="12"/>
                <w:color w:val="auto"/>
              </w:rPr>
            </w:pPr>
          </w:p>
        </w:tc>
        <w:tc>
          <w:tcPr>
            <w:tcW w:w="1600" w:type="dxa"/>
            <w:vAlign w:val="bottom"/>
            <w:tcBorders>
              <w:top w:val="single" w:sz="8" w:color="auto"/>
            </w:tcBorders>
          </w:tcPr>
          <w:p>
            <w:pPr>
              <w:jc w:val="center"/>
              <w:spacing w:after="0" w:line="129" w:lineRule="exact"/>
              <w:rPr>
                <w:sz w:val="20"/>
                <w:szCs w:val="20"/>
                <w:color w:val="auto"/>
              </w:rPr>
            </w:pPr>
            <w:r>
              <w:rPr>
                <w:rFonts w:ascii="Arial" w:cs="Arial" w:eastAsia="Arial" w:hAnsi="Arial"/>
                <w:sz w:val="14"/>
                <w:szCs w:val="14"/>
                <w:b w:val="1"/>
                <w:bCs w:val="1"/>
                <w:color w:val="auto"/>
                <w:w w:val="91"/>
              </w:rPr>
              <w:t>(in thousands)</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0"/>
        </w:trPr>
        <w:tc>
          <w:tcPr>
            <w:tcW w:w="7880" w:type="dxa"/>
            <w:vAlign w:val="bottom"/>
            <w:tcBorders>
              <w:top w:val="single" w:sz="8" w:color="CCEEFF"/>
            </w:tcBorders>
            <w:gridSpan w:val="2"/>
            <w:shd w:val="clear" w:color="auto" w:fill="CCEEFF"/>
          </w:tcPr>
          <w:p>
            <w:pPr>
              <w:spacing w:after="0" w:line="189" w:lineRule="exact"/>
              <w:rPr>
                <w:sz w:val="20"/>
                <w:szCs w:val="20"/>
                <w:color w:val="auto"/>
              </w:rPr>
            </w:pPr>
            <w:r>
              <w:rPr>
                <w:rFonts w:ascii="Arial" w:cs="Arial" w:eastAsia="Arial" w:hAnsi="Arial"/>
                <w:sz w:val="18"/>
                <w:szCs w:val="18"/>
                <w:b w:val="1"/>
                <w:bCs w:val="1"/>
                <w:color w:val="auto"/>
              </w:rPr>
              <w:t>Numerator:</w:t>
            </w:r>
          </w:p>
        </w:tc>
        <w:tc>
          <w:tcPr>
            <w:tcW w:w="1040" w:type="dxa"/>
            <w:vAlign w:val="bottom"/>
            <w:tcBorders>
              <w:top w:val="single" w:sz="8" w:color="CCEEFF"/>
            </w:tcBorders>
            <w:shd w:val="clear" w:color="auto" w:fill="CCEEFF"/>
          </w:tcPr>
          <w:p>
            <w:pPr>
              <w:spacing w:after="0"/>
              <w:rPr>
                <w:sz w:val="16"/>
                <w:szCs w:val="16"/>
                <w:color w:val="auto"/>
              </w:rPr>
            </w:pPr>
          </w:p>
        </w:tc>
        <w:tc>
          <w:tcPr>
            <w:tcW w:w="1600" w:type="dxa"/>
            <w:vAlign w:val="bottom"/>
            <w:tcBorders>
              <w:top w:val="single" w:sz="8" w:color="auto"/>
            </w:tcBorders>
            <w:shd w:val="clear" w:color="auto" w:fill="CCEEFF"/>
          </w:tcPr>
          <w:p>
            <w:pPr>
              <w:spacing w:after="0"/>
              <w:rPr>
                <w:sz w:val="16"/>
                <w:szCs w:val="16"/>
                <w:color w:val="auto"/>
              </w:rPr>
            </w:pPr>
          </w:p>
        </w:tc>
        <w:tc>
          <w:tcPr>
            <w:tcW w:w="6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7880" w:type="dxa"/>
            <w:vAlign w:val="bottom"/>
            <w:gridSpan w:val="2"/>
          </w:tcPr>
          <w:p>
            <w:pPr>
              <w:spacing w:after="0"/>
              <w:rPr>
                <w:sz w:val="20"/>
                <w:szCs w:val="20"/>
                <w:color w:val="auto"/>
              </w:rPr>
            </w:pPr>
            <w:r>
              <w:rPr>
                <w:rFonts w:ascii="Arial" w:cs="Arial" w:eastAsia="Arial" w:hAnsi="Arial"/>
                <w:sz w:val="18"/>
                <w:szCs w:val="18"/>
                <w:color w:val="auto"/>
              </w:rPr>
              <w:t>Pro forma net loss attributable to the Issuer’s Class A common stockholders (basic and diluted)</w:t>
            </w:r>
          </w:p>
        </w:tc>
        <w:tc>
          <w:tcPr>
            <w:tcW w:w="2640" w:type="dxa"/>
            <w:vAlign w:val="bottom"/>
            <w:gridSpan w:val="2"/>
          </w:tcPr>
          <w:p>
            <w:pPr>
              <w:ind w:left="104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88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Denominator:</w:t>
            </w:r>
          </w:p>
        </w:tc>
        <w:tc>
          <w:tcPr>
            <w:tcW w:w="1040" w:type="dxa"/>
            <w:vAlign w:val="bottom"/>
            <w:shd w:val="clear" w:color="auto" w:fill="CCEEFF"/>
          </w:tcPr>
          <w:p>
            <w:pPr>
              <w:spacing w:after="0"/>
              <w:rPr>
                <w:sz w:val="18"/>
                <w:szCs w:val="18"/>
                <w:color w:val="auto"/>
              </w:rPr>
            </w:pPr>
          </w:p>
        </w:tc>
        <w:tc>
          <w:tcPr>
            <w:tcW w:w="16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880" w:type="dxa"/>
            <w:vAlign w:val="bottom"/>
            <w:gridSpan w:val="2"/>
          </w:tcPr>
          <w:p>
            <w:pPr>
              <w:spacing w:after="0"/>
              <w:rPr>
                <w:sz w:val="20"/>
                <w:szCs w:val="20"/>
                <w:color w:val="auto"/>
              </w:rPr>
            </w:pPr>
            <w:r>
              <w:rPr>
                <w:rFonts w:ascii="Arial" w:cs="Arial" w:eastAsia="Arial" w:hAnsi="Arial"/>
                <w:sz w:val="18"/>
                <w:szCs w:val="18"/>
                <w:color w:val="auto"/>
              </w:rPr>
              <w:t>Pro forma weighted average of shares of Class A common stock outstanding (basic)</w:t>
            </w:r>
          </w:p>
        </w:tc>
        <w:tc>
          <w:tcPr>
            <w:tcW w:w="104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88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Pro forma basic loss per share</w:t>
            </w:r>
          </w:p>
        </w:tc>
        <w:tc>
          <w:tcPr>
            <w:tcW w:w="2640" w:type="dxa"/>
            <w:vAlign w:val="bottom"/>
            <w:gridSpan w:val="2"/>
            <w:shd w:val="clear" w:color="auto" w:fill="CCEEFF"/>
          </w:tcPr>
          <w:p>
            <w:pPr>
              <w:ind w:left="104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7880" w:type="dxa"/>
            <w:vAlign w:val="bottom"/>
            <w:gridSpan w:val="2"/>
          </w:tcPr>
          <w:p>
            <w:pPr>
              <w:spacing w:after="0"/>
              <w:rPr>
                <w:sz w:val="20"/>
                <w:szCs w:val="20"/>
                <w:color w:val="auto"/>
              </w:rPr>
            </w:pPr>
            <w:r>
              <w:rPr>
                <w:rFonts w:ascii="Arial" w:cs="Arial" w:eastAsia="Arial" w:hAnsi="Arial"/>
                <w:sz w:val="18"/>
                <w:szCs w:val="18"/>
                <w:b w:val="1"/>
                <w:bCs w:val="1"/>
                <w:color w:val="auto"/>
              </w:rPr>
              <w:t>Antidilutive shares excluded</w:t>
            </w:r>
          </w:p>
        </w:tc>
        <w:tc>
          <w:tcPr>
            <w:tcW w:w="104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46"/>
        </w:trPr>
        <w:tc>
          <w:tcPr>
            <w:tcW w:w="7880" w:type="dxa"/>
            <w:vAlign w:val="bottom"/>
            <w:gridSpan w:val="2"/>
          </w:tcPr>
          <w:p>
            <w:pPr>
              <w:ind w:left="5080"/>
              <w:spacing w:after="0"/>
              <w:rPr>
                <w:sz w:val="20"/>
                <w:szCs w:val="20"/>
                <w:color w:val="auto"/>
              </w:rPr>
            </w:pPr>
            <w:r>
              <w:rPr>
                <w:rFonts w:ascii="Arial" w:cs="Arial" w:eastAsia="Arial" w:hAnsi="Arial"/>
                <w:sz w:val="18"/>
                <w:szCs w:val="18"/>
                <w:color w:val="auto"/>
              </w:rPr>
              <w:t>76</w:t>
            </w:r>
          </w:p>
        </w:tc>
        <w:tc>
          <w:tcPr>
            <w:tcW w:w="104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140"/>
          </w:cols>
          <w:pgMar w:left="320" w:top="459" w:right="439" w:bottom="1440" w:gutter="0" w:footer="0" w:header="0"/>
        </w:sectPr>
      </w:pPr>
    </w:p>
    <w:bookmarkStart w:id="83" w:name="page84"/>
    <w:bookmarkEnd w:id="8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Confidential Treatment Requested by Definitive Healthcare Corp.</w:t>
      </w:r>
    </w:p>
    <w:p>
      <w:pPr>
        <w:spacing w:after="0" w:line="27"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Pursuant to 17 C.F.R. Section 200.83</w:t>
      </w:r>
    </w:p>
    <w:p>
      <w:pPr>
        <w:spacing w:after="0" w:line="143" w:lineRule="exact"/>
        <w:rPr>
          <w:sz w:val="20"/>
          <w:szCs w:val="20"/>
          <w:color w:val="auto"/>
        </w:rPr>
      </w:pPr>
    </w:p>
    <w:p>
      <w:pPr>
        <w:ind w:left="540" w:hanging="424"/>
        <w:spacing w:after="0"/>
        <w:tabs>
          <w:tab w:leader="none" w:pos="540" w:val="left"/>
        </w:tabs>
        <w:numPr>
          <w:ilvl w:val="0"/>
          <w:numId w:val="65"/>
        </w:numPr>
        <w:rPr>
          <w:rFonts w:ascii="Arial" w:cs="Arial" w:eastAsia="Arial" w:hAnsi="Arial"/>
          <w:sz w:val="18"/>
          <w:szCs w:val="18"/>
          <w:color w:val="auto"/>
        </w:rPr>
      </w:pPr>
      <w:r>
        <w:rPr>
          <w:rFonts w:ascii="Arial" w:cs="Arial" w:eastAsia="Arial" w:hAnsi="Arial"/>
          <w:sz w:val="18"/>
          <w:szCs w:val="18"/>
          <w:color w:val="auto"/>
        </w:rPr>
        <w:t>Reflects the effects of the following equity-based compensation expenses:</w:t>
      </w:r>
    </w:p>
    <w:p>
      <w:pPr>
        <w:spacing w:after="0" w:line="131" w:lineRule="exact"/>
        <w:rPr>
          <w:sz w:val="20"/>
          <w:szCs w:val="20"/>
          <w:color w:val="auto"/>
        </w:rPr>
      </w:pPr>
    </w:p>
    <w:tbl>
      <w:tblPr>
        <w:tblLayout w:type="fixed"/>
        <w:tblInd w:w="540" w:type="dxa"/>
        <w:tblCellMar>
          <w:top w:w="0" w:type="dxa"/>
          <w:left w:w="0" w:type="dxa"/>
          <w:bottom w:w="0" w:type="dxa"/>
          <w:right w:w="0" w:type="dxa"/>
        </w:tblCellMar>
      </w:tblPr>
      <w:tr>
        <w:trPr>
          <w:trHeight w:val="216"/>
        </w:trPr>
        <w:tc>
          <w:tcPr>
            <w:tcW w:w="300" w:type="dxa"/>
            <w:vAlign w:val="bottom"/>
          </w:tcPr>
          <w:p>
            <w:pPr>
              <w:spacing w:after="0"/>
              <w:rPr>
                <w:sz w:val="20"/>
                <w:szCs w:val="20"/>
                <w:color w:val="auto"/>
              </w:rPr>
            </w:pPr>
            <w:r>
              <w:rPr>
                <w:rFonts w:ascii="Arial" w:cs="Arial" w:eastAsia="Arial" w:hAnsi="Arial"/>
                <w:sz w:val="18"/>
                <w:szCs w:val="18"/>
                <w:color w:val="auto"/>
              </w:rPr>
              <w:t>•</w:t>
            </w:r>
          </w:p>
        </w:tc>
        <w:tc>
          <w:tcPr>
            <w:tcW w:w="900" w:type="dxa"/>
            <w:vAlign w:val="bottom"/>
          </w:tcPr>
          <w:p>
            <w:pPr>
              <w:ind w:left="240"/>
              <w:spacing w:after="0"/>
              <w:rPr>
                <w:sz w:val="20"/>
                <w:szCs w:val="20"/>
                <w:color w:val="auto"/>
              </w:rPr>
            </w:pPr>
            <w:r>
              <w:rPr>
                <w:rFonts w:ascii="Arial" w:cs="Arial" w:eastAsia="Arial" w:hAnsi="Arial"/>
                <w:sz w:val="18"/>
                <w:szCs w:val="18"/>
                <w:color w:val="auto"/>
              </w:rPr>
              <w:t>$</w:t>
            </w:r>
          </w:p>
        </w:tc>
        <w:tc>
          <w:tcPr>
            <w:tcW w:w="1280" w:type="dxa"/>
            <w:vAlign w:val="bottom"/>
          </w:tcPr>
          <w:p>
            <w:pPr>
              <w:ind w:left="20"/>
              <w:spacing w:after="0"/>
              <w:rPr>
                <w:sz w:val="20"/>
                <w:szCs w:val="20"/>
                <w:color w:val="auto"/>
              </w:rPr>
            </w:pPr>
            <w:r>
              <w:rPr>
                <w:rFonts w:ascii="Arial" w:cs="Arial" w:eastAsia="Arial" w:hAnsi="Arial"/>
                <w:sz w:val="18"/>
                <w:szCs w:val="18"/>
                <w:color w:val="auto"/>
              </w:rPr>
              <w:t>million and $</w:t>
            </w:r>
          </w:p>
        </w:tc>
        <w:tc>
          <w:tcPr>
            <w:tcW w:w="8100" w:type="dxa"/>
            <w:vAlign w:val="bottom"/>
          </w:tcPr>
          <w:p>
            <w:pPr>
              <w:ind w:left="280"/>
              <w:spacing w:after="0"/>
              <w:rPr>
                <w:sz w:val="20"/>
                <w:szCs w:val="20"/>
                <w:color w:val="auto"/>
              </w:rPr>
            </w:pPr>
            <w:r>
              <w:rPr>
                <w:rFonts w:ascii="Arial" w:cs="Arial" w:eastAsia="Arial" w:hAnsi="Arial"/>
                <w:sz w:val="18"/>
                <w:szCs w:val="18"/>
                <w:color w:val="auto"/>
                <w:w w:val="91"/>
              </w:rPr>
              <w:t>million of equity-based compensation expense for the year ended December 31, 2020 and the nine months</w:t>
            </w:r>
          </w:p>
        </w:tc>
      </w:tr>
      <w:tr>
        <w:trPr>
          <w:trHeight w:val="216"/>
        </w:trPr>
        <w:tc>
          <w:tcPr>
            <w:tcW w:w="300" w:type="dxa"/>
            <w:vAlign w:val="bottom"/>
          </w:tcPr>
          <w:p>
            <w:pPr>
              <w:spacing w:after="0"/>
              <w:rPr>
                <w:sz w:val="18"/>
                <w:szCs w:val="18"/>
                <w:color w:val="auto"/>
              </w:rPr>
            </w:pPr>
          </w:p>
        </w:tc>
        <w:tc>
          <w:tcPr>
            <w:tcW w:w="10280" w:type="dxa"/>
            <w:vAlign w:val="bottom"/>
            <w:gridSpan w:val="3"/>
          </w:tcPr>
          <w:p>
            <w:pPr>
              <w:ind w:left="240"/>
              <w:spacing w:after="0"/>
              <w:rPr>
                <w:sz w:val="20"/>
                <w:szCs w:val="20"/>
                <w:color w:val="auto"/>
              </w:rPr>
            </w:pPr>
            <w:r>
              <w:rPr>
                <w:rFonts w:ascii="Arial" w:cs="Arial" w:eastAsia="Arial" w:hAnsi="Arial"/>
                <w:sz w:val="18"/>
                <w:szCs w:val="18"/>
                <w:color w:val="auto"/>
                <w:w w:val="95"/>
              </w:rPr>
              <w:t>ended September 30, 2021, respectively, in relation to new awards under the Definitive Healthcare Corp. 2021 Equity Incentive Plan</w:t>
            </w:r>
          </w:p>
        </w:tc>
      </w:tr>
      <w:tr>
        <w:trPr>
          <w:trHeight w:val="216"/>
        </w:trPr>
        <w:tc>
          <w:tcPr>
            <w:tcW w:w="300" w:type="dxa"/>
            <w:vAlign w:val="bottom"/>
          </w:tcPr>
          <w:p>
            <w:pPr>
              <w:spacing w:after="0"/>
              <w:rPr>
                <w:sz w:val="18"/>
                <w:szCs w:val="18"/>
                <w:color w:val="auto"/>
              </w:rPr>
            </w:pPr>
          </w:p>
        </w:tc>
        <w:tc>
          <w:tcPr>
            <w:tcW w:w="10280" w:type="dxa"/>
            <w:vAlign w:val="bottom"/>
            <w:gridSpan w:val="3"/>
          </w:tcPr>
          <w:p>
            <w:pPr>
              <w:ind w:left="240"/>
              <w:spacing w:after="0"/>
              <w:rPr>
                <w:sz w:val="20"/>
                <w:szCs w:val="20"/>
                <w:color w:val="auto"/>
              </w:rPr>
            </w:pPr>
            <w:r>
              <w:rPr>
                <w:rFonts w:ascii="Arial" w:cs="Arial" w:eastAsia="Arial" w:hAnsi="Arial"/>
                <w:sz w:val="18"/>
                <w:szCs w:val="18"/>
                <w:color w:val="auto"/>
                <w:w w:val="93"/>
              </w:rPr>
              <w:t>issued to certain key personnel in connection with the IPO and vesting over periods greater than one year commencing on the awards’</w:t>
            </w:r>
          </w:p>
        </w:tc>
      </w:tr>
      <w:tr>
        <w:trPr>
          <w:trHeight w:val="216"/>
        </w:trPr>
        <w:tc>
          <w:tcPr>
            <w:tcW w:w="300" w:type="dxa"/>
            <w:vAlign w:val="bottom"/>
          </w:tcPr>
          <w:p>
            <w:pPr>
              <w:spacing w:after="0"/>
              <w:rPr>
                <w:sz w:val="18"/>
                <w:szCs w:val="18"/>
                <w:color w:val="auto"/>
              </w:rPr>
            </w:pPr>
          </w:p>
        </w:tc>
        <w:tc>
          <w:tcPr>
            <w:tcW w:w="10280" w:type="dxa"/>
            <w:vAlign w:val="bottom"/>
            <w:gridSpan w:val="3"/>
          </w:tcPr>
          <w:p>
            <w:pPr>
              <w:ind w:left="240"/>
              <w:spacing w:after="0"/>
              <w:rPr>
                <w:sz w:val="20"/>
                <w:szCs w:val="20"/>
                <w:color w:val="auto"/>
              </w:rPr>
            </w:pPr>
            <w:r>
              <w:rPr>
                <w:rFonts w:ascii="Arial" w:cs="Arial" w:eastAsia="Arial" w:hAnsi="Arial"/>
                <w:sz w:val="18"/>
                <w:szCs w:val="18"/>
                <w:color w:val="auto"/>
                <w:w w:val="90"/>
              </w:rPr>
              <w:t>grant date, which for pro forma purposes would be January 1, 2020. Such awards were granted by Definitive Healthcare Corp., accordingly</w:t>
            </w:r>
          </w:p>
        </w:tc>
      </w:tr>
      <w:tr>
        <w:trPr>
          <w:trHeight w:val="230"/>
        </w:trPr>
        <w:tc>
          <w:tcPr>
            <w:tcW w:w="300" w:type="dxa"/>
            <w:vAlign w:val="bottom"/>
          </w:tcPr>
          <w:p>
            <w:pPr>
              <w:spacing w:after="0"/>
              <w:rPr>
                <w:sz w:val="20"/>
                <w:szCs w:val="20"/>
                <w:color w:val="auto"/>
              </w:rPr>
            </w:pPr>
          </w:p>
        </w:tc>
        <w:tc>
          <w:tcPr>
            <w:tcW w:w="10280" w:type="dxa"/>
            <w:vAlign w:val="bottom"/>
            <w:gridSpan w:val="3"/>
          </w:tcPr>
          <w:p>
            <w:pPr>
              <w:ind w:left="240"/>
              <w:spacing w:after="0"/>
              <w:rPr>
                <w:sz w:val="20"/>
                <w:szCs w:val="20"/>
                <w:color w:val="auto"/>
              </w:rPr>
            </w:pPr>
            <w:r>
              <w:rPr>
                <w:rFonts w:ascii="Arial" w:cs="Arial" w:eastAsia="Arial" w:hAnsi="Arial"/>
                <w:sz w:val="18"/>
                <w:szCs w:val="18"/>
                <w:color w:val="auto"/>
              </w:rPr>
              <w:t>none of the related expense is attributable to non-controlling interests.</w:t>
            </w:r>
          </w:p>
        </w:tc>
      </w:tr>
      <w:tr>
        <w:trPr>
          <w:trHeight w:val="323"/>
        </w:trPr>
        <w:tc>
          <w:tcPr>
            <w:tcW w:w="300" w:type="dxa"/>
            <w:vAlign w:val="bottom"/>
          </w:tcPr>
          <w:p>
            <w:pPr>
              <w:spacing w:after="0"/>
              <w:rPr>
                <w:sz w:val="20"/>
                <w:szCs w:val="20"/>
                <w:color w:val="auto"/>
              </w:rPr>
            </w:pPr>
            <w:r>
              <w:rPr>
                <w:rFonts w:ascii="Arial" w:cs="Arial" w:eastAsia="Arial" w:hAnsi="Arial"/>
                <w:sz w:val="18"/>
                <w:szCs w:val="18"/>
                <w:color w:val="auto"/>
              </w:rPr>
              <w:t>•</w:t>
            </w:r>
          </w:p>
        </w:tc>
        <w:tc>
          <w:tcPr>
            <w:tcW w:w="900" w:type="dxa"/>
            <w:vAlign w:val="bottom"/>
          </w:tcPr>
          <w:p>
            <w:pPr>
              <w:ind w:left="240"/>
              <w:spacing w:after="0"/>
              <w:rPr>
                <w:sz w:val="20"/>
                <w:szCs w:val="20"/>
                <w:color w:val="auto"/>
              </w:rPr>
            </w:pPr>
            <w:r>
              <w:rPr>
                <w:rFonts w:ascii="Arial" w:cs="Arial" w:eastAsia="Arial" w:hAnsi="Arial"/>
                <w:sz w:val="18"/>
                <w:szCs w:val="18"/>
                <w:color w:val="auto"/>
              </w:rPr>
              <w:t>$</w:t>
            </w:r>
          </w:p>
        </w:tc>
        <w:tc>
          <w:tcPr>
            <w:tcW w:w="1280" w:type="dxa"/>
            <w:vAlign w:val="bottom"/>
          </w:tcPr>
          <w:p>
            <w:pPr>
              <w:ind w:left="20"/>
              <w:spacing w:after="0"/>
              <w:rPr>
                <w:sz w:val="20"/>
                <w:szCs w:val="20"/>
                <w:color w:val="auto"/>
              </w:rPr>
            </w:pPr>
            <w:r>
              <w:rPr>
                <w:rFonts w:ascii="Arial" w:cs="Arial" w:eastAsia="Arial" w:hAnsi="Arial"/>
                <w:sz w:val="18"/>
                <w:szCs w:val="18"/>
                <w:color w:val="auto"/>
              </w:rPr>
              <w:t>million and $</w:t>
            </w:r>
          </w:p>
        </w:tc>
        <w:tc>
          <w:tcPr>
            <w:tcW w:w="8100" w:type="dxa"/>
            <w:vAlign w:val="bottom"/>
          </w:tcPr>
          <w:p>
            <w:pPr>
              <w:ind w:left="280"/>
              <w:spacing w:after="0"/>
              <w:rPr>
                <w:sz w:val="20"/>
                <w:szCs w:val="20"/>
                <w:color w:val="auto"/>
              </w:rPr>
            </w:pPr>
            <w:r>
              <w:rPr>
                <w:rFonts w:ascii="Arial" w:cs="Arial" w:eastAsia="Arial" w:hAnsi="Arial"/>
                <w:sz w:val="18"/>
                <w:szCs w:val="18"/>
                <w:color w:val="auto"/>
                <w:w w:val="91"/>
              </w:rPr>
              <w:t>million of equity-based compensation expense for the year ended December 31, 2020 and the nine months</w:t>
            </w:r>
          </w:p>
        </w:tc>
      </w:tr>
      <w:tr>
        <w:trPr>
          <w:trHeight w:val="216"/>
        </w:trPr>
        <w:tc>
          <w:tcPr>
            <w:tcW w:w="300" w:type="dxa"/>
            <w:vAlign w:val="bottom"/>
          </w:tcPr>
          <w:p>
            <w:pPr>
              <w:spacing w:after="0"/>
              <w:rPr>
                <w:sz w:val="18"/>
                <w:szCs w:val="18"/>
                <w:color w:val="auto"/>
              </w:rPr>
            </w:pPr>
          </w:p>
        </w:tc>
        <w:tc>
          <w:tcPr>
            <w:tcW w:w="10280" w:type="dxa"/>
            <w:vAlign w:val="bottom"/>
            <w:gridSpan w:val="3"/>
          </w:tcPr>
          <w:p>
            <w:pPr>
              <w:ind w:left="240"/>
              <w:spacing w:after="0"/>
              <w:rPr>
                <w:sz w:val="20"/>
                <w:szCs w:val="20"/>
                <w:color w:val="auto"/>
              </w:rPr>
            </w:pPr>
            <w:r>
              <w:rPr>
                <w:rFonts w:ascii="Arial" w:cs="Arial" w:eastAsia="Arial" w:hAnsi="Arial"/>
                <w:sz w:val="18"/>
                <w:szCs w:val="18"/>
                <w:color w:val="auto"/>
                <w:w w:val="98"/>
              </w:rPr>
              <w:t>ended September 30, 2021, for awards under the 2019 Equity Incentive Plan will be recorded in periods following this offering in</w:t>
            </w:r>
          </w:p>
        </w:tc>
      </w:tr>
      <w:tr>
        <w:trPr>
          <w:trHeight w:val="216"/>
        </w:trPr>
        <w:tc>
          <w:tcPr>
            <w:tcW w:w="300" w:type="dxa"/>
            <w:vAlign w:val="bottom"/>
          </w:tcPr>
          <w:p>
            <w:pPr>
              <w:spacing w:after="0"/>
              <w:rPr>
                <w:sz w:val="18"/>
                <w:szCs w:val="18"/>
                <w:color w:val="auto"/>
              </w:rPr>
            </w:pPr>
          </w:p>
        </w:tc>
        <w:tc>
          <w:tcPr>
            <w:tcW w:w="10280" w:type="dxa"/>
            <w:vAlign w:val="bottom"/>
            <w:gridSpan w:val="3"/>
          </w:tcPr>
          <w:p>
            <w:pPr>
              <w:ind w:left="240"/>
              <w:spacing w:after="0"/>
              <w:rPr>
                <w:sz w:val="20"/>
                <w:szCs w:val="20"/>
                <w:color w:val="auto"/>
              </w:rPr>
            </w:pPr>
            <w:r>
              <w:rPr>
                <w:rFonts w:ascii="Arial" w:cs="Arial" w:eastAsia="Arial" w:hAnsi="Arial"/>
                <w:sz w:val="18"/>
                <w:szCs w:val="18"/>
                <w:color w:val="auto"/>
                <w:w w:val="95"/>
              </w:rPr>
              <w:t>accordance with the performance-based vesting criteria which can be exchanged for our Class A common stock after an initial public</w:t>
            </w:r>
          </w:p>
        </w:tc>
      </w:tr>
      <w:tr>
        <w:trPr>
          <w:trHeight w:val="230"/>
        </w:trPr>
        <w:tc>
          <w:tcPr>
            <w:tcW w:w="300" w:type="dxa"/>
            <w:vAlign w:val="bottom"/>
          </w:tcPr>
          <w:p>
            <w:pPr>
              <w:spacing w:after="0"/>
              <w:rPr>
                <w:sz w:val="20"/>
                <w:szCs w:val="20"/>
                <w:color w:val="auto"/>
              </w:rPr>
            </w:pPr>
          </w:p>
        </w:tc>
        <w:tc>
          <w:tcPr>
            <w:tcW w:w="900" w:type="dxa"/>
            <w:vAlign w:val="bottom"/>
          </w:tcPr>
          <w:p>
            <w:pPr>
              <w:ind w:left="240"/>
              <w:spacing w:after="0"/>
              <w:rPr>
                <w:sz w:val="20"/>
                <w:szCs w:val="20"/>
                <w:color w:val="auto"/>
              </w:rPr>
            </w:pPr>
            <w:r>
              <w:rPr>
                <w:rFonts w:ascii="Arial" w:cs="Arial" w:eastAsia="Arial" w:hAnsi="Arial"/>
                <w:sz w:val="18"/>
                <w:szCs w:val="18"/>
                <w:color w:val="auto"/>
                <w:w w:val="98"/>
              </w:rPr>
              <w:t>offering.</w:t>
            </w:r>
          </w:p>
        </w:tc>
        <w:tc>
          <w:tcPr>
            <w:tcW w:w="1280" w:type="dxa"/>
            <w:vAlign w:val="bottom"/>
          </w:tcPr>
          <w:p>
            <w:pPr>
              <w:spacing w:after="0"/>
              <w:rPr>
                <w:sz w:val="20"/>
                <w:szCs w:val="20"/>
                <w:color w:val="auto"/>
              </w:rPr>
            </w:pPr>
          </w:p>
        </w:tc>
        <w:tc>
          <w:tcPr>
            <w:tcW w:w="8100" w:type="dxa"/>
            <w:vAlign w:val="bottom"/>
          </w:tcPr>
          <w:p>
            <w:pPr>
              <w:spacing w:after="0"/>
              <w:rPr>
                <w:sz w:val="20"/>
                <w:szCs w:val="20"/>
                <w:color w:val="auto"/>
              </w:rPr>
            </w:pPr>
          </w:p>
        </w:tc>
      </w:tr>
      <w:tr>
        <w:trPr>
          <w:trHeight w:val="323"/>
        </w:trPr>
        <w:tc>
          <w:tcPr>
            <w:tcW w:w="300" w:type="dxa"/>
            <w:vAlign w:val="bottom"/>
          </w:tcPr>
          <w:p>
            <w:pPr>
              <w:spacing w:after="0"/>
              <w:rPr>
                <w:sz w:val="20"/>
                <w:szCs w:val="20"/>
                <w:color w:val="auto"/>
              </w:rPr>
            </w:pPr>
            <w:r>
              <w:rPr>
                <w:rFonts w:ascii="Arial" w:cs="Arial" w:eastAsia="Arial" w:hAnsi="Arial"/>
                <w:sz w:val="18"/>
                <w:szCs w:val="18"/>
                <w:color w:val="auto"/>
              </w:rPr>
              <w:t>•</w:t>
            </w:r>
          </w:p>
        </w:tc>
        <w:tc>
          <w:tcPr>
            <w:tcW w:w="900" w:type="dxa"/>
            <w:vAlign w:val="bottom"/>
          </w:tcPr>
          <w:p>
            <w:pPr>
              <w:ind w:left="240"/>
              <w:spacing w:after="0"/>
              <w:rPr>
                <w:sz w:val="20"/>
                <w:szCs w:val="20"/>
                <w:color w:val="auto"/>
              </w:rPr>
            </w:pPr>
            <w:r>
              <w:rPr>
                <w:rFonts w:ascii="Arial" w:cs="Arial" w:eastAsia="Arial" w:hAnsi="Arial"/>
                <w:sz w:val="18"/>
                <w:szCs w:val="18"/>
                <w:color w:val="auto"/>
              </w:rPr>
              <w:t>$</w:t>
            </w:r>
          </w:p>
        </w:tc>
        <w:tc>
          <w:tcPr>
            <w:tcW w:w="1280" w:type="dxa"/>
            <w:vAlign w:val="bottom"/>
          </w:tcPr>
          <w:p>
            <w:pPr>
              <w:ind w:left="20"/>
              <w:spacing w:after="0"/>
              <w:rPr>
                <w:sz w:val="20"/>
                <w:szCs w:val="20"/>
                <w:color w:val="auto"/>
              </w:rPr>
            </w:pPr>
            <w:r>
              <w:rPr>
                <w:rFonts w:ascii="Arial" w:cs="Arial" w:eastAsia="Arial" w:hAnsi="Arial"/>
                <w:sz w:val="18"/>
                <w:szCs w:val="18"/>
                <w:color w:val="auto"/>
              </w:rPr>
              <w:t>million and $</w:t>
            </w:r>
          </w:p>
        </w:tc>
        <w:tc>
          <w:tcPr>
            <w:tcW w:w="8100" w:type="dxa"/>
            <w:vAlign w:val="bottom"/>
          </w:tcPr>
          <w:p>
            <w:pPr>
              <w:ind w:left="280"/>
              <w:spacing w:after="0"/>
              <w:rPr>
                <w:sz w:val="20"/>
                <w:szCs w:val="20"/>
                <w:color w:val="auto"/>
              </w:rPr>
            </w:pPr>
            <w:r>
              <w:rPr>
                <w:rFonts w:ascii="Arial" w:cs="Arial" w:eastAsia="Arial" w:hAnsi="Arial"/>
                <w:sz w:val="18"/>
                <w:szCs w:val="18"/>
                <w:color w:val="auto"/>
                <w:w w:val="91"/>
              </w:rPr>
              <w:t>million of equity-based compensation expense for the year ended December 31, 2020 and the nine months</w:t>
            </w:r>
          </w:p>
        </w:tc>
      </w:tr>
      <w:tr>
        <w:trPr>
          <w:trHeight w:val="216"/>
        </w:trPr>
        <w:tc>
          <w:tcPr>
            <w:tcW w:w="300" w:type="dxa"/>
            <w:vAlign w:val="bottom"/>
          </w:tcPr>
          <w:p>
            <w:pPr>
              <w:spacing w:after="0"/>
              <w:rPr>
                <w:sz w:val="18"/>
                <w:szCs w:val="18"/>
                <w:color w:val="auto"/>
              </w:rPr>
            </w:pPr>
          </w:p>
        </w:tc>
        <w:tc>
          <w:tcPr>
            <w:tcW w:w="10280" w:type="dxa"/>
            <w:vAlign w:val="bottom"/>
            <w:gridSpan w:val="3"/>
          </w:tcPr>
          <w:p>
            <w:pPr>
              <w:ind w:left="240"/>
              <w:spacing w:after="0"/>
              <w:rPr>
                <w:sz w:val="20"/>
                <w:szCs w:val="20"/>
                <w:color w:val="auto"/>
              </w:rPr>
            </w:pPr>
            <w:r>
              <w:rPr>
                <w:rFonts w:ascii="Arial" w:cs="Arial" w:eastAsia="Arial" w:hAnsi="Arial"/>
                <w:sz w:val="18"/>
                <w:szCs w:val="18"/>
                <w:color w:val="auto"/>
                <w:w w:val="94"/>
              </w:rPr>
              <w:t>ended September 30, 2021, respectively, in relation to the modification of certain pre-IPO equity-based awards under the 2019 Equity</w:t>
            </w:r>
          </w:p>
        </w:tc>
      </w:tr>
      <w:tr>
        <w:trPr>
          <w:trHeight w:val="230"/>
        </w:trPr>
        <w:tc>
          <w:tcPr>
            <w:tcW w:w="300" w:type="dxa"/>
            <w:vAlign w:val="bottom"/>
          </w:tcPr>
          <w:p>
            <w:pPr>
              <w:spacing w:after="0"/>
              <w:rPr>
                <w:sz w:val="20"/>
                <w:szCs w:val="20"/>
                <w:color w:val="auto"/>
              </w:rPr>
            </w:pPr>
          </w:p>
        </w:tc>
        <w:tc>
          <w:tcPr>
            <w:tcW w:w="10280" w:type="dxa"/>
            <w:vAlign w:val="bottom"/>
            <w:gridSpan w:val="3"/>
          </w:tcPr>
          <w:p>
            <w:pPr>
              <w:ind w:left="240"/>
              <w:spacing w:after="0"/>
              <w:rPr>
                <w:sz w:val="20"/>
                <w:szCs w:val="20"/>
                <w:color w:val="auto"/>
              </w:rPr>
            </w:pPr>
            <w:r>
              <w:rPr>
                <w:rFonts w:ascii="Arial" w:cs="Arial" w:eastAsia="Arial" w:hAnsi="Arial"/>
                <w:sz w:val="18"/>
                <w:szCs w:val="18"/>
                <w:color w:val="auto"/>
              </w:rPr>
              <w:t>Incentive Plan to remove certain forfeiture terms.</w:t>
            </w:r>
          </w:p>
        </w:tc>
      </w:tr>
    </w:tbl>
    <w:p>
      <w:pPr>
        <w:spacing w:after="0" w:line="107" w:lineRule="exact"/>
        <w:rPr>
          <w:sz w:val="20"/>
          <w:szCs w:val="20"/>
          <w:color w:val="auto"/>
        </w:rPr>
      </w:pPr>
    </w:p>
    <w:p>
      <w:pPr>
        <w:ind w:left="1080" w:hanging="532"/>
        <w:spacing w:after="0"/>
        <w:tabs>
          <w:tab w:leader="none" w:pos="1080" w:val="left"/>
        </w:tabs>
        <w:numPr>
          <w:ilvl w:val="0"/>
          <w:numId w:val="66"/>
        </w:numPr>
        <w:rPr>
          <w:rFonts w:ascii="Arial" w:cs="Arial" w:eastAsia="Arial" w:hAnsi="Arial"/>
          <w:sz w:val="17"/>
          <w:szCs w:val="17"/>
          <w:color w:val="auto"/>
        </w:rPr>
      </w:pPr>
      <w:r>
        <w:rPr>
          <w:rFonts w:ascii="Arial" w:cs="Arial" w:eastAsia="Arial" w:hAnsi="Arial"/>
          <w:sz w:val="17"/>
          <w:szCs w:val="17"/>
          <w:color w:val="auto"/>
        </w:rPr>
        <w:t>The awards under the 2019 Equity Incentive Plan are estimated to have total unrecognized equity-based compensation expense of</w:t>
      </w:r>
    </w:p>
    <w:p>
      <w:pPr>
        <w:spacing w:after="0" w:line="35" w:lineRule="exact"/>
        <w:rPr>
          <w:sz w:val="20"/>
          <w:szCs w:val="20"/>
          <w:color w:val="auto"/>
        </w:rPr>
      </w:pPr>
    </w:p>
    <w:p>
      <w:pPr>
        <w:ind w:left="5640" w:right="2260" w:hanging="4552"/>
        <w:spacing w:after="0" w:line="433" w:lineRule="auto"/>
        <w:tabs>
          <w:tab w:leader="none" w:pos="1754" w:val="left"/>
        </w:tabs>
        <w:numPr>
          <w:ilvl w:val="0"/>
          <w:numId w:val="67"/>
        </w:numPr>
        <w:rPr>
          <w:rFonts w:ascii="Arial" w:cs="Arial" w:eastAsia="Arial" w:hAnsi="Arial"/>
          <w:sz w:val="18"/>
          <w:szCs w:val="18"/>
          <w:color w:val="auto"/>
        </w:rPr>
      </w:pPr>
      <w:r>
        <w:rPr>
          <w:rFonts w:ascii="Arial" w:cs="Arial" w:eastAsia="Arial" w:hAnsi="Arial"/>
          <w:sz w:val="18"/>
          <w:szCs w:val="18"/>
          <w:color w:val="auto"/>
        </w:rPr>
        <w:t>million at the time of the initial public offering, to be recognized over the remaining vesting terms. 77</w:t>
      </w:r>
    </w:p>
    <w:p>
      <w:pPr>
        <w:sectPr>
          <w:pgSz w:w="11900" w:h="16838" w:orient="portrait"/>
          <w:cols w:equalWidth="0" w:num="1">
            <w:col w:w="11120"/>
          </w:cols>
          <w:pgMar w:left="320" w:top="459" w:right="459" w:bottom="1440" w:gutter="0" w:footer="0" w:header="0"/>
        </w:sectPr>
      </w:pPr>
    </w:p>
    <w:bookmarkStart w:id="84" w:name="page85"/>
    <w:bookmarkEnd w:id="8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Confidential Treatment Requested by Definitive Healthcare Corp.</w:t>
      </w:r>
    </w:p>
    <w:p>
      <w:pPr>
        <w:spacing w:after="0" w:line="27"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Pursuant to 17 C.F.R. Section 200.83</w:t>
      </w:r>
    </w:p>
    <w:p>
      <w:pPr>
        <w:spacing w:after="0" w:line="139" w:lineRule="exact"/>
        <w:rPr>
          <w:sz w:val="20"/>
          <w:szCs w:val="20"/>
          <w:color w:val="auto"/>
        </w:rPr>
      </w:pPr>
    </w:p>
    <w:p>
      <w:pPr>
        <w:ind w:left="980"/>
        <w:spacing w:after="0"/>
        <w:rPr>
          <w:sz w:val="20"/>
          <w:szCs w:val="20"/>
          <w:color w:val="auto"/>
        </w:rPr>
      </w:pPr>
      <w:r>
        <w:rPr>
          <w:rFonts w:ascii="Arial" w:cs="Arial" w:eastAsia="Arial" w:hAnsi="Arial"/>
          <w:sz w:val="18"/>
          <w:szCs w:val="18"/>
          <w:b w:val="1"/>
          <w:bCs w:val="1"/>
          <w:color w:val="auto"/>
        </w:rPr>
        <w:t>MANAGEMENT’S DISCUSSION AND ANALYSIS OF FINANCIAL CONDITION AND RESULTS OF OPERATIONS</w:t>
      </w:r>
    </w:p>
    <w:p>
      <w:pPr>
        <w:spacing w:after="0" w:line="202" w:lineRule="exact"/>
        <w:rPr>
          <w:sz w:val="20"/>
          <w:szCs w:val="20"/>
          <w:color w:val="auto"/>
        </w:rPr>
      </w:pPr>
    </w:p>
    <w:p>
      <w:pPr>
        <w:ind w:left="120" w:right="80" w:firstLine="440"/>
        <w:spacing w:after="0" w:line="254" w:lineRule="auto"/>
        <w:rPr>
          <w:sz w:val="20"/>
          <w:szCs w:val="20"/>
          <w:color w:val="auto"/>
        </w:rPr>
      </w:pPr>
      <w:r>
        <w:rPr>
          <w:rFonts w:ascii="Arial" w:cs="Arial" w:eastAsia="Arial" w:hAnsi="Arial"/>
          <w:sz w:val="18"/>
          <w:szCs w:val="18"/>
          <w:i w:val="1"/>
          <w:iCs w:val="1"/>
          <w:color w:val="auto"/>
        </w:rPr>
        <w:t>The following is a discussion and analysis of our financial condition and results of operations as of, and for, the periods presented. You should read the following discussion and analysis of our financial condition and results of operations in conjunction with the sections titled “Unaudited Pro Forma Consolidated Financial Information” and our historical consolidated financial statements and related notes included elsewhere in this prospectus. We conduct our business through Definitive OpCo and its subsidiaries. The historical consolidated financial data discussed below reflects our historical results of operations and financial condition and does not give effect to pro forma adjustments. As a result, the following discussion does not reflect the significant impact that such events will have on us. See “Prospectus Summary—Organizational Structure” and “Unaudited Pro Forma Consolidated Financial Information” for more information.</w:t>
      </w:r>
    </w:p>
    <w:p>
      <w:pPr>
        <w:spacing w:after="0" w:line="195" w:lineRule="exact"/>
        <w:rPr>
          <w:sz w:val="20"/>
          <w:szCs w:val="20"/>
          <w:color w:val="auto"/>
        </w:rPr>
      </w:pPr>
    </w:p>
    <w:p>
      <w:pPr>
        <w:ind w:left="120" w:right="20" w:firstLine="440"/>
        <w:spacing w:after="0" w:line="290" w:lineRule="auto"/>
        <w:rPr>
          <w:sz w:val="20"/>
          <w:szCs w:val="20"/>
          <w:color w:val="auto"/>
        </w:rPr>
      </w:pPr>
      <w:r>
        <w:rPr>
          <w:rFonts w:ascii="Arial" w:cs="Arial" w:eastAsia="Arial" w:hAnsi="Arial"/>
          <w:sz w:val="16"/>
          <w:szCs w:val="16"/>
          <w:color w:val="auto"/>
        </w:rPr>
        <w:t>This discussion contains forward-looking statements that involve risks and uncertainties. Our actual results may differ materially from those discussed below. Factors that could cause or contribute to such difference include, but are not limited to, those identified below and those discussed in the sections titled “Risk Factors” and “Cautionary Note Regarding Forward-Looking Statements” included elsewhere in this prospectus. Information presented for the period from January 1 to July 15, 2019 is derived from our Predecessor Company’s audited consolidated financial statements included elsewhere in this prospectus. Information presented for the period from July 16, 2019 to December 31, 2019 and for the year ended December 31, 2020 is derived from the Successor Company’s audited consolidated financial statements for those periods included elsewhere in this prospectus. Information presented for the six-month periods ended June 30, 2021 and 2020 is derived from our unaudited condensed consolidated financial statements included elsewhere in this prospectus. We assume no obligation to update any of these forward-looking statements.</w:t>
      </w:r>
    </w:p>
    <w:p>
      <w:pPr>
        <w:spacing w:after="0" w:line="18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Overview</w:t>
      </w:r>
    </w:p>
    <w:p>
      <w:pPr>
        <w:spacing w:after="0" w:line="94" w:lineRule="exact"/>
        <w:rPr>
          <w:sz w:val="20"/>
          <w:szCs w:val="20"/>
          <w:color w:val="auto"/>
        </w:rPr>
      </w:pPr>
    </w:p>
    <w:p>
      <w:pPr>
        <w:ind w:left="120" w:firstLine="440"/>
        <w:spacing w:after="0" w:line="301" w:lineRule="auto"/>
        <w:rPr>
          <w:sz w:val="20"/>
          <w:szCs w:val="20"/>
          <w:color w:val="auto"/>
        </w:rPr>
      </w:pPr>
      <w:r>
        <w:rPr>
          <w:rFonts w:ascii="Arial" w:cs="Arial" w:eastAsia="Arial" w:hAnsi="Arial"/>
          <w:sz w:val="16"/>
          <w:szCs w:val="16"/>
          <w:color w:val="auto"/>
        </w:rPr>
        <w:t>Definitive Healthcare is a leading provider of healthcare commercial intelligence. Our solutions provide accurate and comprehensive information on healthcare providers and their activities to help our customers optimize everything from product development to go-to-market planning and sales and marketing execution. Delivered through our SaaS platform, our intelligence has become important to the commercial success of our over 2,600 customers as of June 30, 2021. We define a customer as a company that maintains one or more active paid subscriptions to our platform.</w:t>
      </w:r>
    </w:p>
    <w:p>
      <w:pPr>
        <w:spacing w:after="0" w:line="90" w:lineRule="exact"/>
        <w:rPr>
          <w:sz w:val="20"/>
          <w:szCs w:val="20"/>
          <w:color w:val="auto"/>
        </w:rPr>
      </w:pPr>
    </w:p>
    <w:p>
      <w:pPr>
        <w:jc w:val="center"/>
        <w:ind w:right="-399"/>
        <w:spacing w:after="0"/>
        <w:rPr>
          <w:sz w:val="20"/>
          <w:szCs w:val="20"/>
          <w:color w:val="auto"/>
        </w:rPr>
      </w:pPr>
      <w:r>
        <w:rPr>
          <w:rFonts w:ascii="Arial" w:cs="Arial" w:eastAsia="Arial" w:hAnsi="Arial"/>
          <w:sz w:val="18"/>
          <w:szCs w:val="18"/>
          <w:color w:val="auto"/>
        </w:rPr>
        <w:t>78</w:t>
      </w:r>
    </w:p>
    <w:p>
      <w:pPr>
        <w:sectPr>
          <w:pgSz w:w="11900" w:h="16838" w:orient="portrait"/>
          <w:cols w:equalWidth="0" w:num="1">
            <w:col w:w="11080"/>
          </w:cols>
          <w:pgMar w:left="320" w:top="459" w:right="499" w:bottom="1440" w:gutter="0" w:footer="0" w:header="0"/>
        </w:sectPr>
      </w:pPr>
    </w:p>
    <w:bookmarkStart w:id="85" w:name="page86"/>
    <w:bookmarkEnd w:id="8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Confidential Treatment Requested by Definitive Healthcare Corp.</w:t>
      </w:r>
    </w:p>
    <w:p>
      <w:pPr>
        <w:spacing w:after="0" w:line="27"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Pursuant to 17 C.F.R. Section 200.83</w:t>
      </w:r>
    </w:p>
    <w:p>
      <w:pPr>
        <w:spacing w:after="0" w:line="143" w:lineRule="exact"/>
        <w:rPr>
          <w:sz w:val="20"/>
          <w:szCs w:val="20"/>
          <w:color w:val="auto"/>
        </w:rPr>
      </w:pPr>
    </w:p>
    <w:p>
      <w:pPr>
        <w:ind w:left="120" w:right="60" w:firstLine="440"/>
        <w:spacing w:after="0" w:line="286" w:lineRule="auto"/>
        <w:rPr>
          <w:sz w:val="20"/>
          <w:szCs w:val="20"/>
          <w:color w:val="auto"/>
        </w:rPr>
      </w:pPr>
      <w:r>
        <w:rPr>
          <w:rFonts w:ascii="Arial" w:cs="Arial" w:eastAsia="Arial" w:hAnsi="Arial"/>
          <w:sz w:val="17"/>
          <w:szCs w:val="17"/>
          <w:color w:val="auto"/>
        </w:rPr>
        <w:t>We were founded in 2011 by our CEO, Jason Krantz. Mr. Krantz founded the company to provide healthcare commercial intelligence that enables companies that compete within or sell into the healthcare ecosystem to make better, informed decisions and be more successful. Over time, we have expanded our platform with new intelligence modules, innovative analytics, workflow capabilities and additional data sources.</w:t>
      </w:r>
      <w:r>
        <w:rPr>
          <w:rFonts w:ascii="Arial" w:cs="Arial" w:eastAsia="Arial" w:hAnsi="Arial"/>
          <w:sz w:val="14"/>
          <w:szCs w:val="14"/>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1188085</wp:posOffset>
            </wp:positionH>
            <wp:positionV relativeFrom="paragraph">
              <wp:posOffset>130810</wp:posOffset>
            </wp:positionV>
            <wp:extent cx="4774565" cy="235712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4774565" cy="23571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ind w:left="120"/>
        <w:spacing w:after="0"/>
        <w:rPr>
          <w:sz w:val="20"/>
          <w:szCs w:val="20"/>
          <w:color w:val="auto"/>
        </w:rPr>
      </w:pPr>
      <w:r>
        <w:rPr>
          <w:rFonts w:ascii="Arial" w:cs="Arial" w:eastAsia="Arial" w:hAnsi="Arial"/>
          <w:sz w:val="18"/>
          <w:szCs w:val="18"/>
          <w:color w:val="auto"/>
        </w:rPr>
        <w:t>We view these attributes as key to our financial model:</w:t>
      </w:r>
    </w:p>
    <w:p>
      <w:pPr>
        <w:spacing w:after="0" w:line="131" w:lineRule="exact"/>
        <w:rPr>
          <w:sz w:val="20"/>
          <w:szCs w:val="20"/>
          <w:color w:val="auto"/>
        </w:rPr>
      </w:pPr>
    </w:p>
    <w:p>
      <w:pPr>
        <w:ind w:left="540" w:right="180" w:hanging="316"/>
        <w:spacing w:after="0" w:line="263" w:lineRule="auto"/>
        <w:tabs>
          <w:tab w:leader="none" w:pos="540" w:val="left"/>
        </w:tabs>
        <w:numPr>
          <w:ilvl w:val="0"/>
          <w:numId w:val="68"/>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History of Significant Revenue Growth at Scale. </w:t>
      </w:r>
      <w:r>
        <w:rPr>
          <w:rFonts w:ascii="Arial" w:cs="Arial" w:eastAsia="Arial" w:hAnsi="Arial"/>
          <w:sz w:val="18"/>
          <w:szCs w:val="18"/>
          <w:color w:val="auto"/>
        </w:rPr>
        <w:t>We generated revenue of $118.3 million and $85.5 million in the years ended December 31,</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2020 and December 31, 2019, respectively, representing an increase of 38%. We generated revenue of $76.8 million and $54.6 million in the six months ended June 30, 2021 and 2020, respectively, representing an increase of 41%.</w:t>
      </w:r>
    </w:p>
    <w:p>
      <w:pPr>
        <w:spacing w:after="0" w:line="89" w:lineRule="exact"/>
        <w:rPr>
          <w:rFonts w:ascii="Arial" w:cs="Arial" w:eastAsia="Arial" w:hAnsi="Arial"/>
          <w:sz w:val="18"/>
          <w:szCs w:val="18"/>
          <w:color w:val="auto"/>
        </w:rPr>
      </w:pPr>
    </w:p>
    <w:p>
      <w:pPr>
        <w:ind w:left="540" w:right="220" w:hanging="316"/>
        <w:spacing w:after="0" w:line="293" w:lineRule="auto"/>
        <w:tabs>
          <w:tab w:leader="none" w:pos="540" w:val="left"/>
        </w:tabs>
        <w:numPr>
          <w:ilvl w:val="0"/>
          <w:numId w:val="68"/>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Subscription-based Business Model with Significant Visibility. </w:t>
      </w:r>
      <w:r>
        <w:rPr>
          <w:rFonts w:ascii="Arial" w:cs="Arial" w:eastAsia="Arial" w:hAnsi="Arial"/>
          <w:sz w:val="16"/>
          <w:szCs w:val="16"/>
          <w:color w:val="auto"/>
        </w:rPr>
        <w:t>We offer access to our platform on a subscription basis and we generate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substantially all of our revenue from subscription fees, which accounted for 99% of revenue for 2020 and the six months ended June 30, 2021. Subscriptions generally range from 1 to 3 years and are non-cancellable during the subscription term. Over 61% of our year end 2020 ARR was under multi-year agreements. Our subscription agreements typically include annual contracted price escalations, reflecting the value of our continuing addition of data and functionality to our intelligence modules. Subscription revenue is recognized ratably over the contract terms beginning on the date the product is made available to customers, which typically begins on the commencement date of each contract.</w:t>
      </w:r>
    </w:p>
    <w:p>
      <w:pPr>
        <w:spacing w:after="0" w:line="65" w:lineRule="exact"/>
        <w:rPr>
          <w:rFonts w:ascii="Arial" w:cs="Arial" w:eastAsia="Arial" w:hAnsi="Arial"/>
          <w:sz w:val="16"/>
          <w:szCs w:val="16"/>
          <w:color w:val="auto"/>
        </w:rPr>
      </w:pPr>
    </w:p>
    <w:p>
      <w:pPr>
        <w:ind w:left="540" w:right="20" w:hanging="316"/>
        <w:spacing w:after="0" w:line="292" w:lineRule="auto"/>
        <w:tabs>
          <w:tab w:leader="none" w:pos="540" w:val="left"/>
        </w:tabs>
        <w:numPr>
          <w:ilvl w:val="0"/>
          <w:numId w:val="68"/>
        </w:numPr>
        <w:rPr>
          <w:rFonts w:ascii="Arial" w:cs="Arial" w:eastAsia="Arial" w:hAnsi="Arial"/>
          <w:sz w:val="16"/>
          <w:szCs w:val="16"/>
          <w:color w:val="auto"/>
        </w:rPr>
      </w:pPr>
      <w:r>
        <w:rPr>
          <w:rFonts w:ascii="Arial" w:cs="Arial" w:eastAsia="Arial" w:hAnsi="Arial"/>
          <w:sz w:val="16"/>
          <w:szCs w:val="16"/>
          <w:b w:val="1"/>
          <w:bCs w:val="1"/>
          <w:i w:val="1"/>
          <w:iCs w:val="1"/>
          <w:color w:val="auto"/>
        </w:rPr>
        <w:t>Diversified Customer Base</w:t>
      </w:r>
      <w:r>
        <w:rPr>
          <w:rFonts w:ascii="Arial" w:cs="Arial" w:eastAsia="Arial" w:hAnsi="Arial"/>
          <w:sz w:val="16"/>
          <w:szCs w:val="16"/>
          <w:b w:val="1"/>
          <w:bCs w:val="1"/>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Over 2,600 companies use our platform to help sell into or compete in the healthcare ecosystem as of June 30, 2021.</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In the six months ended June 30, 2021, no single customer contributed more than 2% of our revenue. Our target customers include any company looking to sell into or compete in the healthcare ecosystem including: Life Sciences, HCIT, Healthcare Providers and Other companies seeking to sell into the healthcare ecosystem, such as financial institutions, staffing firms and consultants. At June 30, 2021, as measured by ARR, 48% of our customers operated in Life Sciences; 21% of our customers operated in HCIT; 7% of our customers were Healthcare Providers; and 24% of our customers operated in non-healthcare focused areas. At year-end 2020, as measured by ARR, 48% of our customers operated in Life Sciences; 21% of our customers operated in HCIT; 6% of our customers were Healthcare Providers; and 24% of our customers operated in diversified areas.</w:t>
      </w:r>
    </w:p>
    <w:p>
      <w:pPr>
        <w:spacing w:after="0" w:line="70" w:lineRule="exact"/>
        <w:rPr>
          <w:rFonts w:ascii="Arial" w:cs="Arial" w:eastAsia="Arial" w:hAnsi="Arial"/>
          <w:sz w:val="16"/>
          <w:szCs w:val="16"/>
          <w:color w:val="auto"/>
        </w:rPr>
      </w:pPr>
    </w:p>
    <w:p>
      <w:pPr>
        <w:ind w:left="540" w:hanging="316"/>
        <w:spacing w:after="0" w:line="277" w:lineRule="auto"/>
        <w:tabs>
          <w:tab w:leader="none" w:pos="540" w:val="left"/>
        </w:tabs>
        <w:numPr>
          <w:ilvl w:val="0"/>
          <w:numId w:val="68"/>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Strong Retention and Growth of Existing Customers. </w:t>
      </w:r>
      <w:r>
        <w:rPr>
          <w:rFonts w:ascii="Arial" w:cs="Arial" w:eastAsia="Arial" w:hAnsi="Arial"/>
          <w:sz w:val="18"/>
          <w:szCs w:val="18"/>
          <w:color w:val="auto"/>
        </w:rPr>
        <w:t>Our ability to grow customer relationships is reflected in our Net Dollar Retention Rate and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number of Enterprise Customers. For 2020, our NDR for all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66040</wp:posOffset>
            </wp:positionV>
            <wp:extent cx="771525" cy="825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23" w:lineRule="exact"/>
        <w:rPr>
          <w:sz w:val="20"/>
          <w:szCs w:val="20"/>
          <w:color w:val="auto"/>
        </w:rPr>
      </w:pPr>
    </w:p>
    <w:p>
      <w:pPr>
        <w:ind w:left="340" w:hanging="224"/>
        <w:spacing w:after="0"/>
        <w:tabs>
          <w:tab w:leader="none" w:pos="340" w:val="left"/>
        </w:tabs>
        <w:numPr>
          <w:ilvl w:val="0"/>
          <w:numId w:val="69"/>
        </w:numPr>
        <w:rPr>
          <w:rFonts w:ascii="Arial" w:cs="Arial" w:eastAsia="Arial" w:hAnsi="Arial"/>
          <w:sz w:val="15"/>
          <w:szCs w:val="15"/>
          <w:color w:val="auto"/>
        </w:rPr>
      </w:pPr>
      <w:r>
        <w:rPr>
          <w:rFonts w:ascii="Arial" w:cs="Arial" w:eastAsia="Arial" w:hAnsi="Arial"/>
          <w:sz w:val="18"/>
          <w:szCs w:val="18"/>
          <w:color w:val="auto"/>
        </w:rPr>
        <w:t>NTD: Banks to add Latitude.</w:t>
      </w:r>
    </w:p>
    <w:p>
      <w:pPr>
        <w:spacing w:after="0" w:line="158" w:lineRule="exact"/>
        <w:rPr>
          <w:sz w:val="20"/>
          <w:szCs w:val="20"/>
          <w:color w:val="auto"/>
        </w:rPr>
      </w:pPr>
    </w:p>
    <w:p>
      <w:pPr>
        <w:jc w:val="center"/>
        <w:ind w:right="-359"/>
        <w:spacing w:after="0"/>
        <w:rPr>
          <w:sz w:val="20"/>
          <w:szCs w:val="20"/>
          <w:color w:val="auto"/>
        </w:rPr>
      </w:pPr>
      <w:r>
        <w:rPr>
          <w:rFonts w:ascii="Arial" w:cs="Arial" w:eastAsia="Arial" w:hAnsi="Arial"/>
          <w:sz w:val="18"/>
          <w:szCs w:val="18"/>
          <w:color w:val="auto"/>
        </w:rPr>
        <w:t>79</w:t>
      </w:r>
    </w:p>
    <w:p>
      <w:pPr>
        <w:sectPr>
          <w:pgSz w:w="11900" w:h="16838" w:orient="portrait"/>
          <w:cols w:equalWidth="0" w:num="1">
            <w:col w:w="11120"/>
          </w:cols>
          <w:pgMar w:left="320" w:top="459" w:right="459" w:bottom="1440" w:gutter="0" w:footer="0" w:header="0"/>
        </w:sectPr>
      </w:pPr>
    </w:p>
    <w:bookmarkStart w:id="86" w:name="page87"/>
    <w:bookmarkEnd w:id="8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Confidential Treatment Requested by Definitive Healthcare Corp.</w:t>
      </w:r>
    </w:p>
    <w:p>
      <w:pPr>
        <w:spacing w:after="0" w:line="27"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Pursuant to 17 C.F.R. Section 200.83</w:t>
      </w:r>
    </w:p>
    <w:p>
      <w:pPr>
        <w:spacing w:after="0" w:line="143" w:lineRule="exact"/>
        <w:rPr>
          <w:sz w:val="20"/>
          <w:szCs w:val="20"/>
          <w:color w:val="auto"/>
        </w:rPr>
      </w:pPr>
    </w:p>
    <w:p>
      <w:pPr>
        <w:ind w:left="540"/>
        <w:spacing w:after="0" w:line="301" w:lineRule="auto"/>
        <w:rPr>
          <w:sz w:val="20"/>
          <w:szCs w:val="20"/>
          <w:color w:val="auto"/>
        </w:rPr>
      </w:pPr>
      <w:r>
        <w:rPr>
          <w:rFonts w:ascii="Arial" w:cs="Arial" w:eastAsia="Arial" w:hAnsi="Arial"/>
          <w:sz w:val="16"/>
          <w:szCs w:val="16"/>
          <w:color w:val="auto"/>
        </w:rPr>
        <w:t>customers over $17,500 in ARR was 108%. For the year ended December 31, 2020, our NDR for Enterprise Customers was 124%. For the trailing twelve months ended June 30, 2021, our NDR for Enterprise Customers was 125% and our NDR for all customers over $17,500 in ARR was 111%. In 2020, 292 customers generated more than $100,000 in ARR, representing 53% of our total ARR. In the six months ended June 30, 2021, 349 customers generated more than $100,000 in ARR, representing 54% of our total ARR. See “—Key Metrics-Net Dollar Retention Rate” below.</w:t>
      </w:r>
    </w:p>
    <w:p>
      <w:pPr>
        <w:spacing w:after="0" w:line="63" w:lineRule="exact"/>
        <w:rPr>
          <w:sz w:val="20"/>
          <w:szCs w:val="20"/>
          <w:color w:val="auto"/>
        </w:rPr>
      </w:pPr>
    </w:p>
    <w:p>
      <w:pPr>
        <w:ind w:left="540" w:right="320" w:hanging="316"/>
        <w:spacing w:after="0" w:line="301" w:lineRule="auto"/>
        <w:tabs>
          <w:tab w:leader="none" w:pos="540" w:val="left"/>
        </w:tabs>
        <w:numPr>
          <w:ilvl w:val="0"/>
          <w:numId w:val="70"/>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Highly Efficient Go-to-Market Engine. </w:t>
      </w:r>
      <w:r>
        <w:rPr>
          <w:rFonts w:ascii="Arial" w:cs="Arial" w:eastAsia="Arial" w:hAnsi="Arial"/>
          <w:sz w:val="16"/>
          <w:szCs w:val="16"/>
          <w:color w:val="auto"/>
        </w:rPr>
        <w:t>We have developed a highly efficient and effective go-to-market engine that combines effective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marketing with an inside sales force made up of highly trained, vertically focused SEs. The efficiency of the team is demonstrated through our 2020 LTV to CAC ratio of over 10x. We believe this metric highlights the effectiveness of our commercial team as well as the strong value proposition of our platform and solutions for our customers. Only approximately one-third of a sales representative’s day is spent selling.</w:t>
      </w:r>
    </w:p>
    <w:p>
      <w:pPr>
        <w:spacing w:after="0" w:line="62" w:lineRule="exact"/>
        <w:rPr>
          <w:rFonts w:ascii="Arial" w:cs="Arial" w:eastAsia="Arial" w:hAnsi="Arial"/>
          <w:sz w:val="16"/>
          <w:szCs w:val="16"/>
          <w:color w:val="auto"/>
        </w:rPr>
      </w:pPr>
    </w:p>
    <w:p>
      <w:pPr>
        <w:ind w:left="540" w:right="40" w:hanging="316"/>
        <w:spacing w:after="0" w:line="293" w:lineRule="auto"/>
        <w:tabs>
          <w:tab w:leader="none" w:pos="540" w:val="left"/>
        </w:tabs>
        <w:numPr>
          <w:ilvl w:val="0"/>
          <w:numId w:val="70"/>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History of Strong Financial Performance. </w:t>
      </w:r>
      <w:r>
        <w:rPr>
          <w:rFonts w:ascii="Arial" w:cs="Arial" w:eastAsia="Arial" w:hAnsi="Arial"/>
          <w:sz w:val="16"/>
          <w:szCs w:val="16"/>
          <w:color w:val="auto"/>
        </w:rPr>
        <w:t>Our net loss was $51.2 million for the year ended December 31, 2020 as compared to a net loss of</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$49.3 million for the period from July 16, 2019 to December 31, 2019 and net income of $12.9 million for the period from January 1, 2019 to July 15, 2019. Our net loss was $25.5 million and $25.3 million for the six months ended June 30, 2021 and 2020, respectively. Our Net (Loss) Income Margin was (43)% for the year ended December 31, 2020 as compared to (123)% for the period from July 16, 2019 to December 31, 2019 and 28% for the period from January 1, 2019 to July 15, 2019. Our Gross Margin was 74% for the year ended December 31, 2020 as compared to 67% for the period from July 16, 2019 to December 31, 2019 and 88% for the period from January 1, 2019 to July 15, 2019.</w:t>
      </w:r>
    </w:p>
    <w:p>
      <w:pPr>
        <w:spacing w:after="0" w:line="164" w:lineRule="exact"/>
        <w:rPr>
          <w:sz w:val="20"/>
          <w:szCs w:val="20"/>
          <w:color w:val="auto"/>
        </w:rPr>
      </w:pPr>
    </w:p>
    <w:p>
      <w:pPr>
        <w:ind w:left="120" w:right="20" w:firstLine="440"/>
        <w:spacing w:after="0" w:line="269" w:lineRule="auto"/>
        <w:rPr>
          <w:sz w:val="20"/>
          <w:szCs w:val="20"/>
          <w:color w:val="auto"/>
        </w:rPr>
      </w:pPr>
      <w:r>
        <w:rPr>
          <w:rFonts w:ascii="Arial" w:cs="Arial" w:eastAsia="Arial" w:hAnsi="Arial"/>
          <w:sz w:val="17"/>
          <w:szCs w:val="17"/>
          <w:color w:val="auto"/>
        </w:rPr>
        <w:t>In addition to our consolidated GAAP financial measures, we use various non-GAAP financial measures, including Adjusted Gross Profit and Adjusted EBITDA, to measure our operating performance. See “—Key Metrics.” Our Adjusted Gross Profit was $107.1 million for the year ended December 31, 2020, as compared to $76.3 million in 2019, and $67.5 million for the six months ended June 30, 2021, as compared to $49.3 million for the six months ended June 30, 2020, resulting in Adjusted Gross Margins of 91% and 89%, for fiscal 2020 and 2019 respectively, and 88% and 90%, for the six months ended June 30, 2021 and 2020, respectively. Our Adjusted EBITDA was $53.5 million for the year ended December 31, 2020, as compared to $42.3 million in 2019, and $28.5 million for the six months ended June 30, 2021 and $26.2 million for the six months ended June 30, 2020, reflecting Adjusted EBITDA Margins of 45% and 49%, for 2020 and 2019, respectively, and 37% and 48% for the six months ended June 30, 2021 and 2020, respectively. We delivered strong financial performance even as we invested for growth and scalability. See “Summary Historical and Pro Forma Consolidated Financial and Other Data” and “—Key Metrics” below for additional information regarding our non-GAAP numbers and a reconciliation to the corresponding GAAP metric.</w:t>
      </w:r>
    </w:p>
    <w:p>
      <w:pPr>
        <w:spacing w:after="0" w:line="28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Key Factors Affecting Our Performance</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We believe that the growth and future success of our business depends on many factors, including the following:</w:t>
      </w:r>
    </w:p>
    <w:p>
      <w:pPr>
        <w:spacing w:after="0" w:line="333"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Acquiring New Customers</w:t>
      </w:r>
    </w:p>
    <w:p>
      <w:pPr>
        <w:spacing w:after="0" w:line="117" w:lineRule="exact"/>
        <w:rPr>
          <w:sz w:val="20"/>
          <w:szCs w:val="20"/>
          <w:color w:val="auto"/>
        </w:rPr>
      </w:pPr>
    </w:p>
    <w:p>
      <w:pPr>
        <w:ind w:left="120" w:firstLine="440"/>
        <w:spacing w:after="0" w:line="291" w:lineRule="auto"/>
        <w:rPr>
          <w:sz w:val="20"/>
          <w:szCs w:val="20"/>
          <w:color w:val="auto"/>
        </w:rPr>
      </w:pPr>
      <w:r>
        <w:rPr>
          <w:rFonts w:ascii="Arial" w:cs="Arial" w:eastAsia="Arial" w:hAnsi="Arial"/>
          <w:sz w:val="16"/>
          <w:szCs w:val="16"/>
          <w:color w:val="auto"/>
        </w:rPr>
        <w:t>We plan to continue to organically grow the number of customers that use our platform by increasing demand for our platform and penetrating our addressable market. Our results of operations and growth prospects will depend in part on our ability to attract new customers. We intend to drive new customer acquisition with our efficient go-to-market engine by continuing to invest in our sales and marketing efforts and developing new use cases for our platform. As of June 30, 2021, we had over 2,600 customers. As of December 31, 2020, we had over 2,500 customers. As of December 31, 2019, we had over 2,000 customers. We define a customer as a company that maintains one or more active paid subscriptions to our platform. We have identified more than 100,000 potential customers across the healthcare ecosystem that we believe could benefit from our platform. Our ability to attract and acquire new customers is dependent on the strength of our platform and effectiveness of our go-to-market strategy.</w:t>
      </w:r>
    </w:p>
    <w:p>
      <w:pPr>
        <w:spacing w:after="0" w:line="99"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80</w:t>
      </w:r>
    </w:p>
    <w:p>
      <w:pPr>
        <w:sectPr>
          <w:pgSz w:w="11900" w:h="16838" w:orient="portrait"/>
          <w:cols w:equalWidth="0" w:num="1">
            <w:col w:w="11120"/>
          </w:cols>
          <w:pgMar w:left="320" w:top="459" w:right="459" w:bottom="1440" w:gutter="0" w:footer="0" w:header="0"/>
        </w:sectPr>
      </w:pPr>
    </w:p>
    <w:bookmarkStart w:id="87" w:name="page88"/>
    <w:bookmarkEnd w:id="8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Confidential Treatment Requested by Definitive Healthcare Corp.</w:t>
      </w:r>
    </w:p>
    <w:p>
      <w:pPr>
        <w:spacing w:after="0" w:line="27"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Pursuant to 17 C.F.R. Section 200.83</w:t>
      </w:r>
    </w:p>
    <w:p>
      <w:pPr>
        <w:spacing w:after="0" w:line="143"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Expanding Relationships with Existing Customers</w:t>
      </w:r>
    </w:p>
    <w:p>
      <w:pPr>
        <w:spacing w:after="0" w:line="117" w:lineRule="exact"/>
        <w:rPr>
          <w:sz w:val="20"/>
          <w:szCs w:val="20"/>
          <w:color w:val="auto"/>
        </w:rPr>
      </w:pPr>
    </w:p>
    <w:p>
      <w:pPr>
        <w:ind w:left="120" w:firstLine="440"/>
        <w:spacing w:after="0" w:line="255" w:lineRule="auto"/>
        <w:rPr>
          <w:sz w:val="20"/>
          <w:szCs w:val="20"/>
          <w:color w:val="auto"/>
        </w:rPr>
      </w:pPr>
      <w:r>
        <w:rPr>
          <w:rFonts w:ascii="Arial" w:cs="Arial" w:eastAsia="Arial" w:hAnsi="Arial"/>
          <w:sz w:val="18"/>
          <w:szCs w:val="18"/>
          <w:color w:val="auto"/>
        </w:rPr>
        <w:t>We believe there is a significant opportunity to generate additional revenue from our existing customer base. Our customers have historically increased their spend by adding intelligence modules and expanding use-cases across departments. Our customers are typically assigned to one of our vertically-focused teams, which is responsible for driving usage and increasing adoption of the platform, identifying expansion opportunities and driving customer renewals. Real-time input from these customer centric teams feeds directly into our product innovation teams, enhancing the development of new intelligence modules. We believe this feedback loop and our ability to innovate creates significant opportunities for continual existing customer expansion.</w:t>
      </w:r>
    </w:p>
    <w:p>
      <w:pPr>
        <w:spacing w:after="0" w:line="192" w:lineRule="exact"/>
        <w:rPr>
          <w:sz w:val="20"/>
          <w:szCs w:val="20"/>
          <w:color w:val="auto"/>
        </w:rPr>
      </w:pPr>
    </w:p>
    <w:p>
      <w:pPr>
        <w:ind w:left="120" w:right="400" w:firstLine="440"/>
        <w:spacing w:after="0" w:line="275" w:lineRule="auto"/>
        <w:rPr>
          <w:sz w:val="20"/>
          <w:szCs w:val="20"/>
          <w:color w:val="auto"/>
        </w:rPr>
      </w:pPr>
      <w:r>
        <w:rPr>
          <w:rFonts w:ascii="Arial" w:cs="Arial" w:eastAsia="Arial" w:hAnsi="Arial"/>
          <w:sz w:val="17"/>
          <w:szCs w:val="17"/>
          <w:color w:val="auto"/>
        </w:rPr>
        <w:t>Our platform currently offers 13 intelligence modules. As of June 30, 2021, 78% of our customers subscribed to fewer than four intelligence modules, highlighting the opportunity to expand the usage of our platform across our clients’ organizations. Our success in expanding usage of our platform with our existing customers is demonstrated by our NDR. For the year ended December 31, 2020, our NDR for Enterprise Customers was 124% and our NDR for all customers over $17,500 ARR was 108%. For the trailing twelve months ended June 30, 2021, our NDR for Enterprise Customers was 125% and our NDR for all customers over $17,500 in ARR was 111%.</w:t>
      </w:r>
    </w:p>
    <w:p>
      <w:pPr>
        <w:spacing w:after="0" w:line="284"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Continuing to Innovate and Expand Our Platform</w:t>
      </w:r>
    </w:p>
    <w:p>
      <w:pPr>
        <w:spacing w:after="0" w:line="117" w:lineRule="exact"/>
        <w:rPr>
          <w:sz w:val="20"/>
          <w:szCs w:val="20"/>
          <w:color w:val="auto"/>
        </w:rPr>
      </w:pPr>
    </w:p>
    <w:p>
      <w:pPr>
        <w:ind w:left="120" w:right="40" w:firstLine="440"/>
        <w:spacing w:after="0" w:line="255" w:lineRule="auto"/>
        <w:rPr>
          <w:sz w:val="20"/>
          <w:szCs w:val="20"/>
          <w:color w:val="auto"/>
        </w:rPr>
      </w:pPr>
      <w:r>
        <w:rPr>
          <w:rFonts w:ascii="Arial" w:cs="Arial" w:eastAsia="Arial" w:hAnsi="Arial"/>
          <w:sz w:val="18"/>
          <w:szCs w:val="18"/>
          <w:color w:val="auto"/>
        </w:rPr>
        <w:t>The growth of our business is driven in part by our ability to apply our deep healthcare domain expertise to innovate and expand our platform. We have continually created new products since our founding in 2011 and have launched 13 highly integrated intelligence modules to date. We plan to continue to invest significantly into our engineering and research and development efforts to enhance our capabilities and functionality and facilitate the expansion of our platform to new use cases and customers. In addition, we work to continuously release updates and new features. While we are primarily focused on organic investments to drive innovation, we will also evaluate strategic acquisitions and investments that further expand our platform.</w:t>
      </w:r>
    </w:p>
    <w:p>
      <w:pPr>
        <w:spacing w:after="0" w:line="296"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Impact of the COVID-19 Pandemic</w:t>
      </w:r>
    </w:p>
    <w:p>
      <w:pPr>
        <w:spacing w:after="0" w:line="121" w:lineRule="exact"/>
        <w:rPr>
          <w:sz w:val="20"/>
          <w:szCs w:val="20"/>
          <w:color w:val="auto"/>
        </w:rPr>
      </w:pPr>
    </w:p>
    <w:p>
      <w:pPr>
        <w:ind w:left="120" w:right="60" w:firstLine="440"/>
        <w:spacing w:after="0" w:line="289" w:lineRule="auto"/>
        <w:rPr>
          <w:sz w:val="20"/>
          <w:szCs w:val="20"/>
          <w:color w:val="auto"/>
        </w:rPr>
      </w:pPr>
      <w:r>
        <w:rPr>
          <w:rFonts w:ascii="Arial" w:cs="Arial" w:eastAsia="Arial" w:hAnsi="Arial"/>
          <w:sz w:val="16"/>
          <w:szCs w:val="16"/>
          <w:color w:val="auto"/>
        </w:rPr>
        <w:t>The effects of the COVID-19 pandemic are continuing to evolve and its impact on the economy and healthcare ecosystem have been vast. However, other than a brief slowdown in new bookings during the second quarter of 2020 at the outset of the pandemic and reduced expenses, we continued to invest in our sales force and the business, and the pandemic has not adversely affected our business, results of operations or financial condition. We have not experienced any known business disruptions as a result of the pandemic, as most of our services are already delivered remotely or are capable of being delivered remotely. We have demonstrated our agility to deal with the COVID-19 pandemic by introducing information on telehealth adoption, COVID-19 analytics and more. We also benefitted from reduced travel expenses and continued to invest in talent and technology. The full extent to which the COVID-19 pandemic may impact our financial condition or results of operations over the medium-to-long term, however, remains uncertain. We will continue to actively monitor the pandemic and may take further actions that alter our business operations as may be required by federal, state or local authorities, or that we determine are in the best interests of our employees, customers and stockholders.</w:t>
      </w:r>
    </w:p>
    <w:p>
      <w:pPr>
        <w:spacing w:after="0" w:line="270"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Key Metrics</w:t>
      </w:r>
    </w:p>
    <w:p>
      <w:pPr>
        <w:spacing w:after="0" w:line="121" w:lineRule="exact"/>
        <w:rPr>
          <w:sz w:val="20"/>
          <w:szCs w:val="20"/>
          <w:color w:val="auto"/>
        </w:rPr>
      </w:pPr>
    </w:p>
    <w:p>
      <w:pPr>
        <w:ind w:left="120" w:right="120" w:firstLine="440"/>
        <w:spacing w:after="0" w:line="277" w:lineRule="auto"/>
        <w:rPr>
          <w:sz w:val="20"/>
          <w:szCs w:val="20"/>
          <w:color w:val="auto"/>
        </w:rPr>
      </w:pPr>
      <w:r>
        <w:rPr>
          <w:rFonts w:ascii="Arial" w:cs="Arial" w:eastAsia="Arial" w:hAnsi="Arial"/>
          <w:sz w:val="18"/>
          <w:szCs w:val="18"/>
          <w:color w:val="auto"/>
        </w:rPr>
        <w:t>We monitor the following key metrics to help us evaluate our business performance, identify financial trends, formulate business plans and make strategic operational decisions.</w:t>
      </w:r>
    </w:p>
    <w:p>
      <w:pPr>
        <w:spacing w:after="0" w:line="27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Adjusted Gross Profit</w:t>
      </w:r>
    </w:p>
    <w:p>
      <w:pPr>
        <w:spacing w:after="0" w:line="117" w:lineRule="exact"/>
        <w:rPr>
          <w:sz w:val="20"/>
          <w:szCs w:val="20"/>
          <w:color w:val="auto"/>
        </w:rPr>
      </w:pPr>
    </w:p>
    <w:p>
      <w:pPr>
        <w:ind w:left="120" w:right="20" w:firstLine="440"/>
        <w:spacing w:after="0" w:line="277" w:lineRule="auto"/>
        <w:rPr>
          <w:sz w:val="20"/>
          <w:szCs w:val="20"/>
          <w:color w:val="auto"/>
        </w:rPr>
      </w:pPr>
      <w:r>
        <w:rPr>
          <w:rFonts w:ascii="Arial" w:cs="Arial" w:eastAsia="Arial" w:hAnsi="Arial"/>
          <w:sz w:val="18"/>
          <w:szCs w:val="18"/>
          <w:color w:val="auto"/>
        </w:rPr>
        <w:t>We define Adjusted Gross Profit as revenue less cost of revenue (excluding acquisition-related depreciation and amortization) and a small quantity of stock based compensation. Adjusted Gross Profit differs from Gross</w:t>
      </w:r>
    </w:p>
    <w:p>
      <w:pPr>
        <w:spacing w:after="0" w:line="103" w:lineRule="exact"/>
        <w:rPr>
          <w:sz w:val="20"/>
          <w:szCs w:val="20"/>
          <w:color w:val="auto"/>
        </w:rPr>
      </w:pPr>
    </w:p>
    <w:p>
      <w:pPr>
        <w:jc w:val="center"/>
        <w:ind w:right="-359"/>
        <w:spacing w:after="0"/>
        <w:rPr>
          <w:sz w:val="20"/>
          <w:szCs w:val="20"/>
          <w:color w:val="auto"/>
        </w:rPr>
      </w:pPr>
      <w:r>
        <w:rPr>
          <w:rFonts w:ascii="Arial" w:cs="Arial" w:eastAsia="Arial" w:hAnsi="Arial"/>
          <w:sz w:val="18"/>
          <w:szCs w:val="18"/>
          <w:color w:val="auto"/>
        </w:rPr>
        <w:t>81</w:t>
      </w:r>
    </w:p>
    <w:p>
      <w:pPr>
        <w:sectPr>
          <w:pgSz w:w="11900" w:h="16838" w:orient="portrait"/>
          <w:cols w:equalWidth="0" w:num="1">
            <w:col w:w="11120"/>
          </w:cols>
          <w:pgMar w:left="320" w:top="459" w:right="459" w:bottom="1440" w:gutter="0" w:footer="0" w:header="0"/>
        </w:sectPr>
      </w:pPr>
    </w:p>
    <w:bookmarkStart w:id="88" w:name="page89"/>
    <w:bookmarkEnd w:id="8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Confidential Treatment Requested by Definitive Healthcare Corp.</w:t>
      </w:r>
    </w:p>
    <w:p>
      <w:pPr>
        <w:spacing w:after="0" w:line="27"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Pursuant to 17 C.F.R. Section 200.83</w:t>
      </w:r>
    </w:p>
    <w:p>
      <w:pPr>
        <w:spacing w:after="0" w:line="143" w:lineRule="exact"/>
        <w:rPr>
          <w:sz w:val="20"/>
          <w:szCs w:val="20"/>
          <w:color w:val="auto"/>
        </w:rPr>
      </w:pPr>
    </w:p>
    <w:p>
      <w:pPr>
        <w:jc w:val="both"/>
        <w:ind w:left="120" w:right="60"/>
        <w:spacing w:after="0" w:line="286" w:lineRule="auto"/>
        <w:rPr>
          <w:sz w:val="20"/>
          <w:szCs w:val="20"/>
          <w:color w:val="auto"/>
        </w:rPr>
      </w:pPr>
      <w:r>
        <w:rPr>
          <w:rFonts w:ascii="Arial" w:cs="Arial" w:eastAsia="Arial" w:hAnsi="Arial"/>
          <w:sz w:val="17"/>
          <w:szCs w:val="17"/>
          <w:color w:val="auto"/>
        </w:rPr>
        <w:t>Profit, in that Gross Profit includes the impact of acquisition-related depreciation and amortization expense. We exclude acquisition-related depreciation and amortization expense as they have no direct correlation to the cost of operating our business on an ongoing basis. Adjusted Gross Margin is defined as Adjusted Gross Profit as a percentage of revenue. See “Non-GAAP Financial Measures” for additional information.</w:t>
      </w:r>
    </w:p>
    <w:p>
      <w:pPr>
        <w:spacing w:after="0" w:line="16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The following table presents a reconciliation of Gross Profit to Adjusted Gross Profit and Adjusted Gross Margin for the periods presented:</w:t>
      </w:r>
    </w:p>
    <w:p>
      <w:pPr>
        <w:spacing w:after="0" w:line="231" w:lineRule="exact"/>
        <w:rPr>
          <w:sz w:val="20"/>
          <w:szCs w:val="20"/>
          <w:color w:val="auto"/>
        </w:rPr>
      </w:pPr>
    </w:p>
    <w:tbl>
      <w:tblPr>
        <w:tblLayout w:type="fixed"/>
        <w:tblInd w:w="120" w:type="dxa"/>
        <w:tblCellMar>
          <w:top w:w="0" w:type="dxa"/>
          <w:left w:w="0" w:type="dxa"/>
          <w:bottom w:w="0" w:type="dxa"/>
          <w:right w:w="0" w:type="dxa"/>
        </w:tblCellMar>
      </w:tblPr>
      <w:tr>
        <w:trPr>
          <w:trHeight w:val="35"/>
        </w:trPr>
        <w:tc>
          <w:tcPr>
            <w:tcW w:w="1220" w:type="dxa"/>
            <w:vAlign w:val="bottom"/>
          </w:tcPr>
          <w:p>
            <w:pPr>
              <w:spacing w:after="0"/>
              <w:rPr>
                <w:sz w:val="3"/>
                <w:szCs w:val="3"/>
                <w:color w:val="auto"/>
              </w:rPr>
            </w:pPr>
          </w:p>
        </w:tc>
        <w:tc>
          <w:tcPr>
            <w:tcW w:w="1580" w:type="dxa"/>
            <w:vAlign w:val="bottom"/>
          </w:tcPr>
          <w:p>
            <w:pPr>
              <w:spacing w:after="0"/>
              <w:rPr>
                <w:sz w:val="3"/>
                <w:szCs w:val="3"/>
                <w:color w:val="auto"/>
              </w:rPr>
            </w:pPr>
          </w:p>
        </w:tc>
        <w:tc>
          <w:tcPr>
            <w:tcW w:w="240" w:type="dxa"/>
            <w:vAlign w:val="bottom"/>
          </w:tcPr>
          <w:p>
            <w:pPr>
              <w:spacing w:after="0"/>
              <w:rPr>
                <w:sz w:val="3"/>
                <w:szCs w:val="3"/>
                <w:color w:val="auto"/>
              </w:rPr>
            </w:pPr>
          </w:p>
        </w:tc>
        <w:tc>
          <w:tcPr>
            <w:tcW w:w="200" w:type="dxa"/>
            <w:vAlign w:val="bottom"/>
          </w:tcPr>
          <w:p>
            <w:pPr>
              <w:spacing w:after="0"/>
              <w:rPr>
                <w:sz w:val="3"/>
                <w:szCs w:val="3"/>
                <w:color w:val="auto"/>
              </w:rPr>
            </w:pPr>
          </w:p>
        </w:tc>
        <w:tc>
          <w:tcPr>
            <w:tcW w:w="640" w:type="dxa"/>
            <w:vAlign w:val="bottom"/>
          </w:tcPr>
          <w:p>
            <w:pPr>
              <w:spacing w:after="0"/>
              <w:rPr>
                <w:sz w:val="3"/>
                <w:szCs w:val="3"/>
                <w:color w:val="auto"/>
              </w:rPr>
            </w:pPr>
          </w:p>
        </w:tc>
        <w:tc>
          <w:tcPr>
            <w:tcW w:w="500" w:type="dxa"/>
            <w:vAlign w:val="bottom"/>
          </w:tcPr>
          <w:p>
            <w:pPr>
              <w:spacing w:after="0"/>
              <w:rPr>
                <w:sz w:val="3"/>
                <w:szCs w:val="3"/>
                <w:color w:val="auto"/>
              </w:rPr>
            </w:pPr>
          </w:p>
        </w:tc>
        <w:tc>
          <w:tcPr>
            <w:tcW w:w="340" w:type="dxa"/>
            <w:vAlign w:val="bottom"/>
          </w:tcPr>
          <w:p>
            <w:pPr>
              <w:spacing w:after="0"/>
              <w:rPr>
                <w:sz w:val="3"/>
                <w:szCs w:val="3"/>
                <w:color w:val="auto"/>
              </w:rPr>
            </w:pPr>
          </w:p>
        </w:tc>
        <w:tc>
          <w:tcPr>
            <w:tcW w:w="500" w:type="dxa"/>
            <w:vAlign w:val="bottom"/>
          </w:tcPr>
          <w:p>
            <w:pPr>
              <w:spacing w:after="0"/>
              <w:rPr>
                <w:sz w:val="3"/>
                <w:szCs w:val="3"/>
                <w:color w:val="auto"/>
              </w:rPr>
            </w:pPr>
          </w:p>
        </w:tc>
        <w:tc>
          <w:tcPr>
            <w:tcW w:w="2000" w:type="dxa"/>
            <w:vAlign w:val="bottom"/>
            <w:gridSpan w:val="4"/>
            <w:vMerge w:val="restart"/>
          </w:tcPr>
          <w:p>
            <w:pPr>
              <w:jc w:val="center"/>
              <w:ind w:right="880"/>
              <w:spacing w:after="0"/>
              <w:rPr>
                <w:sz w:val="20"/>
                <w:szCs w:val="20"/>
                <w:color w:val="auto"/>
              </w:rPr>
            </w:pPr>
            <w:r>
              <w:rPr>
                <w:rFonts w:ascii="Arial" w:cs="Arial" w:eastAsia="Arial" w:hAnsi="Arial"/>
                <w:sz w:val="14"/>
                <w:szCs w:val="14"/>
                <w:b w:val="1"/>
                <w:bCs w:val="1"/>
                <w:color w:val="auto"/>
                <w:w w:val="95"/>
              </w:rPr>
              <w:t>Definitive OpCo</w:t>
            </w:r>
          </w:p>
        </w:tc>
        <w:tc>
          <w:tcPr>
            <w:tcW w:w="1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60" w:type="dxa"/>
            <w:vAlign w:val="bottom"/>
          </w:tcPr>
          <w:p>
            <w:pPr>
              <w:spacing w:after="0"/>
              <w:rPr>
                <w:sz w:val="3"/>
                <w:szCs w:val="3"/>
                <w:color w:val="auto"/>
              </w:rPr>
            </w:pPr>
          </w:p>
        </w:tc>
        <w:tc>
          <w:tcPr>
            <w:tcW w:w="620" w:type="dxa"/>
            <w:vAlign w:val="bottom"/>
          </w:tcPr>
          <w:p>
            <w:pPr>
              <w:spacing w:after="0"/>
              <w:rPr>
                <w:sz w:val="3"/>
                <w:szCs w:val="3"/>
                <w:color w:val="auto"/>
              </w:rPr>
            </w:pPr>
          </w:p>
        </w:tc>
        <w:tc>
          <w:tcPr>
            <w:tcW w:w="3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40" w:type="dxa"/>
            <w:vAlign w:val="bottom"/>
            <w:gridSpan w:val="2"/>
            <w:vMerge w:val="restart"/>
          </w:tcPr>
          <w:p>
            <w:pPr>
              <w:jc w:val="center"/>
              <w:ind w:right="340"/>
              <w:spacing w:after="0"/>
              <w:rPr>
                <w:sz w:val="20"/>
                <w:szCs w:val="20"/>
                <w:color w:val="auto"/>
              </w:rPr>
            </w:pPr>
            <w:r>
              <w:rPr>
                <w:rFonts w:ascii="Arial" w:cs="Arial" w:eastAsia="Arial" w:hAnsi="Arial"/>
                <w:sz w:val="14"/>
                <w:szCs w:val="14"/>
                <w:b w:val="1"/>
                <w:bCs w:val="1"/>
                <w:color w:val="auto"/>
                <w:w w:val="97"/>
              </w:rPr>
              <w:t>Definitive OpCo</w:t>
            </w:r>
          </w:p>
        </w:tc>
        <w:tc>
          <w:tcPr>
            <w:tcW w:w="0" w:type="dxa"/>
            <w:vAlign w:val="bottom"/>
          </w:tcPr>
          <w:p>
            <w:pPr>
              <w:spacing w:after="0" w:line="20" w:lineRule="exact"/>
              <w:rPr>
                <w:sz w:val="1"/>
                <w:szCs w:val="1"/>
                <w:color w:val="auto"/>
              </w:rPr>
            </w:pPr>
          </w:p>
        </w:tc>
      </w:tr>
      <w:tr>
        <w:trPr>
          <w:trHeight w:val="126"/>
        </w:trPr>
        <w:tc>
          <w:tcPr>
            <w:tcW w:w="1220" w:type="dxa"/>
            <w:vAlign w:val="bottom"/>
          </w:tcPr>
          <w:p>
            <w:pPr>
              <w:spacing w:after="0"/>
              <w:rPr>
                <w:sz w:val="10"/>
                <w:szCs w:val="10"/>
                <w:color w:val="auto"/>
              </w:rPr>
            </w:pPr>
          </w:p>
        </w:tc>
        <w:tc>
          <w:tcPr>
            <w:tcW w:w="15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2000" w:type="dxa"/>
            <w:vAlign w:val="bottom"/>
            <w:gridSpan w:val="4"/>
            <w:vMerge w:val="continue"/>
          </w:tcPr>
          <w:p>
            <w:pPr>
              <w:spacing w:after="0"/>
              <w:rPr>
                <w:sz w:val="10"/>
                <w:szCs w:val="10"/>
                <w:color w:val="auto"/>
              </w:rPr>
            </w:pPr>
          </w:p>
        </w:tc>
        <w:tc>
          <w:tcPr>
            <w:tcW w:w="1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620" w:type="dxa"/>
            <w:vAlign w:val="bottom"/>
            <w:tcBorders>
              <w:right w:val="single" w:sz="8" w:color="auto"/>
            </w:tcBorders>
          </w:tcPr>
          <w:p>
            <w:pPr>
              <w:spacing w:after="0"/>
              <w:rPr>
                <w:sz w:val="10"/>
                <w:szCs w:val="10"/>
                <w:color w:val="auto"/>
              </w:rPr>
            </w:pPr>
          </w:p>
        </w:tc>
        <w:tc>
          <w:tcPr>
            <w:tcW w:w="3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4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122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000" w:type="dxa"/>
            <w:vAlign w:val="bottom"/>
            <w:gridSpan w:val="4"/>
            <w:vMerge w:val="continue"/>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620" w:type="dxa"/>
            <w:vAlign w:val="bottom"/>
            <w:tcBorders>
              <w:right w:val="single" w:sz="8" w:color="auto"/>
            </w:tcBorders>
          </w:tcPr>
          <w:p>
            <w:pPr>
              <w:spacing w:after="0"/>
              <w:rPr>
                <w:sz w:val="12"/>
                <w:szCs w:val="12"/>
                <w:color w:val="auto"/>
              </w:rPr>
            </w:pPr>
          </w:p>
        </w:tc>
        <w:tc>
          <w:tcPr>
            <w:tcW w:w="300" w:type="dxa"/>
            <w:vAlign w:val="bottom"/>
          </w:tcPr>
          <w:p>
            <w:pPr>
              <w:spacing w:after="0"/>
              <w:rPr>
                <w:sz w:val="12"/>
                <w:szCs w:val="12"/>
                <w:color w:val="auto"/>
              </w:rPr>
            </w:pPr>
          </w:p>
        </w:tc>
        <w:tc>
          <w:tcPr>
            <w:tcW w:w="1540" w:type="dxa"/>
            <w:vAlign w:val="bottom"/>
            <w:gridSpan w:val="3"/>
          </w:tcPr>
          <w:p>
            <w:pPr>
              <w:jc w:val="center"/>
              <w:ind w:right="240"/>
              <w:spacing w:after="0" w:line="149" w:lineRule="exact"/>
              <w:rPr>
                <w:sz w:val="20"/>
                <w:szCs w:val="20"/>
                <w:color w:val="auto"/>
              </w:rPr>
            </w:pPr>
            <w:r>
              <w:rPr>
                <w:rFonts w:ascii="Arial" w:cs="Arial" w:eastAsia="Arial" w:hAnsi="Arial"/>
                <w:sz w:val="14"/>
                <w:szCs w:val="14"/>
                <w:b w:val="1"/>
                <w:bCs w:val="1"/>
                <w:color w:val="auto"/>
              </w:rPr>
              <w:t>(AIDH TopCo, LLC)</w:t>
            </w:r>
          </w:p>
        </w:tc>
        <w:tc>
          <w:tcPr>
            <w:tcW w:w="0" w:type="dxa"/>
            <w:vAlign w:val="bottom"/>
          </w:tcPr>
          <w:p>
            <w:pPr>
              <w:spacing w:after="0"/>
              <w:rPr>
                <w:sz w:val="1"/>
                <w:szCs w:val="1"/>
                <w:color w:val="auto"/>
              </w:rPr>
            </w:pPr>
          </w:p>
        </w:tc>
      </w:tr>
      <w:tr>
        <w:trPr>
          <w:trHeight w:val="148"/>
        </w:trPr>
        <w:tc>
          <w:tcPr>
            <w:tcW w:w="122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500" w:type="dxa"/>
            <w:vAlign w:val="bottom"/>
            <w:gridSpan w:val="5"/>
          </w:tcPr>
          <w:p>
            <w:pPr>
              <w:jc w:val="center"/>
              <w:ind w:right="380"/>
              <w:spacing w:after="0" w:line="149" w:lineRule="exact"/>
              <w:rPr>
                <w:sz w:val="20"/>
                <w:szCs w:val="20"/>
                <w:color w:val="auto"/>
              </w:rPr>
            </w:pPr>
            <w:r>
              <w:rPr>
                <w:rFonts w:ascii="Arial" w:cs="Arial" w:eastAsia="Arial" w:hAnsi="Arial"/>
                <w:sz w:val="14"/>
                <w:szCs w:val="14"/>
                <w:b w:val="1"/>
                <w:bCs w:val="1"/>
                <w:color w:val="auto"/>
              </w:rPr>
              <w:t>(AIDH TopCo, LLC)</w:t>
            </w: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620" w:type="dxa"/>
            <w:vAlign w:val="bottom"/>
            <w:tcBorders>
              <w:right w:val="single" w:sz="8" w:color="auto"/>
            </w:tcBorders>
          </w:tcPr>
          <w:p>
            <w:pPr>
              <w:spacing w:after="0"/>
              <w:rPr>
                <w:sz w:val="12"/>
                <w:szCs w:val="12"/>
                <w:color w:val="auto"/>
              </w:rPr>
            </w:pPr>
          </w:p>
        </w:tc>
        <w:tc>
          <w:tcPr>
            <w:tcW w:w="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4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87"/>
              </w:rPr>
              <w:t>Predecessor</w:t>
            </w:r>
          </w:p>
        </w:tc>
        <w:tc>
          <w:tcPr>
            <w:tcW w:w="0" w:type="dxa"/>
            <w:vAlign w:val="bottom"/>
          </w:tcPr>
          <w:p>
            <w:pPr>
              <w:spacing w:after="0"/>
              <w:rPr>
                <w:sz w:val="1"/>
                <w:szCs w:val="1"/>
                <w:color w:val="auto"/>
              </w:rPr>
            </w:pPr>
          </w:p>
        </w:tc>
      </w:tr>
      <w:tr>
        <w:trPr>
          <w:trHeight w:val="171"/>
        </w:trPr>
        <w:tc>
          <w:tcPr>
            <w:tcW w:w="122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500" w:type="dxa"/>
            <w:vAlign w:val="bottom"/>
            <w:gridSpan w:val="5"/>
          </w:tcPr>
          <w:p>
            <w:pPr>
              <w:jc w:val="center"/>
              <w:ind w:right="340"/>
              <w:spacing w:after="0"/>
              <w:rPr>
                <w:sz w:val="20"/>
                <w:szCs w:val="20"/>
                <w:color w:val="auto"/>
              </w:rPr>
            </w:pPr>
            <w:r>
              <w:rPr>
                <w:rFonts w:ascii="Arial" w:cs="Arial" w:eastAsia="Arial" w:hAnsi="Arial"/>
                <w:sz w:val="14"/>
                <w:szCs w:val="14"/>
                <w:b w:val="1"/>
                <w:bCs w:val="1"/>
                <w:color w:val="auto"/>
                <w:w w:val="89"/>
              </w:rPr>
              <w:t>Successor Company</w:t>
            </w: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620" w:type="dxa"/>
            <w:vAlign w:val="bottom"/>
            <w:tcBorders>
              <w:right w:val="single" w:sz="8" w:color="auto"/>
            </w:tcBorders>
          </w:tcPr>
          <w:p>
            <w:pPr>
              <w:spacing w:after="0"/>
              <w:rPr>
                <w:sz w:val="14"/>
                <w:szCs w:val="14"/>
                <w:color w:val="auto"/>
              </w:rPr>
            </w:pPr>
          </w:p>
        </w:tc>
        <w:tc>
          <w:tcPr>
            <w:tcW w:w="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4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3"/>
              </w:rPr>
              <w:t>Company</w:t>
            </w:r>
          </w:p>
        </w:tc>
        <w:tc>
          <w:tcPr>
            <w:tcW w:w="0" w:type="dxa"/>
            <w:vAlign w:val="bottom"/>
          </w:tcPr>
          <w:p>
            <w:pPr>
              <w:spacing w:after="0"/>
              <w:rPr>
                <w:sz w:val="1"/>
                <w:szCs w:val="1"/>
                <w:color w:val="auto"/>
              </w:rPr>
            </w:pPr>
          </w:p>
        </w:tc>
      </w:tr>
      <w:tr>
        <w:trPr>
          <w:trHeight w:val="119"/>
        </w:trPr>
        <w:tc>
          <w:tcPr>
            <w:tcW w:w="1220" w:type="dxa"/>
            <w:vAlign w:val="bottom"/>
          </w:tcPr>
          <w:p>
            <w:pPr>
              <w:spacing w:after="0"/>
              <w:rPr>
                <w:sz w:val="10"/>
                <w:szCs w:val="10"/>
                <w:color w:val="auto"/>
              </w:rPr>
            </w:pPr>
          </w:p>
        </w:tc>
        <w:tc>
          <w:tcPr>
            <w:tcW w:w="15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200" w:type="dxa"/>
            <w:vAlign w:val="bottom"/>
            <w:tcBorders>
              <w:top w:val="single" w:sz="8" w:color="auto"/>
            </w:tcBorders>
          </w:tcPr>
          <w:p>
            <w:pPr>
              <w:spacing w:after="0"/>
              <w:rPr>
                <w:sz w:val="10"/>
                <w:szCs w:val="10"/>
                <w:color w:val="auto"/>
              </w:rPr>
            </w:pPr>
          </w:p>
        </w:tc>
        <w:tc>
          <w:tcPr>
            <w:tcW w:w="1480" w:type="dxa"/>
            <w:vAlign w:val="bottom"/>
            <w:tcBorders>
              <w:top w:val="single" w:sz="8" w:color="auto"/>
            </w:tcBorders>
            <w:gridSpan w:val="3"/>
            <w:vMerge w:val="restart"/>
          </w:tcPr>
          <w:p>
            <w:pPr>
              <w:ind w:left="320"/>
              <w:spacing w:after="0"/>
              <w:rPr>
                <w:sz w:val="20"/>
                <w:szCs w:val="20"/>
                <w:color w:val="auto"/>
              </w:rPr>
            </w:pPr>
            <w:r>
              <w:rPr>
                <w:rFonts w:ascii="Arial" w:cs="Arial" w:eastAsia="Arial" w:hAnsi="Arial"/>
                <w:sz w:val="14"/>
                <w:szCs w:val="14"/>
                <w:b w:val="1"/>
                <w:bCs w:val="1"/>
                <w:color w:val="auto"/>
                <w:w w:val="93"/>
              </w:rPr>
              <w:t>Six Months Ended</w:t>
            </w:r>
          </w:p>
        </w:tc>
        <w:tc>
          <w:tcPr>
            <w:tcW w:w="500" w:type="dxa"/>
            <w:vAlign w:val="bottom"/>
            <w:tcBorders>
              <w:top w:val="single" w:sz="8" w:color="auto"/>
            </w:tcBorders>
          </w:tcPr>
          <w:p>
            <w:pPr>
              <w:spacing w:after="0"/>
              <w:rPr>
                <w:sz w:val="10"/>
                <w:szCs w:val="10"/>
                <w:color w:val="auto"/>
              </w:rPr>
            </w:pPr>
          </w:p>
        </w:tc>
        <w:tc>
          <w:tcPr>
            <w:tcW w:w="520" w:type="dxa"/>
            <w:vAlign w:val="bottom"/>
            <w:tcBorders>
              <w:top w:val="single" w:sz="8" w:color="auto"/>
            </w:tcBorders>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1320" w:type="dxa"/>
            <w:vAlign w:val="bottom"/>
            <w:tcBorders>
              <w:top w:val="single" w:sz="8" w:color="auto"/>
            </w:tcBorders>
            <w:gridSpan w:val="2"/>
            <w:vMerge w:val="restart"/>
          </w:tcPr>
          <w:p>
            <w:pPr>
              <w:jc w:val="right"/>
              <w:ind w:right="560"/>
              <w:spacing w:after="0"/>
              <w:rPr>
                <w:sz w:val="20"/>
                <w:szCs w:val="20"/>
                <w:color w:val="auto"/>
              </w:rPr>
            </w:pPr>
            <w:r>
              <w:rPr>
                <w:rFonts w:ascii="Arial" w:cs="Arial" w:eastAsia="Arial" w:hAnsi="Arial"/>
                <w:sz w:val="14"/>
                <w:szCs w:val="14"/>
                <w:b w:val="1"/>
                <w:bCs w:val="1"/>
                <w:color w:val="auto"/>
                <w:w w:val="97"/>
              </w:rPr>
              <w:t>Year ended</w:t>
            </w:r>
          </w:p>
        </w:tc>
        <w:tc>
          <w:tcPr>
            <w:tcW w:w="180" w:type="dxa"/>
            <w:vAlign w:val="bottom"/>
            <w:tcBorders>
              <w:top w:val="single" w:sz="8" w:color="auto"/>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1060" w:type="dxa"/>
            <w:vAlign w:val="bottom"/>
            <w:tcBorders>
              <w:top w:val="single" w:sz="8" w:color="auto"/>
            </w:tcBorders>
          </w:tcPr>
          <w:p>
            <w:pPr>
              <w:jc w:val="right"/>
              <w:ind w:right="115"/>
              <w:spacing w:after="0" w:line="119" w:lineRule="exact"/>
              <w:rPr>
                <w:sz w:val="20"/>
                <w:szCs w:val="20"/>
                <w:color w:val="auto"/>
              </w:rPr>
            </w:pPr>
            <w:r>
              <w:rPr>
                <w:rFonts w:ascii="Arial" w:cs="Arial" w:eastAsia="Arial" w:hAnsi="Arial"/>
                <w:sz w:val="13"/>
                <w:szCs w:val="13"/>
                <w:b w:val="1"/>
                <w:bCs w:val="1"/>
                <w:color w:val="auto"/>
              </w:rPr>
              <w:t>Period from</w:t>
            </w:r>
          </w:p>
        </w:tc>
        <w:tc>
          <w:tcPr>
            <w:tcW w:w="620" w:type="dxa"/>
            <w:vAlign w:val="bottom"/>
            <w:tcBorders>
              <w:right w:val="single" w:sz="8" w:color="auto"/>
            </w:tcBorders>
          </w:tcPr>
          <w:p>
            <w:pPr>
              <w:spacing w:after="0"/>
              <w:rPr>
                <w:sz w:val="10"/>
                <w:szCs w:val="10"/>
                <w:color w:val="auto"/>
              </w:rPr>
            </w:pPr>
          </w:p>
        </w:tc>
        <w:tc>
          <w:tcPr>
            <w:tcW w:w="30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1220" w:type="dxa"/>
            <w:vAlign w:val="bottom"/>
            <w:tcBorders>
              <w:top w:val="single" w:sz="8" w:color="auto"/>
            </w:tcBorders>
          </w:tcPr>
          <w:p>
            <w:pPr>
              <w:jc w:val="center"/>
              <w:spacing w:after="0" w:line="119" w:lineRule="exact"/>
              <w:rPr>
                <w:sz w:val="20"/>
                <w:szCs w:val="20"/>
                <w:color w:val="auto"/>
              </w:rPr>
            </w:pPr>
            <w:r>
              <w:rPr>
                <w:rFonts w:ascii="Arial" w:cs="Arial" w:eastAsia="Arial" w:hAnsi="Arial"/>
                <w:sz w:val="13"/>
                <w:szCs w:val="13"/>
                <w:b w:val="1"/>
                <w:bCs w:val="1"/>
                <w:color w:val="auto"/>
              </w:rPr>
              <w:t>Period from</w:t>
            </w:r>
          </w:p>
        </w:tc>
        <w:tc>
          <w:tcPr>
            <w:tcW w:w="2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122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80" w:type="dxa"/>
            <w:vAlign w:val="bottom"/>
            <w:gridSpan w:val="3"/>
            <w:vMerge w:val="continue"/>
          </w:tcPr>
          <w:p>
            <w:pPr>
              <w:spacing w:after="0"/>
              <w:rPr>
                <w:sz w:val="12"/>
                <w:szCs w:val="12"/>
                <w:color w:val="auto"/>
              </w:rPr>
            </w:pPr>
          </w:p>
        </w:tc>
        <w:tc>
          <w:tcPr>
            <w:tcW w:w="5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32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80" w:type="dxa"/>
            <w:vAlign w:val="bottom"/>
            <w:tcBorders>
              <w:right w:val="single" w:sz="8" w:color="auto"/>
            </w:tcBorders>
            <w:gridSpan w:val="2"/>
          </w:tcPr>
          <w:p>
            <w:pPr>
              <w:jc w:val="right"/>
              <w:ind w:right="720"/>
              <w:spacing w:after="0" w:line="149" w:lineRule="exact"/>
              <w:rPr>
                <w:sz w:val="20"/>
                <w:szCs w:val="20"/>
                <w:color w:val="auto"/>
              </w:rPr>
            </w:pPr>
            <w:r>
              <w:rPr>
                <w:rFonts w:ascii="Arial" w:cs="Arial" w:eastAsia="Arial" w:hAnsi="Arial"/>
                <w:sz w:val="14"/>
                <w:szCs w:val="14"/>
                <w:b w:val="1"/>
                <w:bCs w:val="1"/>
                <w:color w:val="auto"/>
                <w:w w:val="90"/>
              </w:rPr>
              <w:t>July 16, 2019 to</w:t>
            </w:r>
          </w:p>
        </w:tc>
        <w:tc>
          <w:tcPr>
            <w:tcW w:w="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4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3"/>
              </w:rPr>
              <w:t>January 1, 2019 to</w:t>
            </w:r>
          </w:p>
        </w:tc>
        <w:tc>
          <w:tcPr>
            <w:tcW w:w="0" w:type="dxa"/>
            <w:vAlign w:val="bottom"/>
          </w:tcPr>
          <w:p>
            <w:pPr>
              <w:spacing w:after="0"/>
              <w:rPr>
                <w:sz w:val="1"/>
                <w:szCs w:val="1"/>
                <w:color w:val="auto"/>
              </w:rPr>
            </w:pPr>
          </w:p>
        </w:tc>
      </w:tr>
      <w:tr>
        <w:trPr>
          <w:trHeight w:val="171"/>
        </w:trPr>
        <w:tc>
          <w:tcPr>
            <w:tcW w:w="2800" w:type="dxa"/>
            <w:vAlign w:val="bottom"/>
            <w:gridSpan w:val="2"/>
          </w:tcPr>
          <w:p>
            <w:pPr>
              <w:spacing w:after="0"/>
              <w:rPr>
                <w:sz w:val="20"/>
                <w:szCs w:val="20"/>
                <w:color w:val="auto"/>
              </w:rPr>
            </w:pPr>
            <w:r>
              <w:rPr>
                <w:rFonts w:ascii="Arial" w:cs="Arial" w:eastAsia="Arial" w:hAnsi="Arial"/>
                <w:sz w:val="14"/>
                <w:szCs w:val="14"/>
                <w:color w:val="auto"/>
              </w:rPr>
              <w:t>(in thousands)</w:t>
            </w:r>
          </w:p>
        </w:tc>
        <w:tc>
          <w:tcPr>
            <w:tcW w:w="240" w:type="dxa"/>
            <w:vAlign w:val="bottom"/>
          </w:tcPr>
          <w:p>
            <w:pPr>
              <w:spacing w:after="0"/>
              <w:rPr>
                <w:sz w:val="14"/>
                <w:szCs w:val="14"/>
                <w:color w:val="auto"/>
              </w:rPr>
            </w:pPr>
          </w:p>
        </w:tc>
        <w:tc>
          <w:tcPr>
            <w:tcW w:w="1340" w:type="dxa"/>
            <w:vAlign w:val="bottom"/>
            <w:gridSpan w:val="3"/>
          </w:tcPr>
          <w:p>
            <w:pPr>
              <w:spacing w:after="0"/>
              <w:rPr>
                <w:sz w:val="20"/>
                <w:szCs w:val="20"/>
                <w:color w:val="auto"/>
              </w:rPr>
            </w:pPr>
            <w:r>
              <w:rPr>
                <w:rFonts w:ascii="Arial" w:cs="Arial" w:eastAsia="Arial" w:hAnsi="Arial"/>
                <w:sz w:val="14"/>
                <w:szCs w:val="14"/>
                <w:b w:val="1"/>
                <w:bCs w:val="1"/>
                <w:color w:val="auto"/>
              </w:rPr>
              <w:t>June 30, 2021</w:t>
            </w:r>
          </w:p>
        </w:tc>
        <w:tc>
          <w:tcPr>
            <w:tcW w:w="1360" w:type="dxa"/>
            <w:vAlign w:val="bottom"/>
            <w:gridSpan w:val="3"/>
          </w:tcPr>
          <w:p>
            <w:pPr>
              <w:spacing w:after="0"/>
              <w:rPr>
                <w:sz w:val="20"/>
                <w:szCs w:val="20"/>
                <w:color w:val="auto"/>
              </w:rPr>
            </w:pPr>
            <w:r>
              <w:rPr>
                <w:rFonts w:ascii="Arial" w:cs="Arial" w:eastAsia="Arial" w:hAnsi="Arial"/>
                <w:sz w:val="14"/>
                <w:szCs w:val="14"/>
                <w:b w:val="1"/>
                <w:bCs w:val="1"/>
                <w:color w:val="auto"/>
              </w:rPr>
              <w:t>June 30, 2020</w:t>
            </w:r>
          </w:p>
        </w:tc>
        <w:tc>
          <w:tcPr>
            <w:tcW w:w="1480" w:type="dxa"/>
            <w:vAlign w:val="bottom"/>
            <w:gridSpan w:val="3"/>
          </w:tcPr>
          <w:p>
            <w:pPr>
              <w:jc w:val="right"/>
              <w:ind w:right="320"/>
              <w:spacing w:after="0"/>
              <w:rPr>
                <w:sz w:val="20"/>
                <w:szCs w:val="20"/>
                <w:color w:val="auto"/>
              </w:rPr>
            </w:pPr>
            <w:r>
              <w:rPr>
                <w:rFonts w:ascii="Arial" w:cs="Arial" w:eastAsia="Arial" w:hAnsi="Arial"/>
                <w:sz w:val="14"/>
                <w:szCs w:val="14"/>
                <w:b w:val="1"/>
                <w:bCs w:val="1"/>
                <w:color w:val="auto"/>
                <w:w w:val="90"/>
              </w:rPr>
              <w:t>December 31, 2020</w:t>
            </w:r>
          </w:p>
        </w:tc>
        <w:tc>
          <w:tcPr>
            <w:tcW w:w="180" w:type="dxa"/>
            <w:vAlign w:val="bottom"/>
          </w:tcPr>
          <w:p>
            <w:pPr>
              <w:spacing w:after="0"/>
              <w:rPr>
                <w:sz w:val="14"/>
                <w:szCs w:val="14"/>
                <w:color w:val="auto"/>
              </w:rPr>
            </w:pPr>
          </w:p>
        </w:tc>
        <w:tc>
          <w:tcPr>
            <w:tcW w:w="1780" w:type="dxa"/>
            <w:vAlign w:val="bottom"/>
            <w:tcBorders>
              <w:right w:val="single" w:sz="8" w:color="auto"/>
            </w:tcBorders>
            <w:gridSpan w:val="3"/>
          </w:tcPr>
          <w:p>
            <w:pPr>
              <w:spacing w:after="0"/>
              <w:rPr>
                <w:sz w:val="20"/>
                <w:szCs w:val="20"/>
                <w:color w:val="auto"/>
              </w:rPr>
            </w:pPr>
            <w:r>
              <w:rPr>
                <w:rFonts w:ascii="Arial" w:cs="Arial" w:eastAsia="Arial" w:hAnsi="Arial"/>
                <w:sz w:val="14"/>
                <w:szCs w:val="14"/>
                <w:b w:val="1"/>
                <w:bCs w:val="1"/>
                <w:color w:val="auto"/>
              </w:rPr>
              <w:t>December 31, 2019</w:t>
            </w:r>
          </w:p>
        </w:tc>
        <w:tc>
          <w:tcPr>
            <w:tcW w:w="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4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2"/>
              </w:rPr>
              <w:t>July 15, 2019</w:t>
            </w:r>
          </w:p>
        </w:tc>
        <w:tc>
          <w:tcPr>
            <w:tcW w:w="0" w:type="dxa"/>
            <w:vAlign w:val="bottom"/>
          </w:tcPr>
          <w:p>
            <w:pPr>
              <w:spacing w:after="0"/>
              <w:rPr>
                <w:sz w:val="1"/>
                <w:szCs w:val="1"/>
                <w:color w:val="auto"/>
              </w:rPr>
            </w:pPr>
          </w:p>
        </w:tc>
      </w:tr>
      <w:tr>
        <w:trPr>
          <w:trHeight w:val="209"/>
        </w:trPr>
        <w:tc>
          <w:tcPr>
            <w:tcW w:w="2800" w:type="dxa"/>
            <w:vAlign w:val="bottom"/>
            <w:tcBorders>
              <w:top w:val="single" w:sz="8" w:color="CCEEFF"/>
            </w:tcBorders>
            <w:gridSpan w:val="2"/>
            <w:shd w:val="clear" w:color="auto" w:fill="CCEEFF"/>
          </w:tcPr>
          <w:p>
            <w:pPr>
              <w:spacing w:after="0"/>
              <w:rPr>
                <w:sz w:val="20"/>
                <w:szCs w:val="20"/>
                <w:color w:val="auto"/>
              </w:rPr>
            </w:pPr>
            <w:r>
              <w:rPr>
                <w:rFonts w:ascii="Arial" w:cs="Arial" w:eastAsia="Arial" w:hAnsi="Arial"/>
                <w:sz w:val="18"/>
                <w:szCs w:val="18"/>
                <w:b w:val="1"/>
                <w:bCs w:val="1"/>
                <w:color w:val="auto"/>
              </w:rPr>
              <w:t>Reported gross profit</w:t>
            </w:r>
          </w:p>
        </w:tc>
        <w:tc>
          <w:tcPr>
            <w:tcW w:w="24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57,451</w:t>
            </w:r>
          </w:p>
        </w:tc>
        <w:tc>
          <w:tcPr>
            <w:tcW w:w="50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39,845</w:t>
            </w:r>
          </w:p>
        </w:tc>
        <w:tc>
          <w:tcPr>
            <w:tcW w:w="5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87,849</w:t>
            </w:r>
          </w:p>
        </w:tc>
        <w:tc>
          <w:tcPr>
            <w:tcW w:w="3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26,763</w:t>
            </w:r>
          </w:p>
        </w:tc>
        <w:tc>
          <w:tcPr>
            <w:tcW w:w="620" w:type="dxa"/>
            <w:vAlign w:val="bottom"/>
            <w:tcBorders>
              <w:top w:val="single" w:sz="8" w:color="CCEEFF"/>
              <w:right w:val="single" w:sz="8" w:color="auto"/>
            </w:tcBorders>
            <w:shd w:val="clear" w:color="auto" w:fill="CCEEFF"/>
          </w:tcPr>
          <w:p>
            <w:pPr>
              <w:spacing w:after="0"/>
              <w:rPr>
                <w:sz w:val="18"/>
                <w:szCs w:val="18"/>
                <w:color w:val="auto"/>
              </w:rPr>
            </w:pPr>
          </w:p>
        </w:tc>
        <w:tc>
          <w:tcPr>
            <w:tcW w:w="3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40,130</w:t>
            </w:r>
          </w:p>
        </w:tc>
        <w:tc>
          <w:tcPr>
            <w:tcW w:w="2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800" w:type="dxa"/>
            <w:vAlign w:val="bottom"/>
            <w:gridSpan w:val="2"/>
          </w:tcPr>
          <w:p>
            <w:pPr>
              <w:spacing w:after="0" w:line="201" w:lineRule="exact"/>
              <w:rPr>
                <w:sz w:val="20"/>
                <w:szCs w:val="20"/>
                <w:color w:val="auto"/>
              </w:rPr>
            </w:pPr>
            <w:r>
              <w:rPr>
                <w:rFonts w:ascii="Arial" w:cs="Arial" w:eastAsia="Arial" w:hAnsi="Arial"/>
                <w:sz w:val="18"/>
                <w:szCs w:val="18"/>
                <w:color w:val="auto"/>
              </w:rPr>
              <w:t>Amortization of intangible assets</w:t>
            </w: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620" w:type="dxa"/>
            <w:vAlign w:val="bottom"/>
            <w:tcBorders>
              <w:right w:val="single" w:sz="8" w:color="auto"/>
            </w:tcBorders>
          </w:tcPr>
          <w:p>
            <w:pPr>
              <w:spacing w:after="0"/>
              <w:rPr>
                <w:sz w:val="17"/>
                <w:szCs w:val="17"/>
                <w:color w:val="auto"/>
              </w:rPr>
            </w:pPr>
          </w:p>
        </w:tc>
        <w:tc>
          <w:tcPr>
            <w:tcW w:w="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800" w:type="dxa"/>
            <w:vAlign w:val="bottom"/>
            <w:gridSpan w:val="2"/>
          </w:tcPr>
          <w:p>
            <w:pPr>
              <w:ind w:left="180"/>
              <w:spacing w:after="0"/>
              <w:rPr>
                <w:sz w:val="20"/>
                <w:szCs w:val="20"/>
                <w:color w:val="auto"/>
              </w:rPr>
            </w:pPr>
            <w:r>
              <w:rPr>
                <w:rFonts w:ascii="Arial" w:cs="Arial" w:eastAsia="Arial" w:hAnsi="Arial"/>
                <w:sz w:val="18"/>
                <w:szCs w:val="18"/>
                <w:color w:val="auto"/>
                <w:w w:val="99"/>
              </w:rPr>
              <w:t>resulting from acquisition-related</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620" w:type="dxa"/>
            <w:vAlign w:val="bottom"/>
            <w:tcBorders>
              <w:right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800" w:type="dxa"/>
            <w:vAlign w:val="bottom"/>
            <w:gridSpan w:val="2"/>
          </w:tcPr>
          <w:p>
            <w:pPr>
              <w:ind w:left="180"/>
              <w:spacing w:after="0"/>
              <w:rPr>
                <w:sz w:val="20"/>
                <w:szCs w:val="20"/>
                <w:color w:val="auto"/>
              </w:rPr>
            </w:pPr>
            <w:r>
              <w:rPr>
                <w:rFonts w:ascii="Arial" w:cs="Arial" w:eastAsia="Arial" w:hAnsi="Arial"/>
                <w:sz w:val="18"/>
                <w:szCs w:val="18"/>
                <w:color w:val="auto"/>
              </w:rPr>
              <w:t>purchase accounting</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620" w:type="dxa"/>
            <w:vAlign w:val="bottom"/>
            <w:tcBorders>
              <w:right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800" w:type="dxa"/>
            <w:vAlign w:val="bottom"/>
            <w:gridSpan w:val="2"/>
          </w:tcPr>
          <w:p>
            <w:pPr>
              <w:ind w:left="180"/>
              <w:spacing w:after="0"/>
              <w:rPr>
                <w:sz w:val="20"/>
                <w:szCs w:val="20"/>
                <w:color w:val="auto"/>
              </w:rPr>
            </w:pPr>
            <w:r>
              <w:rPr>
                <w:rFonts w:ascii="Arial" w:cs="Arial" w:eastAsia="Arial" w:hAnsi="Arial"/>
                <w:sz w:val="18"/>
                <w:szCs w:val="18"/>
                <w:color w:val="auto"/>
              </w:rPr>
              <w:t>adjustments</w:t>
            </w:r>
            <w:r>
              <w:rPr>
                <w:rFonts w:ascii="Arial" w:cs="Arial" w:eastAsia="Arial" w:hAnsi="Arial"/>
                <w:sz w:val="15"/>
                <w:szCs w:val="15"/>
                <w:color w:val="auto"/>
              </w:rPr>
              <w:t>(a)</w:t>
            </w:r>
          </w:p>
        </w:tc>
        <w:tc>
          <w:tcPr>
            <w:tcW w:w="2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40" w:type="dxa"/>
            <w:vAlign w:val="bottom"/>
            <w:gridSpan w:val="2"/>
          </w:tcPr>
          <w:p>
            <w:pPr>
              <w:jc w:val="right"/>
              <w:ind w:right="500"/>
              <w:spacing w:after="0"/>
              <w:rPr>
                <w:sz w:val="20"/>
                <w:szCs w:val="20"/>
                <w:color w:val="auto"/>
              </w:rPr>
            </w:pPr>
            <w:r>
              <w:rPr>
                <w:rFonts w:ascii="Arial" w:cs="Arial" w:eastAsia="Arial" w:hAnsi="Arial"/>
                <w:sz w:val="18"/>
                <w:szCs w:val="18"/>
                <w:color w:val="auto"/>
              </w:rPr>
              <w:t>10,029</w:t>
            </w:r>
          </w:p>
        </w:tc>
        <w:tc>
          <w:tcPr>
            <w:tcW w:w="340" w:type="dxa"/>
            <w:vAlign w:val="bottom"/>
          </w:tcPr>
          <w:p>
            <w:pPr>
              <w:spacing w:after="0"/>
              <w:rPr>
                <w:sz w:val="20"/>
                <w:szCs w:val="20"/>
                <w:color w:val="auto"/>
              </w:rPr>
            </w:pPr>
          </w:p>
        </w:tc>
        <w:tc>
          <w:tcPr>
            <w:tcW w:w="1020" w:type="dxa"/>
            <w:vAlign w:val="bottom"/>
            <w:gridSpan w:val="2"/>
          </w:tcPr>
          <w:p>
            <w:pPr>
              <w:jc w:val="right"/>
              <w:ind w:right="448"/>
              <w:spacing w:after="0"/>
              <w:rPr>
                <w:sz w:val="20"/>
                <w:szCs w:val="20"/>
                <w:color w:val="auto"/>
              </w:rPr>
            </w:pPr>
            <w:r>
              <w:rPr>
                <w:rFonts w:ascii="Arial" w:cs="Arial" w:eastAsia="Arial" w:hAnsi="Arial"/>
                <w:sz w:val="18"/>
                <w:szCs w:val="18"/>
                <w:color w:val="auto"/>
              </w:rPr>
              <w:t>9,416</w:t>
            </w:r>
          </w:p>
        </w:tc>
        <w:tc>
          <w:tcPr>
            <w:tcW w:w="160" w:type="dxa"/>
            <w:vAlign w:val="bottom"/>
          </w:tcPr>
          <w:p>
            <w:pPr>
              <w:spacing w:after="0"/>
              <w:rPr>
                <w:sz w:val="20"/>
                <w:szCs w:val="20"/>
                <w:color w:val="auto"/>
              </w:rPr>
            </w:pPr>
          </w:p>
        </w:tc>
        <w:tc>
          <w:tcPr>
            <w:tcW w:w="1320" w:type="dxa"/>
            <w:vAlign w:val="bottom"/>
            <w:gridSpan w:val="2"/>
          </w:tcPr>
          <w:p>
            <w:pPr>
              <w:jc w:val="right"/>
              <w:ind w:right="320"/>
              <w:spacing w:after="0"/>
              <w:rPr>
                <w:sz w:val="20"/>
                <w:szCs w:val="20"/>
                <w:color w:val="auto"/>
              </w:rPr>
            </w:pPr>
            <w:r>
              <w:rPr>
                <w:rFonts w:ascii="Arial" w:cs="Arial" w:eastAsia="Arial" w:hAnsi="Arial"/>
                <w:sz w:val="18"/>
                <w:szCs w:val="18"/>
                <w:color w:val="auto"/>
              </w:rPr>
              <w:t>19,169</w:t>
            </w: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80" w:type="dxa"/>
            <w:vAlign w:val="bottom"/>
            <w:tcBorders>
              <w:right w:val="single" w:sz="8" w:color="auto"/>
            </w:tcBorders>
            <w:gridSpan w:val="2"/>
          </w:tcPr>
          <w:p>
            <w:pPr>
              <w:jc w:val="right"/>
              <w:ind w:right="620"/>
              <w:spacing w:after="0"/>
              <w:rPr>
                <w:sz w:val="20"/>
                <w:szCs w:val="20"/>
                <w:color w:val="auto"/>
              </w:rPr>
            </w:pPr>
            <w:r>
              <w:rPr>
                <w:rFonts w:ascii="Arial" w:cs="Arial" w:eastAsia="Arial" w:hAnsi="Arial"/>
                <w:sz w:val="18"/>
                <w:szCs w:val="18"/>
                <w:color w:val="auto"/>
              </w:rPr>
              <w:t>8,602</w:t>
            </w:r>
          </w:p>
        </w:tc>
        <w:tc>
          <w:tcPr>
            <w:tcW w:w="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40" w:type="dxa"/>
            <w:vAlign w:val="bottom"/>
            <w:gridSpan w:val="2"/>
          </w:tcPr>
          <w:p>
            <w:pPr>
              <w:jc w:val="right"/>
              <w:ind w:right="220"/>
              <w:spacing w:after="0"/>
              <w:rPr>
                <w:sz w:val="20"/>
                <w:szCs w:val="20"/>
                <w:color w:val="auto"/>
              </w:rPr>
            </w:pPr>
            <w:r>
              <w:rPr>
                <w:rFonts w:ascii="Arial" w:cs="Arial" w:eastAsia="Arial" w:hAnsi="Arial"/>
                <w:sz w:val="18"/>
                <w:szCs w:val="18"/>
                <w:color w:val="auto"/>
              </w:rPr>
              <w:t>498</w:t>
            </w:r>
          </w:p>
        </w:tc>
        <w:tc>
          <w:tcPr>
            <w:tcW w:w="0" w:type="dxa"/>
            <w:vAlign w:val="bottom"/>
          </w:tcPr>
          <w:p>
            <w:pPr>
              <w:spacing w:after="0"/>
              <w:rPr>
                <w:sz w:val="1"/>
                <w:szCs w:val="1"/>
                <w:color w:val="auto"/>
              </w:rPr>
            </w:pPr>
          </w:p>
        </w:tc>
      </w:tr>
      <w:tr>
        <w:trPr>
          <w:trHeight w:val="216"/>
        </w:trPr>
        <w:tc>
          <w:tcPr>
            <w:tcW w:w="28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Equity compensation costs</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31</w:t>
            </w:r>
          </w:p>
        </w:tc>
        <w:tc>
          <w:tcPr>
            <w:tcW w:w="3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48"/>
              <w:spacing w:after="0"/>
              <w:rPr>
                <w:sz w:val="20"/>
                <w:szCs w:val="20"/>
                <w:color w:val="auto"/>
              </w:rPr>
            </w:pPr>
            <w:r>
              <w:rPr>
                <w:rFonts w:ascii="Arial" w:cs="Arial" w:eastAsia="Arial" w:hAnsi="Arial"/>
                <w:sz w:val="18"/>
                <w:szCs w:val="18"/>
                <w:color w:val="auto"/>
              </w:rPr>
              <w:t>30</w:t>
            </w:r>
          </w:p>
        </w:tc>
        <w:tc>
          <w:tcPr>
            <w:tcW w:w="16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62</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80" w:type="dxa"/>
            <w:vAlign w:val="bottom"/>
            <w:tcBorders>
              <w:right w:val="single" w:sz="8" w:color="auto"/>
            </w:tcBorders>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28</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256</w:t>
            </w:r>
          </w:p>
        </w:tc>
        <w:tc>
          <w:tcPr>
            <w:tcW w:w="0" w:type="dxa"/>
            <w:vAlign w:val="bottom"/>
          </w:tcPr>
          <w:p>
            <w:pPr>
              <w:spacing w:after="0"/>
              <w:rPr>
                <w:sz w:val="1"/>
                <w:szCs w:val="1"/>
                <w:color w:val="auto"/>
              </w:rPr>
            </w:pPr>
          </w:p>
        </w:tc>
      </w:tr>
      <w:tr>
        <w:trPr>
          <w:trHeight w:val="223"/>
        </w:trPr>
        <w:tc>
          <w:tcPr>
            <w:tcW w:w="2800" w:type="dxa"/>
            <w:vAlign w:val="bottom"/>
            <w:gridSpan w:val="2"/>
          </w:tcPr>
          <w:p>
            <w:pPr>
              <w:spacing w:after="0"/>
              <w:rPr>
                <w:sz w:val="20"/>
                <w:szCs w:val="20"/>
                <w:color w:val="auto"/>
              </w:rPr>
            </w:pPr>
            <w:r>
              <w:rPr>
                <w:rFonts w:ascii="Arial" w:cs="Arial" w:eastAsia="Arial" w:hAnsi="Arial"/>
                <w:sz w:val="18"/>
                <w:szCs w:val="18"/>
                <w:b w:val="1"/>
                <w:bCs w:val="1"/>
                <w:color w:val="auto"/>
              </w:rPr>
              <w:t>Adjusted Gross Profit</w:t>
            </w:r>
          </w:p>
        </w:tc>
        <w:tc>
          <w:tcPr>
            <w:tcW w:w="240" w:type="dxa"/>
            <w:vAlign w:val="bottom"/>
          </w:tcPr>
          <w:p>
            <w:pPr>
              <w:spacing w:after="0"/>
              <w:rPr>
                <w:sz w:val="19"/>
                <w:szCs w:val="19"/>
                <w:color w:val="auto"/>
              </w:rPr>
            </w:pPr>
          </w:p>
        </w:tc>
        <w:tc>
          <w:tcPr>
            <w:tcW w:w="20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w:t>
            </w: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67,511</w:t>
            </w:r>
          </w:p>
        </w:tc>
        <w:tc>
          <w:tcPr>
            <w:tcW w:w="500" w:type="dxa"/>
            <w:vAlign w:val="bottom"/>
          </w:tcPr>
          <w:p>
            <w:pPr>
              <w:spacing w:after="0"/>
              <w:rPr>
                <w:sz w:val="19"/>
                <w:szCs w:val="19"/>
                <w:color w:val="auto"/>
              </w:rPr>
            </w:pPr>
          </w:p>
        </w:tc>
        <w:tc>
          <w:tcPr>
            <w:tcW w:w="34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w:t>
            </w:r>
          </w:p>
        </w:tc>
        <w:tc>
          <w:tcPr>
            <w:tcW w:w="5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7"/>
              </w:rPr>
              <w:t>49,291</w:t>
            </w:r>
          </w:p>
        </w:tc>
        <w:tc>
          <w:tcPr>
            <w:tcW w:w="520" w:type="dxa"/>
            <w:vAlign w:val="bottom"/>
          </w:tcPr>
          <w:p>
            <w:pPr>
              <w:spacing w:after="0"/>
              <w:rPr>
                <w:sz w:val="19"/>
                <w:szCs w:val="19"/>
                <w:color w:val="auto"/>
              </w:rPr>
            </w:pPr>
          </w:p>
        </w:tc>
        <w:tc>
          <w:tcPr>
            <w:tcW w:w="16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107,080</w:t>
            </w:r>
          </w:p>
        </w:tc>
        <w:tc>
          <w:tcPr>
            <w:tcW w:w="3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Borders>
              <w:top w:val="single" w:sz="8" w:color="auto"/>
            </w:tcBorders>
          </w:tcPr>
          <w:p>
            <w:pPr>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35,393</w:t>
            </w:r>
          </w:p>
        </w:tc>
        <w:tc>
          <w:tcPr>
            <w:tcW w:w="620" w:type="dxa"/>
            <w:vAlign w:val="bottom"/>
            <w:tcBorders>
              <w:right w:val="single" w:sz="8" w:color="auto"/>
            </w:tcBorders>
          </w:tcPr>
          <w:p>
            <w:pPr>
              <w:spacing w:after="0"/>
              <w:rPr>
                <w:sz w:val="19"/>
                <w:szCs w:val="19"/>
                <w:color w:val="auto"/>
              </w:rPr>
            </w:pPr>
          </w:p>
        </w:tc>
        <w:tc>
          <w:tcPr>
            <w:tcW w:w="300" w:type="dxa"/>
            <w:vAlign w:val="bottom"/>
          </w:tcPr>
          <w:p>
            <w:pPr>
              <w:spacing w:after="0"/>
              <w:rPr>
                <w:sz w:val="19"/>
                <w:szCs w:val="19"/>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40,884</w:t>
            </w: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8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Revenue</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76,757</w:t>
            </w:r>
          </w:p>
        </w:tc>
        <w:tc>
          <w:tcPr>
            <w:tcW w:w="5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48"/>
              <w:spacing w:after="0"/>
              <w:rPr>
                <w:sz w:val="20"/>
                <w:szCs w:val="20"/>
                <w:color w:val="auto"/>
              </w:rPr>
            </w:pPr>
            <w:r>
              <w:rPr>
                <w:rFonts w:ascii="Arial" w:cs="Arial" w:eastAsia="Arial" w:hAnsi="Arial"/>
                <w:sz w:val="18"/>
                <w:szCs w:val="18"/>
                <w:color w:val="auto"/>
                <w:w w:val="87"/>
              </w:rPr>
              <w:t>54,586</w:t>
            </w:r>
          </w:p>
        </w:tc>
        <w:tc>
          <w:tcPr>
            <w:tcW w:w="16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118,317</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80" w:type="dxa"/>
            <w:vAlign w:val="bottom"/>
            <w:tcBorders>
              <w:right w:val="single" w:sz="8" w:color="auto"/>
            </w:tcBorders>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40,045</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45,458</w:t>
            </w:r>
          </w:p>
        </w:tc>
        <w:tc>
          <w:tcPr>
            <w:tcW w:w="0" w:type="dxa"/>
            <w:vAlign w:val="bottom"/>
          </w:tcPr>
          <w:p>
            <w:pPr>
              <w:spacing w:after="0"/>
              <w:rPr>
                <w:sz w:val="1"/>
                <w:szCs w:val="1"/>
                <w:color w:val="auto"/>
              </w:rPr>
            </w:pPr>
          </w:p>
        </w:tc>
      </w:tr>
      <w:tr>
        <w:trPr>
          <w:trHeight w:val="20"/>
        </w:trPr>
        <w:tc>
          <w:tcPr>
            <w:tcW w:w="280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Adjusted Gross Margin</w:t>
            </w:r>
          </w:p>
        </w:tc>
        <w:tc>
          <w:tcPr>
            <w:tcW w:w="24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620" w:type="dxa"/>
            <w:vAlign w:val="bottom"/>
            <w:tcBorders>
              <w:right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2800" w:type="dxa"/>
            <w:vAlign w:val="bottom"/>
            <w:gridSpan w:val="2"/>
            <w:vMerge w:val="continue"/>
          </w:tcPr>
          <w:p>
            <w:pPr>
              <w:spacing w:after="0"/>
              <w:rPr>
                <w:sz w:val="19"/>
                <w:szCs w:val="19"/>
                <w:color w:val="auto"/>
              </w:rPr>
            </w:pP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40" w:type="dxa"/>
            <w:vAlign w:val="bottom"/>
            <w:gridSpan w:val="2"/>
          </w:tcPr>
          <w:p>
            <w:pPr>
              <w:jc w:val="right"/>
              <w:ind w:right="360"/>
              <w:spacing w:after="0"/>
              <w:rPr>
                <w:sz w:val="20"/>
                <w:szCs w:val="20"/>
                <w:color w:val="auto"/>
              </w:rPr>
            </w:pPr>
            <w:r>
              <w:rPr>
                <w:rFonts w:ascii="Arial" w:cs="Arial" w:eastAsia="Arial" w:hAnsi="Arial"/>
                <w:sz w:val="18"/>
                <w:szCs w:val="18"/>
                <w:color w:val="auto"/>
              </w:rPr>
              <w:t>88%</w:t>
            </w:r>
          </w:p>
        </w:tc>
        <w:tc>
          <w:tcPr>
            <w:tcW w:w="340" w:type="dxa"/>
            <w:vAlign w:val="bottom"/>
          </w:tcPr>
          <w:p>
            <w:pPr>
              <w:spacing w:after="0"/>
              <w:rPr>
                <w:sz w:val="19"/>
                <w:szCs w:val="19"/>
                <w:color w:val="auto"/>
              </w:rPr>
            </w:pPr>
          </w:p>
        </w:tc>
        <w:tc>
          <w:tcPr>
            <w:tcW w:w="1020" w:type="dxa"/>
            <w:vAlign w:val="bottom"/>
            <w:gridSpan w:val="2"/>
          </w:tcPr>
          <w:p>
            <w:pPr>
              <w:jc w:val="right"/>
              <w:ind w:right="288"/>
              <w:spacing w:after="0"/>
              <w:rPr>
                <w:sz w:val="20"/>
                <w:szCs w:val="20"/>
                <w:color w:val="auto"/>
              </w:rPr>
            </w:pPr>
            <w:r>
              <w:rPr>
                <w:rFonts w:ascii="Arial" w:cs="Arial" w:eastAsia="Arial" w:hAnsi="Arial"/>
                <w:sz w:val="18"/>
                <w:szCs w:val="18"/>
                <w:color w:val="auto"/>
              </w:rPr>
              <w:t>90%</w:t>
            </w:r>
          </w:p>
        </w:tc>
        <w:tc>
          <w:tcPr>
            <w:tcW w:w="160" w:type="dxa"/>
            <w:vAlign w:val="bottom"/>
          </w:tcPr>
          <w:p>
            <w:pPr>
              <w:spacing w:after="0"/>
              <w:rPr>
                <w:sz w:val="19"/>
                <w:szCs w:val="19"/>
                <w:color w:val="auto"/>
              </w:rPr>
            </w:pPr>
          </w:p>
        </w:tc>
        <w:tc>
          <w:tcPr>
            <w:tcW w:w="1320" w:type="dxa"/>
            <w:vAlign w:val="bottom"/>
            <w:gridSpan w:val="2"/>
          </w:tcPr>
          <w:p>
            <w:pPr>
              <w:jc w:val="right"/>
              <w:ind w:right="180"/>
              <w:spacing w:after="0"/>
              <w:rPr>
                <w:sz w:val="20"/>
                <w:szCs w:val="20"/>
                <w:color w:val="auto"/>
              </w:rPr>
            </w:pPr>
            <w:r>
              <w:rPr>
                <w:rFonts w:ascii="Arial" w:cs="Arial" w:eastAsia="Arial" w:hAnsi="Arial"/>
                <w:sz w:val="18"/>
                <w:szCs w:val="18"/>
                <w:color w:val="auto"/>
              </w:rPr>
              <w:t>91%</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80" w:type="dxa"/>
            <w:vAlign w:val="bottom"/>
            <w:tcBorders>
              <w:right w:val="single" w:sz="8" w:color="auto"/>
            </w:tcBorders>
            <w:gridSpan w:val="2"/>
          </w:tcPr>
          <w:p>
            <w:pPr>
              <w:jc w:val="right"/>
              <w:ind w:right="460"/>
              <w:spacing w:after="0"/>
              <w:rPr>
                <w:sz w:val="20"/>
                <w:szCs w:val="20"/>
                <w:color w:val="auto"/>
              </w:rPr>
            </w:pPr>
            <w:r>
              <w:rPr>
                <w:rFonts w:ascii="Arial" w:cs="Arial" w:eastAsia="Arial" w:hAnsi="Arial"/>
                <w:sz w:val="18"/>
                <w:szCs w:val="18"/>
                <w:color w:val="auto"/>
              </w:rPr>
              <w:t>88%</w:t>
            </w:r>
          </w:p>
        </w:tc>
        <w:tc>
          <w:tcPr>
            <w:tcW w:w="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40" w:type="dxa"/>
            <w:vAlign w:val="bottom"/>
            <w:gridSpan w:val="2"/>
          </w:tcPr>
          <w:p>
            <w:pPr>
              <w:jc w:val="right"/>
              <w:ind w:right="60"/>
              <w:spacing w:after="0"/>
              <w:rPr>
                <w:sz w:val="20"/>
                <w:szCs w:val="20"/>
                <w:color w:val="auto"/>
              </w:rPr>
            </w:pPr>
            <w:r>
              <w:rPr>
                <w:rFonts w:ascii="Arial" w:cs="Arial" w:eastAsia="Arial" w:hAnsi="Arial"/>
                <w:sz w:val="18"/>
                <w:szCs w:val="18"/>
                <w:color w:val="auto"/>
              </w:rPr>
              <w:t>90%</w:t>
            </w:r>
          </w:p>
        </w:tc>
        <w:tc>
          <w:tcPr>
            <w:tcW w:w="0" w:type="dxa"/>
            <w:vAlign w:val="bottom"/>
          </w:tcPr>
          <w:p>
            <w:pPr>
              <w:spacing w:after="0"/>
              <w:rPr>
                <w:sz w:val="1"/>
                <w:szCs w:val="1"/>
                <w:color w:val="auto"/>
              </w:rPr>
            </w:pPr>
          </w:p>
        </w:tc>
      </w:tr>
      <w:tr>
        <w:trPr>
          <w:trHeight w:val="20"/>
        </w:trPr>
        <w:tc>
          <w:tcPr>
            <w:tcW w:w="122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right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1220" w:type="dxa"/>
            <w:vAlign w:val="bottom"/>
            <w:tcBorders>
              <w:bottom w:val="single" w:sz="8" w:color="auto"/>
            </w:tcBorders>
          </w:tcPr>
          <w:p>
            <w:pPr>
              <w:spacing w:after="0"/>
              <w:rPr>
                <w:sz w:val="11"/>
                <w:szCs w:val="11"/>
                <w:color w:val="auto"/>
              </w:rPr>
            </w:pPr>
          </w:p>
        </w:tc>
        <w:tc>
          <w:tcPr>
            <w:tcW w:w="15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5842635</wp:posOffset>
            </wp:positionH>
            <wp:positionV relativeFrom="paragraph">
              <wp:posOffset>-281940</wp:posOffset>
            </wp:positionV>
            <wp:extent cx="25400" cy="825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25400" cy="8255"/>
                    </a:xfrm>
                    <a:prstGeom prst="rect">
                      <a:avLst/>
                    </a:prstGeom>
                    <a:noFill/>
                  </pic:spPr>
                </pic:pic>
              </a:graphicData>
            </a:graphic>
          </wp:anchor>
        </w:drawing>
      </w:r>
    </w:p>
    <w:p>
      <w:pPr>
        <w:spacing w:after="0" w:line="6" w:lineRule="exact"/>
        <w:rPr>
          <w:sz w:val="20"/>
          <w:szCs w:val="20"/>
          <w:color w:val="auto"/>
        </w:rPr>
      </w:pPr>
    </w:p>
    <w:p>
      <w:pPr>
        <w:ind w:left="660" w:right="440" w:hanging="544"/>
        <w:spacing w:after="0" w:line="277" w:lineRule="auto"/>
        <w:tabs>
          <w:tab w:leader="none" w:pos="660" w:val="left"/>
        </w:tabs>
        <w:numPr>
          <w:ilvl w:val="0"/>
          <w:numId w:val="71"/>
        </w:numPr>
        <w:rPr>
          <w:rFonts w:ascii="Arial" w:cs="Arial" w:eastAsia="Arial" w:hAnsi="Arial"/>
          <w:sz w:val="18"/>
          <w:szCs w:val="18"/>
          <w:color w:val="auto"/>
        </w:rPr>
      </w:pPr>
      <w:r>
        <w:rPr>
          <w:rFonts w:ascii="Arial" w:cs="Arial" w:eastAsia="Arial" w:hAnsi="Arial"/>
          <w:sz w:val="18"/>
          <w:szCs w:val="18"/>
          <w:color w:val="auto"/>
        </w:rPr>
        <w:t>Amortization of intangible assets resulting from purchase accounting adjustments represents non-cash amortization of acquired intangibles, primarily resulting from the Advent acquisition.</w:t>
      </w:r>
    </w:p>
    <w:p>
      <w:pPr>
        <w:spacing w:after="0" w:line="103"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82</w:t>
      </w:r>
    </w:p>
    <w:p>
      <w:pPr>
        <w:sectPr>
          <w:pgSz w:w="11900" w:h="16838" w:orient="portrait"/>
          <w:cols w:equalWidth="0" w:num="1">
            <w:col w:w="11140"/>
          </w:cols>
          <w:pgMar w:left="320" w:top="459" w:right="439" w:bottom="1440" w:gutter="0" w:footer="0" w:header="0"/>
        </w:sectPr>
      </w:pPr>
    </w:p>
    <w:bookmarkStart w:id="89" w:name="page90"/>
    <w:bookmarkEnd w:id="8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Confidential Treatment Requested by Definitive Healthcare Corp.</w:t>
      </w:r>
    </w:p>
    <w:p>
      <w:pPr>
        <w:spacing w:after="0" w:line="27"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Pursuant to 17 C.F.R. Section 200.83</w:t>
      </w:r>
    </w:p>
    <w:p>
      <w:pPr>
        <w:spacing w:after="0" w:line="143" w:lineRule="exact"/>
        <w:rPr>
          <w:sz w:val="20"/>
          <w:szCs w:val="20"/>
          <w:color w:val="auto"/>
        </w:rPr>
      </w:pPr>
    </w:p>
    <w:p>
      <w:pPr>
        <w:ind w:left="120" w:right="900" w:firstLine="440"/>
        <w:spacing w:after="0" w:line="277" w:lineRule="auto"/>
        <w:rPr>
          <w:sz w:val="20"/>
          <w:szCs w:val="20"/>
          <w:color w:val="auto"/>
        </w:rPr>
      </w:pPr>
      <w:r>
        <w:rPr>
          <w:rFonts w:ascii="Arial" w:cs="Arial" w:eastAsia="Arial" w:hAnsi="Arial"/>
          <w:sz w:val="18"/>
          <w:szCs w:val="18"/>
          <w:color w:val="auto"/>
        </w:rPr>
        <w:t>Gross profit is revenue less cost of revenue, and gross margin is gross profit as a percentage of revenue. The following table presents a reconciliation of gross margin to Adjusted Gross Margin for the periods presented:</w:t>
      </w:r>
    </w:p>
    <w:p>
      <w:pPr>
        <w:spacing w:after="0" w:line="176" w:lineRule="exact"/>
        <w:rPr>
          <w:sz w:val="20"/>
          <w:szCs w:val="20"/>
          <w:color w:val="auto"/>
        </w:rPr>
      </w:pPr>
    </w:p>
    <w:tbl>
      <w:tblPr>
        <w:tblLayout w:type="fixed"/>
        <w:tblInd w:w="120" w:type="dxa"/>
        <w:tblCellMar>
          <w:top w:w="0" w:type="dxa"/>
          <w:left w:w="0" w:type="dxa"/>
          <w:bottom w:w="0" w:type="dxa"/>
          <w:right w:w="0" w:type="dxa"/>
        </w:tblCellMar>
      </w:tblPr>
      <w:tr>
        <w:trPr>
          <w:trHeight w:val="35"/>
        </w:trPr>
        <w:tc>
          <w:tcPr>
            <w:tcW w:w="2780" w:type="dxa"/>
            <w:vAlign w:val="bottom"/>
          </w:tcPr>
          <w:p>
            <w:pPr>
              <w:spacing w:after="0"/>
              <w:rPr>
                <w:sz w:val="3"/>
                <w:szCs w:val="3"/>
                <w:color w:val="auto"/>
              </w:rPr>
            </w:pPr>
          </w:p>
        </w:tc>
        <w:tc>
          <w:tcPr>
            <w:tcW w:w="22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320" w:type="dxa"/>
            <w:vAlign w:val="bottom"/>
          </w:tcPr>
          <w:p>
            <w:pPr>
              <w:spacing w:after="0"/>
              <w:rPr>
                <w:sz w:val="3"/>
                <w:szCs w:val="3"/>
                <w:color w:val="auto"/>
              </w:rPr>
            </w:pPr>
          </w:p>
        </w:tc>
        <w:tc>
          <w:tcPr>
            <w:tcW w:w="520" w:type="dxa"/>
            <w:vAlign w:val="bottom"/>
          </w:tcPr>
          <w:p>
            <w:pPr>
              <w:spacing w:after="0"/>
              <w:rPr>
                <w:sz w:val="3"/>
                <w:szCs w:val="3"/>
                <w:color w:val="auto"/>
              </w:rPr>
            </w:pPr>
          </w:p>
        </w:tc>
        <w:tc>
          <w:tcPr>
            <w:tcW w:w="2300" w:type="dxa"/>
            <w:vAlign w:val="bottom"/>
            <w:gridSpan w:val="4"/>
            <w:vMerge w:val="restart"/>
          </w:tcPr>
          <w:p>
            <w:pPr>
              <w:jc w:val="center"/>
              <w:ind w:right="1100"/>
              <w:spacing w:after="0"/>
              <w:rPr>
                <w:sz w:val="20"/>
                <w:szCs w:val="20"/>
                <w:color w:val="auto"/>
              </w:rPr>
            </w:pPr>
            <w:r>
              <w:rPr>
                <w:rFonts w:ascii="Arial" w:cs="Arial" w:eastAsia="Arial" w:hAnsi="Arial"/>
                <w:sz w:val="14"/>
                <w:szCs w:val="14"/>
                <w:b w:val="1"/>
                <w:bCs w:val="1"/>
                <w:color w:val="auto"/>
                <w:w w:val="95"/>
              </w:rPr>
              <w:t>Definitive OpCo</w:t>
            </w:r>
          </w:p>
        </w:tc>
        <w:tc>
          <w:tcPr>
            <w:tcW w:w="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660" w:type="dxa"/>
            <w:vAlign w:val="bottom"/>
          </w:tcPr>
          <w:p>
            <w:pPr>
              <w:spacing w:after="0"/>
              <w:rPr>
                <w:sz w:val="3"/>
                <w:szCs w:val="3"/>
                <w:color w:val="auto"/>
              </w:rPr>
            </w:pPr>
          </w:p>
        </w:tc>
        <w:tc>
          <w:tcPr>
            <w:tcW w:w="3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380" w:type="dxa"/>
            <w:vAlign w:val="bottom"/>
            <w:gridSpan w:val="2"/>
            <w:vMerge w:val="restart"/>
          </w:tcPr>
          <w:p>
            <w:pPr>
              <w:jc w:val="center"/>
              <w:ind w:right="340"/>
              <w:spacing w:after="0"/>
              <w:rPr>
                <w:sz w:val="20"/>
                <w:szCs w:val="20"/>
                <w:color w:val="auto"/>
              </w:rPr>
            </w:pPr>
            <w:r>
              <w:rPr>
                <w:rFonts w:ascii="Arial" w:cs="Arial" w:eastAsia="Arial" w:hAnsi="Arial"/>
                <w:sz w:val="14"/>
                <w:szCs w:val="14"/>
                <w:b w:val="1"/>
                <w:bCs w:val="1"/>
                <w:color w:val="auto"/>
                <w:w w:val="95"/>
              </w:rPr>
              <w:t>Definitive OpCo</w:t>
            </w:r>
          </w:p>
        </w:tc>
        <w:tc>
          <w:tcPr>
            <w:tcW w:w="0" w:type="dxa"/>
            <w:vAlign w:val="bottom"/>
          </w:tcPr>
          <w:p>
            <w:pPr>
              <w:spacing w:after="0" w:line="20" w:lineRule="exact"/>
              <w:rPr>
                <w:sz w:val="1"/>
                <w:szCs w:val="1"/>
                <w:color w:val="auto"/>
              </w:rPr>
            </w:pPr>
          </w:p>
        </w:tc>
      </w:tr>
      <w:tr>
        <w:trPr>
          <w:trHeight w:val="126"/>
        </w:trPr>
        <w:tc>
          <w:tcPr>
            <w:tcW w:w="27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2300" w:type="dxa"/>
            <w:vAlign w:val="bottom"/>
            <w:gridSpan w:val="4"/>
            <w:vMerge w:val="continue"/>
          </w:tcPr>
          <w:p>
            <w:pPr>
              <w:spacing w:after="0"/>
              <w:rPr>
                <w:sz w:val="10"/>
                <w:szCs w:val="10"/>
                <w:color w:val="auto"/>
              </w:rPr>
            </w:pPr>
          </w:p>
        </w:tc>
        <w:tc>
          <w:tcPr>
            <w:tcW w:w="8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660" w:type="dxa"/>
            <w:vAlign w:val="bottom"/>
            <w:tcBorders>
              <w:right w:val="single" w:sz="8" w:color="auto"/>
            </w:tcBorders>
          </w:tcPr>
          <w:p>
            <w:pPr>
              <w:spacing w:after="0"/>
              <w:rPr>
                <w:sz w:val="10"/>
                <w:szCs w:val="10"/>
                <w:color w:val="auto"/>
              </w:rPr>
            </w:pPr>
          </w:p>
        </w:tc>
        <w:tc>
          <w:tcPr>
            <w:tcW w:w="3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38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27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300" w:type="dxa"/>
            <w:vAlign w:val="bottom"/>
            <w:gridSpan w:val="4"/>
            <w:vMerge w:val="continue"/>
          </w:tcPr>
          <w:p>
            <w:pPr>
              <w:spacing w:after="0"/>
              <w:rPr>
                <w:sz w:val="12"/>
                <w:szCs w:val="12"/>
                <w:color w:val="auto"/>
              </w:rPr>
            </w:pPr>
          </w:p>
        </w:tc>
        <w:tc>
          <w:tcPr>
            <w:tcW w:w="8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660" w:type="dxa"/>
            <w:vAlign w:val="bottom"/>
            <w:tcBorders>
              <w:right w:val="single" w:sz="8" w:color="auto"/>
            </w:tcBorders>
          </w:tcPr>
          <w:p>
            <w:pPr>
              <w:spacing w:after="0"/>
              <w:rPr>
                <w:sz w:val="12"/>
                <w:szCs w:val="12"/>
                <w:color w:val="auto"/>
              </w:rPr>
            </w:pPr>
          </w:p>
        </w:tc>
        <w:tc>
          <w:tcPr>
            <w:tcW w:w="380" w:type="dxa"/>
            <w:vAlign w:val="bottom"/>
          </w:tcPr>
          <w:p>
            <w:pPr>
              <w:spacing w:after="0"/>
              <w:rPr>
                <w:sz w:val="12"/>
                <w:szCs w:val="12"/>
                <w:color w:val="auto"/>
              </w:rPr>
            </w:pPr>
          </w:p>
        </w:tc>
        <w:tc>
          <w:tcPr>
            <w:tcW w:w="150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(AIDH TopCo, LLC)</w:t>
            </w:r>
          </w:p>
        </w:tc>
        <w:tc>
          <w:tcPr>
            <w:tcW w:w="0" w:type="dxa"/>
            <w:vAlign w:val="bottom"/>
          </w:tcPr>
          <w:p>
            <w:pPr>
              <w:spacing w:after="0"/>
              <w:rPr>
                <w:sz w:val="1"/>
                <w:szCs w:val="1"/>
                <w:color w:val="auto"/>
              </w:rPr>
            </w:pPr>
          </w:p>
        </w:tc>
      </w:tr>
      <w:tr>
        <w:trPr>
          <w:trHeight w:val="148"/>
        </w:trPr>
        <w:tc>
          <w:tcPr>
            <w:tcW w:w="27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820" w:type="dxa"/>
            <w:vAlign w:val="bottom"/>
            <w:gridSpan w:val="5"/>
          </w:tcPr>
          <w:p>
            <w:pPr>
              <w:jc w:val="center"/>
              <w:ind w:right="580"/>
              <w:spacing w:after="0" w:line="149" w:lineRule="exact"/>
              <w:rPr>
                <w:sz w:val="20"/>
                <w:szCs w:val="20"/>
                <w:color w:val="auto"/>
              </w:rPr>
            </w:pPr>
            <w:r>
              <w:rPr>
                <w:rFonts w:ascii="Arial" w:cs="Arial" w:eastAsia="Arial" w:hAnsi="Arial"/>
                <w:sz w:val="14"/>
                <w:szCs w:val="14"/>
                <w:b w:val="1"/>
                <w:bCs w:val="1"/>
                <w:color w:val="auto"/>
              </w:rPr>
              <w:t>(AIDH TopCo, LLC)</w:t>
            </w:r>
          </w:p>
        </w:tc>
        <w:tc>
          <w:tcPr>
            <w:tcW w:w="8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660" w:type="dxa"/>
            <w:vAlign w:val="bottom"/>
            <w:tcBorders>
              <w:right w:val="single" w:sz="8" w:color="auto"/>
            </w:tcBorders>
          </w:tcPr>
          <w:p>
            <w:pPr>
              <w:spacing w:after="0"/>
              <w:rPr>
                <w:sz w:val="12"/>
                <w:szCs w:val="12"/>
                <w:color w:val="auto"/>
              </w:rPr>
            </w:pPr>
          </w:p>
        </w:tc>
        <w:tc>
          <w:tcPr>
            <w:tcW w:w="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8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85"/>
              </w:rPr>
              <w:t>Predecessor</w:t>
            </w:r>
          </w:p>
        </w:tc>
        <w:tc>
          <w:tcPr>
            <w:tcW w:w="0" w:type="dxa"/>
            <w:vAlign w:val="bottom"/>
          </w:tcPr>
          <w:p>
            <w:pPr>
              <w:spacing w:after="0"/>
              <w:rPr>
                <w:sz w:val="1"/>
                <w:szCs w:val="1"/>
                <w:color w:val="auto"/>
              </w:rPr>
            </w:pPr>
          </w:p>
        </w:tc>
      </w:tr>
      <w:tr>
        <w:trPr>
          <w:trHeight w:val="171"/>
        </w:trPr>
        <w:tc>
          <w:tcPr>
            <w:tcW w:w="27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820" w:type="dxa"/>
            <w:vAlign w:val="bottom"/>
            <w:gridSpan w:val="5"/>
          </w:tcPr>
          <w:p>
            <w:pPr>
              <w:jc w:val="center"/>
              <w:ind w:right="580"/>
              <w:spacing w:after="0"/>
              <w:rPr>
                <w:sz w:val="20"/>
                <w:szCs w:val="20"/>
                <w:color w:val="auto"/>
              </w:rPr>
            </w:pPr>
            <w:r>
              <w:rPr>
                <w:rFonts w:ascii="Arial" w:cs="Arial" w:eastAsia="Arial" w:hAnsi="Arial"/>
                <w:sz w:val="14"/>
                <w:szCs w:val="14"/>
                <w:b w:val="1"/>
                <w:bCs w:val="1"/>
                <w:color w:val="auto"/>
                <w:w w:val="89"/>
              </w:rPr>
              <w:t>Successor Company</w:t>
            </w:r>
          </w:p>
        </w:tc>
        <w:tc>
          <w:tcPr>
            <w:tcW w:w="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660" w:type="dxa"/>
            <w:vAlign w:val="bottom"/>
            <w:tcBorders>
              <w:right w:val="single" w:sz="8" w:color="auto"/>
            </w:tcBorders>
          </w:tcPr>
          <w:p>
            <w:pPr>
              <w:spacing w:after="0"/>
              <w:rPr>
                <w:sz w:val="14"/>
                <w:szCs w:val="14"/>
                <w:color w:val="auto"/>
              </w:rPr>
            </w:pPr>
          </w:p>
        </w:tc>
        <w:tc>
          <w:tcPr>
            <w:tcW w:w="3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8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3"/>
              </w:rPr>
              <w:t>Company</w:t>
            </w:r>
          </w:p>
        </w:tc>
        <w:tc>
          <w:tcPr>
            <w:tcW w:w="0" w:type="dxa"/>
            <w:vAlign w:val="bottom"/>
          </w:tcPr>
          <w:p>
            <w:pPr>
              <w:spacing w:after="0"/>
              <w:rPr>
                <w:sz w:val="1"/>
                <w:szCs w:val="1"/>
                <w:color w:val="auto"/>
              </w:rPr>
            </w:pPr>
          </w:p>
        </w:tc>
      </w:tr>
      <w:tr>
        <w:trPr>
          <w:trHeight w:val="119"/>
        </w:trPr>
        <w:tc>
          <w:tcPr>
            <w:tcW w:w="2780" w:type="dxa"/>
            <w:vAlign w:val="bottom"/>
          </w:tcPr>
          <w:p>
            <w:pPr>
              <w:spacing w:after="0"/>
              <w:rPr>
                <w:sz w:val="10"/>
                <w:szCs w:val="10"/>
                <w:color w:val="auto"/>
              </w:rPr>
            </w:pPr>
          </w:p>
        </w:tc>
        <w:tc>
          <w:tcPr>
            <w:tcW w:w="220" w:type="dxa"/>
            <w:vAlign w:val="bottom"/>
            <w:tcBorders>
              <w:top w:val="single" w:sz="8" w:color="auto"/>
            </w:tcBorders>
          </w:tcPr>
          <w:p>
            <w:pPr>
              <w:spacing w:after="0"/>
              <w:rPr>
                <w:sz w:val="10"/>
                <w:szCs w:val="10"/>
                <w:color w:val="auto"/>
              </w:rPr>
            </w:pPr>
          </w:p>
        </w:tc>
        <w:tc>
          <w:tcPr>
            <w:tcW w:w="1500" w:type="dxa"/>
            <w:vAlign w:val="bottom"/>
            <w:tcBorders>
              <w:top w:val="single" w:sz="8" w:color="auto"/>
            </w:tcBorders>
            <w:gridSpan w:val="3"/>
            <w:vMerge w:val="restart"/>
          </w:tcPr>
          <w:p>
            <w:pPr>
              <w:ind w:left="320"/>
              <w:spacing w:after="0"/>
              <w:rPr>
                <w:sz w:val="20"/>
                <w:szCs w:val="20"/>
                <w:color w:val="auto"/>
              </w:rPr>
            </w:pPr>
            <w:r>
              <w:rPr>
                <w:rFonts w:ascii="Arial" w:cs="Arial" w:eastAsia="Arial" w:hAnsi="Arial"/>
                <w:sz w:val="14"/>
                <w:szCs w:val="14"/>
                <w:b w:val="1"/>
                <w:bCs w:val="1"/>
                <w:color w:val="auto"/>
                <w:w w:val="95"/>
              </w:rPr>
              <w:t>Six Months Ended</w:t>
            </w:r>
          </w:p>
        </w:tc>
        <w:tc>
          <w:tcPr>
            <w:tcW w:w="520" w:type="dxa"/>
            <w:vAlign w:val="bottom"/>
            <w:tcBorders>
              <w:top w:val="single" w:sz="8" w:color="auto"/>
            </w:tcBorders>
          </w:tcPr>
          <w:p>
            <w:pPr>
              <w:spacing w:after="0"/>
              <w:rPr>
                <w:sz w:val="10"/>
                <w:szCs w:val="10"/>
                <w:color w:val="auto"/>
              </w:rPr>
            </w:pPr>
          </w:p>
        </w:tc>
        <w:tc>
          <w:tcPr>
            <w:tcW w:w="560" w:type="dxa"/>
            <w:vAlign w:val="bottom"/>
            <w:tcBorders>
              <w:top w:val="single" w:sz="8" w:color="auto"/>
            </w:tcBorders>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1580" w:type="dxa"/>
            <w:vAlign w:val="bottom"/>
            <w:tcBorders>
              <w:top w:val="single" w:sz="8" w:color="auto"/>
            </w:tcBorders>
            <w:gridSpan w:val="2"/>
            <w:vMerge w:val="restart"/>
          </w:tcPr>
          <w:p>
            <w:pPr>
              <w:jc w:val="right"/>
              <w:ind w:right="800"/>
              <w:spacing w:after="0"/>
              <w:rPr>
                <w:sz w:val="20"/>
                <w:szCs w:val="20"/>
                <w:color w:val="auto"/>
              </w:rPr>
            </w:pPr>
            <w:r>
              <w:rPr>
                <w:rFonts w:ascii="Arial" w:cs="Arial" w:eastAsia="Arial" w:hAnsi="Arial"/>
                <w:sz w:val="14"/>
                <w:szCs w:val="14"/>
                <w:b w:val="1"/>
                <w:bCs w:val="1"/>
                <w:color w:val="auto"/>
              </w:rPr>
              <w:t>Year ended</w:t>
            </w:r>
          </w:p>
        </w:tc>
        <w:tc>
          <w:tcPr>
            <w:tcW w:w="80" w:type="dxa"/>
            <w:vAlign w:val="bottom"/>
            <w:tcBorders>
              <w:top w:val="single" w:sz="8" w:color="auto"/>
            </w:tcBorders>
          </w:tcPr>
          <w:p>
            <w:pPr>
              <w:spacing w:after="0"/>
              <w:rPr>
                <w:sz w:val="10"/>
                <w:szCs w:val="10"/>
                <w:color w:val="auto"/>
              </w:rPr>
            </w:pPr>
          </w:p>
        </w:tc>
        <w:tc>
          <w:tcPr>
            <w:tcW w:w="1080" w:type="dxa"/>
            <w:vAlign w:val="bottom"/>
            <w:tcBorders>
              <w:top w:val="single" w:sz="8" w:color="auto"/>
            </w:tcBorders>
          </w:tcPr>
          <w:p>
            <w:pPr>
              <w:jc w:val="right"/>
              <w:ind w:right="133"/>
              <w:spacing w:after="0" w:line="119" w:lineRule="exact"/>
              <w:rPr>
                <w:sz w:val="20"/>
                <w:szCs w:val="20"/>
                <w:color w:val="auto"/>
              </w:rPr>
            </w:pPr>
            <w:r>
              <w:rPr>
                <w:rFonts w:ascii="Arial" w:cs="Arial" w:eastAsia="Arial" w:hAnsi="Arial"/>
                <w:sz w:val="13"/>
                <w:szCs w:val="13"/>
                <w:b w:val="1"/>
                <w:bCs w:val="1"/>
                <w:color w:val="auto"/>
              </w:rPr>
              <w:t>Period from</w:t>
            </w:r>
          </w:p>
        </w:tc>
        <w:tc>
          <w:tcPr>
            <w:tcW w:w="660" w:type="dxa"/>
            <w:vAlign w:val="bottom"/>
            <w:tcBorders>
              <w:right w:val="single" w:sz="8" w:color="auto"/>
            </w:tcBorders>
          </w:tcPr>
          <w:p>
            <w:pPr>
              <w:spacing w:after="0"/>
              <w:rPr>
                <w:sz w:val="10"/>
                <w:szCs w:val="10"/>
                <w:color w:val="auto"/>
              </w:rPr>
            </w:pPr>
          </w:p>
        </w:tc>
        <w:tc>
          <w:tcPr>
            <w:tcW w:w="380" w:type="dxa"/>
            <w:vAlign w:val="bottom"/>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1160" w:type="dxa"/>
            <w:vAlign w:val="bottom"/>
            <w:tcBorders>
              <w:top w:val="single" w:sz="8" w:color="auto"/>
            </w:tcBorders>
          </w:tcPr>
          <w:p>
            <w:pPr>
              <w:jc w:val="center"/>
              <w:ind w:right="36"/>
              <w:spacing w:after="0" w:line="119" w:lineRule="exact"/>
              <w:rPr>
                <w:sz w:val="20"/>
                <w:szCs w:val="20"/>
                <w:color w:val="auto"/>
              </w:rPr>
            </w:pPr>
            <w:r>
              <w:rPr>
                <w:rFonts w:ascii="Arial" w:cs="Arial" w:eastAsia="Arial" w:hAnsi="Arial"/>
                <w:sz w:val="13"/>
                <w:szCs w:val="13"/>
                <w:b w:val="1"/>
                <w:bCs w:val="1"/>
                <w:color w:val="auto"/>
              </w:rPr>
              <w:t>Period from</w:t>
            </w:r>
          </w:p>
        </w:tc>
        <w:tc>
          <w:tcPr>
            <w:tcW w:w="2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27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500" w:type="dxa"/>
            <w:vAlign w:val="bottom"/>
            <w:gridSpan w:val="3"/>
            <w:vMerge w:val="continue"/>
          </w:tcPr>
          <w:p>
            <w:pPr>
              <w:spacing w:after="0"/>
              <w:rPr>
                <w:sz w:val="12"/>
                <w:szCs w:val="12"/>
                <w:color w:val="auto"/>
              </w:rPr>
            </w:pPr>
          </w:p>
        </w:tc>
        <w:tc>
          <w:tcPr>
            <w:tcW w:w="5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58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1740" w:type="dxa"/>
            <w:vAlign w:val="bottom"/>
            <w:tcBorders>
              <w:right w:val="single" w:sz="8" w:color="auto"/>
            </w:tcBorders>
            <w:gridSpan w:val="2"/>
          </w:tcPr>
          <w:p>
            <w:pPr>
              <w:jc w:val="right"/>
              <w:ind w:right="760"/>
              <w:spacing w:after="0" w:line="149" w:lineRule="exact"/>
              <w:rPr>
                <w:sz w:val="20"/>
                <w:szCs w:val="20"/>
                <w:color w:val="auto"/>
              </w:rPr>
            </w:pPr>
            <w:r>
              <w:rPr>
                <w:rFonts w:ascii="Arial" w:cs="Arial" w:eastAsia="Arial" w:hAnsi="Arial"/>
                <w:sz w:val="14"/>
                <w:szCs w:val="14"/>
                <w:b w:val="1"/>
                <w:bCs w:val="1"/>
                <w:color w:val="auto"/>
                <w:w w:val="92"/>
              </w:rPr>
              <w:t>July 16, 2019 to</w:t>
            </w:r>
          </w:p>
        </w:tc>
        <w:tc>
          <w:tcPr>
            <w:tcW w:w="380" w:type="dxa"/>
            <w:vAlign w:val="bottom"/>
          </w:tcPr>
          <w:p>
            <w:pPr>
              <w:spacing w:after="0"/>
              <w:rPr>
                <w:sz w:val="12"/>
                <w:szCs w:val="12"/>
                <w:color w:val="auto"/>
              </w:rPr>
            </w:pPr>
          </w:p>
        </w:tc>
        <w:tc>
          <w:tcPr>
            <w:tcW w:w="1500" w:type="dxa"/>
            <w:vAlign w:val="bottom"/>
            <w:gridSpan w:val="3"/>
          </w:tcPr>
          <w:p>
            <w:pPr>
              <w:jc w:val="center"/>
              <w:ind w:right="220"/>
              <w:spacing w:after="0" w:line="149" w:lineRule="exact"/>
              <w:rPr>
                <w:sz w:val="20"/>
                <w:szCs w:val="20"/>
                <w:color w:val="auto"/>
              </w:rPr>
            </w:pPr>
            <w:r>
              <w:rPr>
                <w:rFonts w:ascii="Arial" w:cs="Arial" w:eastAsia="Arial" w:hAnsi="Arial"/>
                <w:sz w:val="14"/>
                <w:szCs w:val="14"/>
                <w:b w:val="1"/>
                <w:bCs w:val="1"/>
                <w:color w:val="auto"/>
                <w:w w:val="92"/>
              </w:rPr>
              <w:t>January 1, 2019 to</w:t>
            </w:r>
          </w:p>
        </w:tc>
        <w:tc>
          <w:tcPr>
            <w:tcW w:w="0" w:type="dxa"/>
            <w:vAlign w:val="bottom"/>
          </w:tcPr>
          <w:p>
            <w:pPr>
              <w:spacing w:after="0"/>
              <w:rPr>
                <w:sz w:val="1"/>
                <w:szCs w:val="1"/>
                <w:color w:val="auto"/>
              </w:rPr>
            </w:pPr>
          </w:p>
        </w:tc>
      </w:tr>
      <w:tr>
        <w:trPr>
          <w:trHeight w:val="171"/>
        </w:trPr>
        <w:tc>
          <w:tcPr>
            <w:tcW w:w="2780" w:type="dxa"/>
            <w:vAlign w:val="bottom"/>
          </w:tcPr>
          <w:p>
            <w:pPr>
              <w:spacing w:after="0"/>
              <w:rPr>
                <w:sz w:val="20"/>
                <w:szCs w:val="20"/>
                <w:color w:val="auto"/>
              </w:rPr>
            </w:pPr>
            <w:r>
              <w:rPr>
                <w:rFonts w:ascii="Arial" w:cs="Arial" w:eastAsia="Arial" w:hAnsi="Arial"/>
                <w:sz w:val="14"/>
                <w:szCs w:val="14"/>
                <w:color w:val="auto"/>
              </w:rPr>
              <w:t>(in thousands)</w:t>
            </w:r>
          </w:p>
        </w:tc>
        <w:tc>
          <w:tcPr>
            <w:tcW w:w="1400" w:type="dxa"/>
            <w:vAlign w:val="bottom"/>
            <w:gridSpan w:val="3"/>
          </w:tcPr>
          <w:p>
            <w:pPr>
              <w:spacing w:after="0"/>
              <w:rPr>
                <w:sz w:val="20"/>
                <w:szCs w:val="20"/>
                <w:color w:val="auto"/>
              </w:rPr>
            </w:pPr>
            <w:r>
              <w:rPr>
                <w:rFonts w:ascii="Arial" w:cs="Arial" w:eastAsia="Arial" w:hAnsi="Arial"/>
                <w:sz w:val="14"/>
                <w:szCs w:val="14"/>
                <w:b w:val="1"/>
                <w:bCs w:val="1"/>
                <w:color w:val="auto"/>
              </w:rPr>
              <w:t>June 30, 2021</w:t>
            </w:r>
          </w:p>
        </w:tc>
        <w:tc>
          <w:tcPr>
            <w:tcW w:w="1400" w:type="dxa"/>
            <w:vAlign w:val="bottom"/>
            <w:gridSpan w:val="3"/>
          </w:tcPr>
          <w:p>
            <w:pPr>
              <w:spacing w:after="0"/>
              <w:rPr>
                <w:sz w:val="20"/>
                <w:szCs w:val="20"/>
                <w:color w:val="auto"/>
              </w:rPr>
            </w:pPr>
            <w:r>
              <w:rPr>
                <w:rFonts w:ascii="Arial" w:cs="Arial" w:eastAsia="Arial" w:hAnsi="Arial"/>
                <w:sz w:val="14"/>
                <w:szCs w:val="14"/>
                <w:b w:val="1"/>
                <w:bCs w:val="1"/>
                <w:color w:val="auto"/>
              </w:rPr>
              <w:t>June 30, 2020</w:t>
            </w:r>
          </w:p>
        </w:tc>
        <w:tc>
          <w:tcPr>
            <w:tcW w:w="1740" w:type="dxa"/>
            <w:vAlign w:val="bottom"/>
            <w:gridSpan w:val="3"/>
          </w:tcPr>
          <w:p>
            <w:pPr>
              <w:jc w:val="right"/>
              <w:ind w:right="580"/>
              <w:spacing w:after="0"/>
              <w:rPr>
                <w:sz w:val="20"/>
                <w:szCs w:val="20"/>
                <w:color w:val="auto"/>
              </w:rPr>
            </w:pPr>
            <w:r>
              <w:rPr>
                <w:rFonts w:ascii="Arial" w:cs="Arial" w:eastAsia="Arial" w:hAnsi="Arial"/>
                <w:sz w:val="14"/>
                <w:szCs w:val="14"/>
                <w:b w:val="1"/>
                <w:bCs w:val="1"/>
                <w:color w:val="auto"/>
                <w:w w:val="90"/>
              </w:rPr>
              <w:t>December 31, 2020</w:t>
            </w:r>
          </w:p>
        </w:tc>
        <w:tc>
          <w:tcPr>
            <w:tcW w:w="1820" w:type="dxa"/>
            <w:vAlign w:val="bottom"/>
            <w:tcBorders>
              <w:right w:val="single" w:sz="8" w:color="auto"/>
            </w:tcBorders>
            <w:gridSpan w:val="3"/>
          </w:tcPr>
          <w:p>
            <w:pPr>
              <w:spacing w:after="0"/>
              <w:rPr>
                <w:sz w:val="20"/>
                <w:szCs w:val="20"/>
                <w:color w:val="auto"/>
              </w:rPr>
            </w:pPr>
            <w:r>
              <w:rPr>
                <w:rFonts w:ascii="Arial" w:cs="Arial" w:eastAsia="Arial" w:hAnsi="Arial"/>
                <w:sz w:val="14"/>
                <w:szCs w:val="14"/>
                <w:b w:val="1"/>
                <w:bCs w:val="1"/>
                <w:color w:val="auto"/>
              </w:rPr>
              <w:t>December 31, 2019</w:t>
            </w:r>
          </w:p>
        </w:tc>
        <w:tc>
          <w:tcPr>
            <w:tcW w:w="3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8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2"/>
              </w:rPr>
              <w:t>July 15, 2019</w:t>
            </w:r>
          </w:p>
        </w:tc>
        <w:tc>
          <w:tcPr>
            <w:tcW w:w="0" w:type="dxa"/>
            <w:vAlign w:val="bottom"/>
          </w:tcPr>
          <w:p>
            <w:pPr>
              <w:spacing w:after="0"/>
              <w:rPr>
                <w:sz w:val="1"/>
                <w:szCs w:val="1"/>
                <w:color w:val="auto"/>
              </w:rPr>
            </w:pPr>
          </w:p>
        </w:tc>
      </w:tr>
      <w:tr>
        <w:trPr>
          <w:trHeight w:val="210"/>
        </w:trPr>
        <w:tc>
          <w:tcPr>
            <w:tcW w:w="27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Revenue</w:t>
            </w:r>
          </w:p>
        </w:tc>
        <w:tc>
          <w:tcPr>
            <w:tcW w:w="2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76,757</w:t>
            </w:r>
          </w:p>
        </w:tc>
        <w:tc>
          <w:tcPr>
            <w:tcW w:w="56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0"/>
              </w:rPr>
              <w:t>54,586</w:t>
            </w:r>
          </w:p>
        </w:tc>
        <w:tc>
          <w:tcPr>
            <w:tcW w:w="5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118,317</w:t>
            </w:r>
          </w:p>
        </w:tc>
        <w:tc>
          <w:tcPr>
            <w:tcW w:w="58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5"/>
                <w:szCs w:val="15"/>
                <w:color w:val="auto"/>
                <w:w w:val="71"/>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40,045</w:t>
            </w:r>
          </w:p>
        </w:tc>
        <w:tc>
          <w:tcPr>
            <w:tcW w:w="660" w:type="dxa"/>
            <w:vAlign w:val="bottom"/>
            <w:tcBorders>
              <w:top w:val="single" w:sz="8" w:color="CCEEFF"/>
              <w:right w:val="single" w:sz="8" w:color="auto"/>
            </w:tcBorders>
            <w:shd w:val="clear" w:color="auto" w:fill="CCEEFF"/>
          </w:tcPr>
          <w:p>
            <w:pPr>
              <w:spacing w:after="0"/>
              <w:rPr>
                <w:sz w:val="18"/>
                <w:szCs w:val="18"/>
                <w:color w:val="auto"/>
              </w:rPr>
            </w:pPr>
          </w:p>
        </w:tc>
        <w:tc>
          <w:tcPr>
            <w:tcW w:w="3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45,458</w:t>
            </w:r>
          </w:p>
        </w:tc>
        <w:tc>
          <w:tcPr>
            <w:tcW w:w="2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780" w:type="dxa"/>
            <w:vAlign w:val="bottom"/>
          </w:tcPr>
          <w:p>
            <w:pPr>
              <w:spacing w:after="0"/>
              <w:rPr>
                <w:sz w:val="20"/>
                <w:szCs w:val="20"/>
                <w:color w:val="auto"/>
              </w:rPr>
            </w:pPr>
            <w:r>
              <w:rPr>
                <w:rFonts w:ascii="Arial" w:cs="Arial" w:eastAsia="Arial" w:hAnsi="Arial"/>
                <w:sz w:val="18"/>
                <w:szCs w:val="18"/>
                <w:b w:val="1"/>
                <w:bCs w:val="1"/>
                <w:color w:val="auto"/>
              </w:rPr>
              <w:t>Total cost of revenue</w:t>
            </w:r>
          </w:p>
        </w:tc>
        <w:tc>
          <w:tcPr>
            <w:tcW w:w="2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19,306</w:t>
            </w:r>
          </w:p>
        </w:tc>
        <w:tc>
          <w:tcPr>
            <w:tcW w:w="5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w w:val="90"/>
              </w:rPr>
              <w:t>14,741</w:t>
            </w:r>
          </w:p>
        </w:tc>
        <w:tc>
          <w:tcPr>
            <w:tcW w:w="5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80" w:type="dxa"/>
            <w:vAlign w:val="bottom"/>
            <w:gridSpan w:val="2"/>
          </w:tcPr>
          <w:p>
            <w:pPr>
              <w:jc w:val="right"/>
              <w:ind w:right="580"/>
              <w:spacing w:after="0"/>
              <w:rPr>
                <w:sz w:val="20"/>
                <w:szCs w:val="20"/>
                <w:color w:val="auto"/>
              </w:rPr>
            </w:pPr>
            <w:r>
              <w:rPr>
                <w:rFonts w:ascii="Arial" w:cs="Arial" w:eastAsia="Arial" w:hAnsi="Arial"/>
                <w:sz w:val="18"/>
                <w:szCs w:val="18"/>
                <w:color w:val="auto"/>
              </w:rPr>
              <w:t>30,468</w:t>
            </w:r>
          </w:p>
        </w:tc>
        <w:tc>
          <w:tcPr>
            <w:tcW w:w="80" w:type="dxa"/>
            <w:vAlign w:val="bottom"/>
          </w:tcPr>
          <w:p>
            <w:pPr>
              <w:spacing w:after="0"/>
              <w:rPr>
                <w:sz w:val="18"/>
                <w:szCs w:val="18"/>
                <w:color w:val="auto"/>
              </w:rPr>
            </w:pPr>
          </w:p>
        </w:tc>
        <w:tc>
          <w:tcPr>
            <w:tcW w:w="1740" w:type="dxa"/>
            <w:vAlign w:val="bottom"/>
            <w:tcBorders>
              <w:right w:val="single" w:sz="8" w:color="auto"/>
            </w:tcBorders>
            <w:gridSpan w:val="2"/>
          </w:tcPr>
          <w:p>
            <w:pPr>
              <w:jc w:val="right"/>
              <w:ind w:right="660"/>
              <w:spacing w:after="0"/>
              <w:rPr>
                <w:sz w:val="20"/>
                <w:szCs w:val="20"/>
                <w:color w:val="auto"/>
              </w:rPr>
            </w:pPr>
            <w:r>
              <w:rPr>
                <w:rFonts w:ascii="Arial" w:cs="Arial" w:eastAsia="Arial" w:hAnsi="Arial"/>
                <w:sz w:val="18"/>
                <w:szCs w:val="18"/>
                <w:color w:val="auto"/>
              </w:rPr>
              <w:t>13,282</w:t>
            </w:r>
          </w:p>
        </w:tc>
        <w:tc>
          <w:tcPr>
            <w:tcW w:w="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gridSpan w:val="2"/>
          </w:tcPr>
          <w:p>
            <w:pPr>
              <w:jc w:val="right"/>
              <w:ind w:right="220"/>
              <w:spacing w:after="0"/>
              <w:rPr>
                <w:sz w:val="20"/>
                <w:szCs w:val="20"/>
                <w:color w:val="auto"/>
              </w:rPr>
            </w:pPr>
            <w:r>
              <w:rPr>
                <w:rFonts w:ascii="Arial" w:cs="Arial" w:eastAsia="Arial" w:hAnsi="Arial"/>
                <w:sz w:val="18"/>
                <w:szCs w:val="18"/>
                <w:color w:val="auto"/>
              </w:rPr>
              <w:t>5,328</w:t>
            </w:r>
          </w:p>
        </w:tc>
        <w:tc>
          <w:tcPr>
            <w:tcW w:w="0" w:type="dxa"/>
            <w:vAlign w:val="bottom"/>
          </w:tcPr>
          <w:p>
            <w:pPr>
              <w:spacing w:after="0"/>
              <w:rPr>
                <w:sz w:val="1"/>
                <w:szCs w:val="1"/>
                <w:color w:val="auto"/>
              </w:rPr>
            </w:pPr>
          </w:p>
        </w:tc>
      </w:tr>
      <w:tr>
        <w:trPr>
          <w:trHeight w:val="27"/>
        </w:trPr>
        <w:tc>
          <w:tcPr>
            <w:tcW w:w="278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560" w:type="dxa"/>
            <w:vAlign w:val="bottom"/>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56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5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1080" w:type="dxa"/>
            <w:vAlign w:val="bottom"/>
            <w:shd w:val="clear" w:color="auto" w:fill="000000"/>
          </w:tcPr>
          <w:p>
            <w:pPr>
              <w:spacing w:after="0"/>
              <w:rPr>
                <w:sz w:val="2"/>
                <w:szCs w:val="2"/>
                <w:color w:val="auto"/>
              </w:rPr>
            </w:pPr>
          </w:p>
        </w:tc>
        <w:tc>
          <w:tcPr>
            <w:tcW w:w="660" w:type="dxa"/>
            <w:vAlign w:val="bottom"/>
            <w:tcBorders>
              <w:right w:val="single" w:sz="8" w:color="auto"/>
            </w:tcBorders>
          </w:tcPr>
          <w:p>
            <w:pPr>
              <w:spacing w:after="0"/>
              <w:rPr>
                <w:sz w:val="2"/>
                <w:szCs w:val="2"/>
                <w:color w:val="auto"/>
              </w:rPr>
            </w:pPr>
          </w:p>
        </w:tc>
        <w:tc>
          <w:tcPr>
            <w:tcW w:w="3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1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780" w:type="dxa"/>
            <w:vAlign w:val="bottom"/>
            <w:shd w:val="clear" w:color="auto" w:fill="CCEEFF"/>
          </w:tcPr>
          <w:p>
            <w:pPr>
              <w:spacing w:after="0"/>
              <w:rPr>
                <w:sz w:val="20"/>
                <w:szCs w:val="20"/>
                <w:color w:val="auto"/>
              </w:rPr>
            </w:pPr>
            <w:r>
              <w:rPr>
                <w:rFonts w:ascii="Arial" w:cs="Arial" w:eastAsia="Arial" w:hAnsi="Arial"/>
                <w:sz w:val="18"/>
                <w:szCs w:val="18"/>
                <w:color w:val="auto"/>
              </w:rPr>
              <w:t>Reported gross profit</w:t>
            </w:r>
          </w:p>
        </w:tc>
        <w:tc>
          <w:tcPr>
            <w:tcW w:w="22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57,451</w:t>
            </w:r>
          </w:p>
        </w:tc>
        <w:tc>
          <w:tcPr>
            <w:tcW w:w="5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39,845</w:t>
            </w:r>
          </w:p>
        </w:tc>
        <w:tc>
          <w:tcPr>
            <w:tcW w:w="5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87,849</w:t>
            </w:r>
          </w:p>
        </w:tc>
        <w:tc>
          <w:tcPr>
            <w:tcW w:w="80" w:type="dxa"/>
            <w:vAlign w:val="bottom"/>
            <w:shd w:val="clear" w:color="auto" w:fill="CCEEFF"/>
          </w:tcPr>
          <w:p>
            <w:pPr>
              <w:spacing w:after="0"/>
              <w:rPr>
                <w:sz w:val="18"/>
                <w:szCs w:val="18"/>
                <w:color w:val="auto"/>
              </w:rPr>
            </w:pPr>
          </w:p>
        </w:tc>
        <w:tc>
          <w:tcPr>
            <w:tcW w:w="1740" w:type="dxa"/>
            <w:vAlign w:val="bottom"/>
            <w:tcBorders>
              <w:right w:val="single" w:sz="8" w:color="auto"/>
            </w:tcBorders>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26,763</w:t>
            </w:r>
          </w:p>
        </w:tc>
        <w:tc>
          <w:tcPr>
            <w:tcW w:w="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40,130</w:t>
            </w:r>
          </w:p>
        </w:tc>
        <w:tc>
          <w:tcPr>
            <w:tcW w:w="0" w:type="dxa"/>
            <w:vAlign w:val="bottom"/>
          </w:tcPr>
          <w:p>
            <w:pPr>
              <w:spacing w:after="0"/>
              <w:rPr>
                <w:sz w:val="1"/>
                <w:szCs w:val="1"/>
                <w:color w:val="auto"/>
              </w:rPr>
            </w:pPr>
          </w:p>
        </w:tc>
      </w:tr>
      <w:tr>
        <w:trPr>
          <w:trHeight w:val="216"/>
        </w:trPr>
        <w:tc>
          <w:tcPr>
            <w:tcW w:w="2780" w:type="dxa"/>
            <w:vAlign w:val="bottom"/>
          </w:tcPr>
          <w:p>
            <w:pPr>
              <w:spacing w:after="0"/>
              <w:rPr>
                <w:sz w:val="20"/>
                <w:szCs w:val="20"/>
                <w:color w:val="auto"/>
              </w:rPr>
            </w:pPr>
            <w:r>
              <w:rPr>
                <w:rFonts w:ascii="Arial" w:cs="Arial" w:eastAsia="Arial" w:hAnsi="Arial"/>
                <w:sz w:val="18"/>
                <w:szCs w:val="18"/>
                <w:b w:val="1"/>
                <w:bCs w:val="1"/>
                <w:color w:val="auto"/>
              </w:rPr>
              <w:t>Gross margin</w:t>
            </w:r>
          </w:p>
        </w:tc>
        <w:tc>
          <w:tcPr>
            <w:tcW w:w="220" w:type="dxa"/>
            <w:vAlign w:val="bottom"/>
          </w:tcPr>
          <w:p>
            <w:pPr>
              <w:spacing w:after="0"/>
              <w:rPr>
                <w:sz w:val="18"/>
                <w:szCs w:val="18"/>
                <w:color w:val="auto"/>
              </w:rPr>
            </w:pPr>
          </w:p>
        </w:tc>
        <w:tc>
          <w:tcPr>
            <w:tcW w:w="1180" w:type="dxa"/>
            <w:vAlign w:val="bottom"/>
            <w:gridSpan w:val="2"/>
          </w:tcPr>
          <w:p>
            <w:pPr>
              <w:jc w:val="right"/>
              <w:ind w:right="420"/>
              <w:spacing w:after="0"/>
              <w:rPr>
                <w:sz w:val="20"/>
                <w:szCs w:val="20"/>
                <w:color w:val="auto"/>
              </w:rPr>
            </w:pPr>
            <w:r>
              <w:rPr>
                <w:rFonts w:ascii="Arial" w:cs="Arial" w:eastAsia="Arial" w:hAnsi="Arial"/>
                <w:sz w:val="18"/>
                <w:szCs w:val="18"/>
                <w:color w:val="auto"/>
              </w:rPr>
              <w:t>75%</w:t>
            </w:r>
          </w:p>
        </w:tc>
        <w:tc>
          <w:tcPr>
            <w:tcW w:w="320" w:type="dxa"/>
            <w:vAlign w:val="bottom"/>
          </w:tcPr>
          <w:p>
            <w:pPr>
              <w:spacing w:after="0"/>
              <w:rPr>
                <w:sz w:val="18"/>
                <w:szCs w:val="18"/>
                <w:color w:val="auto"/>
              </w:rPr>
            </w:pPr>
          </w:p>
        </w:tc>
        <w:tc>
          <w:tcPr>
            <w:tcW w:w="1080" w:type="dxa"/>
            <w:vAlign w:val="bottom"/>
            <w:gridSpan w:val="2"/>
          </w:tcPr>
          <w:p>
            <w:pPr>
              <w:jc w:val="right"/>
              <w:ind w:right="348"/>
              <w:spacing w:after="0"/>
              <w:rPr>
                <w:sz w:val="20"/>
                <w:szCs w:val="20"/>
                <w:color w:val="auto"/>
              </w:rPr>
            </w:pPr>
            <w:r>
              <w:rPr>
                <w:rFonts w:ascii="Arial" w:cs="Arial" w:eastAsia="Arial" w:hAnsi="Arial"/>
                <w:sz w:val="18"/>
                <w:szCs w:val="18"/>
                <w:color w:val="auto"/>
              </w:rPr>
              <w:t>73%</w:t>
            </w:r>
          </w:p>
        </w:tc>
        <w:tc>
          <w:tcPr>
            <w:tcW w:w="160" w:type="dxa"/>
            <w:vAlign w:val="bottom"/>
          </w:tcPr>
          <w:p>
            <w:pPr>
              <w:spacing w:after="0"/>
              <w:rPr>
                <w:sz w:val="18"/>
                <w:szCs w:val="18"/>
                <w:color w:val="auto"/>
              </w:rPr>
            </w:pPr>
          </w:p>
        </w:tc>
        <w:tc>
          <w:tcPr>
            <w:tcW w:w="1580" w:type="dxa"/>
            <w:vAlign w:val="bottom"/>
            <w:gridSpan w:val="2"/>
          </w:tcPr>
          <w:p>
            <w:pPr>
              <w:jc w:val="right"/>
              <w:ind w:right="420"/>
              <w:spacing w:after="0"/>
              <w:rPr>
                <w:sz w:val="20"/>
                <w:szCs w:val="20"/>
                <w:color w:val="auto"/>
              </w:rPr>
            </w:pPr>
            <w:r>
              <w:rPr>
                <w:rFonts w:ascii="Arial" w:cs="Arial" w:eastAsia="Arial" w:hAnsi="Arial"/>
                <w:sz w:val="18"/>
                <w:szCs w:val="18"/>
                <w:color w:val="auto"/>
              </w:rPr>
              <w:t>74%</w:t>
            </w:r>
          </w:p>
        </w:tc>
        <w:tc>
          <w:tcPr>
            <w:tcW w:w="80" w:type="dxa"/>
            <w:vAlign w:val="bottom"/>
          </w:tcPr>
          <w:p>
            <w:pPr>
              <w:spacing w:after="0"/>
              <w:rPr>
                <w:sz w:val="18"/>
                <w:szCs w:val="18"/>
                <w:color w:val="auto"/>
              </w:rPr>
            </w:pPr>
          </w:p>
        </w:tc>
        <w:tc>
          <w:tcPr>
            <w:tcW w:w="1740" w:type="dxa"/>
            <w:vAlign w:val="bottom"/>
            <w:tcBorders>
              <w:right w:val="single" w:sz="8" w:color="auto"/>
            </w:tcBorders>
            <w:gridSpan w:val="2"/>
          </w:tcPr>
          <w:p>
            <w:pPr>
              <w:jc w:val="right"/>
              <w:ind w:right="520"/>
              <w:spacing w:after="0"/>
              <w:rPr>
                <w:sz w:val="20"/>
                <w:szCs w:val="20"/>
                <w:color w:val="auto"/>
              </w:rPr>
            </w:pPr>
            <w:r>
              <w:rPr>
                <w:rFonts w:ascii="Arial" w:cs="Arial" w:eastAsia="Arial" w:hAnsi="Arial"/>
                <w:sz w:val="18"/>
                <w:szCs w:val="18"/>
                <w:color w:val="auto"/>
              </w:rPr>
              <w:t>67%</w:t>
            </w:r>
          </w:p>
        </w:tc>
        <w:tc>
          <w:tcPr>
            <w:tcW w:w="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gridSpan w:val="2"/>
          </w:tcPr>
          <w:p>
            <w:pPr>
              <w:jc w:val="right"/>
              <w:ind w:right="60"/>
              <w:spacing w:after="0"/>
              <w:rPr>
                <w:sz w:val="20"/>
                <w:szCs w:val="20"/>
                <w:color w:val="auto"/>
              </w:rPr>
            </w:pPr>
            <w:r>
              <w:rPr>
                <w:rFonts w:ascii="Arial" w:cs="Arial" w:eastAsia="Arial" w:hAnsi="Arial"/>
                <w:sz w:val="18"/>
                <w:szCs w:val="18"/>
                <w:color w:val="auto"/>
              </w:rPr>
              <w:t>88%</w:t>
            </w:r>
          </w:p>
        </w:tc>
        <w:tc>
          <w:tcPr>
            <w:tcW w:w="0" w:type="dxa"/>
            <w:vAlign w:val="bottom"/>
          </w:tcPr>
          <w:p>
            <w:pPr>
              <w:spacing w:after="0"/>
              <w:rPr>
                <w:sz w:val="1"/>
                <w:szCs w:val="1"/>
                <w:color w:val="auto"/>
              </w:rPr>
            </w:pPr>
          </w:p>
        </w:tc>
      </w:tr>
      <w:tr>
        <w:trPr>
          <w:trHeight w:val="27"/>
        </w:trPr>
        <w:tc>
          <w:tcPr>
            <w:tcW w:w="278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560" w:type="dxa"/>
            <w:vAlign w:val="bottom"/>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56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5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1080" w:type="dxa"/>
            <w:vAlign w:val="bottom"/>
            <w:shd w:val="clear" w:color="auto" w:fill="000000"/>
          </w:tcPr>
          <w:p>
            <w:pPr>
              <w:spacing w:after="0"/>
              <w:rPr>
                <w:sz w:val="2"/>
                <w:szCs w:val="2"/>
                <w:color w:val="auto"/>
              </w:rPr>
            </w:pPr>
          </w:p>
        </w:tc>
        <w:tc>
          <w:tcPr>
            <w:tcW w:w="660" w:type="dxa"/>
            <w:vAlign w:val="bottom"/>
            <w:tcBorders>
              <w:right w:val="single" w:sz="8" w:color="auto"/>
            </w:tcBorders>
          </w:tcPr>
          <w:p>
            <w:pPr>
              <w:spacing w:after="0"/>
              <w:rPr>
                <w:sz w:val="2"/>
                <w:szCs w:val="2"/>
                <w:color w:val="auto"/>
              </w:rPr>
            </w:pPr>
          </w:p>
        </w:tc>
        <w:tc>
          <w:tcPr>
            <w:tcW w:w="3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1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780" w:type="dxa"/>
            <w:vAlign w:val="bottom"/>
            <w:shd w:val="clear" w:color="auto" w:fill="CCEEFF"/>
          </w:tcPr>
          <w:p>
            <w:pPr>
              <w:spacing w:after="0"/>
              <w:rPr>
                <w:sz w:val="20"/>
                <w:szCs w:val="20"/>
                <w:color w:val="auto"/>
              </w:rPr>
            </w:pPr>
            <w:r>
              <w:rPr>
                <w:rFonts w:ascii="Arial" w:cs="Arial" w:eastAsia="Arial" w:hAnsi="Arial"/>
                <w:sz w:val="18"/>
                <w:szCs w:val="18"/>
                <w:color w:val="auto"/>
              </w:rPr>
              <w:t>Revenue</w:t>
            </w:r>
          </w:p>
        </w:tc>
        <w:tc>
          <w:tcPr>
            <w:tcW w:w="22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76,757</w:t>
            </w:r>
          </w:p>
        </w:tc>
        <w:tc>
          <w:tcPr>
            <w:tcW w:w="5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54,586</w:t>
            </w:r>
          </w:p>
        </w:tc>
        <w:tc>
          <w:tcPr>
            <w:tcW w:w="5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118,317</w:t>
            </w:r>
          </w:p>
        </w:tc>
        <w:tc>
          <w:tcPr>
            <w:tcW w:w="80" w:type="dxa"/>
            <w:vAlign w:val="bottom"/>
            <w:shd w:val="clear" w:color="auto" w:fill="CCEEFF"/>
          </w:tcPr>
          <w:p>
            <w:pPr>
              <w:spacing w:after="0"/>
              <w:rPr>
                <w:sz w:val="18"/>
                <w:szCs w:val="18"/>
                <w:color w:val="auto"/>
              </w:rPr>
            </w:pPr>
          </w:p>
        </w:tc>
        <w:tc>
          <w:tcPr>
            <w:tcW w:w="1740" w:type="dxa"/>
            <w:vAlign w:val="bottom"/>
            <w:tcBorders>
              <w:right w:val="single" w:sz="8" w:color="auto"/>
            </w:tcBorders>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40,045</w:t>
            </w:r>
          </w:p>
        </w:tc>
        <w:tc>
          <w:tcPr>
            <w:tcW w:w="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45,458</w:t>
            </w:r>
          </w:p>
        </w:tc>
        <w:tc>
          <w:tcPr>
            <w:tcW w:w="0" w:type="dxa"/>
            <w:vAlign w:val="bottom"/>
          </w:tcPr>
          <w:p>
            <w:pPr>
              <w:spacing w:after="0"/>
              <w:rPr>
                <w:sz w:val="1"/>
                <w:szCs w:val="1"/>
                <w:color w:val="auto"/>
              </w:rPr>
            </w:pPr>
          </w:p>
        </w:tc>
      </w:tr>
      <w:tr>
        <w:trPr>
          <w:trHeight w:val="216"/>
        </w:trPr>
        <w:tc>
          <w:tcPr>
            <w:tcW w:w="2780" w:type="dxa"/>
            <w:vAlign w:val="bottom"/>
          </w:tcPr>
          <w:p>
            <w:pPr>
              <w:spacing w:after="0"/>
              <w:rPr>
                <w:sz w:val="20"/>
                <w:szCs w:val="20"/>
                <w:color w:val="auto"/>
              </w:rPr>
            </w:pPr>
            <w:r>
              <w:rPr>
                <w:rFonts w:ascii="Arial" w:cs="Arial" w:eastAsia="Arial" w:hAnsi="Arial"/>
                <w:sz w:val="18"/>
                <w:szCs w:val="18"/>
                <w:b w:val="1"/>
                <w:bCs w:val="1"/>
                <w:color w:val="auto"/>
              </w:rPr>
              <w:t>Total cost of revenue</w:t>
            </w:r>
          </w:p>
        </w:tc>
        <w:tc>
          <w:tcPr>
            <w:tcW w:w="220" w:type="dxa"/>
            <w:vAlign w:val="bottom"/>
          </w:tcPr>
          <w:p>
            <w:pPr>
              <w:spacing w:after="0"/>
              <w:rPr>
                <w:sz w:val="18"/>
                <w:szCs w:val="18"/>
                <w:color w:val="auto"/>
              </w:rPr>
            </w:pPr>
          </w:p>
        </w:tc>
        <w:tc>
          <w:tcPr>
            <w:tcW w:w="1180" w:type="dxa"/>
            <w:vAlign w:val="bottom"/>
            <w:gridSpan w:val="2"/>
          </w:tcPr>
          <w:p>
            <w:pPr>
              <w:jc w:val="right"/>
              <w:ind w:right="560"/>
              <w:spacing w:after="0"/>
              <w:rPr>
                <w:sz w:val="20"/>
                <w:szCs w:val="20"/>
                <w:color w:val="auto"/>
              </w:rPr>
            </w:pPr>
            <w:r>
              <w:rPr>
                <w:rFonts w:ascii="Arial" w:cs="Arial" w:eastAsia="Arial" w:hAnsi="Arial"/>
                <w:sz w:val="18"/>
                <w:szCs w:val="18"/>
                <w:color w:val="auto"/>
              </w:rPr>
              <w:t>19,306</w:t>
            </w:r>
          </w:p>
        </w:tc>
        <w:tc>
          <w:tcPr>
            <w:tcW w:w="320" w:type="dxa"/>
            <w:vAlign w:val="bottom"/>
          </w:tcPr>
          <w:p>
            <w:pPr>
              <w:spacing w:after="0"/>
              <w:rPr>
                <w:sz w:val="18"/>
                <w:szCs w:val="18"/>
                <w:color w:val="auto"/>
              </w:rPr>
            </w:pPr>
          </w:p>
        </w:tc>
        <w:tc>
          <w:tcPr>
            <w:tcW w:w="1080" w:type="dxa"/>
            <w:vAlign w:val="bottom"/>
            <w:gridSpan w:val="2"/>
          </w:tcPr>
          <w:p>
            <w:pPr>
              <w:jc w:val="right"/>
              <w:ind w:right="488"/>
              <w:spacing w:after="0"/>
              <w:rPr>
                <w:sz w:val="20"/>
                <w:szCs w:val="20"/>
                <w:color w:val="auto"/>
              </w:rPr>
            </w:pPr>
            <w:r>
              <w:rPr>
                <w:rFonts w:ascii="Arial" w:cs="Arial" w:eastAsia="Arial" w:hAnsi="Arial"/>
                <w:sz w:val="18"/>
                <w:szCs w:val="18"/>
                <w:color w:val="auto"/>
                <w:w w:val="90"/>
              </w:rPr>
              <w:t>14,741</w:t>
            </w:r>
          </w:p>
        </w:tc>
        <w:tc>
          <w:tcPr>
            <w:tcW w:w="160" w:type="dxa"/>
            <w:vAlign w:val="bottom"/>
          </w:tcPr>
          <w:p>
            <w:pPr>
              <w:spacing w:after="0"/>
              <w:rPr>
                <w:sz w:val="18"/>
                <w:szCs w:val="18"/>
                <w:color w:val="auto"/>
              </w:rPr>
            </w:pPr>
          </w:p>
        </w:tc>
        <w:tc>
          <w:tcPr>
            <w:tcW w:w="1580" w:type="dxa"/>
            <w:vAlign w:val="bottom"/>
            <w:gridSpan w:val="2"/>
          </w:tcPr>
          <w:p>
            <w:pPr>
              <w:jc w:val="right"/>
              <w:ind w:right="580"/>
              <w:spacing w:after="0"/>
              <w:rPr>
                <w:sz w:val="20"/>
                <w:szCs w:val="20"/>
                <w:color w:val="auto"/>
              </w:rPr>
            </w:pPr>
            <w:r>
              <w:rPr>
                <w:rFonts w:ascii="Arial" w:cs="Arial" w:eastAsia="Arial" w:hAnsi="Arial"/>
                <w:sz w:val="18"/>
                <w:szCs w:val="18"/>
                <w:color w:val="auto"/>
              </w:rPr>
              <w:t>30,468</w:t>
            </w:r>
          </w:p>
        </w:tc>
        <w:tc>
          <w:tcPr>
            <w:tcW w:w="80" w:type="dxa"/>
            <w:vAlign w:val="bottom"/>
          </w:tcPr>
          <w:p>
            <w:pPr>
              <w:spacing w:after="0"/>
              <w:rPr>
                <w:sz w:val="18"/>
                <w:szCs w:val="18"/>
                <w:color w:val="auto"/>
              </w:rPr>
            </w:pPr>
          </w:p>
        </w:tc>
        <w:tc>
          <w:tcPr>
            <w:tcW w:w="1740" w:type="dxa"/>
            <w:vAlign w:val="bottom"/>
            <w:tcBorders>
              <w:right w:val="single" w:sz="8" w:color="auto"/>
            </w:tcBorders>
            <w:gridSpan w:val="2"/>
          </w:tcPr>
          <w:p>
            <w:pPr>
              <w:jc w:val="right"/>
              <w:ind w:right="660"/>
              <w:spacing w:after="0"/>
              <w:rPr>
                <w:sz w:val="20"/>
                <w:szCs w:val="20"/>
                <w:color w:val="auto"/>
              </w:rPr>
            </w:pPr>
            <w:r>
              <w:rPr>
                <w:rFonts w:ascii="Arial" w:cs="Arial" w:eastAsia="Arial" w:hAnsi="Arial"/>
                <w:sz w:val="18"/>
                <w:szCs w:val="18"/>
                <w:color w:val="auto"/>
              </w:rPr>
              <w:t>13,282</w:t>
            </w:r>
          </w:p>
        </w:tc>
        <w:tc>
          <w:tcPr>
            <w:tcW w:w="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gridSpan w:val="2"/>
          </w:tcPr>
          <w:p>
            <w:pPr>
              <w:jc w:val="right"/>
              <w:ind w:right="220"/>
              <w:spacing w:after="0"/>
              <w:rPr>
                <w:sz w:val="20"/>
                <w:szCs w:val="20"/>
                <w:color w:val="auto"/>
              </w:rPr>
            </w:pPr>
            <w:r>
              <w:rPr>
                <w:rFonts w:ascii="Arial" w:cs="Arial" w:eastAsia="Arial" w:hAnsi="Arial"/>
                <w:sz w:val="18"/>
                <w:szCs w:val="18"/>
                <w:color w:val="auto"/>
              </w:rPr>
              <w:t>5,328</w:t>
            </w:r>
          </w:p>
        </w:tc>
        <w:tc>
          <w:tcPr>
            <w:tcW w:w="0" w:type="dxa"/>
            <w:vAlign w:val="bottom"/>
          </w:tcPr>
          <w:p>
            <w:pPr>
              <w:spacing w:after="0"/>
              <w:rPr>
                <w:sz w:val="1"/>
                <w:szCs w:val="1"/>
                <w:color w:val="auto"/>
              </w:rPr>
            </w:pPr>
          </w:p>
        </w:tc>
      </w:tr>
      <w:tr>
        <w:trPr>
          <w:trHeight w:val="216"/>
        </w:trPr>
        <w:tc>
          <w:tcPr>
            <w:tcW w:w="2780" w:type="dxa"/>
            <w:vAlign w:val="bottom"/>
            <w:shd w:val="clear" w:color="auto" w:fill="CCEEFF"/>
          </w:tcPr>
          <w:p>
            <w:pPr>
              <w:spacing w:after="0"/>
              <w:rPr>
                <w:sz w:val="20"/>
                <w:szCs w:val="20"/>
                <w:color w:val="auto"/>
              </w:rPr>
            </w:pPr>
            <w:r>
              <w:rPr>
                <w:rFonts w:ascii="Arial" w:cs="Arial" w:eastAsia="Arial" w:hAnsi="Arial"/>
                <w:sz w:val="18"/>
                <w:szCs w:val="18"/>
                <w:color w:val="auto"/>
              </w:rPr>
              <w:t>Reported gross profit</w:t>
            </w:r>
          </w:p>
        </w:tc>
        <w:tc>
          <w:tcPr>
            <w:tcW w:w="2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57,451</w:t>
            </w:r>
          </w:p>
        </w:tc>
        <w:tc>
          <w:tcPr>
            <w:tcW w:w="3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88"/>
              <w:spacing w:after="0"/>
              <w:rPr>
                <w:sz w:val="20"/>
                <w:szCs w:val="20"/>
                <w:color w:val="auto"/>
              </w:rPr>
            </w:pPr>
            <w:r>
              <w:rPr>
                <w:rFonts w:ascii="Arial" w:cs="Arial" w:eastAsia="Arial" w:hAnsi="Arial"/>
                <w:sz w:val="18"/>
                <w:szCs w:val="18"/>
                <w:color w:val="auto"/>
                <w:w w:val="90"/>
              </w:rPr>
              <w:t>39,845</w:t>
            </w:r>
          </w:p>
        </w:tc>
        <w:tc>
          <w:tcPr>
            <w:tcW w:w="16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87,849</w:t>
            </w:r>
          </w:p>
        </w:tc>
        <w:tc>
          <w:tcPr>
            <w:tcW w:w="80" w:type="dxa"/>
            <w:vAlign w:val="bottom"/>
            <w:shd w:val="clear" w:color="auto" w:fill="CCEEFF"/>
          </w:tcPr>
          <w:p>
            <w:pPr>
              <w:spacing w:after="0"/>
              <w:rPr>
                <w:sz w:val="18"/>
                <w:szCs w:val="18"/>
                <w:color w:val="auto"/>
              </w:rPr>
            </w:pPr>
          </w:p>
        </w:tc>
        <w:tc>
          <w:tcPr>
            <w:tcW w:w="1740" w:type="dxa"/>
            <w:vAlign w:val="bottom"/>
            <w:tcBorders>
              <w:right w:val="single" w:sz="8" w:color="auto"/>
            </w:tcBorders>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26,763</w:t>
            </w:r>
          </w:p>
        </w:tc>
        <w:tc>
          <w:tcPr>
            <w:tcW w:w="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40,130</w:t>
            </w:r>
          </w:p>
        </w:tc>
        <w:tc>
          <w:tcPr>
            <w:tcW w:w="0" w:type="dxa"/>
            <w:vAlign w:val="bottom"/>
          </w:tcPr>
          <w:p>
            <w:pPr>
              <w:spacing w:after="0"/>
              <w:rPr>
                <w:sz w:val="1"/>
                <w:szCs w:val="1"/>
                <w:color w:val="auto"/>
              </w:rPr>
            </w:pPr>
          </w:p>
        </w:tc>
      </w:tr>
      <w:tr>
        <w:trPr>
          <w:trHeight w:val="202"/>
        </w:trPr>
        <w:tc>
          <w:tcPr>
            <w:tcW w:w="2780" w:type="dxa"/>
            <w:vAlign w:val="bottom"/>
          </w:tcPr>
          <w:p>
            <w:pPr>
              <w:spacing w:after="0" w:line="201" w:lineRule="exact"/>
              <w:rPr>
                <w:sz w:val="20"/>
                <w:szCs w:val="20"/>
                <w:color w:val="auto"/>
              </w:rPr>
            </w:pPr>
            <w:r>
              <w:rPr>
                <w:rFonts w:ascii="Arial" w:cs="Arial" w:eastAsia="Arial" w:hAnsi="Arial"/>
                <w:sz w:val="18"/>
                <w:szCs w:val="18"/>
                <w:color w:val="auto"/>
              </w:rPr>
              <w:t>Amortization of intangible assets</w:t>
            </w:r>
          </w:p>
        </w:tc>
        <w:tc>
          <w:tcPr>
            <w:tcW w:w="2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660" w:type="dxa"/>
            <w:vAlign w:val="bottom"/>
            <w:tcBorders>
              <w:right w:val="single" w:sz="8" w:color="auto"/>
            </w:tcBorders>
          </w:tcPr>
          <w:p>
            <w:pPr>
              <w:spacing w:after="0"/>
              <w:rPr>
                <w:sz w:val="17"/>
                <w:szCs w:val="17"/>
                <w:color w:val="auto"/>
              </w:rPr>
            </w:pPr>
          </w:p>
        </w:tc>
        <w:tc>
          <w:tcPr>
            <w:tcW w:w="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780" w:type="dxa"/>
            <w:vAlign w:val="bottom"/>
          </w:tcPr>
          <w:p>
            <w:pPr>
              <w:ind w:left="180"/>
              <w:spacing w:after="0"/>
              <w:rPr>
                <w:sz w:val="20"/>
                <w:szCs w:val="20"/>
                <w:color w:val="auto"/>
              </w:rPr>
            </w:pPr>
            <w:r>
              <w:rPr>
                <w:rFonts w:ascii="Arial" w:cs="Arial" w:eastAsia="Arial" w:hAnsi="Arial"/>
                <w:sz w:val="18"/>
                <w:szCs w:val="18"/>
                <w:color w:val="auto"/>
              </w:rPr>
              <w:t>resulting from acquisition-</w:t>
            </w:r>
          </w:p>
        </w:tc>
        <w:tc>
          <w:tcPr>
            <w:tcW w:w="2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660" w:type="dxa"/>
            <w:vAlign w:val="bottom"/>
            <w:tcBorders>
              <w:right w:val="single" w:sz="8" w:color="auto"/>
            </w:tcBorders>
          </w:tcPr>
          <w:p>
            <w:pPr>
              <w:spacing w:after="0"/>
              <w:rPr>
                <w:sz w:val="18"/>
                <w:szCs w:val="18"/>
                <w:color w:val="auto"/>
              </w:rPr>
            </w:pPr>
          </w:p>
        </w:tc>
        <w:tc>
          <w:tcPr>
            <w:tcW w:w="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780" w:type="dxa"/>
            <w:vAlign w:val="bottom"/>
          </w:tcPr>
          <w:p>
            <w:pPr>
              <w:ind w:left="180"/>
              <w:spacing w:after="0"/>
              <w:rPr>
                <w:sz w:val="20"/>
                <w:szCs w:val="20"/>
                <w:color w:val="auto"/>
              </w:rPr>
            </w:pPr>
            <w:r>
              <w:rPr>
                <w:rFonts w:ascii="Arial" w:cs="Arial" w:eastAsia="Arial" w:hAnsi="Arial"/>
                <w:sz w:val="18"/>
                <w:szCs w:val="18"/>
                <w:color w:val="auto"/>
              </w:rPr>
              <w:t>related purchase accounting</w:t>
            </w:r>
          </w:p>
        </w:tc>
        <w:tc>
          <w:tcPr>
            <w:tcW w:w="2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660" w:type="dxa"/>
            <w:vAlign w:val="bottom"/>
            <w:tcBorders>
              <w:right w:val="single" w:sz="8" w:color="auto"/>
            </w:tcBorders>
          </w:tcPr>
          <w:p>
            <w:pPr>
              <w:spacing w:after="0"/>
              <w:rPr>
                <w:sz w:val="18"/>
                <w:szCs w:val="18"/>
                <w:color w:val="auto"/>
              </w:rPr>
            </w:pPr>
          </w:p>
        </w:tc>
        <w:tc>
          <w:tcPr>
            <w:tcW w:w="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780" w:type="dxa"/>
            <w:vAlign w:val="bottom"/>
          </w:tcPr>
          <w:p>
            <w:pPr>
              <w:ind w:left="180"/>
              <w:spacing w:after="0"/>
              <w:rPr>
                <w:sz w:val="20"/>
                <w:szCs w:val="20"/>
                <w:color w:val="auto"/>
              </w:rPr>
            </w:pPr>
            <w:r>
              <w:rPr>
                <w:rFonts w:ascii="Arial" w:cs="Arial" w:eastAsia="Arial" w:hAnsi="Arial"/>
                <w:sz w:val="18"/>
                <w:szCs w:val="18"/>
                <w:color w:val="auto"/>
              </w:rPr>
              <w:t>adjustments</w:t>
            </w:r>
          </w:p>
        </w:tc>
        <w:tc>
          <w:tcPr>
            <w:tcW w:w="220" w:type="dxa"/>
            <w:vAlign w:val="bottom"/>
          </w:tcPr>
          <w:p>
            <w:pPr>
              <w:spacing w:after="0"/>
              <w:rPr>
                <w:sz w:val="20"/>
                <w:szCs w:val="20"/>
                <w:color w:val="auto"/>
              </w:rPr>
            </w:pPr>
          </w:p>
        </w:tc>
        <w:tc>
          <w:tcPr>
            <w:tcW w:w="1180" w:type="dxa"/>
            <w:vAlign w:val="bottom"/>
            <w:gridSpan w:val="2"/>
          </w:tcPr>
          <w:p>
            <w:pPr>
              <w:jc w:val="right"/>
              <w:ind w:right="560"/>
              <w:spacing w:after="0"/>
              <w:rPr>
                <w:sz w:val="20"/>
                <w:szCs w:val="20"/>
                <w:color w:val="auto"/>
              </w:rPr>
            </w:pPr>
            <w:r>
              <w:rPr>
                <w:rFonts w:ascii="Arial" w:cs="Arial" w:eastAsia="Arial" w:hAnsi="Arial"/>
                <w:sz w:val="18"/>
                <w:szCs w:val="18"/>
                <w:color w:val="auto"/>
              </w:rPr>
              <w:t>10,029</w:t>
            </w:r>
          </w:p>
        </w:tc>
        <w:tc>
          <w:tcPr>
            <w:tcW w:w="320" w:type="dxa"/>
            <w:vAlign w:val="bottom"/>
          </w:tcPr>
          <w:p>
            <w:pPr>
              <w:spacing w:after="0"/>
              <w:rPr>
                <w:sz w:val="20"/>
                <w:szCs w:val="20"/>
                <w:color w:val="auto"/>
              </w:rPr>
            </w:pPr>
          </w:p>
        </w:tc>
        <w:tc>
          <w:tcPr>
            <w:tcW w:w="1080" w:type="dxa"/>
            <w:vAlign w:val="bottom"/>
            <w:gridSpan w:val="2"/>
          </w:tcPr>
          <w:p>
            <w:pPr>
              <w:jc w:val="right"/>
              <w:ind w:right="488"/>
              <w:spacing w:after="0"/>
              <w:rPr>
                <w:sz w:val="20"/>
                <w:szCs w:val="20"/>
                <w:color w:val="auto"/>
              </w:rPr>
            </w:pPr>
            <w:r>
              <w:rPr>
                <w:rFonts w:ascii="Arial" w:cs="Arial" w:eastAsia="Arial" w:hAnsi="Arial"/>
                <w:sz w:val="18"/>
                <w:szCs w:val="18"/>
                <w:color w:val="auto"/>
              </w:rPr>
              <w:t>9,416</w:t>
            </w:r>
          </w:p>
        </w:tc>
        <w:tc>
          <w:tcPr>
            <w:tcW w:w="160" w:type="dxa"/>
            <w:vAlign w:val="bottom"/>
          </w:tcPr>
          <w:p>
            <w:pPr>
              <w:spacing w:after="0"/>
              <w:rPr>
                <w:sz w:val="20"/>
                <w:szCs w:val="20"/>
                <w:color w:val="auto"/>
              </w:rPr>
            </w:pPr>
          </w:p>
        </w:tc>
        <w:tc>
          <w:tcPr>
            <w:tcW w:w="1580" w:type="dxa"/>
            <w:vAlign w:val="bottom"/>
            <w:gridSpan w:val="2"/>
          </w:tcPr>
          <w:p>
            <w:pPr>
              <w:jc w:val="right"/>
              <w:ind w:right="580"/>
              <w:spacing w:after="0"/>
              <w:rPr>
                <w:sz w:val="20"/>
                <w:szCs w:val="20"/>
                <w:color w:val="auto"/>
              </w:rPr>
            </w:pPr>
            <w:r>
              <w:rPr>
                <w:rFonts w:ascii="Arial" w:cs="Arial" w:eastAsia="Arial" w:hAnsi="Arial"/>
                <w:sz w:val="18"/>
                <w:szCs w:val="18"/>
                <w:color w:val="auto"/>
              </w:rPr>
              <w:t>19,169</w:t>
            </w:r>
          </w:p>
        </w:tc>
        <w:tc>
          <w:tcPr>
            <w:tcW w:w="80" w:type="dxa"/>
            <w:vAlign w:val="bottom"/>
          </w:tcPr>
          <w:p>
            <w:pPr>
              <w:spacing w:after="0"/>
              <w:rPr>
                <w:sz w:val="20"/>
                <w:szCs w:val="20"/>
                <w:color w:val="auto"/>
              </w:rPr>
            </w:pPr>
          </w:p>
        </w:tc>
        <w:tc>
          <w:tcPr>
            <w:tcW w:w="1740" w:type="dxa"/>
            <w:vAlign w:val="bottom"/>
            <w:tcBorders>
              <w:right w:val="single" w:sz="8" w:color="auto"/>
            </w:tcBorders>
            <w:gridSpan w:val="2"/>
          </w:tcPr>
          <w:p>
            <w:pPr>
              <w:jc w:val="right"/>
              <w:ind w:right="660"/>
              <w:spacing w:after="0"/>
              <w:rPr>
                <w:sz w:val="20"/>
                <w:szCs w:val="20"/>
                <w:color w:val="auto"/>
              </w:rPr>
            </w:pPr>
            <w:r>
              <w:rPr>
                <w:rFonts w:ascii="Arial" w:cs="Arial" w:eastAsia="Arial" w:hAnsi="Arial"/>
                <w:sz w:val="18"/>
                <w:szCs w:val="18"/>
                <w:color w:val="auto"/>
              </w:rPr>
              <w:t>8,602</w:t>
            </w:r>
          </w:p>
        </w:tc>
        <w:tc>
          <w:tcPr>
            <w:tcW w:w="3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80" w:type="dxa"/>
            <w:vAlign w:val="bottom"/>
            <w:gridSpan w:val="2"/>
          </w:tcPr>
          <w:p>
            <w:pPr>
              <w:jc w:val="right"/>
              <w:ind w:right="220"/>
              <w:spacing w:after="0"/>
              <w:rPr>
                <w:sz w:val="20"/>
                <w:szCs w:val="20"/>
                <w:color w:val="auto"/>
              </w:rPr>
            </w:pPr>
            <w:r>
              <w:rPr>
                <w:rFonts w:ascii="Arial" w:cs="Arial" w:eastAsia="Arial" w:hAnsi="Arial"/>
                <w:sz w:val="18"/>
                <w:szCs w:val="18"/>
                <w:color w:val="auto"/>
              </w:rPr>
              <w:t>498</w:t>
            </w:r>
          </w:p>
        </w:tc>
        <w:tc>
          <w:tcPr>
            <w:tcW w:w="0" w:type="dxa"/>
            <w:vAlign w:val="bottom"/>
          </w:tcPr>
          <w:p>
            <w:pPr>
              <w:spacing w:after="0"/>
              <w:rPr>
                <w:sz w:val="1"/>
                <w:szCs w:val="1"/>
                <w:color w:val="auto"/>
              </w:rPr>
            </w:pPr>
          </w:p>
        </w:tc>
      </w:tr>
      <w:tr>
        <w:trPr>
          <w:trHeight w:val="216"/>
        </w:trPr>
        <w:tc>
          <w:tcPr>
            <w:tcW w:w="2780" w:type="dxa"/>
            <w:vAlign w:val="bottom"/>
            <w:shd w:val="clear" w:color="auto" w:fill="CCEEFF"/>
          </w:tcPr>
          <w:p>
            <w:pPr>
              <w:spacing w:after="0"/>
              <w:rPr>
                <w:sz w:val="20"/>
                <w:szCs w:val="20"/>
                <w:color w:val="auto"/>
              </w:rPr>
            </w:pPr>
            <w:r>
              <w:rPr>
                <w:rFonts w:ascii="Arial" w:cs="Arial" w:eastAsia="Arial" w:hAnsi="Arial"/>
                <w:sz w:val="18"/>
                <w:szCs w:val="18"/>
                <w:color w:val="auto"/>
              </w:rPr>
              <w:t>Equity compensation costs</w:t>
            </w:r>
          </w:p>
        </w:tc>
        <w:tc>
          <w:tcPr>
            <w:tcW w:w="2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31</w:t>
            </w:r>
          </w:p>
        </w:tc>
        <w:tc>
          <w:tcPr>
            <w:tcW w:w="3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88"/>
              <w:spacing w:after="0"/>
              <w:rPr>
                <w:sz w:val="20"/>
                <w:szCs w:val="20"/>
                <w:color w:val="auto"/>
              </w:rPr>
            </w:pPr>
            <w:r>
              <w:rPr>
                <w:rFonts w:ascii="Arial" w:cs="Arial" w:eastAsia="Arial" w:hAnsi="Arial"/>
                <w:sz w:val="18"/>
                <w:szCs w:val="18"/>
                <w:color w:val="auto"/>
              </w:rPr>
              <w:t>30</w:t>
            </w:r>
          </w:p>
        </w:tc>
        <w:tc>
          <w:tcPr>
            <w:tcW w:w="16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62</w:t>
            </w:r>
          </w:p>
        </w:tc>
        <w:tc>
          <w:tcPr>
            <w:tcW w:w="80" w:type="dxa"/>
            <w:vAlign w:val="bottom"/>
            <w:shd w:val="clear" w:color="auto" w:fill="CCEEFF"/>
          </w:tcPr>
          <w:p>
            <w:pPr>
              <w:spacing w:after="0"/>
              <w:rPr>
                <w:sz w:val="18"/>
                <w:szCs w:val="18"/>
                <w:color w:val="auto"/>
              </w:rPr>
            </w:pPr>
          </w:p>
        </w:tc>
        <w:tc>
          <w:tcPr>
            <w:tcW w:w="1740" w:type="dxa"/>
            <w:vAlign w:val="bottom"/>
            <w:tcBorders>
              <w:right w:val="single" w:sz="8" w:color="auto"/>
            </w:tcBorders>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28</w:t>
            </w:r>
          </w:p>
        </w:tc>
        <w:tc>
          <w:tcPr>
            <w:tcW w:w="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256</w:t>
            </w:r>
          </w:p>
        </w:tc>
        <w:tc>
          <w:tcPr>
            <w:tcW w:w="0" w:type="dxa"/>
            <w:vAlign w:val="bottom"/>
          </w:tcPr>
          <w:p>
            <w:pPr>
              <w:spacing w:after="0"/>
              <w:rPr>
                <w:sz w:val="1"/>
                <w:szCs w:val="1"/>
                <w:color w:val="auto"/>
              </w:rPr>
            </w:pPr>
          </w:p>
        </w:tc>
      </w:tr>
      <w:tr>
        <w:trPr>
          <w:trHeight w:val="216"/>
        </w:trPr>
        <w:tc>
          <w:tcPr>
            <w:tcW w:w="2780" w:type="dxa"/>
            <w:vAlign w:val="bottom"/>
          </w:tcPr>
          <w:p>
            <w:pPr>
              <w:spacing w:after="0"/>
              <w:rPr>
                <w:sz w:val="20"/>
                <w:szCs w:val="20"/>
                <w:color w:val="auto"/>
              </w:rPr>
            </w:pPr>
            <w:r>
              <w:rPr>
                <w:rFonts w:ascii="Arial" w:cs="Arial" w:eastAsia="Arial" w:hAnsi="Arial"/>
                <w:sz w:val="18"/>
                <w:szCs w:val="18"/>
                <w:b w:val="1"/>
                <w:bCs w:val="1"/>
                <w:color w:val="auto"/>
              </w:rPr>
              <w:t>Adjusted Gross Profit</w:t>
            </w:r>
          </w:p>
        </w:tc>
        <w:tc>
          <w:tcPr>
            <w:tcW w:w="220" w:type="dxa"/>
            <w:vAlign w:val="bottom"/>
          </w:tcPr>
          <w:p>
            <w:pPr>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560"/>
              <w:spacing w:after="0"/>
              <w:rPr>
                <w:sz w:val="20"/>
                <w:szCs w:val="20"/>
                <w:color w:val="auto"/>
              </w:rPr>
            </w:pPr>
            <w:r>
              <w:rPr>
                <w:rFonts w:ascii="Arial" w:cs="Arial" w:eastAsia="Arial" w:hAnsi="Arial"/>
                <w:sz w:val="18"/>
                <w:szCs w:val="18"/>
                <w:color w:val="auto"/>
              </w:rPr>
              <w:t>67,511</w:t>
            </w:r>
          </w:p>
        </w:tc>
        <w:tc>
          <w:tcPr>
            <w:tcW w:w="320" w:type="dxa"/>
            <w:vAlign w:val="bottom"/>
          </w:tcPr>
          <w:p>
            <w:pPr>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488"/>
              <w:spacing w:after="0"/>
              <w:rPr>
                <w:sz w:val="20"/>
                <w:szCs w:val="20"/>
                <w:color w:val="auto"/>
              </w:rPr>
            </w:pPr>
            <w:r>
              <w:rPr>
                <w:rFonts w:ascii="Arial" w:cs="Arial" w:eastAsia="Arial" w:hAnsi="Arial"/>
                <w:sz w:val="18"/>
                <w:szCs w:val="18"/>
                <w:color w:val="auto"/>
                <w:w w:val="90"/>
              </w:rPr>
              <w:t>49,291</w:t>
            </w:r>
          </w:p>
        </w:tc>
        <w:tc>
          <w:tcPr>
            <w:tcW w:w="16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1580" w:type="dxa"/>
            <w:vAlign w:val="bottom"/>
            <w:gridSpan w:val="2"/>
          </w:tcPr>
          <w:p>
            <w:pPr>
              <w:jc w:val="right"/>
              <w:ind w:right="580"/>
              <w:spacing w:after="0"/>
              <w:rPr>
                <w:sz w:val="20"/>
                <w:szCs w:val="20"/>
                <w:color w:val="auto"/>
              </w:rPr>
            </w:pPr>
            <w:r>
              <w:rPr>
                <w:rFonts w:ascii="Arial" w:cs="Arial" w:eastAsia="Arial" w:hAnsi="Arial"/>
                <w:sz w:val="18"/>
                <w:szCs w:val="18"/>
                <w:color w:val="auto"/>
              </w:rPr>
              <w:t>107,080</w:t>
            </w:r>
          </w:p>
        </w:tc>
        <w:tc>
          <w:tcPr>
            <w:tcW w:w="80" w:type="dxa"/>
            <w:vAlign w:val="bottom"/>
          </w:tcPr>
          <w:p>
            <w:pPr>
              <w:spacing w:after="0"/>
              <w:rPr>
                <w:sz w:val="20"/>
                <w:szCs w:val="20"/>
                <w:color w:val="auto"/>
              </w:rPr>
            </w:pPr>
            <w:r>
              <w:rPr>
                <w:rFonts w:ascii="Arial" w:cs="Arial" w:eastAsia="Arial" w:hAnsi="Arial"/>
                <w:sz w:val="15"/>
                <w:szCs w:val="15"/>
                <w:color w:val="auto"/>
                <w:w w:val="71"/>
              </w:rPr>
              <w:t>$</w:t>
            </w:r>
          </w:p>
        </w:tc>
        <w:tc>
          <w:tcPr>
            <w:tcW w:w="1740" w:type="dxa"/>
            <w:vAlign w:val="bottom"/>
            <w:tcBorders>
              <w:right w:val="single" w:sz="8" w:color="auto"/>
            </w:tcBorders>
            <w:gridSpan w:val="2"/>
          </w:tcPr>
          <w:p>
            <w:pPr>
              <w:jc w:val="right"/>
              <w:ind w:right="660"/>
              <w:spacing w:after="0"/>
              <w:rPr>
                <w:sz w:val="20"/>
                <w:szCs w:val="20"/>
                <w:color w:val="auto"/>
              </w:rPr>
            </w:pPr>
            <w:r>
              <w:rPr>
                <w:rFonts w:ascii="Arial" w:cs="Arial" w:eastAsia="Arial" w:hAnsi="Arial"/>
                <w:sz w:val="18"/>
                <w:szCs w:val="18"/>
                <w:color w:val="auto"/>
              </w:rPr>
              <w:t>35,393</w:t>
            </w:r>
          </w:p>
        </w:tc>
        <w:tc>
          <w:tcPr>
            <w:tcW w:w="500" w:type="dxa"/>
            <w:vAlign w:val="bottom"/>
            <w:gridSpan w:val="2"/>
          </w:tcPr>
          <w:p>
            <w:pPr>
              <w:ind w:left="380"/>
              <w:spacing w:after="0"/>
              <w:rPr>
                <w:sz w:val="20"/>
                <w:szCs w:val="20"/>
                <w:color w:val="auto"/>
              </w:rPr>
            </w:pPr>
            <w:r>
              <w:rPr>
                <w:rFonts w:ascii="Arial" w:cs="Arial" w:eastAsia="Arial" w:hAnsi="Arial"/>
                <w:sz w:val="18"/>
                <w:szCs w:val="18"/>
                <w:color w:val="auto"/>
                <w:w w:val="99"/>
              </w:rPr>
              <w:t>$</w:t>
            </w:r>
          </w:p>
        </w:tc>
        <w:tc>
          <w:tcPr>
            <w:tcW w:w="1380" w:type="dxa"/>
            <w:vAlign w:val="bottom"/>
            <w:gridSpan w:val="2"/>
          </w:tcPr>
          <w:p>
            <w:pPr>
              <w:jc w:val="right"/>
              <w:ind w:right="220"/>
              <w:spacing w:after="0"/>
              <w:rPr>
                <w:sz w:val="20"/>
                <w:szCs w:val="20"/>
                <w:color w:val="auto"/>
              </w:rPr>
            </w:pPr>
            <w:r>
              <w:rPr>
                <w:rFonts w:ascii="Arial" w:cs="Arial" w:eastAsia="Arial" w:hAnsi="Arial"/>
                <w:sz w:val="18"/>
                <w:szCs w:val="18"/>
                <w:color w:val="auto"/>
              </w:rPr>
              <w:t>40,884</w:t>
            </w:r>
          </w:p>
        </w:tc>
        <w:tc>
          <w:tcPr>
            <w:tcW w:w="0" w:type="dxa"/>
            <w:vAlign w:val="bottom"/>
          </w:tcPr>
          <w:p>
            <w:pPr>
              <w:spacing w:after="0"/>
              <w:rPr>
                <w:sz w:val="1"/>
                <w:szCs w:val="1"/>
                <w:color w:val="auto"/>
              </w:rPr>
            </w:pPr>
          </w:p>
        </w:tc>
      </w:tr>
      <w:tr>
        <w:trPr>
          <w:trHeight w:val="216"/>
        </w:trPr>
        <w:tc>
          <w:tcPr>
            <w:tcW w:w="2780" w:type="dxa"/>
            <w:vAlign w:val="bottom"/>
            <w:shd w:val="clear" w:color="auto" w:fill="CCEEFF"/>
          </w:tcPr>
          <w:p>
            <w:pPr>
              <w:spacing w:after="0"/>
              <w:rPr>
                <w:sz w:val="20"/>
                <w:szCs w:val="20"/>
                <w:color w:val="auto"/>
              </w:rPr>
            </w:pPr>
            <w:r>
              <w:rPr>
                <w:rFonts w:ascii="Arial" w:cs="Arial" w:eastAsia="Arial" w:hAnsi="Arial"/>
                <w:sz w:val="18"/>
                <w:szCs w:val="18"/>
                <w:color w:val="auto"/>
              </w:rPr>
              <w:t>Revenue</w:t>
            </w:r>
          </w:p>
        </w:tc>
        <w:tc>
          <w:tcPr>
            <w:tcW w:w="2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76,757</w:t>
            </w:r>
          </w:p>
        </w:tc>
        <w:tc>
          <w:tcPr>
            <w:tcW w:w="3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488"/>
              <w:spacing w:after="0"/>
              <w:rPr>
                <w:sz w:val="20"/>
                <w:szCs w:val="20"/>
                <w:color w:val="auto"/>
              </w:rPr>
            </w:pPr>
            <w:r>
              <w:rPr>
                <w:rFonts w:ascii="Arial" w:cs="Arial" w:eastAsia="Arial" w:hAnsi="Arial"/>
                <w:sz w:val="18"/>
                <w:szCs w:val="18"/>
                <w:color w:val="auto"/>
                <w:w w:val="90"/>
              </w:rPr>
              <w:t>54,586</w:t>
            </w:r>
          </w:p>
        </w:tc>
        <w:tc>
          <w:tcPr>
            <w:tcW w:w="1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158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118,317</w:t>
            </w:r>
          </w:p>
        </w:tc>
        <w:tc>
          <w:tcPr>
            <w:tcW w:w="80" w:type="dxa"/>
            <w:vAlign w:val="bottom"/>
            <w:shd w:val="clear" w:color="auto" w:fill="CCEEFF"/>
          </w:tcPr>
          <w:p>
            <w:pPr>
              <w:spacing w:after="0"/>
              <w:rPr>
                <w:sz w:val="20"/>
                <w:szCs w:val="20"/>
                <w:color w:val="auto"/>
              </w:rPr>
            </w:pPr>
            <w:r>
              <w:rPr>
                <w:rFonts w:ascii="Arial" w:cs="Arial" w:eastAsia="Arial" w:hAnsi="Arial"/>
                <w:sz w:val="15"/>
                <w:szCs w:val="15"/>
                <w:color w:val="auto"/>
                <w:w w:val="71"/>
              </w:rPr>
              <w:t>$</w:t>
            </w:r>
          </w:p>
        </w:tc>
        <w:tc>
          <w:tcPr>
            <w:tcW w:w="1740" w:type="dxa"/>
            <w:vAlign w:val="bottom"/>
            <w:tcBorders>
              <w:right w:val="single" w:sz="8" w:color="auto"/>
            </w:tcBorders>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40,045</w:t>
            </w:r>
          </w:p>
        </w:tc>
        <w:tc>
          <w:tcPr>
            <w:tcW w:w="50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w w:val="99"/>
              </w:rPr>
              <w:t>$</w:t>
            </w:r>
          </w:p>
        </w:tc>
        <w:tc>
          <w:tcPr>
            <w:tcW w:w="13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45,458</w:t>
            </w:r>
          </w:p>
        </w:tc>
        <w:tc>
          <w:tcPr>
            <w:tcW w:w="0" w:type="dxa"/>
            <w:vAlign w:val="bottom"/>
          </w:tcPr>
          <w:p>
            <w:pPr>
              <w:spacing w:after="0"/>
              <w:rPr>
                <w:sz w:val="1"/>
                <w:szCs w:val="1"/>
                <w:color w:val="auto"/>
              </w:rPr>
            </w:pPr>
          </w:p>
        </w:tc>
      </w:tr>
      <w:tr>
        <w:trPr>
          <w:trHeight w:val="216"/>
        </w:trPr>
        <w:tc>
          <w:tcPr>
            <w:tcW w:w="2780" w:type="dxa"/>
            <w:vAlign w:val="bottom"/>
          </w:tcPr>
          <w:p>
            <w:pPr>
              <w:spacing w:after="0"/>
              <w:rPr>
                <w:sz w:val="20"/>
                <w:szCs w:val="20"/>
                <w:color w:val="auto"/>
              </w:rPr>
            </w:pPr>
            <w:r>
              <w:rPr>
                <w:rFonts w:ascii="Arial" w:cs="Arial" w:eastAsia="Arial" w:hAnsi="Arial"/>
                <w:sz w:val="18"/>
                <w:szCs w:val="18"/>
                <w:b w:val="1"/>
                <w:bCs w:val="1"/>
                <w:color w:val="auto"/>
              </w:rPr>
              <w:t>Adjusted Gross Margin</w:t>
            </w:r>
          </w:p>
        </w:tc>
        <w:tc>
          <w:tcPr>
            <w:tcW w:w="220" w:type="dxa"/>
            <w:vAlign w:val="bottom"/>
          </w:tcPr>
          <w:p>
            <w:pPr>
              <w:spacing w:after="0"/>
              <w:rPr>
                <w:sz w:val="18"/>
                <w:szCs w:val="18"/>
                <w:color w:val="auto"/>
              </w:rPr>
            </w:pPr>
          </w:p>
        </w:tc>
        <w:tc>
          <w:tcPr>
            <w:tcW w:w="1180" w:type="dxa"/>
            <w:vAlign w:val="bottom"/>
            <w:gridSpan w:val="2"/>
          </w:tcPr>
          <w:p>
            <w:pPr>
              <w:jc w:val="right"/>
              <w:ind w:right="420"/>
              <w:spacing w:after="0"/>
              <w:rPr>
                <w:sz w:val="20"/>
                <w:szCs w:val="20"/>
                <w:color w:val="auto"/>
              </w:rPr>
            </w:pPr>
            <w:r>
              <w:rPr>
                <w:rFonts w:ascii="Arial" w:cs="Arial" w:eastAsia="Arial" w:hAnsi="Arial"/>
                <w:sz w:val="18"/>
                <w:szCs w:val="18"/>
                <w:color w:val="auto"/>
              </w:rPr>
              <w:t>88%</w:t>
            </w:r>
          </w:p>
        </w:tc>
        <w:tc>
          <w:tcPr>
            <w:tcW w:w="320" w:type="dxa"/>
            <w:vAlign w:val="bottom"/>
          </w:tcPr>
          <w:p>
            <w:pPr>
              <w:spacing w:after="0"/>
              <w:rPr>
                <w:sz w:val="18"/>
                <w:szCs w:val="18"/>
                <w:color w:val="auto"/>
              </w:rPr>
            </w:pPr>
          </w:p>
        </w:tc>
        <w:tc>
          <w:tcPr>
            <w:tcW w:w="1080" w:type="dxa"/>
            <w:vAlign w:val="bottom"/>
            <w:gridSpan w:val="2"/>
          </w:tcPr>
          <w:p>
            <w:pPr>
              <w:jc w:val="right"/>
              <w:ind w:right="348"/>
              <w:spacing w:after="0"/>
              <w:rPr>
                <w:sz w:val="20"/>
                <w:szCs w:val="20"/>
                <w:color w:val="auto"/>
              </w:rPr>
            </w:pPr>
            <w:r>
              <w:rPr>
                <w:rFonts w:ascii="Arial" w:cs="Arial" w:eastAsia="Arial" w:hAnsi="Arial"/>
                <w:sz w:val="18"/>
                <w:szCs w:val="18"/>
                <w:color w:val="auto"/>
              </w:rPr>
              <w:t>90%</w:t>
            </w:r>
          </w:p>
        </w:tc>
        <w:tc>
          <w:tcPr>
            <w:tcW w:w="160" w:type="dxa"/>
            <w:vAlign w:val="bottom"/>
          </w:tcPr>
          <w:p>
            <w:pPr>
              <w:spacing w:after="0"/>
              <w:rPr>
                <w:sz w:val="18"/>
                <w:szCs w:val="18"/>
                <w:color w:val="auto"/>
              </w:rPr>
            </w:pPr>
          </w:p>
        </w:tc>
        <w:tc>
          <w:tcPr>
            <w:tcW w:w="1580" w:type="dxa"/>
            <w:vAlign w:val="bottom"/>
            <w:gridSpan w:val="2"/>
          </w:tcPr>
          <w:p>
            <w:pPr>
              <w:jc w:val="right"/>
              <w:ind w:right="420"/>
              <w:spacing w:after="0"/>
              <w:rPr>
                <w:sz w:val="20"/>
                <w:szCs w:val="20"/>
                <w:color w:val="auto"/>
              </w:rPr>
            </w:pPr>
            <w:r>
              <w:rPr>
                <w:rFonts w:ascii="Arial" w:cs="Arial" w:eastAsia="Arial" w:hAnsi="Arial"/>
                <w:sz w:val="18"/>
                <w:szCs w:val="18"/>
                <w:color w:val="auto"/>
              </w:rPr>
              <w:t>91%</w:t>
            </w:r>
          </w:p>
        </w:tc>
        <w:tc>
          <w:tcPr>
            <w:tcW w:w="80" w:type="dxa"/>
            <w:vAlign w:val="bottom"/>
          </w:tcPr>
          <w:p>
            <w:pPr>
              <w:spacing w:after="0"/>
              <w:rPr>
                <w:sz w:val="18"/>
                <w:szCs w:val="18"/>
                <w:color w:val="auto"/>
              </w:rPr>
            </w:pPr>
          </w:p>
        </w:tc>
        <w:tc>
          <w:tcPr>
            <w:tcW w:w="1740" w:type="dxa"/>
            <w:vAlign w:val="bottom"/>
            <w:tcBorders>
              <w:right w:val="single" w:sz="8" w:color="auto"/>
            </w:tcBorders>
            <w:gridSpan w:val="2"/>
          </w:tcPr>
          <w:p>
            <w:pPr>
              <w:jc w:val="right"/>
              <w:ind w:right="520"/>
              <w:spacing w:after="0"/>
              <w:rPr>
                <w:sz w:val="20"/>
                <w:szCs w:val="20"/>
                <w:color w:val="auto"/>
              </w:rPr>
            </w:pPr>
            <w:r>
              <w:rPr>
                <w:rFonts w:ascii="Arial" w:cs="Arial" w:eastAsia="Arial" w:hAnsi="Arial"/>
                <w:sz w:val="18"/>
                <w:szCs w:val="18"/>
                <w:color w:val="auto"/>
              </w:rPr>
              <w:t>88%</w:t>
            </w:r>
          </w:p>
        </w:tc>
        <w:tc>
          <w:tcPr>
            <w:tcW w:w="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gridSpan w:val="2"/>
          </w:tcPr>
          <w:p>
            <w:pPr>
              <w:jc w:val="right"/>
              <w:ind w:right="60"/>
              <w:spacing w:after="0"/>
              <w:rPr>
                <w:sz w:val="20"/>
                <w:szCs w:val="20"/>
                <w:color w:val="auto"/>
              </w:rPr>
            </w:pPr>
            <w:r>
              <w:rPr>
                <w:rFonts w:ascii="Arial" w:cs="Arial" w:eastAsia="Arial" w:hAnsi="Arial"/>
                <w:sz w:val="18"/>
                <w:szCs w:val="18"/>
                <w:color w:val="auto"/>
              </w:rPr>
              <w:t>90%</w:t>
            </w:r>
          </w:p>
        </w:tc>
        <w:tc>
          <w:tcPr>
            <w:tcW w:w="0" w:type="dxa"/>
            <w:vAlign w:val="bottom"/>
          </w:tcPr>
          <w:p>
            <w:pPr>
              <w:spacing w:after="0"/>
              <w:rPr>
                <w:sz w:val="1"/>
                <w:szCs w:val="1"/>
                <w:color w:val="auto"/>
              </w:rPr>
            </w:pPr>
          </w:p>
        </w:tc>
      </w:tr>
      <w:tr>
        <w:trPr>
          <w:trHeight w:val="20"/>
        </w:trPr>
        <w:tc>
          <w:tcPr>
            <w:tcW w:w="27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right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0"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Adjusted EBITDA</w:t>
      </w:r>
    </w:p>
    <w:p>
      <w:pPr>
        <w:spacing w:after="0" w:line="117" w:lineRule="exact"/>
        <w:rPr>
          <w:sz w:val="20"/>
          <w:szCs w:val="20"/>
          <w:color w:val="auto"/>
        </w:rPr>
      </w:pPr>
    </w:p>
    <w:p>
      <w:pPr>
        <w:ind w:left="120" w:right="140" w:firstLine="440"/>
        <w:spacing w:after="0" w:line="287" w:lineRule="auto"/>
        <w:rPr>
          <w:sz w:val="20"/>
          <w:szCs w:val="20"/>
          <w:color w:val="auto"/>
        </w:rPr>
      </w:pPr>
      <w:r>
        <w:rPr>
          <w:rFonts w:ascii="Arial" w:cs="Arial" w:eastAsia="Arial" w:hAnsi="Arial"/>
          <w:sz w:val="16"/>
          <w:szCs w:val="16"/>
          <w:color w:val="auto"/>
        </w:rPr>
        <w:t>We present “Adjusted EBITDA” as a measure of our operating performance. EBITDA is defined as earnings before (i) debt-related costs, including interest expense and (ii) interest income, (iii) provision for taxes, (iv) depreciation and amortization. Management further adjusts EBITDA in its presentation of Adjusted EBITDA to exclude (i) other (income) expense, (ii) stock-based compensation, (iii) acquisition-related expenses and</w:t>
      </w:r>
    </w:p>
    <w:p>
      <w:pPr>
        <w:spacing w:after="0" w:line="2" w:lineRule="exact"/>
        <w:rPr>
          <w:sz w:val="20"/>
          <w:szCs w:val="20"/>
          <w:color w:val="auto"/>
        </w:rPr>
      </w:pPr>
    </w:p>
    <w:p>
      <w:pPr>
        <w:ind w:left="120" w:right="480" w:hanging="4"/>
        <w:spacing w:after="0" w:line="323" w:lineRule="auto"/>
        <w:tabs>
          <w:tab w:leader="none" w:pos="425" w:val="left"/>
        </w:tabs>
        <w:numPr>
          <w:ilvl w:val="0"/>
          <w:numId w:val="72"/>
        </w:numPr>
        <w:rPr>
          <w:rFonts w:ascii="Arial" w:cs="Arial" w:eastAsia="Arial" w:hAnsi="Arial"/>
          <w:sz w:val="16"/>
          <w:szCs w:val="16"/>
          <w:color w:val="auto"/>
        </w:rPr>
      </w:pPr>
      <w:r>
        <w:rPr>
          <w:rFonts w:ascii="Arial" w:cs="Arial" w:eastAsia="Arial" w:hAnsi="Arial"/>
          <w:sz w:val="16"/>
          <w:szCs w:val="16"/>
          <w:color w:val="auto"/>
        </w:rPr>
        <w:t>other non-recurring and one-time expenses. We exclude these items because they are non-cash or non-recurring in nature, and therefore do not believe them to be representative of ongoing operational performance. See “Non-GAAP Financial Measures” for additional information.</w:t>
      </w:r>
    </w:p>
    <w:p>
      <w:pPr>
        <w:spacing w:after="0" w:line="71"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83</w:t>
      </w:r>
    </w:p>
    <w:p>
      <w:pPr>
        <w:sectPr>
          <w:pgSz w:w="11900" w:h="16838" w:orient="portrait"/>
          <w:cols w:equalWidth="0" w:num="1">
            <w:col w:w="11140"/>
          </w:cols>
          <w:pgMar w:left="320" w:top="459" w:right="439" w:bottom="1440" w:gutter="0" w:footer="0" w:header="0"/>
        </w:sectPr>
      </w:pPr>
    </w:p>
    <w:bookmarkStart w:id="90" w:name="page91"/>
    <w:bookmarkEnd w:id="9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Confidential Treatment Requested by Definitive Healthcare Corp.</w:t>
      </w:r>
    </w:p>
    <w:p>
      <w:pPr>
        <w:spacing w:after="0" w:line="27"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Pursuant to 17 C.F.R. Section 200.83</w:t>
      </w:r>
    </w:p>
    <w:p>
      <w:pPr>
        <w:spacing w:after="0" w:line="143"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following table presents a reconciliation of Net (Loss) Income to Adjusted EBITDA for the periods presented:</w:t>
      </w:r>
    </w:p>
    <w:p>
      <w:pPr>
        <w:spacing w:after="0" w:line="32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Adjusted EBITDA</w:t>
      </w:r>
    </w:p>
    <w:p>
      <w:pPr>
        <w:spacing w:after="0" w:line="235" w:lineRule="exact"/>
        <w:rPr>
          <w:sz w:val="20"/>
          <w:szCs w:val="20"/>
          <w:color w:val="auto"/>
        </w:rPr>
      </w:pPr>
    </w:p>
    <w:tbl>
      <w:tblPr>
        <w:tblLayout w:type="fixed"/>
        <w:tblInd w:w="120" w:type="dxa"/>
        <w:tblCellMar>
          <w:top w:w="0" w:type="dxa"/>
          <w:left w:w="0" w:type="dxa"/>
          <w:bottom w:w="0" w:type="dxa"/>
          <w:right w:w="0" w:type="dxa"/>
        </w:tblCellMar>
      </w:tblPr>
      <w:tr>
        <w:trPr>
          <w:trHeight w:val="35"/>
        </w:trPr>
        <w:tc>
          <w:tcPr>
            <w:tcW w:w="1220" w:type="dxa"/>
            <w:vAlign w:val="bottom"/>
          </w:tcPr>
          <w:p>
            <w:pPr>
              <w:spacing w:after="0"/>
              <w:rPr>
                <w:sz w:val="3"/>
                <w:szCs w:val="3"/>
                <w:color w:val="auto"/>
              </w:rPr>
            </w:pPr>
          </w:p>
        </w:tc>
        <w:tc>
          <w:tcPr>
            <w:tcW w:w="1240" w:type="dxa"/>
            <w:vAlign w:val="bottom"/>
          </w:tcPr>
          <w:p>
            <w:pPr>
              <w:spacing w:after="0"/>
              <w:rPr>
                <w:sz w:val="3"/>
                <w:szCs w:val="3"/>
                <w:color w:val="auto"/>
              </w:rPr>
            </w:pPr>
          </w:p>
        </w:tc>
        <w:tc>
          <w:tcPr>
            <w:tcW w:w="220" w:type="dxa"/>
            <w:vAlign w:val="bottom"/>
          </w:tcPr>
          <w:p>
            <w:pPr>
              <w:spacing w:after="0"/>
              <w:rPr>
                <w:sz w:val="3"/>
                <w:szCs w:val="3"/>
                <w:color w:val="auto"/>
              </w:rPr>
            </w:pPr>
          </w:p>
        </w:tc>
        <w:tc>
          <w:tcPr>
            <w:tcW w:w="840" w:type="dxa"/>
            <w:vAlign w:val="bottom"/>
          </w:tcPr>
          <w:p>
            <w:pPr>
              <w:spacing w:after="0"/>
              <w:rPr>
                <w:sz w:val="3"/>
                <w:szCs w:val="3"/>
                <w:color w:val="auto"/>
              </w:rPr>
            </w:pPr>
          </w:p>
        </w:tc>
        <w:tc>
          <w:tcPr>
            <w:tcW w:w="580" w:type="dxa"/>
            <w:vAlign w:val="bottom"/>
          </w:tcPr>
          <w:p>
            <w:pPr>
              <w:spacing w:after="0"/>
              <w:rPr>
                <w:sz w:val="3"/>
                <w:szCs w:val="3"/>
                <w:color w:val="auto"/>
              </w:rPr>
            </w:pPr>
          </w:p>
        </w:tc>
        <w:tc>
          <w:tcPr>
            <w:tcW w:w="840" w:type="dxa"/>
            <w:vAlign w:val="bottom"/>
          </w:tcPr>
          <w:p>
            <w:pPr>
              <w:spacing w:after="0"/>
              <w:rPr>
                <w:sz w:val="3"/>
                <w:szCs w:val="3"/>
                <w:color w:val="auto"/>
              </w:rPr>
            </w:pPr>
          </w:p>
        </w:tc>
        <w:tc>
          <w:tcPr>
            <w:tcW w:w="2120" w:type="dxa"/>
            <w:vAlign w:val="bottom"/>
            <w:gridSpan w:val="5"/>
            <w:vMerge w:val="restart"/>
          </w:tcPr>
          <w:p>
            <w:pPr>
              <w:jc w:val="center"/>
              <w:ind w:right="920"/>
              <w:spacing w:after="0"/>
              <w:rPr>
                <w:sz w:val="20"/>
                <w:szCs w:val="20"/>
                <w:color w:val="auto"/>
              </w:rPr>
            </w:pPr>
            <w:r>
              <w:rPr>
                <w:rFonts w:ascii="Arial" w:cs="Arial" w:eastAsia="Arial" w:hAnsi="Arial"/>
                <w:sz w:val="14"/>
                <w:szCs w:val="14"/>
                <w:b w:val="1"/>
                <w:bCs w:val="1"/>
                <w:color w:val="auto"/>
                <w:w w:val="95"/>
              </w:rPr>
              <w:t>Definitive OpCo</w:t>
            </w:r>
          </w:p>
        </w:tc>
        <w:tc>
          <w:tcPr>
            <w:tcW w:w="220" w:type="dxa"/>
            <w:vAlign w:val="bottom"/>
          </w:tcPr>
          <w:p>
            <w:pPr>
              <w:spacing w:after="0"/>
              <w:rPr>
                <w:sz w:val="3"/>
                <w:szCs w:val="3"/>
                <w:color w:val="auto"/>
              </w:rPr>
            </w:pPr>
          </w:p>
        </w:tc>
        <w:tc>
          <w:tcPr>
            <w:tcW w:w="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680" w:type="dxa"/>
            <w:vAlign w:val="bottom"/>
          </w:tcPr>
          <w:p>
            <w:pPr>
              <w:spacing w:after="0"/>
              <w:rPr>
                <w:sz w:val="3"/>
                <w:szCs w:val="3"/>
                <w:color w:val="auto"/>
              </w:rPr>
            </w:pPr>
          </w:p>
        </w:tc>
        <w:tc>
          <w:tcPr>
            <w:tcW w:w="400" w:type="dxa"/>
            <w:vAlign w:val="bottom"/>
          </w:tcPr>
          <w:p>
            <w:pPr>
              <w:spacing w:after="0"/>
              <w:rPr>
                <w:sz w:val="3"/>
                <w:szCs w:val="3"/>
                <w:color w:val="auto"/>
              </w:rPr>
            </w:pPr>
          </w:p>
        </w:tc>
        <w:tc>
          <w:tcPr>
            <w:tcW w:w="120" w:type="dxa"/>
            <w:vAlign w:val="bottom"/>
          </w:tcPr>
          <w:p>
            <w:pPr>
              <w:spacing w:after="0"/>
              <w:rPr>
                <w:sz w:val="3"/>
                <w:szCs w:val="3"/>
                <w:color w:val="auto"/>
              </w:rPr>
            </w:pPr>
          </w:p>
        </w:tc>
        <w:tc>
          <w:tcPr>
            <w:tcW w:w="1380" w:type="dxa"/>
            <w:vAlign w:val="bottom"/>
            <w:gridSpan w:val="2"/>
            <w:vMerge w:val="restart"/>
          </w:tcPr>
          <w:p>
            <w:pPr>
              <w:jc w:val="center"/>
              <w:ind w:right="340"/>
              <w:spacing w:after="0"/>
              <w:rPr>
                <w:sz w:val="20"/>
                <w:szCs w:val="20"/>
                <w:color w:val="auto"/>
              </w:rPr>
            </w:pPr>
            <w:r>
              <w:rPr>
                <w:rFonts w:ascii="Arial" w:cs="Arial" w:eastAsia="Arial" w:hAnsi="Arial"/>
                <w:sz w:val="14"/>
                <w:szCs w:val="14"/>
                <w:b w:val="1"/>
                <w:bCs w:val="1"/>
                <w:color w:val="auto"/>
                <w:w w:val="95"/>
              </w:rPr>
              <w:t>Definitive OpCo</w:t>
            </w:r>
          </w:p>
        </w:tc>
        <w:tc>
          <w:tcPr>
            <w:tcW w:w="0" w:type="dxa"/>
            <w:vAlign w:val="bottom"/>
          </w:tcPr>
          <w:p>
            <w:pPr>
              <w:spacing w:after="0" w:line="20" w:lineRule="exact"/>
              <w:rPr>
                <w:sz w:val="1"/>
                <w:szCs w:val="1"/>
                <w:color w:val="auto"/>
              </w:rPr>
            </w:pPr>
          </w:p>
        </w:tc>
      </w:tr>
      <w:tr>
        <w:trPr>
          <w:trHeight w:val="126"/>
        </w:trPr>
        <w:tc>
          <w:tcPr>
            <w:tcW w:w="1220" w:type="dxa"/>
            <w:vAlign w:val="bottom"/>
          </w:tcPr>
          <w:p>
            <w:pPr>
              <w:spacing w:after="0"/>
              <w:rPr>
                <w:sz w:val="10"/>
                <w:szCs w:val="10"/>
                <w:color w:val="auto"/>
              </w:rPr>
            </w:pPr>
          </w:p>
        </w:tc>
        <w:tc>
          <w:tcPr>
            <w:tcW w:w="12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2120" w:type="dxa"/>
            <w:vAlign w:val="bottom"/>
            <w:gridSpan w:val="5"/>
            <w:vMerge w:val="continue"/>
          </w:tcPr>
          <w:p>
            <w:pPr>
              <w:spacing w:after="0"/>
              <w:rPr>
                <w:sz w:val="10"/>
                <w:szCs w:val="10"/>
                <w:color w:val="auto"/>
              </w:rPr>
            </w:pP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680" w:type="dxa"/>
            <w:vAlign w:val="bottom"/>
            <w:tcBorders>
              <w:right w:val="single" w:sz="8" w:color="auto"/>
            </w:tcBorders>
          </w:tcPr>
          <w:p>
            <w:pPr>
              <w:spacing w:after="0"/>
              <w:rPr>
                <w:sz w:val="10"/>
                <w:szCs w:val="10"/>
                <w:color w:val="auto"/>
              </w:rPr>
            </w:pPr>
          </w:p>
        </w:tc>
        <w:tc>
          <w:tcPr>
            <w:tcW w:w="4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38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122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120" w:type="dxa"/>
            <w:vAlign w:val="bottom"/>
            <w:gridSpan w:val="5"/>
            <w:vMerge w:val="continue"/>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680" w:type="dxa"/>
            <w:vAlign w:val="bottom"/>
            <w:tcBorders>
              <w:right w:val="single" w:sz="8" w:color="auto"/>
            </w:tcBorders>
          </w:tcPr>
          <w:p>
            <w:pPr>
              <w:spacing w:after="0"/>
              <w:rPr>
                <w:sz w:val="12"/>
                <w:szCs w:val="12"/>
                <w:color w:val="auto"/>
              </w:rPr>
            </w:pPr>
          </w:p>
        </w:tc>
        <w:tc>
          <w:tcPr>
            <w:tcW w:w="400" w:type="dxa"/>
            <w:vAlign w:val="bottom"/>
          </w:tcPr>
          <w:p>
            <w:pPr>
              <w:spacing w:after="0"/>
              <w:rPr>
                <w:sz w:val="12"/>
                <w:szCs w:val="12"/>
                <w:color w:val="auto"/>
              </w:rPr>
            </w:pPr>
          </w:p>
        </w:tc>
        <w:tc>
          <w:tcPr>
            <w:tcW w:w="1500" w:type="dxa"/>
            <w:vAlign w:val="bottom"/>
            <w:gridSpan w:val="3"/>
          </w:tcPr>
          <w:p>
            <w:pPr>
              <w:jc w:val="center"/>
              <w:ind w:right="220"/>
              <w:spacing w:after="0" w:line="149" w:lineRule="exact"/>
              <w:rPr>
                <w:sz w:val="20"/>
                <w:szCs w:val="20"/>
                <w:color w:val="auto"/>
              </w:rPr>
            </w:pPr>
            <w:r>
              <w:rPr>
                <w:rFonts w:ascii="Arial" w:cs="Arial" w:eastAsia="Arial" w:hAnsi="Arial"/>
                <w:sz w:val="14"/>
                <w:szCs w:val="14"/>
                <w:b w:val="1"/>
                <w:bCs w:val="1"/>
                <w:color w:val="auto"/>
              </w:rPr>
              <w:t>(AIDH TopCo, LLC)</w:t>
            </w:r>
          </w:p>
        </w:tc>
        <w:tc>
          <w:tcPr>
            <w:tcW w:w="0" w:type="dxa"/>
            <w:vAlign w:val="bottom"/>
          </w:tcPr>
          <w:p>
            <w:pPr>
              <w:spacing w:after="0"/>
              <w:rPr>
                <w:sz w:val="1"/>
                <w:szCs w:val="1"/>
                <w:color w:val="auto"/>
              </w:rPr>
            </w:pPr>
          </w:p>
        </w:tc>
      </w:tr>
      <w:tr>
        <w:trPr>
          <w:trHeight w:val="148"/>
        </w:trPr>
        <w:tc>
          <w:tcPr>
            <w:tcW w:w="122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960" w:type="dxa"/>
            <w:vAlign w:val="bottom"/>
            <w:gridSpan w:val="6"/>
          </w:tcPr>
          <w:p>
            <w:pPr>
              <w:jc w:val="center"/>
              <w:ind w:right="80"/>
              <w:spacing w:after="0" w:line="149" w:lineRule="exact"/>
              <w:rPr>
                <w:sz w:val="20"/>
                <w:szCs w:val="20"/>
                <w:color w:val="auto"/>
              </w:rPr>
            </w:pPr>
            <w:r>
              <w:rPr>
                <w:rFonts w:ascii="Arial" w:cs="Arial" w:eastAsia="Arial" w:hAnsi="Arial"/>
                <w:sz w:val="14"/>
                <w:szCs w:val="14"/>
                <w:b w:val="1"/>
                <w:bCs w:val="1"/>
                <w:color w:val="auto"/>
              </w:rPr>
              <w:t>(AIDH TopCo, LLC)</w:t>
            </w: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680" w:type="dxa"/>
            <w:vAlign w:val="bottom"/>
            <w:tcBorders>
              <w:right w:val="single" w:sz="8" w:color="auto"/>
            </w:tcBorders>
          </w:tcPr>
          <w:p>
            <w:pPr>
              <w:spacing w:after="0"/>
              <w:rPr>
                <w:sz w:val="12"/>
                <w:szCs w:val="12"/>
                <w:color w:val="auto"/>
              </w:rPr>
            </w:pPr>
          </w:p>
        </w:tc>
        <w:tc>
          <w:tcPr>
            <w:tcW w:w="4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8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85"/>
              </w:rPr>
              <w:t>Predecessor</w:t>
            </w:r>
          </w:p>
        </w:tc>
        <w:tc>
          <w:tcPr>
            <w:tcW w:w="0" w:type="dxa"/>
            <w:vAlign w:val="bottom"/>
          </w:tcPr>
          <w:p>
            <w:pPr>
              <w:spacing w:after="0"/>
              <w:rPr>
                <w:sz w:val="1"/>
                <w:szCs w:val="1"/>
                <w:color w:val="auto"/>
              </w:rPr>
            </w:pPr>
          </w:p>
        </w:tc>
      </w:tr>
      <w:tr>
        <w:trPr>
          <w:trHeight w:val="171"/>
        </w:trPr>
        <w:tc>
          <w:tcPr>
            <w:tcW w:w="122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120" w:type="dxa"/>
            <w:vAlign w:val="bottom"/>
            <w:gridSpan w:val="5"/>
          </w:tcPr>
          <w:p>
            <w:pPr>
              <w:jc w:val="center"/>
              <w:ind w:right="880"/>
              <w:spacing w:after="0"/>
              <w:rPr>
                <w:sz w:val="20"/>
                <w:szCs w:val="20"/>
                <w:color w:val="auto"/>
              </w:rPr>
            </w:pPr>
            <w:r>
              <w:rPr>
                <w:rFonts w:ascii="Arial" w:cs="Arial" w:eastAsia="Arial" w:hAnsi="Arial"/>
                <w:sz w:val="14"/>
                <w:szCs w:val="14"/>
                <w:b w:val="1"/>
                <w:bCs w:val="1"/>
                <w:color w:val="auto"/>
                <w:w w:val="89"/>
              </w:rPr>
              <w:t>Successor Company</w:t>
            </w: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680" w:type="dxa"/>
            <w:vAlign w:val="bottom"/>
            <w:tcBorders>
              <w:right w:val="single" w:sz="8" w:color="auto"/>
            </w:tcBorders>
          </w:tcPr>
          <w:p>
            <w:pPr>
              <w:spacing w:after="0"/>
              <w:rPr>
                <w:sz w:val="14"/>
                <w:szCs w:val="14"/>
                <w:color w:val="auto"/>
              </w:rPr>
            </w:pPr>
          </w:p>
        </w:tc>
        <w:tc>
          <w:tcPr>
            <w:tcW w:w="4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8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3"/>
              </w:rPr>
              <w:t>Company</w:t>
            </w:r>
          </w:p>
        </w:tc>
        <w:tc>
          <w:tcPr>
            <w:tcW w:w="0" w:type="dxa"/>
            <w:vAlign w:val="bottom"/>
          </w:tcPr>
          <w:p>
            <w:pPr>
              <w:spacing w:after="0"/>
              <w:rPr>
                <w:sz w:val="1"/>
                <w:szCs w:val="1"/>
                <w:color w:val="auto"/>
              </w:rPr>
            </w:pPr>
          </w:p>
        </w:tc>
      </w:tr>
      <w:tr>
        <w:trPr>
          <w:trHeight w:val="119"/>
        </w:trPr>
        <w:tc>
          <w:tcPr>
            <w:tcW w:w="1220" w:type="dxa"/>
            <w:vAlign w:val="bottom"/>
          </w:tcPr>
          <w:p>
            <w:pPr>
              <w:spacing w:after="0"/>
              <w:rPr>
                <w:sz w:val="10"/>
                <w:szCs w:val="10"/>
                <w:color w:val="auto"/>
              </w:rPr>
            </w:pPr>
          </w:p>
        </w:tc>
        <w:tc>
          <w:tcPr>
            <w:tcW w:w="12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620" w:type="dxa"/>
            <w:vAlign w:val="bottom"/>
            <w:tcBorders>
              <w:top w:val="single" w:sz="8" w:color="auto"/>
            </w:tcBorders>
            <w:gridSpan w:val="4"/>
            <w:vMerge w:val="restart"/>
          </w:tcPr>
          <w:p>
            <w:pPr>
              <w:jc w:val="right"/>
              <w:ind w:right="848"/>
              <w:spacing w:after="0"/>
              <w:rPr>
                <w:sz w:val="20"/>
                <w:szCs w:val="20"/>
                <w:color w:val="auto"/>
              </w:rPr>
            </w:pPr>
            <w:r>
              <w:rPr>
                <w:rFonts w:ascii="Arial" w:cs="Arial" w:eastAsia="Arial" w:hAnsi="Arial"/>
                <w:sz w:val="14"/>
                <w:szCs w:val="14"/>
                <w:b w:val="1"/>
                <w:bCs w:val="1"/>
                <w:color w:val="auto"/>
              </w:rPr>
              <w:t>Six Months Ended</w:t>
            </w:r>
          </w:p>
        </w:tc>
        <w:tc>
          <w:tcPr>
            <w:tcW w:w="220" w:type="dxa"/>
            <w:vAlign w:val="bottom"/>
            <w:tcBorders>
              <w:top w:val="single" w:sz="8" w:color="auto"/>
            </w:tcBorders>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1380" w:type="dxa"/>
            <w:vAlign w:val="bottom"/>
            <w:tcBorders>
              <w:top w:val="single" w:sz="8" w:color="auto"/>
            </w:tcBorders>
            <w:gridSpan w:val="2"/>
            <w:vMerge w:val="restart"/>
          </w:tcPr>
          <w:p>
            <w:pPr>
              <w:jc w:val="right"/>
              <w:ind w:right="620"/>
              <w:spacing w:after="0"/>
              <w:rPr>
                <w:sz w:val="20"/>
                <w:szCs w:val="20"/>
                <w:color w:val="auto"/>
              </w:rPr>
            </w:pPr>
            <w:r>
              <w:rPr>
                <w:rFonts w:ascii="Arial" w:cs="Arial" w:eastAsia="Arial" w:hAnsi="Arial"/>
                <w:sz w:val="14"/>
                <w:szCs w:val="14"/>
                <w:b w:val="1"/>
                <w:bCs w:val="1"/>
                <w:color w:val="auto"/>
                <w:w w:val="97"/>
              </w:rPr>
              <w:t>Year ended</w:t>
            </w:r>
          </w:p>
        </w:tc>
        <w:tc>
          <w:tcPr>
            <w:tcW w:w="220" w:type="dxa"/>
            <w:vAlign w:val="bottom"/>
            <w:tcBorders>
              <w:top w:val="single" w:sz="8" w:color="auto"/>
            </w:tcBorders>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1080" w:type="dxa"/>
            <w:vAlign w:val="bottom"/>
            <w:tcBorders>
              <w:top w:val="single" w:sz="8" w:color="auto"/>
            </w:tcBorders>
          </w:tcPr>
          <w:p>
            <w:pPr>
              <w:jc w:val="center"/>
              <w:ind w:right="13"/>
              <w:spacing w:after="0" w:line="119" w:lineRule="exact"/>
              <w:rPr>
                <w:sz w:val="20"/>
                <w:szCs w:val="20"/>
                <w:color w:val="auto"/>
              </w:rPr>
            </w:pPr>
            <w:r>
              <w:rPr>
                <w:rFonts w:ascii="Arial" w:cs="Arial" w:eastAsia="Arial" w:hAnsi="Arial"/>
                <w:sz w:val="13"/>
                <w:szCs w:val="13"/>
                <w:b w:val="1"/>
                <w:bCs w:val="1"/>
                <w:color w:val="auto"/>
              </w:rPr>
              <w:t>Period from</w:t>
            </w:r>
          </w:p>
        </w:tc>
        <w:tc>
          <w:tcPr>
            <w:tcW w:w="680" w:type="dxa"/>
            <w:vAlign w:val="bottom"/>
            <w:tcBorders>
              <w:right w:val="single" w:sz="8" w:color="auto"/>
            </w:tcBorders>
          </w:tcPr>
          <w:p>
            <w:pPr>
              <w:spacing w:after="0"/>
              <w:rPr>
                <w:sz w:val="10"/>
                <w:szCs w:val="10"/>
                <w:color w:val="auto"/>
              </w:rPr>
            </w:pPr>
          </w:p>
        </w:tc>
        <w:tc>
          <w:tcPr>
            <w:tcW w:w="400" w:type="dxa"/>
            <w:vAlign w:val="bottom"/>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1160" w:type="dxa"/>
            <w:vAlign w:val="bottom"/>
            <w:tcBorders>
              <w:top w:val="single" w:sz="8" w:color="auto"/>
            </w:tcBorders>
          </w:tcPr>
          <w:p>
            <w:pPr>
              <w:jc w:val="center"/>
              <w:ind w:right="36"/>
              <w:spacing w:after="0" w:line="119" w:lineRule="exact"/>
              <w:rPr>
                <w:sz w:val="20"/>
                <w:szCs w:val="20"/>
                <w:color w:val="auto"/>
              </w:rPr>
            </w:pPr>
            <w:r>
              <w:rPr>
                <w:rFonts w:ascii="Arial" w:cs="Arial" w:eastAsia="Arial" w:hAnsi="Arial"/>
                <w:sz w:val="13"/>
                <w:szCs w:val="13"/>
                <w:b w:val="1"/>
                <w:bCs w:val="1"/>
                <w:color w:val="auto"/>
              </w:rPr>
              <w:t>Period from</w:t>
            </w:r>
          </w:p>
        </w:tc>
        <w:tc>
          <w:tcPr>
            <w:tcW w:w="2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122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620" w:type="dxa"/>
            <w:vAlign w:val="bottom"/>
            <w:gridSpan w:val="4"/>
            <w:vMerge w:val="continue"/>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380" w:type="dxa"/>
            <w:vAlign w:val="bottom"/>
            <w:gridSpan w:val="2"/>
            <w:vMerge w:val="continue"/>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760" w:type="dxa"/>
            <w:vAlign w:val="bottom"/>
            <w:tcBorders>
              <w:right w:val="single" w:sz="8" w:color="auto"/>
            </w:tcBorders>
            <w:gridSpan w:val="2"/>
          </w:tcPr>
          <w:p>
            <w:pPr>
              <w:jc w:val="center"/>
              <w:ind w:right="760"/>
              <w:spacing w:after="0" w:line="149" w:lineRule="exact"/>
              <w:rPr>
                <w:sz w:val="20"/>
                <w:szCs w:val="20"/>
                <w:color w:val="auto"/>
              </w:rPr>
            </w:pPr>
            <w:r>
              <w:rPr>
                <w:rFonts w:ascii="Arial" w:cs="Arial" w:eastAsia="Arial" w:hAnsi="Arial"/>
                <w:sz w:val="14"/>
                <w:szCs w:val="14"/>
                <w:b w:val="1"/>
                <w:bCs w:val="1"/>
                <w:color w:val="auto"/>
                <w:w w:val="92"/>
              </w:rPr>
              <w:t>July 16, 2019 to</w:t>
            </w:r>
          </w:p>
        </w:tc>
        <w:tc>
          <w:tcPr>
            <w:tcW w:w="400" w:type="dxa"/>
            <w:vAlign w:val="bottom"/>
          </w:tcPr>
          <w:p>
            <w:pPr>
              <w:spacing w:after="0"/>
              <w:rPr>
                <w:sz w:val="12"/>
                <w:szCs w:val="12"/>
                <w:color w:val="auto"/>
              </w:rPr>
            </w:pPr>
          </w:p>
        </w:tc>
        <w:tc>
          <w:tcPr>
            <w:tcW w:w="1500" w:type="dxa"/>
            <w:vAlign w:val="bottom"/>
            <w:gridSpan w:val="3"/>
          </w:tcPr>
          <w:p>
            <w:pPr>
              <w:jc w:val="center"/>
              <w:ind w:right="220"/>
              <w:spacing w:after="0" w:line="149" w:lineRule="exact"/>
              <w:rPr>
                <w:sz w:val="20"/>
                <w:szCs w:val="20"/>
                <w:color w:val="auto"/>
              </w:rPr>
            </w:pPr>
            <w:r>
              <w:rPr>
                <w:rFonts w:ascii="Arial" w:cs="Arial" w:eastAsia="Arial" w:hAnsi="Arial"/>
                <w:sz w:val="14"/>
                <w:szCs w:val="14"/>
                <w:b w:val="1"/>
                <w:bCs w:val="1"/>
                <w:color w:val="auto"/>
                <w:w w:val="92"/>
              </w:rPr>
              <w:t>January 1, 2019 to</w:t>
            </w:r>
          </w:p>
        </w:tc>
        <w:tc>
          <w:tcPr>
            <w:tcW w:w="0" w:type="dxa"/>
            <w:vAlign w:val="bottom"/>
          </w:tcPr>
          <w:p>
            <w:pPr>
              <w:spacing w:after="0"/>
              <w:rPr>
                <w:sz w:val="1"/>
                <w:szCs w:val="1"/>
                <w:color w:val="auto"/>
              </w:rPr>
            </w:pPr>
          </w:p>
        </w:tc>
      </w:tr>
      <w:tr>
        <w:trPr>
          <w:trHeight w:val="171"/>
        </w:trPr>
        <w:tc>
          <w:tcPr>
            <w:tcW w:w="2460" w:type="dxa"/>
            <w:vAlign w:val="bottom"/>
            <w:gridSpan w:val="2"/>
          </w:tcPr>
          <w:p>
            <w:pPr>
              <w:spacing w:after="0"/>
              <w:rPr>
                <w:sz w:val="20"/>
                <w:szCs w:val="20"/>
                <w:color w:val="auto"/>
              </w:rPr>
            </w:pPr>
            <w:r>
              <w:rPr>
                <w:rFonts w:ascii="Arial" w:cs="Arial" w:eastAsia="Arial" w:hAnsi="Arial"/>
                <w:sz w:val="14"/>
                <w:szCs w:val="14"/>
                <w:color w:val="auto"/>
              </w:rPr>
              <w:t>(in thousands)</w:t>
            </w:r>
          </w:p>
        </w:tc>
        <w:tc>
          <w:tcPr>
            <w:tcW w:w="220" w:type="dxa"/>
            <w:vAlign w:val="bottom"/>
          </w:tcPr>
          <w:p>
            <w:pPr>
              <w:spacing w:after="0"/>
              <w:rPr>
                <w:sz w:val="14"/>
                <w:szCs w:val="14"/>
                <w:color w:val="auto"/>
              </w:rPr>
            </w:pPr>
          </w:p>
        </w:tc>
        <w:tc>
          <w:tcPr>
            <w:tcW w:w="1420" w:type="dxa"/>
            <w:vAlign w:val="bottom"/>
            <w:gridSpan w:val="2"/>
          </w:tcPr>
          <w:p>
            <w:pPr>
              <w:jc w:val="right"/>
              <w:ind w:right="580"/>
              <w:spacing w:after="0"/>
              <w:rPr>
                <w:sz w:val="20"/>
                <w:szCs w:val="20"/>
                <w:color w:val="auto"/>
              </w:rPr>
            </w:pPr>
            <w:r>
              <w:rPr>
                <w:rFonts w:ascii="Arial" w:cs="Arial" w:eastAsia="Arial" w:hAnsi="Arial"/>
                <w:sz w:val="14"/>
                <w:szCs w:val="14"/>
                <w:b w:val="1"/>
                <w:bCs w:val="1"/>
                <w:color w:val="auto"/>
                <w:w w:val="90"/>
              </w:rPr>
              <w:t>June 30, 2021</w:t>
            </w:r>
          </w:p>
        </w:tc>
        <w:tc>
          <w:tcPr>
            <w:tcW w:w="1200" w:type="dxa"/>
            <w:vAlign w:val="bottom"/>
            <w:gridSpan w:val="2"/>
          </w:tcPr>
          <w:p>
            <w:pPr>
              <w:jc w:val="right"/>
              <w:ind w:right="288"/>
              <w:spacing w:after="0"/>
              <w:rPr>
                <w:sz w:val="20"/>
                <w:szCs w:val="20"/>
                <w:color w:val="auto"/>
              </w:rPr>
            </w:pPr>
            <w:r>
              <w:rPr>
                <w:rFonts w:ascii="Arial" w:cs="Arial" w:eastAsia="Arial" w:hAnsi="Arial"/>
                <w:sz w:val="14"/>
                <w:szCs w:val="14"/>
                <w:b w:val="1"/>
                <w:bCs w:val="1"/>
                <w:color w:val="auto"/>
                <w:w w:val="90"/>
              </w:rPr>
              <w:t>June 30, 2020</w:t>
            </w:r>
          </w:p>
        </w:tc>
        <w:tc>
          <w:tcPr>
            <w:tcW w:w="220" w:type="dxa"/>
            <w:vAlign w:val="bottom"/>
          </w:tcPr>
          <w:p>
            <w:pPr>
              <w:spacing w:after="0"/>
              <w:rPr>
                <w:sz w:val="14"/>
                <w:szCs w:val="14"/>
                <w:color w:val="auto"/>
              </w:rPr>
            </w:pPr>
          </w:p>
        </w:tc>
        <w:tc>
          <w:tcPr>
            <w:tcW w:w="1540" w:type="dxa"/>
            <w:vAlign w:val="bottom"/>
            <w:gridSpan w:val="3"/>
          </w:tcPr>
          <w:p>
            <w:pPr>
              <w:spacing w:after="0"/>
              <w:rPr>
                <w:sz w:val="20"/>
                <w:szCs w:val="20"/>
                <w:color w:val="auto"/>
              </w:rPr>
            </w:pPr>
            <w:r>
              <w:rPr>
                <w:rFonts w:ascii="Arial" w:cs="Arial" w:eastAsia="Arial" w:hAnsi="Arial"/>
                <w:sz w:val="14"/>
                <w:szCs w:val="14"/>
                <w:b w:val="1"/>
                <w:bCs w:val="1"/>
                <w:color w:val="auto"/>
              </w:rPr>
              <w:t>December 31, 2020</w:t>
            </w:r>
          </w:p>
        </w:tc>
        <w:tc>
          <w:tcPr>
            <w:tcW w:w="220" w:type="dxa"/>
            <w:vAlign w:val="bottom"/>
          </w:tcPr>
          <w:p>
            <w:pPr>
              <w:spacing w:after="0"/>
              <w:rPr>
                <w:sz w:val="14"/>
                <w:szCs w:val="14"/>
                <w:color w:val="auto"/>
              </w:rPr>
            </w:pPr>
          </w:p>
        </w:tc>
        <w:tc>
          <w:tcPr>
            <w:tcW w:w="1840" w:type="dxa"/>
            <w:vAlign w:val="bottom"/>
            <w:tcBorders>
              <w:right w:val="single" w:sz="8" w:color="auto"/>
            </w:tcBorders>
            <w:gridSpan w:val="3"/>
          </w:tcPr>
          <w:p>
            <w:pPr>
              <w:jc w:val="center"/>
              <w:ind w:right="680"/>
              <w:spacing w:after="0"/>
              <w:rPr>
                <w:sz w:val="20"/>
                <w:szCs w:val="20"/>
                <w:color w:val="auto"/>
              </w:rPr>
            </w:pPr>
            <w:r>
              <w:rPr>
                <w:rFonts w:ascii="Arial" w:cs="Arial" w:eastAsia="Arial" w:hAnsi="Arial"/>
                <w:sz w:val="14"/>
                <w:szCs w:val="14"/>
                <w:b w:val="1"/>
                <w:bCs w:val="1"/>
                <w:color w:val="auto"/>
                <w:w w:val="91"/>
              </w:rPr>
              <w:t>December 31, 2019</w:t>
            </w:r>
          </w:p>
        </w:tc>
        <w:tc>
          <w:tcPr>
            <w:tcW w:w="4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8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2"/>
              </w:rPr>
              <w:t>July 15, 2019</w:t>
            </w:r>
          </w:p>
        </w:tc>
        <w:tc>
          <w:tcPr>
            <w:tcW w:w="0" w:type="dxa"/>
            <w:vAlign w:val="bottom"/>
          </w:tcPr>
          <w:p>
            <w:pPr>
              <w:spacing w:after="0"/>
              <w:rPr>
                <w:sz w:val="1"/>
                <w:szCs w:val="1"/>
                <w:color w:val="auto"/>
              </w:rPr>
            </w:pPr>
          </w:p>
        </w:tc>
      </w:tr>
      <w:tr>
        <w:trPr>
          <w:trHeight w:val="210"/>
        </w:trPr>
        <w:tc>
          <w:tcPr>
            <w:tcW w:w="2460" w:type="dxa"/>
            <w:vAlign w:val="bottom"/>
            <w:tcBorders>
              <w:top w:val="single" w:sz="8" w:color="CCEEFF"/>
            </w:tcBorders>
            <w:gridSpan w:val="2"/>
            <w:shd w:val="clear" w:color="auto" w:fill="CCEEFF"/>
          </w:tcPr>
          <w:p>
            <w:pPr>
              <w:spacing w:after="0"/>
              <w:rPr>
                <w:sz w:val="20"/>
                <w:szCs w:val="20"/>
                <w:color w:val="auto"/>
              </w:rPr>
            </w:pPr>
            <w:r>
              <w:rPr>
                <w:rFonts w:ascii="Arial" w:cs="Arial" w:eastAsia="Arial" w:hAnsi="Arial"/>
                <w:sz w:val="18"/>
                <w:szCs w:val="18"/>
                <w:b w:val="1"/>
                <w:bCs w:val="1"/>
                <w:color w:val="auto"/>
              </w:rPr>
              <w:t>Net (Loss) Income</w:t>
            </w:r>
          </w:p>
        </w:tc>
        <w:tc>
          <w:tcPr>
            <w:tcW w:w="220" w:type="dxa"/>
            <w:vAlign w:val="bottom"/>
            <w:tcBorders>
              <w:top w:val="single" w:sz="8" w:color="CCEEFF"/>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  (25,527)</w:t>
            </w:r>
          </w:p>
        </w:tc>
        <w:tc>
          <w:tcPr>
            <w:tcW w:w="580" w:type="dxa"/>
            <w:vAlign w:val="bottom"/>
            <w:tcBorders>
              <w:top w:val="single" w:sz="8" w:color="CCEEFF"/>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  (25,333)</w:t>
            </w:r>
          </w:p>
        </w:tc>
        <w:tc>
          <w:tcPr>
            <w:tcW w:w="36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(51,157)</w:t>
            </w:r>
          </w:p>
        </w:tc>
        <w:tc>
          <w:tcPr>
            <w:tcW w:w="38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(49,266)</w:t>
            </w:r>
          </w:p>
        </w:tc>
        <w:tc>
          <w:tcPr>
            <w:tcW w:w="680" w:type="dxa"/>
            <w:vAlign w:val="bottom"/>
            <w:tcBorders>
              <w:top w:val="single" w:sz="8" w:color="CCEEFF"/>
              <w:right w:val="single" w:sz="8" w:color="auto"/>
            </w:tcBorders>
            <w:shd w:val="clear" w:color="auto" w:fill="CCEEFF"/>
          </w:tcPr>
          <w:p>
            <w:pPr>
              <w:spacing w:after="0"/>
              <w:rPr>
                <w:sz w:val="18"/>
                <w:szCs w:val="18"/>
                <w:color w:val="auto"/>
              </w:rPr>
            </w:pPr>
          </w:p>
        </w:tc>
        <w:tc>
          <w:tcPr>
            <w:tcW w:w="4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12,868</w:t>
            </w:r>
          </w:p>
        </w:tc>
        <w:tc>
          <w:tcPr>
            <w:tcW w:w="2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460" w:type="dxa"/>
            <w:vAlign w:val="bottom"/>
            <w:gridSpan w:val="2"/>
          </w:tcPr>
          <w:p>
            <w:pPr>
              <w:spacing w:after="0"/>
              <w:rPr>
                <w:sz w:val="20"/>
                <w:szCs w:val="20"/>
                <w:color w:val="auto"/>
              </w:rPr>
            </w:pPr>
            <w:r>
              <w:rPr>
                <w:rFonts w:ascii="Arial" w:cs="Arial" w:eastAsia="Arial" w:hAnsi="Arial"/>
                <w:sz w:val="18"/>
                <w:szCs w:val="18"/>
                <w:color w:val="auto"/>
              </w:rPr>
              <w:t>Interest expense, net</w:t>
            </w:r>
          </w:p>
        </w:tc>
        <w:tc>
          <w:tcPr>
            <w:tcW w:w="1640" w:type="dxa"/>
            <w:vAlign w:val="bottom"/>
            <w:gridSpan w:val="3"/>
          </w:tcPr>
          <w:p>
            <w:pPr>
              <w:jc w:val="right"/>
              <w:ind w:right="580"/>
              <w:spacing w:after="0"/>
              <w:rPr>
                <w:sz w:val="20"/>
                <w:szCs w:val="20"/>
                <w:color w:val="auto"/>
              </w:rPr>
            </w:pPr>
            <w:r>
              <w:rPr>
                <w:rFonts w:ascii="Arial" w:cs="Arial" w:eastAsia="Arial" w:hAnsi="Arial"/>
                <w:sz w:val="18"/>
                <w:szCs w:val="18"/>
                <w:color w:val="auto"/>
              </w:rPr>
              <w:t>16,770</w:t>
            </w:r>
          </w:p>
        </w:tc>
        <w:tc>
          <w:tcPr>
            <w:tcW w:w="1200" w:type="dxa"/>
            <w:vAlign w:val="bottom"/>
            <w:gridSpan w:val="2"/>
          </w:tcPr>
          <w:p>
            <w:pPr>
              <w:jc w:val="right"/>
              <w:ind w:right="288"/>
              <w:spacing w:after="0"/>
              <w:rPr>
                <w:sz w:val="20"/>
                <w:szCs w:val="20"/>
                <w:color w:val="auto"/>
              </w:rPr>
            </w:pPr>
            <w:r>
              <w:rPr>
                <w:rFonts w:ascii="Arial" w:cs="Arial" w:eastAsia="Arial" w:hAnsi="Arial"/>
                <w:sz w:val="18"/>
                <w:szCs w:val="18"/>
                <w:color w:val="auto"/>
              </w:rPr>
              <w:t>18,780</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80" w:type="dxa"/>
            <w:vAlign w:val="bottom"/>
            <w:gridSpan w:val="2"/>
          </w:tcPr>
          <w:p>
            <w:pPr>
              <w:jc w:val="right"/>
              <w:ind w:right="380"/>
              <w:spacing w:after="0"/>
              <w:rPr>
                <w:sz w:val="20"/>
                <w:szCs w:val="20"/>
                <w:color w:val="auto"/>
              </w:rPr>
            </w:pPr>
            <w:r>
              <w:rPr>
                <w:rFonts w:ascii="Arial" w:cs="Arial" w:eastAsia="Arial" w:hAnsi="Arial"/>
                <w:sz w:val="18"/>
                <w:szCs w:val="18"/>
                <w:color w:val="auto"/>
              </w:rPr>
              <w:t>36,490</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760" w:type="dxa"/>
            <w:vAlign w:val="bottom"/>
            <w:tcBorders>
              <w:right w:val="single" w:sz="8" w:color="auto"/>
            </w:tcBorders>
            <w:gridSpan w:val="2"/>
          </w:tcPr>
          <w:p>
            <w:pPr>
              <w:jc w:val="right"/>
              <w:ind w:right="680"/>
              <w:spacing w:after="0"/>
              <w:rPr>
                <w:sz w:val="20"/>
                <w:szCs w:val="20"/>
                <w:color w:val="auto"/>
              </w:rPr>
            </w:pPr>
            <w:r>
              <w:rPr>
                <w:rFonts w:ascii="Arial" w:cs="Arial" w:eastAsia="Arial" w:hAnsi="Arial"/>
                <w:sz w:val="18"/>
                <w:szCs w:val="18"/>
                <w:color w:val="auto"/>
              </w:rPr>
              <w:t>18,204</w:t>
            </w:r>
          </w:p>
        </w:tc>
        <w:tc>
          <w:tcPr>
            <w:tcW w:w="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gridSpan w:val="2"/>
          </w:tcPr>
          <w:p>
            <w:pPr>
              <w:jc w:val="right"/>
              <w:ind w:right="220"/>
              <w:spacing w:after="0"/>
              <w:rPr>
                <w:sz w:val="20"/>
                <w:szCs w:val="20"/>
                <w:color w:val="auto"/>
              </w:rPr>
            </w:pPr>
            <w:r>
              <w:rPr>
                <w:rFonts w:ascii="Arial" w:cs="Arial" w:eastAsia="Arial" w:hAnsi="Arial"/>
                <w:sz w:val="18"/>
                <w:szCs w:val="18"/>
                <w:color w:val="auto"/>
              </w:rPr>
              <w:t>165</w:t>
            </w:r>
          </w:p>
        </w:tc>
        <w:tc>
          <w:tcPr>
            <w:tcW w:w="0" w:type="dxa"/>
            <w:vAlign w:val="bottom"/>
          </w:tcPr>
          <w:p>
            <w:pPr>
              <w:spacing w:after="0"/>
              <w:rPr>
                <w:sz w:val="1"/>
                <w:szCs w:val="1"/>
                <w:color w:val="auto"/>
              </w:rPr>
            </w:pPr>
          </w:p>
        </w:tc>
      </w:tr>
      <w:tr>
        <w:trPr>
          <w:trHeight w:val="216"/>
        </w:trPr>
        <w:tc>
          <w:tcPr>
            <w:tcW w:w="24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Depreciation</w:t>
            </w:r>
          </w:p>
        </w:tc>
        <w:tc>
          <w:tcPr>
            <w:tcW w:w="1640" w:type="dxa"/>
            <w:vAlign w:val="bottom"/>
            <w:gridSpan w:val="3"/>
            <w:shd w:val="clear" w:color="auto" w:fill="CCEEFF"/>
          </w:tcPr>
          <w:p>
            <w:pPr>
              <w:jc w:val="right"/>
              <w:ind w:right="580"/>
              <w:spacing w:after="0"/>
              <w:rPr>
                <w:sz w:val="20"/>
                <w:szCs w:val="20"/>
                <w:color w:val="auto"/>
              </w:rPr>
            </w:pPr>
            <w:r>
              <w:rPr>
                <w:rFonts w:ascii="Arial" w:cs="Arial" w:eastAsia="Arial" w:hAnsi="Arial"/>
                <w:sz w:val="18"/>
                <w:szCs w:val="18"/>
                <w:color w:val="auto"/>
              </w:rPr>
              <w:t>741</w:t>
            </w:r>
          </w:p>
        </w:tc>
        <w:tc>
          <w:tcPr>
            <w:tcW w:w="1200" w:type="dxa"/>
            <w:vAlign w:val="bottom"/>
            <w:gridSpan w:val="2"/>
            <w:shd w:val="clear" w:color="auto" w:fill="CCEEFF"/>
          </w:tcPr>
          <w:p>
            <w:pPr>
              <w:jc w:val="right"/>
              <w:ind w:right="288"/>
              <w:spacing w:after="0"/>
              <w:rPr>
                <w:sz w:val="20"/>
                <w:szCs w:val="20"/>
                <w:color w:val="auto"/>
              </w:rPr>
            </w:pPr>
            <w:r>
              <w:rPr>
                <w:rFonts w:ascii="Arial" w:cs="Arial" w:eastAsia="Arial" w:hAnsi="Arial"/>
                <w:sz w:val="18"/>
                <w:szCs w:val="18"/>
                <w:color w:val="auto"/>
              </w:rPr>
              <w:t>516</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1,152</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760" w:type="dxa"/>
            <w:vAlign w:val="bottom"/>
            <w:tcBorders>
              <w:right w:val="single" w:sz="8" w:color="auto"/>
            </w:tcBorders>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456</w:t>
            </w:r>
          </w:p>
        </w:tc>
        <w:tc>
          <w:tcPr>
            <w:tcW w:w="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423</w:t>
            </w:r>
          </w:p>
        </w:tc>
        <w:tc>
          <w:tcPr>
            <w:tcW w:w="0" w:type="dxa"/>
            <w:vAlign w:val="bottom"/>
          </w:tcPr>
          <w:p>
            <w:pPr>
              <w:spacing w:after="0"/>
              <w:rPr>
                <w:sz w:val="1"/>
                <w:szCs w:val="1"/>
                <w:color w:val="auto"/>
              </w:rPr>
            </w:pPr>
          </w:p>
        </w:tc>
      </w:tr>
      <w:tr>
        <w:trPr>
          <w:trHeight w:val="202"/>
        </w:trPr>
        <w:tc>
          <w:tcPr>
            <w:tcW w:w="2460" w:type="dxa"/>
            <w:vAlign w:val="bottom"/>
            <w:gridSpan w:val="2"/>
          </w:tcPr>
          <w:p>
            <w:pPr>
              <w:spacing w:after="0" w:line="201" w:lineRule="exact"/>
              <w:rPr>
                <w:sz w:val="20"/>
                <w:szCs w:val="20"/>
                <w:color w:val="auto"/>
              </w:rPr>
            </w:pPr>
            <w:r>
              <w:rPr>
                <w:rFonts w:ascii="Arial" w:cs="Arial" w:eastAsia="Arial" w:hAnsi="Arial"/>
                <w:sz w:val="18"/>
                <w:szCs w:val="18"/>
                <w:color w:val="auto"/>
              </w:rPr>
              <w:t>Amortization of intangible</w:t>
            </w:r>
          </w:p>
        </w:tc>
        <w:tc>
          <w:tcPr>
            <w:tcW w:w="2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680" w:type="dxa"/>
            <w:vAlign w:val="bottom"/>
            <w:tcBorders>
              <w:right w:val="single" w:sz="8" w:color="auto"/>
            </w:tcBorders>
          </w:tcPr>
          <w:p>
            <w:pPr>
              <w:spacing w:after="0"/>
              <w:rPr>
                <w:sz w:val="17"/>
                <w:szCs w:val="17"/>
                <w:color w:val="auto"/>
              </w:rPr>
            </w:pPr>
          </w:p>
        </w:tc>
        <w:tc>
          <w:tcPr>
            <w:tcW w:w="4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460" w:type="dxa"/>
            <w:vAlign w:val="bottom"/>
            <w:gridSpan w:val="2"/>
          </w:tcPr>
          <w:p>
            <w:pPr>
              <w:ind w:left="180"/>
              <w:spacing w:after="0"/>
              <w:rPr>
                <w:sz w:val="20"/>
                <w:szCs w:val="20"/>
                <w:color w:val="auto"/>
              </w:rPr>
            </w:pPr>
            <w:r>
              <w:rPr>
                <w:rFonts w:ascii="Arial" w:cs="Arial" w:eastAsia="Arial" w:hAnsi="Arial"/>
                <w:sz w:val="18"/>
                <w:szCs w:val="18"/>
                <w:color w:val="auto"/>
              </w:rPr>
              <w:t>assets</w:t>
            </w:r>
          </w:p>
        </w:tc>
        <w:tc>
          <w:tcPr>
            <w:tcW w:w="22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28,853</w:t>
            </w:r>
          </w:p>
        </w:tc>
        <w:tc>
          <w:tcPr>
            <w:tcW w:w="58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28,893</w:t>
            </w:r>
          </w:p>
        </w:tc>
        <w:tc>
          <w:tcPr>
            <w:tcW w:w="3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58,428</w:t>
            </w:r>
          </w:p>
        </w:tc>
        <w:tc>
          <w:tcPr>
            <w:tcW w:w="3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30,617</w:t>
            </w:r>
          </w:p>
        </w:tc>
        <w:tc>
          <w:tcPr>
            <w:tcW w:w="680" w:type="dxa"/>
            <w:vAlign w:val="bottom"/>
            <w:tcBorders>
              <w:right w:val="single" w:sz="8" w:color="auto"/>
            </w:tcBorders>
          </w:tcPr>
          <w:p>
            <w:pPr>
              <w:spacing w:after="0"/>
              <w:rPr>
                <w:sz w:val="20"/>
                <w:szCs w:val="20"/>
                <w:color w:val="auto"/>
              </w:rPr>
            </w:pPr>
          </w:p>
        </w:tc>
        <w:tc>
          <w:tcPr>
            <w:tcW w:w="4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80" w:type="dxa"/>
            <w:vAlign w:val="bottom"/>
            <w:gridSpan w:val="2"/>
          </w:tcPr>
          <w:p>
            <w:pPr>
              <w:jc w:val="right"/>
              <w:ind w:right="220"/>
              <w:spacing w:after="0"/>
              <w:rPr>
                <w:sz w:val="20"/>
                <w:szCs w:val="20"/>
                <w:color w:val="auto"/>
              </w:rPr>
            </w:pPr>
            <w:r>
              <w:rPr>
                <w:rFonts w:ascii="Arial" w:cs="Arial" w:eastAsia="Arial" w:hAnsi="Arial"/>
                <w:sz w:val="18"/>
                <w:szCs w:val="18"/>
                <w:color w:val="auto"/>
              </w:rPr>
              <w:t>2,042</w:t>
            </w:r>
          </w:p>
        </w:tc>
        <w:tc>
          <w:tcPr>
            <w:tcW w:w="0" w:type="dxa"/>
            <w:vAlign w:val="bottom"/>
          </w:tcPr>
          <w:p>
            <w:pPr>
              <w:spacing w:after="0"/>
              <w:rPr>
                <w:sz w:val="1"/>
                <w:szCs w:val="1"/>
                <w:color w:val="auto"/>
              </w:rPr>
            </w:pPr>
          </w:p>
        </w:tc>
      </w:tr>
      <w:tr>
        <w:trPr>
          <w:trHeight w:val="27"/>
        </w:trPr>
        <w:tc>
          <w:tcPr>
            <w:tcW w:w="12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220" w:type="dxa"/>
            <w:vAlign w:val="bottom"/>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580" w:type="dxa"/>
            <w:vAlign w:val="bottom"/>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1080" w:type="dxa"/>
            <w:vAlign w:val="bottom"/>
            <w:shd w:val="clear" w:color="auto" w:fill="000000"/>
          </w:tcPr>
          <w:p>
            <w:pPr>
              <w:spacing w:after="0"/>
              <w:rPr>
                <w:sz w:val="2"/>
                <w:szCs w:val="2"/>
                <w:color w:val="auto"/>
              </w:rPr>
            </w:pPr>
          </w:p>
        </w:tc>
        <w:tc>
          <w:tcPr>
            <w:tcW w:w="680" w:type="dxa"/>
            <w:vAlign w:val="bottom"/>
            <w:tcBorders>
              <w:right w:val="single" w:sz="8" w:color="auto"/>
            </w:tcBorders>
          </w:tcPr>
          <w:p>
            <w:pPr>
              <w:spacing w:after="0"/>
              <w:rPr>
                <w:sz w:val="2"/>
                <w:szCs w:val="2"/>
                <w:color w:val="auto"/>
              </w:rPr>
            </w:pPr>
          </w:p>
        </w:tc>
        <w:tc>
          <w:tcPr>
            <w:tcW w:w="4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1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46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EBITDA</w:t>
            </w:r>
          </w:p>
        </w:tc>
        <w:tc>
          <w:tcPr>
            <w:tcW w:w="2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20,837</w:t>
            </w:r>
          </w:p>
        </w:tc>
        <w:tc>
          <w:tcPr>
            <w:tcW w:w="58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22,856</w:t>
            </w:r>
          </w:p>
        </w:tc>
        <w:tc>
          <w:tcPr>
            <w:tcW w:w="3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44,913</w:t>
            </w:r>
          </w:p>
        </w:tc>
        <w:tc>
          <w:tcPr>
            <w:tcW w:w="3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680" w:type="dxa"/>
            <w:vAlign w:val="bottom"/>
            <w:tcBorders>
              <w:right w:val="single" w:sz="8" w:color="auto"/>
            </w:tcBorders>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15,498</w:t>
            </w:r>
          </w:p>
        </w:tc>
        <w:tc>
          <w:tcPr>
            <w:tcW w:w="0" w:type="dxa"/>
            <w:vAlign w:val="bottom"/>
          </w:tcPr>
          <w:p>
            <w:pPr>
              <w:spacing w:after="0"/>
              <w:rPr>
                <w:sz w:val="1"/>
                <w:szCs w:val="1"/>
                <w:color w:val="auto"/>
              </w:rPr>
            </w:pPr>
          </w:p>
        </w:tc>
      </w:tr>
      <w:tr>
        <w:trPr>
          <w:trHeight w:val="216"/>
        </w:trPr>
        <w:tc>
          <w:tcPr>
            <w:tcW w:w="2460" w:type="dxa"/>
            <w:vAlign w:val="bottom"/>
            <w:gridSpan w:val="2"/>
          </w:tcPr>
          <w:p>
            <w:pPr>
              <w:spacing w:after="0"/>
              <w:rPr>
                <w:sz w:val="20"/>
                <w:szCs w:val="20"/>
                <w:color w:val="auto"/>
              </w:rPr>
            </w:pPr>
            <w:r>
              <w:rPr>
                <w:rFonts w:ascii="Arial" w:cs="Arial" w:eastAsia="Arial" w:hAnsi="Arial"/>
                <w:sz w:val="18"/>
                <w:szCs w:val="18"/>
                <w:color w:val="auto"/>
                <w:w w:val="98"/>
              </w:rPr>
              <w:t>Other (income) expense, net</w:t>
            </w:r>
            <w:r>
              <w:rPr>
                <w:rFonts w:ascii="Arial" w:cs="Arial" w:eastAsia="Arial" w:hAnsi="Arial"/>
                <w:sz w:val="15"/>
                <w:szCs w:val="15"/>
                <w:color w:val="auto"/>
                <w:w w:val="98"/>
              </w:rPr>
              <w:t>(a)</w:t>
            </w:r>
          </w:p>
        </w:tc>
        <w:tc>
          <w:tcPr>
            <w:tcW w:w="1640" w:type="dxa"/>
            <w:vAlign w:val="bottom"/>
            <w:gridSpan w:val="3"/>
          </w:tcPr>
          <w:p>
            <w:pPr>
              <w:jc w:val="right"/>
              <w:ind w:right="520"/>
              <w:spacing w:after="0"/>
              <w:rPr>
                <w:sz w:val="20"/>
                <w:szCs w:val="20"/>
                <w:color w:val="auto"/>
              </w:rPr>
            </w:pPr>
            <w:r>
              <w:rPr>
                <w:rFonts w:ascii="Arial" w:cs="Arial" w:eastAsia="Arial" w:hAnsi="Arial"/>
                <w:sz w:val="18"/>
                <w:szCs w:val="18"/>
                <w:color w:val="auto"/>
              </w:rPr>
              <w:t>(24)</w:t>
            </w:r>
          </w:p>
        </w:tc>
        <w:tc>
          <w:tcPr>
            <w:tcW w:w="1200" w:type="dxa"/>
            <w:vAlign w:val="bottom"/>
            <w:gridSpan w:val="2"/>
          </w:tcPr>
          <w:p>
            <w:pPr>
              <w:jc w:val="right"/>
              <w:ind w:right="388"/>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80" w:type="dxa"/>
            <w:vAlign w:val="bottom"/>
            <w:gridSpan w:val="2"/>
          </w:tcPr>
          <w:p>
            <w:pPr>
              <w:jc w:val="right"/>
              <w:ind w:right="380"/>
              <w:spacing w:after="0"/>
              <w:rPr>
                <w:sz w:val="20"/>
                <w:szCs w:val="20"/>
                <w:color w:val="auto"/>
              </w:rPr>
            </w:pPr>
            <w:r>
              <w:rPr>
                <w:rFonts w:ascii="Arial" w:cs="Arial" w:eastAsia="Arial" w:hAnsi="Arial"/>
                <w:sz w:val="18"/>
                <w:szCs w:val="18"/>
                <w:color w:val="auto"/>
              </w:rPr>
              <w:t>222</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760" w:type="dxa"/>
            <w:vAlign w:val="bottom"/>
            <w:tcBorders>
              <w:right w:val="single" w:sz="8" w:color="auto"/>
            </w:tcBorders>
            <w:gridSpan w:val="2"/>
          </w:tcPr>
          <w:p>
            <w:pPr>
              <w:jc w:val="right"/>
              <w:ind w:right="78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4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Equity compensation costs</w:t>
            </w:r>
            <w:r>
              <w:rPr>
                <w:rFonts w:ascii="Arial" w:cs="Arial" w:eastAsia="Arial" w:hAnsi="Arial"/>
                <w:sz w:val="15"/>
                <w:szCs w:val="15"/>
                <w:color w:val="auto"/>
              </w:rPr>
              <w:t>(b)</w:t>
            </w:r>
          </w:p>
        </w:tc>
        <w:tc>
          <w:tcPr>
            <w:tcW w:w="1640" w:type="dxa"/>
            <w:vAlign w:val="bottom"/>
            <w:gridSpan w:val="3"/>
            <w:shd w:val="clear" w:color="auto" w:fill="CCEEFF"/>
          </w:tcPr>
          <w:p>
            <w:pPr>
              <w:jc w:val="right"/>
              <w:ind w:right="580"/>
              <w:spacing w:after="0"/>
              <w:rPr>
                <w:sz w:val="20"/>
                <w:szCs w:val="20"/>
                <w:color w:val="auto"/>
              </w:rPr>
            </w:pPr>
            <w:r>
              <w:rPr>
                <w:rFonts w:ascii="Arial" w:cs="Arial" w:eastAsia="Arial" w:hAnsi="Arial"/>
                <w:sz w:val="18"/>
                <w:szCs w:val="18"/>
                <w:color w:val="auto"/>
              </w:rPr>
              <w:t>2,021</w:t>
            </w:r>
          </w:p>
        </w:tc>
        <w:tc>
          <w:tcPr>
            <w:tcW w:w="1200" w:type="dxa"/>
            <w:vAlign w:val="bottom"/>
            <w:gridSpan w:val="2"/>
            <w:shd w:val="clear" w:color="auto" w:fill="CCEEFF"/>
          </w:tcPr>
          <w:p>
            <w:pPr>
              <w:jc w:val="right"/>
              <w:ind w:right="288"/>
              <w:spacing w:after="0"/>
              <w:rPr>
                <w:sz w:val="20"/>
                <w:szCs w:val="20"/>
                <w:color w:val="auto"/>
              </w:rPr>
            </w:pPr>
            <w:r>
              <w:rPr>
                <w:rFonts w:ascii="Arial" w:cs="Arial" w:eastAsia="Arial" w:hAnsi="Arial"/>
                <w:sz w:val="18"/>
                <w:szCs w:val="18"/>
                <w:color w:val="auto"/>
              </w:rPr>
              <w:t>872</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1,747</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760" w:type="dxa"/>
            <w:vAlign w:val="bottom"/>
            <w:tcBorders>
              <w:right w:val="single" w:sz="8" w:color="auto"/>
            </w:tcBorders>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744</w:t>
            </w:r>
          </w:p>
        </w:tc>
        <w:tc>
          <w:tcPr>
            <w:tcW w:w="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5,807</w:t>
            </w:r>
          </w:p>
        </w:tc>
        <w:tc>
          <w:tcPr>
            <w:tcW w:w="0" w:type="dxa"/>
            <w:vAlign w:val="bottom"/>
          </w:tcPr>
          <w:p>
            <w:pPr>
              <w:spacing w:after="0"/>
              <w:rPr>
                <w:sz w:val="1"/>
                <w:szCs w:val="1"/>
                <w:color w:val="auto"/>
              </w:rPr>
            </w:pPr>
          </w:p>
        </w:tc>
      </w:tr>
      <w:tr>
        <w:trPr>
          <w:trHeight w:val="216"/>
        </w:trPr>
        <w:tc>
          <w:tcPr>
            <w:tcW w:w="2460" w:type="dxa"/>
            <w:vAlign w:val="bottom"/>
            <w:gridSpan w:val="2"/>
          </w:tcPr>
          <w:p>
            <w:pPr>
              <w:spacing w:after="0"/>
              <w:rPr>
                <w:sz w:val="20"/>
                <w:szCs w:val="20"/>
                <w:color w:val="auto"/>
              </w:rPr>
            </w:pPr>
            <w:r>
              <w:rPr>
                <w:rFonts w:ascii="Arial" w:cs="Arial" w:eastAsia="Arial" w:hAnsi="Arial"/>
                <w:sz w:val="18"/>
                <w:szCs w:val="18"/>
                <w:color w:val="auto"/>
                <w:w w:val="98"/>
              </w:rPr>
              <w:t>Acquisition related expenses</w:t>
            </w:r>
            <w:r>
              <w:rPr>
                <w:rFonts w:ascii="Arial" w:cs="Arial" w:eastAsia="Arial" w:hAnsi="Arial"/>
                <w:sz w:val="15"/>
                <w:szCs w:val="15"/>
                <w:color w:val="auto"/>
                <w:w w:val="98"/>
              </w:rPr>
              <w:t>(c)</w:t>
            </w:r>
          </w:p>
        </w:tc>
        <w:tc>
          <w:tcPr>
            <w:tcW w:w="1640" w:type="dxa"/>
            <w:vAlign w:val="bottom"/>
            <w:gridSpan w:val="3"/>
          </w:tcPr>
          <w:p>
            <w:pPr>
              <w:jc w:val="right"/>
              <w:ind w:right="580"/>
              <w:spacing w:after="0"/>
              <w:rPr>
                <w:sz w:val="20"/>
                <w:szCs w:val="20"/>
                <w:color w:val="auto"/>
              </w:rPr>
            </w:pPr>
            <w:r>
              <w:rPr>
                <w:rFonts w:ascii="Arial" w:cs="Arial" w:eastAsia="Arial" w:hAnsi="Arial"/>
                <w:sz w:val="18"/>
                <w:szCs w:val="18"/>
                <w:color w:val="auto"/>
              </w:rPr>
              <w:t>3,469</w:t>
            </w:r>
          </w:p>
        </w:tc>
        <w:tc>
          <w:tcPr>
            <w:tcW w:w="1200" w:type="dxa"/>
            <w:vAlign w:val="bottom"/>
            <w:gridSpan w:val="2"/>
          </w:tcPr>
          <w:p>
            <w:pPr>
              <w:jc w:val="right"/>
              <w:ind w:right="288"/>
              <w:spacing w:after="0"/>
              <w:rPr>
                <w:sz w:val="20"/>
                <w:szCs w:val="20"/>
                <w:color w:val="auto"/>
              </w:rPr>
            </w:pPr>
            <w:r>
              <w:rPr>
                <w:rFonts w:ascii="Arial" w:cs="Arial" w:eastAsia="Arial" w:hAnsi="Arial"/>
                <w:sz w:val="18"/>
                <w:szCs w:val="18"/>
                <w:color w:val="auto"/>
              </w:rPr>
              <w:t>708</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80" w:type="dxa"/>
            <w:vAlign w:val="bottom"/>
            <w:gridSpan w:val="2"/>
          </w:tcPr>
          <w:p>
            <w:pPr>
              <w:jc w:val="right"/>
              <w:ind w:right="380"/>
              <w:spacing w:after="0"/>
              <w:rPr>
                <w:sz w:val="20"/>
                <w:szCs w:val="20"/>
                <w:color w:val="auto"/>
              </w:rPr>
            </w:pPr>
            <w:r>
              <w:rPr>
                <w:rFonts w:ascii="Arial" w:cs="Arial" w:eastAsia="Arial" w:hAnsi="Arial"/>
                <w:sz w:val="18"/>
                <w:szCs w:val="18"/>
                <w:color w:val="auto"/>
              </w:rPr>
              <w:t>3,776</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760" w:type="dxa"/>
            <w:vAlign w:val="bottom"/>
            <w:tcBorders>
              <w:right w:val="single" w:sz="8" w:color="auto"/>
            </w:tcBorders>
            <w:gridSpan w:val="2"/>
          </w:tcPr>
          <w:p>
            <w:pPr>
              <w:jc w:val="right"/>
              <w:ind w:right="680"/>
              <w:spacing w:after="0"/>
              <w:rPr>
                <w:sz w:val="20"/>
                <w:szCs w:val="20"/>
                <w:color w:val="auto"/>
              </w:rPr>
            </w:pPr>
            <w:r>
              <w:rPr>
                <w:rFonts w:ascii="Arial" w:cs="Arial" w:eastAsia="Arial" w:hAnsi="Arial"/>
                <w:sz w:val="18"/>
                <w:szCs w:val="18"/>
                <w:color w:val="auto"/>
              </w:rPr>
              <w:t>14,703</w:t>
            </w:r>
          </w:p>
        </w:tc>
        <w:tc>
          <w:tcPr>
            <w:tcW w:w="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gridSpan w:val="2"/>
          </w:tcPr>
          <w:p>
            <w:pPr>
              <w:jc w:val="right"/>
              <w:ind w:right="220"/>
              <w:spacing w:after="0"/>
              <w:rPr>
                <w:sz w:val="20"/>
                <w:szCs w:val="20"/>
                <w:color w:val="auto"/>
              </w:rPr>
            </w:pPr>
            <w:r>
              <w:rPr>
                <w:rFonts w:ascii="Arial" w:cs="Arial" w:eastAsia="Arial" w:hAnsi="Arial"/>
                <w:sz w:val="18"/>
                <w:szCs w:val="18"/>
                <w:color w:val="auto"/>
              </w:rPr>
              <w:t>1,151</w:t>
            </w:r>
          </w:p>
        </w:tc>
        <w:tc>
          <w:tcPr>
            <w:tcW w:w="0" w:type="dxa"/>
            <w:vAlign w:val="bottom"/>
          </w:tcPr>
          <w:p>
            <w:pPr>
              <w:spacing w:after="0"/>
              <w:rPr>
                <w:sz w:val="1"/>
                <w:szCs w:val="1"/>
                <w:color w:val="auto"/>
              </w:rPr>
            </w:pPr>
          </w:p>
        </w:tc>
      </w:tr>
      <w:tr>
        <w:trPr>
          <w:trHeight w:val="202"/>
        </w:trPr>
        <w:tc>
          <w:tcPr>
            <w:tcW w:w="246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Non-recurring and one-time</w:t>
            </w:r>
          </w:p>
        </w:tc>
        <w:tc>
          <w:tcPr>
            <w:tcW w:w="22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680" w:type="dxa"/>
            <w:vAlign w:val="bottom"/>
            <w:tcBorders>
              <w:right w:val="single" w:sz="8" w:color="auto"/>
            </w:tcBorders>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46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adjustments</w:t>
            </w:r>
            <w:r>
              <w:rPr>
                <w:rFonts w:ascii="Arial" w:cs="Arial" w:eastAsia="Arial" w:hAnsi="Arial"/>
                <w:sz w:val="15"/>
                <w:szCs w:val="15"/>
                <w:color w:val="auto"/>
              </w:rPr>
              <w:t>(d)</w:t>
            </w:r>
          </w:p>
        </w:tc>
        <w:tc>
          <w:tcPr>
            <w:tcW w:w="1640" w:type="dxa"/>
            <w:vAlign w:val="bottom"/>
            <w:gridSpan w:val="3"/>
            <w:shd w:val="clear" w:color="auto" w:fill="CCEEFF"/>
          </w:tcPr>
          <w:p>
            <w:pPr>
              <w:jc w:val="right"/>
              <w:ind w:right="580"/>
              <w:spacing w:after="0"/>
              <w:rPr>
                <w:sz w:val="20"/>
                <w:szCs w:val="20"/>
                <w:color w:val="auto"/>
              </w:rPr>
            </w:pPr>
            <w:r>
              <w:rPr>
                <w:rFonts w:ascii="Arial" w:cs="Arial" w:eastAsia="Arial" w:hAnsi="Arial"/>
                <w:sz w:val="18"/>
                <w:szCs w:val="18"/>
                <w:color w:val="auto"/>
              </w:rPr>
              <w:t>2,164</w:t>
            </w:r>
          </w:p>
        </w:tc>
        <w:tc>
          <w:tcPr>
            <w:tcW w:w="1200" w:type="dxa"/>
            <w:vAlign w:val="bottom"/>
            <w:gridSpan w:val="2"/>
            <w:shd w:val="clear" w:color="auto" w:fill="CCEEFF"/>
          </w:tcPr>
          <w:p>
            <w:pPr>
              <w:jc w:val="right"/>
              <w:ind w:right="288"/>
              <w:spacing w:after="0"/>
              <w:rPr>
                <w:sz w:val="20"/>
                <w:szCs w:val="20"/>
                <w:color w:val="auto"/>
              </w:rPr>
            </w:pPr>
            <w:r>
              <w:rPr>
                <w:rFonts w:ascii="Arial" w:cs="Arial" w:eastAsia="Arial" w:hAnsi="Arial"/>
                <w:sz w:val="18"/>
                <w:szCs w:val="18"/>
                <w:color w:val="auto"/>
              </w:rPr>
              <w:t>1,767</w:t>
            </w:r>
          </w:p>
        </w:tc>
        <w:tc>
          <w:tcPr>
            <w:tcW w:w="2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3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2,847</w:t>
            </w:r>
          </w:p>
        </w:tc>
        <w:tc>
          <w:tcPr>
            <w:tcW w:w="2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760" w:type="dxa"/>
            <w:vAlign w:val="bottom"/>
            <w:tcBorders>
              <w:right w:val="single" w:sz="8" w:color="auto"/>
            </w:tcBorders>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3,193</w:t>
            </w:r>
          </w:p>
        </w:tc>
        <w:tc>
          <w:tcPr>
            <w:tcW w:w="4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3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1,200</w:t>
            </w:r>
          </w:p>
        </w:tc>
        <w:tc>
          <w:tcPr>
            <w:tcW w:w="0" w:type="dxa"/>
            <w:vAlign w:val="bottom"/>
          </w:tcPr>
          <w:p>
            <w:pPr>
              <w:spacing w:after="0"/>
              <w:rPr>
                <w:sz w:val="1"/>
                <w:szCs w:val="1"/>
                <w:color w:val="auto"/>
              </w:rPr>
            </w:pPr>
          </w:p>
        </w:tc>
      </w:tr>
      <w:tr>
        <w:trPr>
          <w:trHeight w:val="223"/>
        </w:trPr>
        <w:tc>
          <w:tcPr>
            <w:tcW w:w="2460" w:type="dxa"/>
            <w:vAlign w:val="bottom"/>
            <w:gridSpan w:val="2"/>
          </w:tcPr>
          <w:p>
            <w:pPr>
              <w:spacing w:after="0"/>
              <w:rPr>
                <w:sz w:val="20"/>
                <w:szCs w:val="20"/>
                <w:color w:val="auto"/>
              </w:rPr>
            </w:pPr>
            <w:r>
              <w:rPr>
                <w:rFonts w:ascii="Arial" w:cs="Arial" w:eastAsia="Arial" w:hAnsi="Arial"/>
                <w:sz w:val="18"/>
                <w:szCs w:val="18"/>
                <w:b w:val="1"/>
                <w:bCs w:val="1"/>
                <w:color w:val="auto"/>
              </w:rPr>
              <w:t>Adjusted EBITDA</w:t>
            </w:r>
          </w:p>
        </w:tc>
        <w:tc>
          <w:tcPr>
            <w:tcW w:w="220" w:type="dxa"/>
            <w:vAlign w:val="bottom"/>
          </w:tcPr>
          <w:p>
            <w:pPr>
              <w:spacing w:after="0"/>
              <w:rPr>
                <w:sz w:val="19"/>
                <w:szCs w:val="19"/>
                <w:color w:val="auto"/>
              </w:rPr>
            </w:pP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28,467</w:t>
            </w:r>
          </w:p>
        </w:tc>
        <w:tc>
          <w:tcPr>
            <w:tcW w:w="580" w:type="dxa"/>
            <w:vAlign w:val="bottom"/>
          </w:tcPr>
          <w:p>
            <w:pPr>
              <w:spacing w:after="0"/>
              <w:rPr>
                <w:sz w:val="19"/>
                <w:szCs w:val="19"/>
                <w:color w:val="auto"/>
              </w:rPr>
            </w:pP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26,203</w:t>
            </w:r>
          </w:p>
        </w:tc>
        <w:tc>
          <w:tcPr>
            <w:tcW w:w="3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53,505</w:t>
            </w:r>
          </w:p>
        </w:tc>
        <w:tc>
          <w:tcPr>
            <w:tcW w:w="3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18,651</w:t>
            </w:r>
          </w:p>
        </w:tc>
        <w:tc>
          <w:tcPr>
            <w:tcW w:w="680" w:type="dxa"/>
            <w:vAlign w:val="bottom"/>
            <w:tcBorders>
              <w:right w:val="single" w:sz="8" w:color="auto"/>
            </w:tcBorders>
          </w:tcPr>
          <w:p>
            <w:pPr>
              <w:spacing w:after="0"/>
              <w:rPr>
                <w:sz w:val="19"/>
                <w:szCs w:val="19"/>
                <w:color w:val="auto"/>
              </w:rPr>
            </w:pPr>
          </w:p>
        </w:tc>
        <w:tc>
          <w:tcPr>
            <w:tcW w:w="40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23,656</w:t>
            </w: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4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Revenue</w:t>
            </w:r>
          </w:p>
        </w:tc>
        <w:tc>
          <w:tcPr>
            <w:tcW w:w="2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76,757</w:t>
            </w:r>
          </w:p>
        </w:tc>
        <w:tc>
          <w:tcPr>
            <w:tcW w:w="58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54,586</w:t>
            </w:r>
          </w:p>
        </w:tc>
        <w:tc>
          <w:tcPr>
            <w:tcW w:w="3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118,317</w:t>
            </w:r>
          </w:p>
        </w:tc>
        <w:tc>
          <w:tcPr>
            <w:tcW w:w="3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40,045</w:t>
            </w:r>
          </w:p>
        </w:tc>
        <w:tc>
          <w:tcPr>
            <w:tcW w:w="680" w:type="dxa"/>
            <w:vAlign w:val="bottom"/>
            <w:tcBorders>
              <w:right w:val="single" w:sz="8" w:color="auto"/>
            </w:tcBorders>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45,458</w:t>
            </w:r>
          </w:p>
        </w:tc>
        <w:tc>
          <w:tcPr>
            <w:tcW w:w="0" w:type="dxa"/>
            <w:vAlign w:val="bottom"/>
          </w:tcPr>
          <w:p>
            <w:pPr>
              <w:spacing w:after="0"/>
              <w:rPr>
                <w:sz w:val="1"/>
                <w:szCs w:val="1"/>
                <w:color w:val="auto"/>
              </w:rPr>
            </w:pPr>
          </w:p>
        </w:tc>
      </w:tr>
      <w:tr>
        <w:trPr>
          <w:trHeight w:val="20"/>
        </w:trPr>
        <w:tc>
          <w:tcPr>
            <w:tcW w:w="246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Adjusted EBITDA Margin</w:t>
            </w:r>
          </w:p>
        </w:tc>
        <w:tc>
          <w:tcPr>
            <w:tcW w:w="220" w:type="dxa"/>
            <w:vAlign w:val="bottom"/>
            <w:vMerge w:val="restart"/>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680" w:type="dxa"/>
            <w:vAlign w:val="bottom"/>
            <w:tcBorders>
              <w:right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2460" w:type="dxa"/>
            <w:vAlign w:val="bottom"/>
            <w:gridSpan w:val="2"/>
            <w:vMerge w:val="continue"/>
          </w:tcPr>
          <w:p>
            <w:pPr>
              <w:spacing w:after="0"/>
              <w:rPr>
                <w:sz w:val="19"/>
                <w:szCs w:val="19"/>
                <w:color w:val="auto"/>
              </w:rPr>
            </w:pPr>
          </w:p>
        </w:tc>
        <w:tc>
          <w:tcPr>
            <w:tcW w:w="220" w:type="dxa"/>
            <w:vAlign w:val="bottom"/>
            <w:vMerge w:val="continue"/>
          </w:tcPr>
          <w:p>
            <w:pPr>
              <w:spacing w:after="0"/>
              <w:rPr>
                <w:sz w:val="19"/>
                <w:szCs w:val="19"/>
                <w:color w:val="auto"/>
              </w:rPr>
            </w:pPr>
          </w:p>
        </w:tc>
        <w:tc>
          <w:tcPr>
            <w:tcW w:w="1420" w:type="dxa"/>
            <w:vAlign w:val="bottom"/>
            <w:gridSpan w:val="2"/>
          </w:tcPr>
          <w:p>
            <w:pPr>
              <w:jc w:val="right"/>
              <w:ind w:right="440"/>
              <w:spacing w:after="0"/>
              <w:rPr>
                <w:sz w:val="20"/>
                <w:szCs w:val="20"/>
                <w:color w:val="auto"/>
              </w:rPr>
            </w:pPr>
            <w:r>
              <w:rPr>
                <w:rFonts w:ascii="Arial" w:cs="Arial" w:eastAsia="Arial" w:hAnsi="Arial"/>
                <w:sz w:val="18"/>
                <w:szCs w:val="18"/>
                <w:color w:val="auto"/>
              </w:rPr>
              <w:t>37%</w:t>
            </w:r>
          </w:p>
        </w:tc>
        <w:tc>
          <w:tcPr>
            <w:tcW w:w="1200" w:type="dxa"/>
            <w:vAlign w:val="bottom"/>
            <w:gridSpan w:val="2"/>
          </w:tcPr>
          <w:p>
            <w:pPr>
              <w:jc w:val="right"/>
              <w:ind w:right="148"/>
              <w:spacing w:after="0"/>
              <w:rPr>
                <w:sz w:val="20"/>
                <w:szCs w:val="20"/>
                <w:color w:val="auto"/>
              </w:rPr>
            </w:pPr>
            <w:r>
              <w:rPr>
                <w:rFonts w:ascii="Arial" w:cs="Arial" w:eastAsia="Arial" w:hAnsi="Arial"/>
                <w:sz w:val="18"/>
                <w:szCs w:val="18"/>
                <w:color w:val="auto"/>
              </w:rPr>
              <w:t>48%</w:t>
            </w: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80" w:type="dxa"/>
            <w:vAlign w:val="bottom"/>
            <w:gridSpan w:val="2"/>
          </w:tcPr>
          <w:p>
            <w:pPr>
              <w:jc w:val="right"/>
              <w:ind w:right="240"/>
              <w:spacing w:after="0"/>
              <w:rPr>
                <w:sz w:val="20"/>
                <w:szCs w:val="20"/>
                <w:color w:val="auto"/>
              </w:rPr>
            </w:pPr>
            <w:r>
              <w:rPr>
                <w:rFonts w:ascii="Arial" w:cs="Arial" w:eastAsia="Arial" w:hAnsi="Arial"/>
                <w:sz w:val="18"/>
                <w:szCs w:val="18"/>
                <w:color w:val="auto"/>
              </w:rPr>
              <w:t>45%</w:t>
            </w: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760" w:type="dxa"/>
            <w:vAlign w:val="bottom"/>
            <w:tcBorders>
              <w:right w:val="single" w:sz="8" w:color="auto"/>
            </w:tcBorders>
            <w:gridSpan w:val="2"/>
          </w:tcPr>
          <w:p>
            <w:pPr>
              <w:jc w:val="right"/>
              <w:ind w:right="540"/>
              <w:spacing w:after="0"/>
              <w:rPr>
                <w:sz w:val="20"/>
                <w:szCs w:val="20"/>
                <w:color w:val="auto"/>
              </w:rPr>
            </w:pPr>
            <w:r>
              <w:rPr>
                <w:rFonts w:ascii="Arial" w:cs="Arial" w:eastAsia="Arial" w:hAnsi="Arial"/>
                <w:sz w:val="18"/>
                <w:szCs w:val="18"/>
                <w:color w:val="auto"/>
              </w:rPr>
              <w:t>47%</w:t>
            </w:r>
          </w:p>
        </w:tc>
        <w:tc>
          <w:tcPr>
            <w:tcW w:w="4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80" w:type="dxa"/>
            <w:vAlign w:val="bottom"/>
            <w:gridSpan w:val="2"/>
          </w:tcPr>
          <w:p>
            <w:pPr>
              <w:jc w:val="right"/>
              <w:ind w:right="60"/>
              <w:spacing w:after="0"/>
              <w:rPr>
                <w:sz w:val="20"/>
                <w:szCs w:val="20"/>
                <w:color w:val="auto"/>
              </w:rPr>
            </w:pPr>
            <w:r>
              <w:rPr>
                <w:rFonts w:ascii="Arial" w:cs="Arial" w:eastAsia="Arial" w:hAnsi="Arial"/>
                <w:sz w:val="18"/>
                <w:szCs w:val="18"/>
                <w:color w:val="auto"/>
              </w:rPr>
              <w:t>52%</w:t>
            </w:r>
          </w:p>
        </w:tc>
        <w:tc>
          <w:tcPr>
            <w:tcW w:w="0" w:type="dxa"/>
            <w:vAlign w:val="bottom"/>
          </w:tcPr>
          <w:p>
            <w:pPr>
              <w:spacing w:after="0"/>
              <w:rPr>
                <w:sz w:val="1"/>
                <w:szCs w:val="1"/>
                <w:color w:val="auto"/>
              </w:rPr>
            </w:pPr>
          </w:p>
        </w:tc>
      </w:tr>
      <w:tr>
        <w:trPr>
          <w:trHeight w:val="20"/>
        </w:trPr>
        <w:tc>
          <w:tcPr>
            <w:tcW w:w="12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right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1220" w:type="dxa"/>
            <w:vAlign w:val="bottom"/>
            <w:tcBorders>
              <w:bottom w:val="single" w:sz="8" w:color="auto"/>
            </w:tcBorders>
          </w:tcPr>
          <w:p>
            <w:pPr>
              <w:spacing w:after="0"/>
              <w:rPr>
                <w:sz w:val="11"/>
                <w:szCs w:val="11"/>
                <w:color w:val="auto"/>
              </w:rPr>
            </w:pPr>
          </w:p>
        </w:tc>
        <w:tc>
          <w:tcPr>
            <w:tcW w:w="12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5808345</wp:posOffset>
            </wp:positionH>
            <wp:positionV relativeFrom="paragraph">
              <wp:posOffset>-282575</wp:posOffset>
            </wp:positionV>
            <wp:extent cx="25400" cy="889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25400" cy="8890"/>
                    </a:xfrm>
                    <a:prstGeom prst="rect">
                      <a:avLst/>
                    </a:prstGeom>
                    <a:noFill/>
                  </pic:spPr>
                </pic:pic>
              </a:graphicData>
            </a:graphic>
          </wp:anchor>
        </w:drawing>
      </w:r>
    </w:p>
    <w:p>
      <w:pPr>
        <w:spacing w:after="0" w:line="6" w:lineRule="exact"/>
        <w:rPr>
          <w:sz w:val="20"/>
          <w:szCs w:val="20"/>
          <w:color w:val="auto"/>
        </w:rPr>
      </w:pPr>
    </w:p>
    <w:p>
      <w:pPr>
        <w:ind w:left="540" w:hanging="424"/>
        <w:spacing w:after="0"/>
        <w:tabs>
          <w:tab w:leader="none" w:pos="540" w:val="left"/>
        </w:tabs>
        <w:numPr>
          <w:ilvl w:val="0"/>
          <w:numId w:val="73"/>
        </w:numPr>
        <w:rPr>
          <w:rFonts w:ascii="Arial" w:cs="Arial" w:eastAsia="Arial" w:hAnsi="Arial"/>
          <w:sz w:val="18"/>
          <w:szCs w:val="18"/>
          <w:color w:val="auto"/>
        </w:rPr>
      </w:pPr>
      <w:r>
        <w:rPr>
          <w:rFonts w:ascii="Arial" w:cs="Arial" w:eastAsia="Arial" w:hAnsi="Arial"/>
          <w:sz w:val="18"/>
          <w:szCs w:val="18"/>
          <w:color w:val="auto"/>
        </w:rPr>
        <w:t>Primarily represents foreign exchange remeasurement gains and losses.</w:t>
      </w:r>
    </w:p>
    <w:p>
      <w:pPr>
        <w:spacing w:after="0" w:line="23" w:lineRule="exact"/>
        <w:rPr>
          <w:rFonts w:ascii="Arial" w:cs="Arial" w:eastAsia="Arial" w:hAnsi="Arial"/>
          <w:sz w:val="18"/>
          <w:szCs w:val="18"/>
          <w:color w:val="auto"/>
        </w:rPr>
      </w:pPr>
    </w:p>
    <w:p>
      <w:pPr>
        <w:ind w:left="540" w:right="520" w:hanging="424"/>
        <w:spacing w:after="0" w:line="250" w:lineRule="auto"/>
        <w:tabs>
          <w:tab w:leader="none" w:pos="540" w:val="left"/>
        </w:tabs>
        <w:numPr>
          <w:ilvl w:val="0"/>
          <w:numId w:val="73"/>
        </w:numPr>
        <w:rPr>
          <w:rFonts w:ascii="Arial" w:cs="Arial" w:eastAsia="Arial" w:hAnsi="Arial"/>
          <w:sz w:val="18"/>
          <w:szCs w:val="18"/>
          <w:color w:val="auto"/>
        </w:rPr>
      </w:pPr>
      <w:r>
        <w:rPr>
          <w:rFonts w:ascii="Arial" w:cs="Arial" w:eastAsia="Arial" w:hAnsi="Arial"/>
          <w:sz w:val="18"/>
          <w:szCs w:val="18"/>
          <w:color w:val="auto"/>
        </w:rPr>
        <w:t>Stock-based compensation represents non-cash compensation expense recognized in association with equity awards made to employees and directors.</w:t>
      </w:r>
    </w:p>
    <w:p>
      <w:pPr>
        <w:ind w:left="540" w:right="20" w:hanging="424"/>
        <w:spacing w:after="0" w:line="250" w:lineRule="auto"/>
        <w:tabs>
          <w:tab w:leader="none" w:pos="540" w:val="left"/>
        </w:tabs>
        <w:numPr>
          <w:ilvl w:val="0"/>
          <w:numId w:val="73"/>
        </w:numPr>
        <w:rPr>
          <w:rFonts w:ascii="Arial" w:cs="Arial" w:eastAsia="Arial" w:hAnsi="Arial"/>
          <w:sz w:val="18"/>
          <w:szCs w:val="18"/>
          <w:color w:val="auto"/>
        </w:rPr>
      </w:pPr>
      <w:r>
        <w:rPr>
          <w:rFonts w:ascii="Arial" w:cs="Arial" w:eastAsia="Arial" w:hAnsi="Arial"/>
          <w:sz w:val="18"/>
          <w:szCs w:val="18"/>
          <w:color w:val="auto"/>
        </w:rPr>
        <w:t>Acquisition related expenses primarily represent legal, accounting and consulting expenses and fair value adjustments for contingent consideration related to our acquisitions.</w:t>
      </w:r>
    </w:p>
    <w:p>
      <w:pPr>
        <w:ind w:left="540" w:right="40" w:hanging="424"/>
        <w:spacing w:after="0" w:line="295" w:lineRule="auto"/>
        <w:tabs>
          <w:tab w:leader="none" w:pos="540" w:val="left"/>
        </w:tabs>
        <w:numPr>
          <w:ilvl w:val="0"/>
          <w:numId w:val="73"/>
        </w:numPr>
        <w:rPr>
          <w:rFonts w:ascii="Arial" w:cs="Arial" w:eastAsia="Arial" w:hAnsi="Arial"/>
          <w:sz w:val="16"/>
          <w:szCs w:val="16"/>
          <w:color w:val="auto"/>
        </w:rPr>
      </w:pPr>
      <w:r>
        <w:rPr>
          <w:rFonts w:ascii="Arial" w:cs="Arial" w:eastAsia="Arial" w:hAnsi="Arial"/>
          <w:sz w:val="16"/>
          <w:szCs w:val="16"/>
          <w:color w:val="auto"/>
        </w:rPr>
        <w:t>Non-recurring items represent expenses that are typically one-time or non-operational in nature. One-time expenses are comprised primarily of the following items: professional fees related to IPO readiness in the six months ended June 30, 2021, a pricing study initiated by our sponsors and IPO costs in the year ended December 31, 2020, a sales-tax voluntary disclosure agreement in the period from July 16, 2019 to December 31, 2019 and the costs of exiting certain contracts assumed as part of an acquisition in the period from January 1, 2019 to July 15, 2019.</w:t>
      </w:r>
    </w:p>
    <w:p>
      <w:pPr>
        <w:spacing w:after="0" w:line="202"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Net Dollar Retention Rate</w:t>
      </w:r>
    </w:p>
    <w:p>
      <w:pPr>
        <w:spacing w:after="0" w:line="117" w:lineRule="exact"/>
        <w:rPr>
          <w:sz w:val="20"/>
          <w:szCs w:val="20"/>
          <w:color w:val="auto"/>
        </w:rPr>
      </w:pPr>
    </w:p>
    <w:p>
      <w:pPr>
        <w:ind w:left="120" w:right="140" w:firstLine="440"/>
        <w:spacing w:after="0" w:line="257" w:lineRule="auto"/>
        <w:rPr>
          <w:sz w:val="20"/>
          <w:szCs w:val="20"/>
          <w:color w:val="auto"/>
        </w:rPr>
      </w:pPr>
      <w:r>
        <w:rPr>
          <w:rFonts w:ascii="Arial" w:cs="Arial" w:eastAsia="Arial" w:hAnsi="Arial"/>
          <w:sz w:val="18"/>
          <w:szCs w:val="18"/>
          <w:color w:val="auto"/>
        </w:rPr>
        <w:t>We believe the growth in use of our platform by our existing customers is an important measure of the health of our business and our future growth prospects. We monitor our NDR to measure this growth. We define NDR as the percentage of ARR retained from existing customers across a defined period, after accounting for upsell, down-sell, pricing changes and churn. We calculate NDR as beginning ARR for a period, plus (i) expansion ARR (including, but not limited to, upsell and pricing increases), less (ii) churn (including, but not limited to, non-renewals and contractions), divided by (iii) beginning ARR for a period.</w:t>
      </w:r>
    </w:p>
    <w:p>
      <w:pPr>
        <w:spacing w:after="0" w:line="120"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84</w:t>
      </w:r>
    </w:p>
    <w:p>
      <w:pPr>
        <w:sectPr>
          <w:pgSz w:w="11900" w:h="16838" w:orient="portrait"/>
          <w:cols w:equalWidth="0" w:num="1">
            <w:col w:w="11140"/>
          </w:cols>
          <w:pgMar w:left="320" w:top="459" w:right="439" w:bottom="1440" w:gutter="0" w:footer="0" w:header="0"/>
        </w:sectPr>
      </w:pPr>
    </w:p>
    <w:bookmarkStart w:id="91" w:name="page92"/>
    <w:bookmarkEnd w:id="9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Confidential Treatment Requested by Definitive Healthcare Corp.</w:t>
      </w:r>
    </w:p>
    <w:p>
      <w:pPr>
        <w:spacing w:after="0" w:line="27"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Pursuant to 17 C.F.R. Section 200.83</w:t>
      </w:r>
    </w:p>
    <w:p>
      <w:pPr>
        <w:spacing w:after="0" w:line="143"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following graphic presents overall NDR, as well as NDR by customer size: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1179195</wp:posOffset>
            </wp:positionH>
            <wp:positionV relativeFrom="paragraph">
              <wp:posOffset>168910</wp:posOffset>
            </wp:positionV>
            <wp:extent cx="4791710" cy="188595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4791710" cy="18859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Current Remaining Performance Obligations</w:t>
      </w:r>
    </w:p>
    <w:p>
      <w:pPr>
        <w:spacing w:after="0" w:line="117" w:lineRule="exact"/>
        <w:rPr>
          <w:sz w:val="20"/>
          <w:szCs w:val="20"/>
          <w:color w:val="auto"/>
        </w:rPr>
      </w:pPr>
    </w:p>
    <w:p>
      <w:pPr>
        <w:ind w:left="120" w:right="80" w:firstLine="440"/>
        <w:spacing w:after="0" w:line="296" w:lineRule="auto"/>
        <w:rPr>
          <w:sz w:val="20"/>
          <w:szCs w:val="20"/>
          <w:color w:val="auto"/>
        </w:rPr>
      </w:pPr>
      <w:r>
        <w:rPr>
          <w:rFonts w:ascii="Arial" w:cs="Arial" w:eastAsia="Arial" w:hAnsi="Arial"/>
          <w:sz w:val="16"/>
          <w:szCs w:val="16"/>
          <w:color w:val="auto"/>
        </w:rPr>
        <w:t>We monitor current remaining performance obligations as a metric to help us evaluate the health of our business and identify trends affecting our growth. Current Remaining Performance Obligations (“cRPO”) represent the amount of contracted future revenue that has not yet been recognized, including both deferred revenue and non-cancelable contracted amounts that will be invoiced and recognized as revenue within the next twelve months. cRPO is not necessarily indicative of future revenue growth. cRPO is influenced by several factors, including seasonality, the timing of renewals, and disparate contract terms. Due to these factors, it is important to review cRPO in conjunction with revenue and other financial metrics.</w:t>
      </w:r>
    </w:p>
    <w:p>
      <w:pPr>
        <w:spacing w:after="0" w:line="16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following table presents cRPO as of June 30, 2021, December 31, 2020 and December 31, 2019:</w:t>
      </w:r>
    </w:p>
    <w:p>
      <w:pPr>
        <w:spacing w:after="0" w:line="244" w:lineRule="exact"/>
        <w:rPr>
          <w:sz w:val="20"/>
          <w:szCs w:val="20"/>
          <w:color w:val="auto"/>
        </w:rPr>
      </w:pPr>
    </w:p>
    <w:tbl>
      <w:tblPr>
        <w:tblLayout w:type="fixed"/>
        <w:tblInd w:w="1000" w:type="dxa"/>
        <w:tblCellMar>
          <w:top w:w="0" w:type="dxa"/>
          <w:left w:w="0" w:type="dxa"/>
          <w:bottom w:w="0" w:type="dxa"/>
          <w:right w:w="0" w:type="dxa"/>
        </w:tblCellMar>
      </w:tblPr>
      <w:tr>
        <w:trPr>
          <w:trHeight w:val="171"/>
        </w:trPr>
        <w:tc>
          <w:tcPr>
            <w:tcW w:w="3220" w:type="dxa"/>
            <w:vAlign w:val="bottom"/>
            <w:vMerge w:val="restart"/>
          </w:tcPr>
          <w:p>
            <w:pPr>
              <w:spacing w:after="0"/>
              <w:rPr>
                <w:sz w:val="20"/>
                <w:szCs w:val="20"/>
                <w:color w:val="auto"/>
              </w:rPr>
            </w:pPr>
            <w:r>
              <w:rPr>
                <w:rFonts w:ascii="Arial" w:cs="Arial" w:eastAsia="Arial" w:hAnsi="Arial"/>
                <w:sz w:val="14"/>
                <w:szCs w:val="14"/>
                <w:color w:val="auto"/>
              </w:rPr>
              <w:t>($ in thousands)</w:t>
            </w:r>
          </w:p>
        </w:tc>
        <w:tc>
          <w:tcPr>
            <w:tcW w:w="2300" w:type="dxa"/>
            <w:vAlign w:val="bottom"/>
          </w:tcPr>
          <w:p>
            <w:pPr>
              <w:spacing w:after="0"/>
              <w:rPr>
                <w:sz w:val="14"/>
                <w:szCs w:val="14"/>
                <w:color w:val="auto"/>
              </w:rPr>
            </w:pPr>
          </w:p>
        </w:tc>
        <w:tc>
          <w:tcPr>
            <w:tcW w:w="680" w:type="dxa"/>
            <w:vAlign w:val="bottom"/>
          </w:tcPr>
          <w:p>
            <w:pPr>
              <w:jc w:val="center"/>
              <w:spacing w:after="0"/>
              <w:rPr>
                <w:sz w:val="20"/>
                <w:szCs w:val="20"/>
                <w:color w:val="auto"/>
              </w:rPr>
            </w:pPr>
            <w:r>
              <w:rPr>
                <w:rFonts w:ascii="Arial" w:cs="Arial" w:eastAsia="Arial" w:hAnsi="Arial"/>
                <w:sz w:val="14"/>
                <w:szCs w:val="14"/>
                <w:b w:val="1"/>
                <w:bCs w:val="1"/>
                <w:color w:val="auto"/>
                <w:w w:val="89"/>
              </w:rPr>
              <w:t>June 30,</w:t>
            </w:r>
          </w:p>
        </w:tc>
        <w:tc>
          <w:tcPr>
            <w:tcW w:w="1500" w:type="dxa"/>
            <w:vAlign w:val="bottom"/>
            <w:gridSpan w:val="2"/>
          </w:tcPr>
          <w:p>
            <w:pPr>
              <w:ind w:left="660"/>
              <w:spacing w:after="0"/>
              <w:rPr>
                <w:sz w:val="20"/>
                <w:szCs w:val="20"/>
                <w:color w:val="auto"/>
              </w:rPr>
            </w:pPr>
            <w:r>
              <w:rPr>
                <w:rFonts w:ascii="Arial" w:cs="Arial" w:eastAsia="Arial" w:hAnsi="Arial"/>
                <w:sz w:val="14"/>
                <w:szCs w:val="14"/>
                <w:b w:val="1"/>
                <w:bCs w:val="1"/>
                <w:color w:val="auto"/>
                <w:w w:val="90"/>
              </w:rPr>
              <w:t>December 31,</w:t>
            </w:r>
          </w:p>
        </w:tc>
        <w:tc>
          <w:tcPr>
            <w:tcW w:w="1560" w:type="dxa"/>
            <w:vAlign w:val="bottom"/>
            <w:gridSpan w:val="4"/>
          </w:tcPr>
          <w:p>
            <w:pPr>
              <w:ind w:left="660"/>
              <w:spacing w:after="0"/>
              <w:rPr>
                <w:sz w:val="20"/>
                <w:szCs w:val="20"/>
                <w:color w:val="auto"/>
              </w:rPr>
            </w:pPr>
            <w:r>
              <w:rPr>
                <w:rFonts w:ascii="Arial" w:cs="Arial" w:eastAsia="Arial" w:hAnsi="Arial"/>
                <w:sz w:val="14"/>
                <w:szCs w:val="14"/>
                <w:b w:val="1"/>
                <w:bCs w:val="1"/>
                <w:color w:val="auto"/>
                <w:w w:val="96"/>
              </w:rPr>
              <w:t>December 31,</w:t>
            </w:r>
          </w:p>
        </w:tc>
        <w:tc>
          <w:tcPr>
            <w:tcW w:w="0" w:type="dxa"/>
            <w:vAlign w:val="bottom"/>
          </w:tcPr>
          <w:p>
            <w:pPr>
              <w:spacing w:after="0"/>
              <w:rPr>
                <w:sz w:val="1"/>
                <w:szCs w:val="1"/>
                <w:color w:val="auto"/>
              </w:rPr>
            </w:pPr>
          </w:p>
        </w:tc>
      </w:tr>
      <w:tr>
        <w:trPr>
          <w:trHeight w:val="142"/>
        </w:trPr>
        <w:tc>
          <w:tcPr>
            <w:tcW w:w="3220" w:type="dxa"/>
            <w:vAlign w:val="bottom"/>
            <w:tcBorders>
              <w:bottom w:val="single" w:sz="8" w:color="CCEEFF"/>
            </w:tcBorders>
            <w:vMerge w:val="continue"/>
          </w:tcPr>
          <w:p>
            <w:pPr>
              <w:spacing w:after="0"/>
              <w:rPr>
                <w:sz w:val="12"/>
                <w:szCs w:val="12"/>
                <w:color w:val="auto"/>
              </w:rPr>
            </w:pPr>
          </w:p>
        </w:tc>
        <w:tc>
          <w:tcPr>
            <w:tcW w:w="2300" w:type="dxa"/>
            <w:vAlign w:val="bottom"/>
            <w:tcBorders>
              <w:bottom w:val="single" w:sz="8" w:color="CCEEFF"/>
            </w:tcBorders>
          </w:tcPr>
          <w:p>
            <w:pPr>
              <w:spacing w:after="0"/>
              <w:rPr>
                <w:sz w:val="12"/>
                <w:szCs w:val="12"/>
                <w:color w:val="auto"/>
              </w:rPr>
            </w:pPr>
          </w:p>
        </w:tc>
        <w:tc>
          <w:tcPr>
            <w:tcW w:w="680" w:type="dxa"/>
            <w:vAlign w:val="bottom"/>
            <w:tcBorders>
              <w:top w:val="single" w:sz="8" w:color="auto"/>
              <w:bottom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96"/>
              </w:rPr>
              <w:t>2021</w:t>
            </w:r>
          </w:p>
        </w:tc>
        <w:tc>
          <w:tcPr>
            <w:tcW w:w="660" w:type="dxa"/>
            <w:vAlign w:val="bottom"/>
            <w:tcBorders>
              <w:bottom w:val="single" w:sz="8" w:color="CCEEFF"/>
            </w:tcBorders>
          </w:tcPr>
          <w:p>
            <w:pPr>
              <w:spacing w:after="0"/>
              <w:rPr>
                <w:sz w:val="12"/>
                <w:szCs w:val="12"/>
                <w:color w:val="auto"/>
              </w:rPr>
            </w:pPr>
          </w:p>
        </w:tc>
        <w:tc>
          <w:tcPr>
            <w:tcW w:w="840" w:type="dxa"/>
            <w:vAlign w:val="bottom"/>
            <w:tcBorders>
              <w:top w:val="single" w:sz="8" w:color="auto"/>
              <w:bottom w:val="single" w:sz="8" w:color="auto"/>
            </w:tcBorders>
          </w:tcPr>
          <w:p>
            <w:pPr>
              <w:jc w:val="right"/>
              <w:ind w:right="199"/>
              <w:spacing w:after="0" w:line="142" w:lineRule="exact"/>
              <w:rPr>
                <w:sz w:val="20"/>
                <w:szCs w:val="20"/>
                <w:color w:val="auto"/>
              </w:rPr>
            </w:pPr>
            <w:r>
              <w:rPr>
                <w:rFonts w:ascii="Arial" w:cs="Arial" w:eastAsia="Arial" w:hAnsi="Arial"/>
                <w:sz w:val="14"/>
                <w:szCs w:val="14"/>
                <w:b w:val="1"/>
                <w:bCs w:val="1"/>
                <w:color w:val="auto"/>
              </w:rPr>
              <w:t>2020</w:t>
            </w:r>
          </w:p>
        </w:tc>
        <w:tc>
          <w:tcPr>
            <w:tcW w:w="660" w:type="dxa"/>
            <w:vAlign w:val="bottom"/>
            <w:tcBorders>
              <w:bottom w:val="single" w:sz="8" w:color="CCEEFF"/>
            </w:tcBorders>
          </w:tcPr>
          <w:p>
            <w:pPr>
              <w:spacing w:after="0"/>
              <w:rPr>
                <w:sz w:val="12"/>
                <w:szCs w:val="12"/>
                <w:color w:val="auto"/>
              </w:rPr>
            </w:pPr>
          </w:p>
        </w:tc>
        <w:tc>
          <w:tcPr>
            <w:tcW w:w="180" w:type="dxa"/>
            <w:vAlign w:val="bottom"/>
            <w:tcBorders>
              <w:top w:val="single" w:sz="8" w:color="auto"/>
              <w:bottom w:val="single" w:sz="8" w:color="auto"/>
            </w:tcBorders>
          </w:tcPr>
          <w:p>
            <w:pPr>
              <w:spacing w:after="0"/>
              <w:rPr>
                <w:sz w:val="12"/>
                <w:szCs w:val="12"/>
                <w:color w:val="auto"/>
              </w:rPr>
            </w:pPr>
          </w:p>
        </w:tc>
        <w:tc>
          <w:tcPr>
            <w:tcW w:w="660" w:type="dxa"/>
            <w:vAlign w:val="bottom"/>
            <w:tcBorders>
              <w:top w:val="single" w:sz="8" w:color="auto"/>
              <w:bottom w:val="single" w:sz="8" w:color="auto"/>
            </w:tcBorders>
          </w:tcPr>
          <w:p>
            <w:pPr>
              <w:jc w:val="right"/>
              <w:ind w:right="199"/>
              <w:spacing w:after="0" w:line="142" w:lineRule="exact"/>
              <w:rPr>
                <w:sz w:val="20"/>
                <w:szCs w:val="20"/>
                <w:color w:val="auto"/>
              </w:rPr>
            </w:pPr>
            <w:r>
              <w:rPr>
                <w:rFonts w:ascii="Arial" w:cs="Arial" w:eastAsia="Arial" w:hAnsi="Arial"/>
                <w:sz w:val="14"/>
                <w:szCs w:val="14"/>
                <w:b w:val="1"/>
                <w:bCs w:val="1"/>
                <w:color w:val="auto"/>
              </w:rPr>
              <w:t>2019</w:t>
            </w:r>
          </w:p>
        </w:tc>
        <w:tc>
          <w:tcPr>
            <w:tcW w:w="6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3220" w:type="dxa"/>
            <w:vAlign w:val="bottom"/>
            <w:shd w:val="clear" w:color="auto" w:fill="CCEEFF"/>
          </w:tcPr>
          <w:p>
            <w:pPr>
              <w:spacing w:after="0"/>
              <w:rPr>
                <w:sz w:val="20"/>
                <w:szCs w:val="20"/>
                <w:color w:val="auto"/>
              </w:rPr>
            </w:pPr>
            <w:r>
              <w:rPr>
                <w:rFonts w:ascii="Arial" w:cs="Arial" w:eastAsia="Arial" w:hAnsi="Arial"/>
                <w:sz w:val="18"/>
                <w:szCs w:val="18"/>
                <w:color w:val="auto"/>
              </w:rPr>
              <w:t>Current</w:t>
            </w:r>
          </w:p>
        </w:tc>
        <w:tc>
          <w:tcPr>
            <w:tcW w:w="2300" w:type="dxa"/>
            <w:vAlign w:val="bottom"/>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8"/>
                <w:szCs w:val="18"/>
                <w:u w:val="single" w:color="auto"/>
                <w:color w:val="auto"/>
                <w:w w:val="90"/>
              </w:rPr>
              <w:t>$</w:t>
            </w:r>
            <w:r>
              <w:rPr>
                <w:rFonts w:ascii="Arial" w:cs="Arial" w:eastAsia="Arial" w:hAnsi="Arial"/>
                <w:sz w:val="18"/>
                <w:szCs w:val="18"/>
                <w:color w:val="auto"/>
                <w:w w:val="90"/>
              </w:rPr>
              <w:t>123,756</w:t>
            </w:r>
          </w:p>
        </w:tc>
        <w:tc>
          <w:tcPr>
            <w:tcW w:w="660" w:type="dxa"/>
            <w:vAlign w:val="bottom"/>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6"/>
              </w:rPr>
              <w:t>$  114,284</w:t>
            </w:r>
          </w:p>
        </w:tc>
        <w:tc>
          <w:tcPr>
            <w:tcW w:w="66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82,291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31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Impact of Acquisitions</w:t>
      </w:r>
    </w:p>
    <w:p>
      <w:pPr>
        <w:spacing w:after="0" w:line="121" w:lineRule="exact"/>
        <w:rPr>
          <w:sz w:val="20"/>
          <w:szCs w:val="20"/>
          <w:color w:val="auto"/>
        </w:rPr>
      </w:pPr>
    </w:p>
    <w:p>
      <w:pPr>
        <w:ind w:left="120" w:firstLine="440"/>
        <w:spacing w:after="0" w:line="288" w:lineRule="auto"/>
        <w:rPr>
          <w:sz w:val="20"/>
          <w:szCs w:val="20"/>
          <w:color w:val="auto"/>
        </w:rPr>
      </w:pPr>
      <w:r>
        <w:rPr>
          <w:rFonts w:ascii="Arial" w:cs="Arial" w:eastAsia="Arial" w:hAnsi="Arial"/>
          <w:sz w:val="16"/>
          <w:szCs w:val="16"/>
          <w:color w:val="auto"/>
        </w:rPr>
        <w:t>We seek to enhance our platform, data and business through both internal development and acquisitions of businesses that broaden and strengthen our platform. In October 2020, we acquired Monocl, a cloud-based platform with millions of expert profiles. In December 2019, we acquired HSE, a software analytics firm that helps life science companies and healthcare providers find patient clusters who would most benefit from their products and services. In January 2019, we acquired HIMSS Analytics, a global healthcare advisor providing guidance and market intelligence solutions. In June 2016, we acquired Billian’s HealthDATA, a provider of data and analytics on U.S. healthcare organizations. In October 2015, we acquired US Lifeline, a provider of real- world data and intelligence for the healthcare supply chain. These acquisitions have strengthened our data platform and our business. Acquisitions can result in transaction costs, amortization expense and deferred revenue accounting adjustments purchase accounting requires that all assets acquired and liabilities assumed be recorded at fair value on the acquisition date, including unearned revenue. Revenue from contracts that are impacted by the estimate of fair value of the unearned revenue upon acquisition will be recorded based on the fair value until such contract is terminated or renewed, which will differ from the receipts received by the acquired company allocated over the service period for the same reporting periods.</w:t>
      </w:r>
    </w:p>
    <w:p>
      <w:pPr>
        <w:spacing w:after="0" w:line="27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Impact of the Advent Acquisition</w:t>
      </w:r>
    </w:p>
    <w:p>
      <w:pPr>
        <w:spacing w:after="0" w:line="121" w:lineRule="exact"/>
        <w:rPr>
          <w:sz w:val="20"/>
          <w:szCs w:val="20"/>
          <w:color w:val="auto"/>
        </w:rPr>
      </w:pPr>
    </w:p>
    <w:p>
      <w:pPr>
        <w:ind w:left="120" w:right="240" w:firstLine="440"/>
        <w:spacing w:after="0" w:line="277" w:lineRule="auto"/>
        <w:rPr>
          <w:sz w:val="20"/>
          <w:szCs w:val="20"/>
          <w:color w:val="auto"/>
        </w:rPr>
      </w:pPr>
      <w:r>
        <w:rPr>
          <w:rFonts w:ascii="Arial" w:cs="Arial" w:eastAsia="Arial" w:hAnsi="Arial"/>
          <w:sz w:val="18"/>
          <w:szCs w:val="18"/>
          <w:color w:val="auto"/>
        </w:rPr>
        <w:t>On July 16, 2019, Advent acquired us for $1,699.6 million, consisting of $1,129.3 million of cash and $570.3 million in equity. The acquisition was accounted for as a business combination. Accordingly, we applied</w:t>
      </w:r>
    </w:p>
    <w:p>
      <w:pPr>
        <w:spacing w:after="0" w:line="103" w:lineRule="exact"/>
        <w:rPr>
          <w:sz w:val="20"/>
          <w:szCs w:val="20"/>
          <w:color w:val="auto"/>
        </w:rPr>
      </w:pPr>
    </w:p>
    <w:p>
      <w:pPr>
        <w:jc w:val="center"/>
        <w:ind w:right="-359"/>
        <w:spacing w:after="0"/>
        <w:rPr>
          <w:sz w:val="20"/>
          <w:szCs w:val="20"/>
          <w:color w:val="auto"/>
        </w:rPr>
      </w:pPr>
      <w:r>
        <w:rPr>
          <w:rFonts w:ascii="Arial" w:cs="Arial" w:eastAsia="Arial" w:hAnsi="Arial"/>
          <w:sz w:val="18"/>
          <w:szCs w:val="18"/>
          <w:color w:val="auto"/>
        </w:rPr>
        <w:t>85</w:t>
      </w:r>
    </w:p>
    <w:p>
      <w:pPr>
        <w:sectPr>
          <w:pgSz w:w="11900" w:h="16838" w:orient="portrait"/>
          <w:cols w:equalWidth="0" w:num="1">
            <w:col w:w="11120"/>
          </w:cols>
          <w:pgMar w:left="320" w:top="459" w:right="459" w:bottom="1440" w:gutter="0" w:footer="0" w:header="0"/>
        </w:sectPr>
      </w:pPr>
    </w:p>
    <w:bookmarkStart w:id="92" w:name="page93"/>
    <w:bookmarkEnd w:id="9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Confidential Treatment Requested by Definitive Healthcare Corp.</w:t>
      </w:r>
    </w:p>
    <w:p>
      <w:pPr>
        <w:spacing w:after="0" w:line="27"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Pursuant to 17 C.F.R. Section 200.83</w:t>
      </w:r>
    </w:p>
    <w:p>
      <w:pPr>
        <w:spacing w:after="0" w:line="143" w:lineRule="exact"/>
        <w:rPr>
          <w:sz w:val="20"/>
          <w:szCs w:val="20"/>
          <w:color w:val="auto"/>
        </w:rPr>
      </w:pPr>
    </w:p>
    <w:p>
      <w:pPr>
        <w:ind w:left="120" w:right="180"/>
        <w:spacing w:after="0" w:line="291" w:lineRule="auto"/>
        <w:rPr>
          <w:sz w:val="20"/>
          <w:szCs w:val="20"/>
          <w:color w:val="auto"/>
        </w:rPr>
      </w:pPr>
      <w:r>
        <w:rPr>
          <w:rFonts w:ascii="Arial" w:cs="Arial" w:eastAsia="Arial" w:hAnsi="Arial"/>
          <w:sz w:val="16"/>
          <w:szCs w:val="16"/>
          <w:color w:val="auto"/>
        </w:rPr>
        <w:t>purchase accounting, which has resulted in increased amortization expense associated with the amortization of specified assets. In addition, we are recording deferred revenue purchase accounting adjustments related to the acquisition in Successor periods. As part of the acquisition, we entered into the 2019 Credit Agreement which provided for a $450.0 million term loan payable, a $100.0 million committed delayed draw term loan, and a $25.0 million revolving debt facility. As a result, our interest expense increased substantially and is reflected in our Successor periods consolidated financial statements. Accordingly, the consolidated financial statements for the period prior to the acquisition may not be comparable to those from the periods after. See Note 3 of the consolidated financial statements included elsewhere in this prospectus for more detail on the acquisition. We repaid the indebtedness outstanding under the credit agreement using the proceeds from the IPO and the Senior Credit Facilities (as defined herein).</w:t>
      </w:r>
    </w:p>
    <w:p>
      <w:pPr>
        <w:spacing w:after="0" w:line="270"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Components of our Results of Operations</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Revenue</w:t>
      </w:r>
    </w:p>
    <w:p>
      <w:pPr>
        <w:spacing w:after="0" w:line="117" w:lineRule="exact"/>
        <w:rPr>
          <w:sz w:val="20"/>
          <w:szCs w:val="20"/>
          <w:color w:val="auto"/>
        </w:rPr>
      </w:pPr>
    </w:p>
    <w:p>
      <w:pPr>
        <w:ind w:left="120" w:right="20" w:firstLine="440"/>
        <w:spacing w:after="0" w:line="291" w:lineRule="auto"/>
        <w:rPr>
          <w:sz w:val="20"/>
          <w:szCs w:val="20"/>
          <w:color w:val="auto"/>
        </w:rPr>
      </w:pPr>
      <w:r>
        <w:rPr>
          <w:rFonts w:ascii="Arial" w:cs="Arial" w:eastAsia="Arial" w:hAnsi="Arial"/>
          <w:sz w:val="16"/>
          <w:szCs w:val="16"/>
          <w:color w:val="auto"/>
        </w:rPr>
        <w:t>For the six months ended June 30, 2021 and the year ended December 31, 2020, we derived 99% of our revenue from subscription services and the remainder from professional services. Our subscription services consist primarily of subscription fees for access to our platform. Our subscription contracts typically have a term ranging from 1 to 3 years and are non-cancellable. We typically bill for services in advance annually, and we typically require payment at the beginning of each annual period. A substantial majority of our subscription revenue is recognized ratably over the contract term. Our professional services revenue typically is derived from consulting services which are generally capable of being distinct and can be accounted for as separate performance obligations. Revenue related to these professional services is insignificant and is recognized at a point in time, when the performance obligations under the terms of the contract are satisfied and control has been transferred to the customer.</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Cost of Revenue</w:t>
      </w:r>
    </w:p>
    <w:p>
      <w:pPr>
        <w:spacing w:after="0" w:line="117" w:lineRule="exact"/>
        <w:rPr>
          <w:sz w:val="20"/>
          <w:szCs w:val="20"/>
          <w:color w:val="auto"/>
        </w:rPr>
      </w:pPr>
    </w:p>
    <w:p>
      <w:pPr>
        <w:ind w:left="120" w:right="80" w:firstLine="440"/>
        <w:spacing w:after="0" w:line="293" w:lineRule="auto"/>
        <w:rPr>
          <w:sz w:val="20"/>
          <w:szCs w:val="20"/>
          <w:color w:val="auto"/>
        </w:rPr>
      </w:pPr>
      <w:r>
        <w:rPr>
          <w:rFonts w:ascii="Arial" w:cs="Arial" w:eastAsia="Arial" w:hAnsi="Arial"/>
          <w:sz w:val="16"/>
          <w:szCs w:val="16"/>
          <w:i w:val="1"/>
          <w:iCs w:val="1"/>
          <w:color w:val="auto"/>
        </w:rPr>
        <w:t xml:space="preserve">Cost of Revenue. </w:t>
      </w:r>
      <w:r>
        <w:rPr>
          <w:rFonts w:ascii="Arial" w:cs="Arial" w:eastAsia="Arial" w:hAnsi="Arial"/>
          <w:sz w:val="16"/>
          <w:szCs w:val="16"/>
          <w:color w:val="auto"/>
        </w:rPr>
        <w:t>Cost of revenue, excluding amortization of acquired technology and data, consists of direct expenses related to the support and</w:t>
      </w:r>
      <w:r>
        <w:rPr>
          <w:rFonts w:ascii="Arial" w:cs="Arial" w:eastAsia="Arial" w:hAnsi="Arial"/>
          <w:sz w:val="16"/>
          <w:szCs w:val="16"/>
          <w:i w:val="1"/>
          <w:iCs w:val="1"/>
          <w:color w:val="auto"/>
        </w:rPr>
        <w:t xml:space="preserve"> </w:t>
      </w:r>
      <w:r>
        <w:rPr>
          <w:rFonts w:ascii="Arial" w:cs="Arial" w:eastAsia="Arial" w:hAnsi="Arial"/>
          <w:sz w:val="16"/>
          <w:szCs w:val="16"/>
          <w:color w:val="auto"/>
        </w:rPr>
        <w:t>operations of our SaaS platform, such as data and infrastructure costs, personnel costs for our professional services, customer support and data research teams, such as salaries, bonuses, stock-based compensation, and other employee-related benefits, as well as allocated overheads and expenses related to third party subscription services that manage our billing. We anticipate that we will continue to invest in cost of revenue and that cost of revenue as a percentage of revenue will stay consistent or modestly increase as we add to our existing intelligence modules and invest in new products and data sources. Cost of data is included in the cost of revenue and is a fundamental driver of innovation.</w:t>
      </w:r>
    </w:p>
    <w:p>
      <w:pPr>
        <w:spacing w:after="0" w:line="164" w:lineRule="exact"/>
        <w:rPr>
          <w:sz w:val="20"/>
          <w:szCs w:val="20"/>
          <w:color w:val="auto"/>
        </w:rPr>
      </w:pPr>
    </w:p>
    <w:p>
      <w:pPr>
        <w:ind w:left="120" w:right="500" w:firstLine="440"/>
        <w:spacing w:after="0" w:line="277" w:lineRule="auto"/>
        <w:rPr>
          <w:sz w:val="20"/>
          <w:szCs w:val="20"/>
          <w:color w:val="auto"/>
        </w:rPr>
      </w:pPr>
      <w:r>
        <w:rPr>
          <w:rFonts w:ascii="Arial" w:cs="Arial" w:eastAsia="Arial" w:hAnsi="Arial"/>
          <w:sz w:val="18"/>
          <w:szCs w:val="18"/>
          <w:i w:val="1"/>
          <w:iCs w:val="1"/>
          <w:color w:val="auto"/>
        </w:rPr>
        <w:t>Amortization</w:t>
      </w:r>
      <w:r>
        <w:rPr>
          <w:rFonts w:ascii="Arial" w:cs="Arial" w:eastAsia="Arial" w:hAnsi="Arial"/>
          <w:sz w:val="18"/>
          <w:szCs w:val="18"/>
          <w:color w:val="auto"/>
        </w:rPr>
        <w:t>. Includes amortization expense for technology and data acquired in business combinations and asset purchase agreements. We</w:t>
      </w:r>
      <w:r>
        <w:rPr>
          <w:rFonts w:ascii="Arial" w:cs="Arial" w:eastAsia="Arial" w:hAnsi="Arial"/>
          <w:sz w:val="18"/>
          <w:szCs w:val="18"/>
          <w:i w:val="1"/>
          <w:iCs w:val="1"/>
          <w:color w:val="auto"/>
        </w:rPr>
        <w:t xml:space="preserve"> </w:t>
      </w:r>
      <w:r>
        <w:rPr>
          <w:rFonts w:ascii="Arial" w:cs="Arial" w:eastAsia="Arial" w:hAnsi="Arial"/>
          <w:sz w:val="18"/>
          <w:szCs w:val="18"/>
          <w:color w:val="auto"/>
        </w:rPr>
        <w:t>anticipate that amortization will only increase if we make additional acquisitions in the future.</w:t>
      </w:r>
    </w:p>
    <w:p>
      <w:pPr>
        <w:spacing w:after="0" w:line="27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Gross Profit</w:t>
      </w:r>
    </w:p>
    <w:p>
      <w:pPr>
        <w:spacing w:after="0" w:line="117" w:lineRule="exact"/>
        <w:rPr>
          <w:sz w:val="20"/>
          <w:szCs w:val="20"/>
          <w:color w:val="auto"/>
        </w:rPr>
      </w:pPr>
    </w:p>
    <w:p>
      <w:pPr>
        <w:ind w:left="120" w:firstLine="440"/>
        <w:spacing w:after="0" w:line="257" w:lineRule="auto"/>
        <w:rPr>
          <w:sz w:val="20"/>
          <w:szCs w:val="20"/>
          <w:color w:val="auto"/>
        </w:rPr>
      </w:pPr>
      <w:r>
        <w:rPr>
          <w:rFonts w:ascii="Arial" w:cs="Arial" w:eastAsia="Arial" w:hAnsi="Arial"/>
          <w:sz w:val="18"/>
          <w:szCs w:val="18"/>
          <w:color w:val="auto"/>
        </w:rPr>
        <w:t>Gross profit is revenue less cost of revenue, and gross margin is gross profit as a percentage of revenue. Gross profit and gross margin have been and will continue to be affected by various factors, including the costs associated with third-party data and third-party hosting services, leveraging economies of scale, and the extent to which we introduce new intelligence modules, features or functionality or expand our customer support and service organizations, hire additional personnel or complete additional acquisitions. We expect that our gross profit and gross margin will fluctuate from period to period depending on the interplay of these various factors.</w:t>
      </w:r>
    </w:p>
    <w:p>
      <w:pPr>
        <w:spacing w:after="0" w:line="120"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86</w:t>
      </w:r>
    </w:p>
    <w:p>
      <w:pPr>
        <w:sectPr>
          <w:pgSz w:w="11900" w:h="16838" w:orient="portrait"/>
          <w:cols w:equalWidth="0" w:num="1">
            <w:col w:w="11120"/>
          </w:cols>
          <w:pgMar w:left="320" w:top="459" w:right="459" w:bottom="1440" w:gutter="0" w:footer="0" w:header="0"/>
        </w:sectPr>
      </w:pPr>
    </w:p>
    <w:bookmarkStart w:id="93" w:name="page94"/>
    <w:bookmarkEnd w:id="9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Confidential Treatment Requested by Definitive Healthcare Corp.</w:t>
      </w:r>
    </w:p>
    <w:p>
      <w:pPr>
        <w:spacing w:after="0" w:line="27"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Pursuant to 17 C.F.R. Section 200.83</w:t>
      </w:r>
    </w:p>
    <w:p>
      <w:pPr>
        <w:spacing w:after="0" w:line="143"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Operating Expenses</w:t>
      </w:r>
    </w:p>
    <w:p>
      <w:pPr>
        <w:spacing w:after="0" w:line="117" w:lineRule="exact"/>
        <w:rPr>
          <w:sz w:val="20"/>
          <w:szCs w:val="20"/>
          <w:color w:val="auto"/>
        </w:rPr>
      </w:pPr>
    </w:p>
    <w:p>
      <w:pPr>
        <w:ind w:left="120" w:right="140" w:firstLine="440"/>
        <w:spacing w:after="0" w:line="263" w:lineRule="auto"/>
        <w:rPr>
          <w:sz w:val="20"/>
          <w:szCs w:val="20"/>
          <w:color w:val="auto"/>
        </w:rPr>
      </w:pPr>
      <w:r>
        <w:rPr>
          <w:rFonts w:ascii="Arial" w:cs="Arial" w:eastAsia="Arial" w:hAnsi="Arial"/>
          <w:sz w:val="18"/>
          <w:szCs w:val="18"/>
          <w:color w:val="auto"/>
        </w:rPr>
        <w:t>The most significant component of our operating expenses is personnel costs, which consist of salaries, bonuses, sales commissions, stock-based compensation, and other employee-related benefits. Operating expenses also include non-personnel costs such as facilities, technology, professional fees, and marketing.</w:t>
      </w:r>
    </w:p>
    <w:p>
      <w:pPr>
        <w:spacing w:after="0" w:line="157" w:lineRule="exact"/>
        <w:rPr>
          <w:sz w:val="20"/>
          <w:szCs w:val="20"/>
          <w:color w:val="auto"/>
        </w:rPr>
      </w:pPr>
    </w:p>
    <w:p>
      <w:pPr>
        <w:ind w:left="120" w:right="60" w:firstLine="440"/>
        <w:spacing w:after="0" w:line="296" w:lineRule="auto"/>
        <w:rPr>
          <w:sz w:val="20"/>
          <w:szCs w:val="20"/>
          <w:color w:val="auto"/>
        </w:rPr>
      </w:pPr>
      <w:r>
        <w:rPr>
          <w:rFonts w:ascii="Arial" w:cs="Arial" w:eastAsia="Arial" w:hAnsi="Arial"/>
          <w:sz w:val="16"/>
          <w:szCs w:val="16"/>
          <w:i w:val="1"/>
          <w:iCs w:val="1"/>
          <w:color w:val="auto"/>
        </w:rPr>
        <w:t>Sales and marketing</w:t>
      </w:r>
      <w:r>
        <w:rPr>
          <w:rFonts w:ascii="Arial" w:cs="Arial" w:eastAsia="Arial" w:hAnsi="Arial"/>
          <w:sz w:val="16"/>
          <w:szCs w:val="16"/>
          <w:color w:val="auto"/>
        </w:rPr>
        <w:t>. Sales and marketing expenses primarily consist of personnel costs such as salaries, bonuses, sales commissions, stock-based</w:t>
      </w:r>
      <w:r>
        <w:rPr>
          <w:rFonts w:ascii="Arial" w:cs="Arial" w:eastAsia="Arial" w:hAnsi="Arial"/>
          <w:sz w:val="16"/>
          <w:szCs w:val="16"/>
          <w:i w:val="1"/>
          <w:iCs w:val="1"/>
          <w:color w:val="auto"/>
        </w:rPr>
        <w:t xml:space="preserve"> </w:t>
      </w:r>
      <w:r>
        <w:rPr>
          <w:rFonts w:ascii="Arial" w:cs="Arial" w:eastAsia="Arial" w:hAnsi="Arial"/>
          <w:sz w:val="16"/>
          <w:szCs w:val="16"/>
          <w:color w:val="auto"/>
        </w:rPr>
        <w:t>compensation, and other employee-related benefits for our sales and marketing teams, as well as non-personnel costs including overhead costs, technology and marketing costs. We expect that sales and marketing expenses as a percentage of revenue will continue to increase in 2021 and may stay consistent or moderately decrease thereafter, as we realize operating leverage in the business. We continue to hire additional sales and marketing personnel, enhance our digital marketing infrastructure and invest in marketing programs targeting our major vertical markets.</w:t>
      </w:r>
    </w:p>
    <w:p>
      <w:pPr>
        <w:spacing w:after="0" w:line="121" w:lineRule="exact"/>
        <w:rPr>
          <w:sz w:val="20"/>
          <w:szCs w:val="20"/>
          <w:color w:val="auto"/>
        </w:rPr>
      </w:pPr>
    </w:p>
    <w:p>
      <w:pPr>
        <w:ind w:left="120" w:firstLine="440"/>
        <w:spacing w:after="0" w:line="293" w:lineRule="auto"/>
        <w:rPr>
          <w:sz w:val="20"/>
          <w:szCs w:val="20"/>
          <w:color w:val="auto"/>
        </w:rPr>
      </w:pPr>
      <w:r>
        <w:rPr>
          <w:rFonts w:ascii="Arial" w:cs="Arial" w:eastAsia="Arial" w:hAnsi="Arial"/>
          <w:sz w:val="16"/>
          <w:szCs w:val="16"/>
          <w:i w:val="1"/>
          <w:iCs w:val="1"/>
          <w:color w:val="auto"/>
        </w:rPr>
        <w:t>Product development</w:t>
      </w:r>
      <w:r>
        <w:rPr>
          <w:rFonts w:ascii="Arial" w:cs="Arial" w:eastAsia="Arial" w:hAnsi="Arial"/>
          <w:sz w:val="16"/>
          <w:szCs w:val="16"/>
          <w:color w:val="auto"/>
        </w:rPr>
        <w:t>. Product development expenses primarily consist of personnel costs such as salaries, bonuses, stock-based compensation,</w:t>
      </w:r>
      <w:r>
        <w:rPr>
          <w:rFonts w:ascii="Arial" w:cs="Arial" w:eastAsia="Arial" w:hAnsi="Arial"/>
          <w:sz w:val="16"/>
          <w:szCs w:val="16"/>
          <w:i w:val="1"/>
          <w:iCs w:val="1"/>
          <w:color w:val="auto"/>
        </w:rPr>
        <w:t xml:space="preserve"> </w:t>
      </w:r>
      <w:r>
        <w:rPr>
          <w:rFonts w:ascii="Arial" w:cs="Arial" w:eastAsia="Arial" w:hAnsi="Arial"/>
          <w:sz w:val="16"/>
          <w:szCs w:val="16"/>
          <w:color w:val="auto"/>
        </w:rPr>
        <w:t>and other employee-related benefits for our engineering, data science and product teams, as well as non-personnel costs including overhead costs. We believe that our core technologies and ongoing innovation represent a significant competitive advantage for us, and we expect our product development expenses to continue to increase as we further strengthen and enhance our solutions. We anticipate that product development expense as a percentage of revenue will stay consistent or modestly increase as we continue to invest in systems optimization and module improvements for our customers, enhance our software development team and continue to invest in automation and A.I. to drive higher quality data and deeper insights.</w:t>
      </w:r>
    </w:p>
    <w:p>
      <w:pPr>
        <w:spacing w:after="0" w:line="124" w:lineRule="exact"/>
        <w:rPr>
          <w:sz w:val="20"/>
          <w:szCs w:val="20"/>
          <w:color w:val="auto"/>
        </w:rPr>
      </w:pPr>
    </w:p>
    <w:p>
      <w:pPr>
        <w:ind w:left="120" w:right="200" w:firstLine="440"/>
        <w:spacing w:after="0" w:line="290" w:lineRule="auto"/>
        <w:rPr>
          <w:sz w:val="20"/>
          <w:szCs w:val="20"/>
          <w:color w:val="auto"/>
        </w:rPr>
      </w:pPr>
      <w:r>
        <w:rPr>
          <w:rFonts w:ascii="Arial" w:cs="Arial" w:eastAsia="Arial" w:hAnsi="Arial"/>
          <w:sz w:val="16"/>
          <w:szCs w:val="16"/>
          <w:i w:val="1"/>
          <w:iCs w:val="1"/>
          <w:color w:val="auto"/>
        </w:rPr>
        <w:t>General and administrative</w:t>
      </w:r>
      <w:r>
        <w:rPr>
          <w:rFonts w:ascii="Arial" w:cs="Arial" w:eastAsia="Arial" w:hAnsi="Arial"/>
          <w:sz w:val="16"/>
          <w:szCs w:val="16"/>
          <w:color w:val="auto"/>
        </w:rPr>
        <w:t>. General and administrative expenses primarily consist of personnel costs such as salaries, bonuses, stock-based</w:t>
      </w:r>
      <w:r>
        <w:rPr>
          <w:rFonts w:ascii="Arial" w:cs="Arial" w:eastAsia="Arial" w:hAnsi="Arial"/>
          <w:sz w:val="16"/>
          <w:szCs w:val="16"/>
          <w:i w:val="1"/>
          <w:iCs w:val="1"/>
          <w:color w:val="auto"/>
        </w:rPr>
        <w:t xml:space="preserve"> </w:t>
      </w:r>
      <w:r>
        <w:rPr>
          <w:rFonts w:ascii="Arial" w:cs="Arial" w:eastAsia="Arial" w:hAnsi="Arial"/>
          <w:sz w:val="16"/>
          <w:szCs w:val="16"/>
          <w:color w:val="auto"/>
        </w:rPr>
        <w:t>compensation, and other employee-related benefits for our executive, finance, legal, human resources, IT and operations, and administrative teams, as well as non-personnel costs including overhead costs, professional fees, third party payment processor fees and other corporate expenses including expenses associated with preparation for this public offering. We anticipate that general and administrative costs will significantly increase relative to prior periods due to the incremental costs associated with operating as a public company, including incremental costs arising from higher stock-based compensation, corporate insurance costs, additional accounting and legal expenses, and additional resources associated with controls, reporting, and disclosure. We expect general and administrative costs as a percentage of revenue to increase in 2021 and again in 2022, and then stay consistent or modestly decrease thereafter, as we realize operating leverage in the business.</w:t>
      </w:r>
    </w:p>
    <w:p>
      <w:pPr>
        <w:spacing w:after="0" w:line="138" w:lineRule="exact"/>
        <w:rPr>
          <w:sz w:val="20"/>
          <w:szCs w:val="20"/>
          <w:color w:val="auto"/>
        </w:rPr>
      </w:pPr>
    </w:p>
    <w:p>
      <w:pPr>
        <w:ind w:left="120" w:right="160" w:firstLine="440"/>
        <w:spacing w:after="0" w:line="259" w:lineRule="auto"/>
        <w:rPr>
          <w:sz w:val="20"/>
          <w:szCs w:val="20"/>
          <w:color w:val="auto"/>
        </w:rPr>
      </w:pPr>
      <w:r>
        <w:rPr>
          <w:rFonts w:ascii="Arial" w:cs="Arial" w:eastAsia="Arial" w:hAnsi="Arial"/>
          <w:sz w:val="18"/>
          <w:szCs w:val="18"/>
          <w:i w:val="1"/>
          <w:iCs w:val="1"/>
          <w:color w:val="auto"/>
        </w:rPr>
        <w:t xml:space="preserve">Depreciation and Amortization. </w:t>
      </w:r>
      <w:r>
        <w:rPr>
          <w:rFonts w:ascii="Arial" w:cs="Arial" w:eastAsia="Arial" w:hAnsi="Arial"/>
          <w:sz w:val="18"/>
          <w:szCs w:val="18"/>
          <w:color w:val="auto"/>
        </w:rPr>
        <w:t>Depreciation and amortization expenses consist primarily of amortization of customer relationships and trade</w:t>
      </w:r>
      <w:r>
        <w:rPr>
          <w:rFonts w:ascii="Arial" w:cs="Arial" w:eastAsia="Arial" w:hAnsi="Arial"/>
          <w:sz w:val="18"/>
          <w:szCs w:val="18"/>
          <w:i w:val="1"/>
          <w:iCs w:val="1"/>
          <w:color w:val="auto"/>
        </w:rPr>
        <w:t xml:space="preserve"> </w:t>
      </w:r>
      <w:r>
        <w:rPr>
          <w:rFonts w:ascii="Arial" w:cs="Arial" w:eastAsia="Arial" w:hAnsi="Arial"/>
          <w:sz w:val="18"/>
          <w:szCs w:val="18"/>
          <w:color w:val="auto"/>
        </w:rPr>
        <w:t>names primarily as a result of the accounting for the Advent acquisition, as well as depreciation of property and equipment. We anticipate depreciation of property and equipment as a percentage of revenue to remain consistent or moderately decrease. Amortization will increase if we make additional acquisitions in the future.</w:t>
      </w:r>
    </w:p>
    <w:p>
      <w:pPr>
        <w:spacing w:after="0" w:line="146" w:lineRule="exact"/>
        <w:rPr>
          <w:sz w:val="20"/>
          <w:szCs w:val="20"/>
          <w:color w:val="auto"/>
        </w:rPr>
      </w:pPr>
    </w:p>
    <w:p>
      <w:pPr>
        <w:ind w:left="120" w:right="220" w:firstLine="440"/>
        <w:spacing w:after="0" w:line="308" w:lineRule="auto"/>
        <w:rPr>
          <w:sz w:val="20"/>
          <w:szCs w:val="20"/>
          <w:color w:val="auto"/>
        </w:rPr>
      </w:pPr>
      <w:r>
        <w:rPr>
          <w:rFonts w:ascii="Arial" w:cs="Arial" w:eastAsia="Arial" w:hAnsi="Arial"/>
          <w:sz w:val="17"/>
          <w:szCs w:val="17"/>
          <w:i w:val="1"/>
          <w:iCs w:val="1"/>
          <w:color w:val="auto"/>
        </w:rPr>
        <w:t xml:space="preserve">Transaction expenses. </w:t>
      </w:r>
      <w:r>
        <w:rPr>
          <w:rFonts w:ascii="Arial" w:cs="Arial" w:eastAsia="Arial" w:hAnsi="Arial"/>
          <w:sz w:val="17"/>
          <w:szCs w:val="17"/>
          <w:color w:val="auto"/>
        </w:rPr>
        <w:t>Transaction expenses are costs directly associated with various acquisition and integration activities we have undertaken,</w:t>
      </w:r>
      <w:r>
        <w:rPr>
          <w:rFonts w:ascii="Arial" w:cs="Arial" w:eastAsia="Arial" w:hAnsi="Arial"/>
          <w:sz w:val="17"/>
          <w:szCs w:val="17"/>
          <w:i w:val="1"/>
          <w:iCs w:val="1"/>
          <w:color w:val="auto"/>
        </w:rPr>
        <w:t xml:space="preserve"> </w:t>
      </w:r>
      <w:r>
        <w:rPr>
          <w:rFonts w:ascii="Arial" w:cs="Arial" w:eastAsia="Arial" w:hAnsi="Arial"/>
          <w:sz w:val="17"/>
          <w:szCs w:val="17"/>
          <w:color w:val="auto"/>
        </w:rPr>
        <w:t>primarily accounting, legal due diligence, consulting and advisory fees, and fair value adjustments for contingent consideration.</w:t>
      </w:r>
    </w:p>
    <w:p>
      <w:pPr>
        <w:spacing w:after="0" w:line="254"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Other Expense, Net</w:t>
      </w:r>
    </w:p>
    <w:p>
      <w:pPr>
        <w:spacing w:after="0" w:line="117" w:lineRule="exact"/>
        <w:rPr>
          <w:sz w:val="20"/>
          <w:szCs w:val="20"/>
          <w:color w:val="auto"/>
        </w:rPr>
      </w:pPr>
    </w:p>
    <w:p>
      <w:pPr>
        <w:ind w:left="560"/>
        <w:spacing w:after="0"/>
        <w:rPr>
          <w:sz w:val="20"/>
          <w:szCs w:val="20"/>
          <w:color w:val="auto"/>
        </w:rPr>
      </w:pPr>
      <w:r>
        <w:rPr>
          <w:rFonts w:ascii="Arial" w:cs="Arial" w:eastAsia="Arial" w:hAnsi="Arial"/>
          <w:sz w:val="18"/>
          <w:szCs w:val="18"/>
          <w:color w:val="auto"/>
        </w:rPr>
        <w:t>Other expense, net consists primarily of interest expense, net and foreign currency transaction gains or loss.</w:t>
      </w:r>
    </w:p>
    <w:p>
      <w:pPr>
        <w:spacing w:after="0" w:line="225" w:lineRule="exact"/>
        <w:rPr>
          <w:sz w:val="20"/>
          <w:szCs w:val="20"/>
          <w:color w:val="auto"/>
        </w:rPr>
      </w:pPr>
    </w:p>
    <w:p>
      <w:pPr>
        <w:ind w:left="120" w:firstLine="440"/>
        <w:spacing w:after="0" w:line="263" w:lineRule="auto"/>
        <w:rPr>
          <w:sz w:val="20"/>
          <w:szCs w:val="20"/>
          <w:color w:val="auto"/>
        </w:rPr>
      </w:pPr>
      <w:r>
        <w:rPr>
          <w:rFonts w:ascii="Arial" w:cs="Arial" w:eastAsia="Arial" w:hAnsi="Arial"/>
          <w:sz w:val="18"/>
          <w:szCs w:val="18"/>
          <w:i w:val="1"/>
          <w:iCs w:val="1"/>
          <w:color w:val="auto"/>
        </w:rPr>
        <w:t xml:space="preserve">Interest expense, net. </w:t>
      </w:r>
      <w:r>
        <w:rPr>
          <w:rFonts w:ascii="Arial" w:cs="Arial" w:eastAsia="Arial" w:hAnsi="Arial"/>
          <w:sz w:val="18"/>
          <w:szCs w:val="18"/>
          <w:color w:val="auto"/>
        </w:rPr>
        <w:t>Interest expense, net consists primarily of interest expense on our debt obligations and the amortization of debt discounts and</w:t>
      </w:r>
      <w:r>
        <w:rPr>
          <w:rFonts w:ascii="Arial" w:cs="Arial" w:eastAsia="Arial" w:hAnsi="Arial"/>
          <w:sz w:val="18"/>
          <w:szCs w:val="18"/>
          <w:i w:val="1"/>
          <w:iCs w:val="1"/>
          <w:color w:val="auto"/>
        </w:rPr>
        <w:t xml:space="preserve"> </w:t>
      </w:r>
      <w:r>
        <w:rPr>
          <w:rFonts w:ascii="Arial" w:cs="Arial" w:eastAsia="Arial" w:hAnsi="Arial"/>
          <w:sz w:val="18"/>
          <w:szCs w:val="18"/>
          <w:color w:val="auto"/>
        </w:rPr>
        <w:t>debt issuance costs, less interest income. We expect to realize a reduction in our interest expense during 2021 over prior periods as we plan to repay a portion of our outstanding indebtedness with the proceeds from this offering.</w:t>
      </w:r>
    </w:p>
    <w:p>
      <w:pPr>
        <w:spacing w:after="0" w:line="116"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87</w:t>
      </w:r>
    </w:p>
    <w:p>
      <w:pPr>
        <w:sectPr>
          <w:pgSz w:w="11900" w:h="16838" w:orient="portrait"/>
          <w:cols w:equalWidth="0" w:num="1">
            <w:col w:w="11120"/>
          </w:cols>
          <w:pgMar w:left="320" w:top="459" w:right="459" w:bottom="1440" w:gutter="0" w:footer="0" w:header="0"/>
        </w:sectPr>
      </w:pPr>
    </w:p>
    <w:bookmarkStart w:id="94" w:name="page95"/>
    <w:bookmarkEnd w:id="9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Confidential Treatment Requested by Definitive Healthcare Corp.</w:t>
      </w:r>
    </w:p>
    <w:p>
      <w:pPr>
        <w:spacing w:after="0" w:line="27"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Pursuant to 17 C.F.R. Section 200.83</w:t>
      </w:r>
    </w:p>
    <w:p>
      <w:pPr>
        <w:spacing w:after="0" w:line="143" w:lineRule="exact"/>
        <w:rPr>
          <w:sz w:val="20"/>
          <w:szCs w:val="20"/>
          <w:color w:val="auto"/>
        </w:rPr>
      </w:pPr>
    </w:p>
    <w:p>
      <w:pPr>
        <w:ind w:left="120" w:right="240" w:firstLine="440"/>
        <w:spacing w:after="0" w:line="263" w:lineRule="auto"/>
        <w:rPr>
          <w:sz w:val="20"/>
          <w:szCs w:val="20"/>
          <w:color w:val="auto"/>
        </w:rPr>
      </w:pPr>
      <w:r>
        <w:rPr>
          <w:rFonts w:ascii="Arial" w:cs="Arial" w:eastAsia="Arial" w:hAnsi="Arial"/>
          <w:sz w:val="18"/>
          <w:szCs w:val="18"/>
          <w:i w:val="1"/>
          <w:iCs w:val="1"/>
          <w:color w:val="auto"/>
        </w:rPr>
        <w:t>Foreign currency transaction loss</w:t>
      </w:r>
      <w:r>
        <w:rPr>
          <w:rFonts w:ascii="Arial" w:cs="Arial" w:eastAsia="Arial" w:hAnsi="Arial"/>
          <w:sz w:val="18"/>
          <w:szCs w:val="18"/>
          <w:color w:val="auto"/>
        </w:rPr>
        <w:t>. Foreign currency transaction loss consists primarily of realized and unrealized gains and losses related to the</w:t>
      </w:r>
      <w:r>
        <w:rPr>
          <w:rFonts w:ascii="Arial" w:cs="Arial" w:eastAsia="Arial" w:hAnsi="Arial"/>
          <w:sz w:val="18"/>
          <w:szCs w:val="18"/>
          <w:i w:val="1"/>
          <w:iCs w:val="1"/>
          <w:color w:val="auto"/>
        </w:rPr>
        <w:t xml:space="preserve"> </w:t>
      </w:r>
      <w:r>
        <w:rPr>
          <w:rFonts w:ascii="Arial" w:cs="Arial" w:eastAsia="Arial" w:hAnsi="Arial"/>
          <w:sz w:val="18"/>
          <w:szCs w:val="18"/>
          <w:color w:val="auto"/>
        </w:rPr>
        <w:t>impact of transactions denominated in a foreign currency. We do not have significant exposure to foreign exchange volatility and do not anticipate foreign currency transaction gains or losses to materially impact our results of operations.</w:t>
      </w:r>
    </w:p>
    <w:p>
      <w:pPr>
        <w:spacing w:after="0" w:line="28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Results of Operations</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following table sets forth a summary of our consolidated statements of operations for the periods presented:</w:t>
      </w:r>
    </w:p>
    <w:p>
      <w:pPr>
        <w:spacing w:after="0" w:line="231" w:lineRule="exact"/>
        <w:rPr>
          <w:sz w:val="20"/>
          <w:szCs w:val="20"/>
          <w:color w:val="auto"/>
        </w:rPr>
      </w:pPr>
    </w:p>
    <w:tbl>
      <w:tblPr>
        <w:tblLayout w:type="fixed"/>
        <w:tblInd w:w="120" w:type="dxa"/>
        <w:tblCellMar>
          <w:top w:w="0" w:type="dxa"/>
          <w:left w:w="0" w:type="dxa"/>
          <w:bottom w:w="0" w:type="dxa"/>
          <w:right w:w="0" w:type="dxa"/>
        </w:tblCellMar>
      </w:tblPr>
      <w:tr>
        <w:trPr>
          <w:trHeight w:val="35"/>
        </w:trPr>
        <w:tc>
          <w:tcPr>
            <w:tcW w:w="3960" w:type="dxa"/>
            <w:vAlign w:val="bottom"/>
          </w:tcPr>
          <w:p>
            <w:pPr>
              <w:spacing w:after="0"/>
              <w:rPr>
                <w:sz w:val="3"/>
                <w:szCs w:val="3"/>
                <w:color w:val="auto"/>
              </w:rPr>
            </w:pPr>
          </w:p>
        </w:tc>
        <w:tc>
          <w:tcPr>
            <w:tcW w:w="100" w:type="dxa"/>
            <w:vAlign w:val="bottom"/>
          </w:tcPr>
          <w:p>
            <w:pPr>
              <w:spacing w:after="0"/>
              <w:rPr>
                <w:sz w:val="3"/>
                <w:szCs w:val="3"/>
                <w:color w:val="auto"/>
              </w:rPr>
            </w:pPr>
          </w:p>
        </w:tc>
        <w:tc>
          <w:tcPr>
            <w:tcW w:w="660" w:type="dxa"/>
            <w:vAlign w:val="bottom"/>
          </w:tcPr>
          <w:p>
            <w:pPr>
              <w:spacing w:after="0"/>
              <w:rPr>
                <w:sz w:val="3"/>
                <w:szCs w:val="3"/>
                <w:color w:val="auto"/>
              </w:rPr>
            </w:pPr>
          </w:p>
        </w:tc>
        <w:tc>
          <w:tcPr>
            <w:tcW w:w="220" w:type="dxa"/>
            <w:vAlign w:val="bottom"/>
          </w:tcPr>
          <w:p>
            <w:pPr>
              <w:spacing w:after="0"/>
              <w:rPr>
                <w:sz w:val="3"/>
                <w:szCs w:val="3"/>
                <w:color w:val="auto"/>
              </w:rPr>
            </w:pPr>
          </w:p>
        </w:tc>
        <w:tc>
          <w:tcPr>
            <w:tcW w:w="140" w:type="dxa"/>
            <w:vAlign w:val="bottom"/>
          </w:tcPr>
          <w:p>
            <w:pPr>
              <w:spacing w:after="0"/>
              <w:rPr>
                <w:sz w:val="3"/>
                <w:szCs w:val="3"/>
                <w:color w:val="auto"/>
              </w:rPr>
            </w:pPr>
          </w:p>
        </w:tc>
        <w:tc>
          <w:tcPr>
            <w:tcW w:w="160" w:type="dxa"/>
            <w:vAlign w:val="bottom"/>
          </w:tcPr>
          <w:p>
            <w:pPr>
              <w:spacing w:after="0"/>
              <w:rPr>
                <w:sz w:val="3"/>
                <w:szCs w:val="3"/>
                <w:color w:val="auto"/>
              </w:rPr>
            </w:pPr>
          </w:p>
        </w:tc>
        <w:tc>
          <w:tcPr>
            <w:tcW w:w="620" w:type="dxa"/>
            <w:vAlign w:val="bottom"/>
          </w:tcPr>
          <w:p>
            <w:pPr>
              <w:spacing w:after="0"/>
              <w:rPr>
                <w:sz w:val="3"/>
                <w:szCs w:val="3"/>
                <w:color w:val="auto"/>
              </w:rPr>
            </w:pPr>
          </w:p>
        </w:tc>
        <w:tc>
          <w:tcPr>
            <w:tcW w:w="60" w:type="dxa"/>
            <w:vAlign w:val="bottom"/>
          </w:tcPr>
          <w:p>
            <w:pPr>
              <w:spacing w:after="0"/>
              <w:rPr>
                <w:sz w:val="3"/>
                <w:szCs w:val="3"/>
                <w:color w:val="auto"/>
              </w:rPr>
            </w:pPr>
          </w:p>
        </w:tc>
        <w:tc>
          <w:tcPr>
            <w:tcW w:w="1820" w:type="dxa"/>
            <w:vAlign w:val="bottom"/>
            <w:gridSpan w:val="4"/>
            <w:vMerge w:val="restart"/>
          </w:tcPr>
          <w:p>
            <w:pPr>
              <w:jc w:val="center"/>
              <w:ind w:right="780"/>
              <w:spacing w:after="0"/>
              <w:rPr>
                <w:sz w:val="20"/>
                <w:szCs w:val="20"/>
                <w:color w:val="auto"/>
              </w:rPr>
            </w:pPr>
            <w:r>
              <w:rPr>
                <w:rFonts w:ascii="Arial" w:cs="Arial" w:eastAsia="Arial" w:hAnsi="Arial"/>
                <w:sz w:val="14"/>
                <w:szCs w:val="14"/>
                <w:b w:val="1"/>
                <w:bCs w:val="1"/>
                <w:color w:val="auto"/>
                <w:w w:val="95"/>
              </w:rPr>
              <w:t>Definitive OpCo</w:t>
            </w:r>
          </w:p>
        </w:tc>
        <w:tc>
          <w:tcPr>
            <w:tcW w:w="100" w:type="dxa"/>
            <w:vAlign w:val="bottom"/>
          </w:tcPr>
          <w:p>
            <w:pPr>
              <w:spacing w:after="0"/>
              <w:rPr>
                <w:sz w:val="3"/>
                <w:szCs w:val="3"/>
                <w:color w:val="auto"/>
              </w:rPr>
            </w:pPr>
          </w:p>
        </w:tc>
        <w:tc>
          <w:tcPr>
            <w:tcW w:w="1060" w:type="dxa"/>
            <w:vAlign w:val="bottom"/>
          </w:tcPr>
          <w:p>
            <w:pPr>
              <w:spacing w:after="0"/>
              <w:rPr>
                <w:sz w:val="3"/>
                <w:szCs w:val="3"/>
                <w:color w:val="auto"/>
              </w:rPr>
            </w:pPr>
          </w:p>
        </w:tc>
        <w:tc>
          <w:tcPr>
            <w:tcW w:w="480" w:type="dxa"/>
            <w:vAlign w:val="bottom"/>
          </w:tcPr>
          <w:p>
            <w:pPr>
              <w:spacing w:after="0"/>
              <w:rPr>
                <w:sz w:val="3"/>
                <w:szCs w:val="3"/>
                <w:color w:val="auto"/>
              </w:rPr>
            </w:pPr>
          </w:p>
        </w:tc>
        <w:tc>
          <w:tcPr>
            <w:tcW w:w="220" w:type="dxa"/>
            <w:vAlign w:val="bottom"/>
          </w:tcPr>
          <w:p>
            <w:pPr>
              <w:spacing w:after="0"/>
              <w:rPr>
                <w:sz w:val="3"/>
                <w:szCs w:val="3"/>
                <w:color w:val="auto"/>
              </w:rPr>
            </w:pPr>
          </w:p>
        </w:tc>
        <w:tc>
          <w:tcPr>
            <w:tcW w:w="120" w:type="dxa"/>
            <w:vAlign w:val="bottom"/>
          </w:tcPr>
          <w:p>
            <w:pPr>
              <w:spacing w:after="0"/>
              <w:rPr>
                <w:sz w:val="3"/>
                <w:szCs w:val="3"/>
                <w:color w:val="auto"/>
              </w:rPr>
            </w:pPr>
          </w:p>
        </w:tc>
        <w:tc>
          <w:tcPr>
            <w:tcW w:w="1300" w:type="dxa"/>
            <w:vAlign w:val="bottom"/>
            <w:gridSpan w:val="2"/>
            <w:vMerge w:val="restart"/>
          </w:tcPr>
          <w:p>
            <w:pPr>
              <w:jc w:val="center"/>
              <w:ind w:right="220"/>
              <w:spacing w:after="0"/>
              <w:rPr>
                <w:sz w:val="20"/>
                <w:szCs w:val="20"/>
                <w:color w:val="auto"/>
              </w:rPr>
            </w:pPr>
            <w:r>
              <w:rPr>
                <w:rFonts w:ascii="Arial" w:cs="Arial" w:eastAsia="Arial" w:hAnsi="Arial"/>
                <w:sz w:val="14"/>
                <w:szCs w:val="14"/>
                <w:b w:val="1"/>
                <w:bCs w:val="1"/>
                <w:color w:val="auto"/>
                <w:w w:val="95"/>
              </w:rPr>
              <w:t>Definitive OpCo</w:t>
            </w:r>
          </w:p>
        </w:tc>
        <w:tc>
          <w:tcPr>
            <w:tcW w:w="0" w:type="dxa"/>
            <w:vAlign w:val="bottom"/>
          </w:tcPr>
          <w:p>
            <w:pPr>
              <w:spacing w:after="0" w:line="20" w:lineRule="exact"/>
              <w:rPr>
                <w:sz w:val="1"/>
                <w:szCs w:val="1"/>
                <w:color w:val="auto"/>
              </w:rPr>
            </w:pPr>
          </w:p>
        </w:tc>
      </w:tr>
      <w:tr>
        <w:trPr>
          <w:trHeight w:val="126"/>
        </w:trPr>
        <w:tc>
          <w:tcPr>
            <w:tcW w:w="39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820" w:type="dxa"/>
            <w:vAlign w:val="bottom"/>
            <w:gridSpan w:val="4"/>
            <w:vMerge w:val="continue"/>
          </w:tcPr>
          <w:p>
            <w:pPr>
              <w:spacing w:after="0"/>
              <w:rPr>
                <w:sz w:val="10"/>
                <w:szCs w:val="10"/>
                <w:color w:val="auto"/>
              </w:rPr>
            </w:pPr>
          </w:p>
        </w:tc>
        <w:tc>
          <w:tcPr>
            <w:tcW w:w="10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480" w:type="dxa"/>
            <w:vAlign w:val="bottom"/>
            <w:tcBorders>
              <w:right w:val="single" w:sz="8" w:color="auto"/>
            </w:tcBorders>
          </w:tcPr>
          <w:p>
            <w:pPr>
              <w:spacing w:after="0"/>
              <w:rPr>
                <w:sz w:val="10"/>
                <w:szCs w:val="10"/>
                <w:color w:val="auto"/>
              </w:rPr>
            </w:pPr>
          </w:p>
        </w:tc>
        <w:tc>
          <w:tcPr>
            <w:tcW w:w="2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30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39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820" w:type="dxa"/>
            <w:vAlign w:val="bottom"/>
            <w:gridSpan w:val="4"/>
            <w:vMerge w:val="continue"/>
          </w:tcPr>
          <w:p>
            <w:pPr>
              <w:spacing w:after="0"/>
              <w:rPr>
                <w:sz w:val="12"/>
                <w:szCs w:val="12"/>
                <w:color w:val="auto"/>
              </w:rPr>
            </w:pPr>
          </w:p>
        </w:tc>
        <w:tc>
          <w:tcPr>
            <w:tcW w:w="10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480" w:type="dxa"/>
            <w:vAlign w:val="bottom"/>
            <w:tcBorders>
              <w:right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1420" w:type="dxa"/>
            <w:vAlign w:val="bottom"/>
            <w:gridSpan w:val="3"/>
          </w:tcPr>
          <w:p>
            <w:pPr>
              <w:jc w:val="center"/>
              <w:ind w:right="100"/>
              <w:spacing w:after="0" w:line="149" w:lineRule="exact"/>
              <w:rPr>
                <w:sz w:val="20"/>
                <w:szCs w:val="20"/>
                <w:color w:val="auto"/>
              </w:rPr>
            </w:pPr>
            <w:r>
              <w:rPr>
                <w:rFonts w:ascii="Arial" w:cs="Arial" w:eastAsia="Arial" w:hAnsi="Arial"/>
                <w:sz w:val="14"/>
                <w:szCs w:val="14"/>
                <w:b w:val="1"/>
                <w:bCs w:val="1"/>
                <w:color w:val="auto"/>
              </w:rPr>
              <w:t>(AIDH TopCo, LLC)</w:t>
            </w:r>
          </w:p>
        </w:tc>
        <w:tc>
          <w:tcPr>
            <w:tcW w:w="0" w:type="dxa"/>
            <w:vAlign w:val="bottom"/>
          </w:tcPr>
          <w:p>
            <w:pPr>
              <w:spacing w:after="0"/>
              <w:rPr>
                <w:sz w:val="1"/>
                <w:szCs w:val="1"/>
                <w:color w:val="auto"/>
              </w:rPr>
            </w:pPr>
          </w:p>
        </w:tc>
      </w:tr>
      <w:tr>
        <w:trPr>
          <w:trHeight w:val="148"/>
        </w:trPr>
        <w:tc>
          <w:tcPr>
            <w:tcW w:w="39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500" w:type="dxa"/>
            <w:vAlign w:val="bottom"/>
            <w:gridSpan w:val="6"/>
          </w:tcPr>
          <w:p>
            <w:pPr>
              <w:jc w:val="center"/>
              <w:ind w:right="100"/>
              <w:spacing w:after="0" w:line="149" w:lineRule="exact"/>
              <w:rPr>
                <w:sz w:val="20"/>
                <w:szCs w:val="20"/>
                <w:color w:val="auto"/>
              </w:rPr>
            </w:pPr>
            <w:r>
              <w:rPr>
                <w:rFonts w:ascii="Arial" w:cs="Arial" w:eastAsia="Arial" w:hAnsi="Arial"/>
                <w:sz w:val="14"/>
                <w:szCs w:val="14"/>
                <w:b w:val="1"/>
                <w:bCs w:val="1"/>
                <w:color w:val="auto"/>
              </w:rPr>
              <w:t>(AIDH TopCo, LLC)</w:t>
            </w:r>
          </w:p>
        </w:tc>
        <w:tc>
          <w:tcPr>
            <w:tcW w:w="10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480" w:type="dxa"/>
            <w:vAlign w:val="bottom"/>
            <w:tcBorders>
              <w:right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0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87"/>
              </w:rPr>
              <w:t>Predecessor</w:t>
            </w:r>
          </w:p>
        </w:tc>
        <w:tc>
          <w:tcPr>
            <w:tcW w:w="0" w:type="dxa"/>
            <w:vAlign w:val="bottom"/>
          </w:tcPr>
          <w:p>
            <w:pPr>
              <w:spacing w:after="0"/>
              <w:rPr>
                <w:sz w:val="1"/>
                <w:szCs w:val="1"/>
                <w:color w:val="auto"/>
              </w:rPr>
            </w:pPr>
          </w:p>
        </w:tc>
      </w:tr>
      <w:tr>
        <w:trPr>
          <w:trHeight w:val="171"/>
        </w:trPr>
        <w:tc>
          <w:tcPr>
            <w:tcW w:w="3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500" w:type="dxa"/>
            <w:vAlign w:val="bottom"/>
            <w:gridSpan w:val="6"/>
          </w:tcPr>
          <w:p>
            <w:pPr>
              <w:jc w:val="center"/>
              <w:ind w:right="100"/>
              <w:spacing w:after="0"/>
              <w:rPr>
                <w:sz w:val="20"/>
                <w:szCs w:val="20"/>
                <w:color w:val="auto"/>
              </w:rPr>
            </w:pPr>
            <w:r>
              <w:rPr>
                <w:rFonts w:ascii="Arial" w:cs="Arial" w:eastAsia="Arial" w:hAnsi="Arial"/>
                <w:sz w:val="14"/>
                <w:szCs w:val="14"/>
                <w:b w:val="1"/>
                <w:bCs w:val="1"/>
                <w:color w:val="auto"/>
                <w:w w:val="89"/>
              </w:rPr>
              <w:t>Successor Company</w:t>
            </w:r>
          </w:p>
        </w:tc>
        <w:tc>
          <w:tcPr>
            <w:tcW w:w="1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480" w:type="dxa"/>
            <w:vAlign w:val="bottom"/>
            <w:tcBorders>
              <w:right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0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3"/>
              </w:rPr>
              <w:t>Company</w:t>
            </w:r>
          </w:p>
        </w:tc>
        <w:tc>
          <w:tcPr>
            <w:tcW w:w="0" w:type="dxa"/>
            <w:vAlign w:val="bottom"/>
          </w:tcPr>
          <w:p>
            <w:pPr>
              <w:spacing w:after="0"/>
              <w:rPr>
                <w:sz w:val="1"/>
                <w:szCs w:val="1"/>
                <w:color w:val="auto"/>
              </w:rPr>
            </w:pPr>
          </w:p>
        </w:tc>
      </w:tr>
      <w:tr>
        <w:trPr>
          <w:trHeight w:val="119"/>
        </w:trPr>
        <w:tc>
          <w:tcPr>
            <w:tcW w:w="396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1860" w:type="dxa"/>
            <w:vAlign w:val="bottom"/>
            <w:tcBorders>
              <w:top w:val="single" w:sz="8" w:color="auto"/>
            </w:tcBorders>
            <w:gridSpan w:val="6"/>
            <w:vMerge w:val="restart"/>
          </w:tcPr>
          <w:p>
            <w:pPr>
              <w:jc w:val="right"/>
              <w:ind w:right="160"/>
              <w:spacing w:after="0"/>
              <w:rPr>
                <w:sz w:val="20"/>
                <w:szCs w:val="20"/>
                <w:color w:val="auto"/>
              </w:rPr>
            </w:pPr>
            <w:r>
              <w:rPr>
                <w:rFonts w:ascii="Arial" w:cs="Arial" w:eastAsia="Arial" w:hAnsi="Arial"/>
                <w:sz w:val="14"/>
                <w:szCs w:val="14"/>
                <w:b w:val="1"/>
                <w:bCs w:val="1"/>
                <w:color w:val="auto"/>
                <w:w w:val="92"/>
              </w:rPr>
              <w:t>Six Months Ended June 30,</w:t>
            </w:r>
          </w:p>
        </w:tc>
        <w:tc>
          <w:tcPr>
            <w:tcW w:w="300" w:type="dxa"/>
            <w:vAlign w:val="bottom"/>
            <w:tcBorders>
              <w:top w:val="single" w:sz="8" w:color="auto"/>
            </w:tcBorders>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1000" w:type="dxa"/>
            <w:vAlign w:val="bottom"/>
            <w:tcBorders>
              <w:top w:val="single" w:sz="8" w:color="auto"/>
            </w:tcBorders>
          </w:tcPr>
          <w:p>
            <w:pPr>
              <w:spacing w:after="0"/>
              <w:rPr>
                <w:sz w:val="10"/>
                <w:szCs w:val="10"/>
                <w:color w:val="auto"/>
              </w:rPr>
            </w:pPr>
          </w:p>
        </w:tc>
        <w:tc>
          <w:tcPr>
            <w:tcW w:w="360" w:type="dxa"/>
            <w:vAlign w:val="bottom"/>
            <w:tcBorders>
              <w:top w:val="single" w:sz="8" w:color="auto"/>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1060" w:type="dxa"/>
            <w:vAlign w:val="bottom"/>
            <w:tcBorders>
              <w:top w:val="single" w:sz="8" w:color="auto"/>
            </w:tcBorders>
          </w:tcPr>
          <w:p>
            <w:pPr>
              <w:jc w:val="right"/>
              <w:ind w:right="112"/>
              <w:spacing w:after="0" w:line="119" w:lineRule="exact"/>
              <w:rPr>
                <w:sz w:val="20"/>
                <w:szCs w:val="20"/>
                <w:color w:val="auto"/>
              </w:rPr>
            </w:pPr>
            <w:r>
              <w:rPr>
                <w:rFonts w:ascii="Arial" w:cs="Arial" w:eastAsia="Arial" w:hAnsi="Arial"/>
                <w:sz w:val="13"/>
                <w:szCs w:val="13"/>
                <w:b w:val="1"/>
                <w:bCs w:val="1"/>
                <w:color w:val="auto"/>
              </w:rPr>
              <w:t>Period from</w:t>
            </w:r>
          </w:p>
        </w:tc>
        <w:tc>
          <w:tcPr>
            <w:tcW w:w="480" w:type="dxa"/>
            <w:vAlign w:val="bottom"/>
            <w:tcBorders>
              <w:right w:val="single" w:sz="8" w:color="auto"/>
            </w:tcBorders>
          </w:tcPr>
          <w:p>
            <w:pPr>
              <w:spacing w:after="0"/>
              <w:rPr>
                <w:sz w:val="10"/>
                <w:szCs w:val="10"/>
                <w:color w:val="auto"/>
              </w:rPr>
            </w:pPr>
          </w:p>
        </w:tc>
        <w:tc>
          <w:tcPr>
            <w:tcW w:w="220" w:type="dxa"/>
            <w:vAlign w:val="bottom"/>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1180" w:type="dxa"/>
            <w:vAlign w:val="bottom"/>
            <w:tcBorders>
              <w:top w:val="single" w:sz="8" w:color="auto"/>
            </w:tcBorders>
          </w:tcPr>
          <w:p>
            <w:pPr>
              <w:jc w:val="center"/>
              <w:ind w:right="35"/>
              <w:spacing w:after="0" w:line="119" w:lineRule="exact"/>
              <w:rPr>
                <w:sz w:val="20"/>
                <w:szCs w:val="20"/>
                <w:color w:val="auto"/>
              </w:rPr>
            </w:pPr>
            <w:r>
              <w:rPr>
                <w:rFonts w:ascii="Arial" w:cs="Arial" w:eastAsia="Arial" w:hAnsi="Arial"/>
                <w:sz w:val="13"/>
                <w:szCs w:val="13"/>
                <w:b w:val="1"/>
                <w:bCs w:val="1"/>
                <w:color w:val="auto"/>
              </w:rPr>
              <w:t>Period from</w:t>
            </w: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0"/>
        </w:trPr>
        <w:tc>
          <w:tcPr>
            <w:tcW w:w="3960" w:type="dxa"/>
            <w:vAlign w:val="bottom"/>
          </w:tcPr>
          <w:p>
            <w:pPr>
              <w:spacing w:after="0"/>
              <w:rPr>
                <w:sz w:val="7"/>
                <w:szCs w:val="7"/>
                <w:color w:val="auto"/>
              </w:rPr>
            </w:pPr>
          </w:p>
        </w:tc>
        <w:tc>
          <w:tcPr>
            <w:tcW w:w="100" w:type="dxa"/>
            <w:vAlign w:val="bottom"/>
          </w:tcPr>
          <w:p>
            <w:pPr>
              <w:spacing w:after="0"/>
              <w:rPr>
                <w:sz w:val="7"/>
                <w:szCs w:val="7"/>
                <w:color w:val="auto"/>
              </w:rPr>
            </w:pPr>
          </w:p>
        </w:tc>
        <w:tc>
          <w:tcPr>
            <w:tcW w:w="1860" w:type="dxa"/>
            <w:vAlign w:val="bottom"/>
            <w:gridSpan w:val="6"/>
            <w:vMerge w:val="continue"/>
          </w:tcPr>
          <w:p>
            <w:pPr>
              <w:spacing w:after="0"/>
              <w:rPr>
                <w:sz w:val="7"/>
                <w:szCs w:val="7"/>
                <w:color w:val="auto"/>
              </w:rPr>
            </w:pPr>
          </w:p>
        </w:tc>
        <w:tc>
          <w:tcPr>
            <w:tcW w:w="300" w:type="dxa"/>
            <w:vAlign w:val="bottom"/>
          </w:tcPr>
          <w:p>
            <w:pPr>
              <w:spacing w:after="0"/>
              <w:rPr>
                <w:sz w:val="7"/>
                <w:szCs w:val="7"/>
                <w:color w:val="auto"/>
              </w:rPr>
            </w:pPr>
          </w:p>
        </w:tc>
        <w:tc>
          <w:tcPr>
            <w:tcW w:w="160" w:type="dxa"/>
            <w:vAlign w:val="bottom"/>
          </w:tcPr>
          <w:p>
            <w:pPr>
              <w:spacing w:after="0"/>
              <w:rPr>
                <w:sz w:val="7"/>
                <w:szCs w:val="7"/>
                <w:color w:val="auto"/>
              </w:rPr>
            </w:pPr>
          </w:p>
        </w:tc>
        <w:tc>
          <w:tcPr>
            <w:tcW w:w="1360" w:type="dxa"/>
            <w:vAlign w:val="bottom"/>
            <w:gridSpan w:val="2"/>
            <w:vMerge w:val="restart"/>
          </w:tcPr>
          <w:p>
            <w:pPr>
              <w:jc w:val="right"/>
              <w:ind w:right="600"/>
              <w:spacing w:after="0" w:line="149" w:lineRule="exact"/>
              <w:rPr>
                <w:sz w:val="20"/>
                <w:szCs w:val="20"/>
                <w:color w:val="auto"/>
              </w:rPr>
            </w:pPr>
            <w:r>
              <w:rPr>
                <w:rFonts w:ascii="Arial" w:cs="Arial" w:eastAsia="Arial" w:hAnsi="Arial"/>
                <w:sz w:val="14"/>
                <w:szCs w:val="14"/>
                <w:b w:val="1"/>
                <w:bCs w:val="1"/>
                <w:color w:val="auto"/>
                <w:w w:val="97"/>
              </w:rPr>
              <w:t>Year ended</w:t>
            </w:r>
          </w:p>
        </w:tc>
        <w:tc>
          <w:tcPr>
            <w:tcW w:w="100" w:type="dxa"/>
            <w:vAlign w:val="bottom"/>
          </w:tcPr>
          <w:p>
            <w:pPr>
              <w:spacing w:after="0"/>
              <w:rPr>
                <w:sz w:val="7"/>
                <w:szCs w:val="7"/>
                <w:color w:val="auto"/>
              </w:rPr>
            </w:pPr>
          </w:p>
        </w:tc>
        <w:tc>
          <w:tcPr>
            <w:tcW w:w="1540" w:type="dxa"/>
            <w:vAlign w:val="bottom"/>
            <w:tcBorders>
              <w:right w:val="single" w:sz="8" w:color="auto"/>
            </w:tcBorders>
            <w:gridSpan w:val="2"/>
            <w:vMerge w:val="restart"/>
          </w:tcPr>
          <w:p>
            <w:pPr>
              <w:jc w:val="right"/>
              <w:ind w:right="580"/>
              <w:spacing w:after="0" w:line="149" w:lineRule="exact"/>
              <w:rPr>
                <w:sz w:val="20"/>
                <w:szCs w:val="20"/>
                <w:color w:val="auto"/>
              </w:rPr>
            </w:pPr>
            <w:r>
              <w:rPr>
                <w:rFonts w:ascii="Arial" w:cs="Arial" w:eastAsia="Arial" w:hAnsi="Arial"/>
                <w:sz w:val="14"/>
                <w:szCs w:val="14"/>
                <w:b w:val="1"/>
                <w:bCs w:val="1"/>
                <w:color w:val="auto"/>
                <w:w w:val="90"/>
              </w:rPr>
              <w:t>July 16, 2019 to</w:t>
            </w:r>
          </w:p>
        </w:tc>
        <w:tc>
          <w:tcPr>
            <w:tcW w:w="220" w:type="dxa"/>
            <w:vAlign w:val="bottom"/>
          </w:tcPr>
          <w:p>
            <w:pPr>
              <w:spacing w:after="0"/>
              <w:rPr>
                <w:sz w:val="7"/>
                <w:szCs w:val="7"/>
                <w:color w:val="auto"/>
              </w:rPr>
            </w:pPr>
          </w:p>
        </w:tc>
        <w:tc>
          <w:tcPr>
            <w:tcW w:w="1420" w:type="dxa"/>
            <w:vAlign w:val="bottom"/>
            <w:gridSpan w:val="3"/>
            <w:vMerge w:val="restart"/>
          </w:tcPr>
          <w:p>
            <w:pPr>
              <w:jc w:val="center"/>
              <w:ind w:right="120"/>
              <w:spacing w:after="0" w:line="149" w:lineRule="exact"/>
              <w:rPr>
                <w:sz w:val="20"/>
                <w:szCs w:val="20"/>
                <w:color w:val="auto"/>
              </w:rPr>
            </w:pPr>
            <w:r>
              <w:rPr>
                <w:rFonts w:ascii="Arial" w:cs="Arial" w:eastAsia="Arial" w:hAnsi="Arial"/>
                <w:sz w:val="14"/>
                <w:szCs w:val="14"/>
                <w:b w:val="1"/>
                <w:bCs w:val="1"/>
                <w:color w:val="auto"/>
                <w:w w:val="93"/>
              </w:rPr>
              <w:t>January 1, 2019 to</w:t>
            </w:r>
          </w:p>
        </w:tc>
        <w:tc>
          <w:tcPr>
            <w:tcW w:w="0" w:type="dxa"/>
            <w:vAlign w:val="bottom"/>
          </w:tcPr>
          <w:p>
            <w:pPr>
              <w:spacing w:after="0"/>
              <w:rPr>
                <w:sz w:val="1"/>
                <w:szCs w:val="1"/>
                <w:color w:val="auto"/>
              </w:rPr>
            </w:pPr>
          </w:p>
        </w:tc>
      </w:tr>
      <w:tr>
        <w:trPr>
          <w:trHeight w:val="38"/>
        </w:trPr>
        <w:tc>
          <w:tcPr>
            <w:tcW w:w="3960" w:type="dxa"/>
            <w:vAlign w:val="bottom"/>
          </w:tcPr>
          <w:p>
            <w:pPr>
              <w:spacing w:after="0"/>
              <w:rPr>
                <w:sz w:val="3"/>
                <w:szCs w:val="3"/>
                <w:color w:val="auto"/>
              </w:rPr>
            </w:pPr>
          </w:p>
        </w:tc>
        <w:tc>
          <w:tcPr>
            <w:tcW w:w="100" w:type="dxa"/>
            <w:vAlign w:val="bottom"/>
            <w:tcBorders>
              <w:top w:val="single" w:sz="8" w:color="auto"/>
            </w:tcBorders>
          </w:tcPr>
          <w:p>
            <w:pPr>
              <w:spacing w:after="0"/>
              <w:rPr>
                <w:sz w:val="3"/>
                <w:szCs w:val="3"/>
                <w:color w:val="auto"/>
              </w:rPr>
            </w:pPr>
          </w:p>
        </w:tc>
        <w:tc>
          <w:tcPr>
            <w:tcW w:w="660" w:type="dxa"/>
            <w:vAlign w:val="bottom"/>
            <w:tcBorders>
              <w:top w:val="single" w:sz="8" w:color="auto"/>
            </w:tcBorders>
            <w:vMerge w:val="restart"/>
          </w:tcPr>
          <w:p>
            <w:pPr>
              <w:jc w:val="right"/>
              <w:ind w:right="152"/>
              <w:spacing w:after="0"/>
              <w:rPr>
                <w:sz w:val="20"/>
                <w:szCs w:val="20"/>
                <w:color w:val="auto"/>
              </w:rPr>
            </w:pPr>
            <w:r>
              <w:rPr>
                <w:rFonts w:ascii="Arial" w:cs="Arial" w:eastAsia="Arial" w:hAnsi="Arial"/>
                <w:sz w:val="14"/>
                <w:szCs w:val="14"/>
                <w:b w:val="1"/>
                <w:bCs w:val="1"/>
                <w:color w:val="auto"/>
              </w:rPr>
              <w:t>2021</w:t>
            </w:r>
          </w:p>
        </w:tc>
        <w:tc>
          <w:tcPr>
            <w:tcW w:w="220" w:type="dxa"/>
            <w:vAlign w:val="bottom"/>
            <w:tcBorders>
              <w:top w:val="single" w:sz="8" w:color="auto"/>
            </w:tcBorders>
          </w:tcPr>
          <w:p>
            <w:pPr>
              <w:spacing w:after="0"/>
              <w:rPr>
                <w:sz w:val="3"/>
                <w:szCs w:val="3"/>
                <w:color w:val="auto"/>
              </w:rPr>
            </w:pPr>
          </w:p>
        </w:tc>
        <w:tc>
          <w:tcPr>
            <w:tcW w:w="140" w:type="dxa"/>
            <w:vAlign w:val="bottom"/>
            <w:tcBorders>
              <w:top w:val="single" w:sz="8" w:color="auto"/>
            </w:tcBorders>
          </w:tcPr>
          <w:p>
            <w:pPr>
              <w:spacing w:after="0"/>
              <w:rPr>
                <w:sz w:val="3"/>
                <w:szCs w:val="3"/>
                <w:color w:val="auto"/>
              </w:rPr>
            </w:pPr>
          </w:p>
        </w:tc>
        <w:tc>
          <w:tcPr>
            <w:tcW w:w="160" w:type="dxa"/>
            <w:vAlign w:val="bottom"/>
            <w:tcBorders>
              <w:top w:val="single" w:sz="8" w:color="auto"/>
            </w:tcBorders>
          </w:tcPr>
          <w:p>
            <w:pPr>
              <w:spacing w:after="0"/>
              <w:rPr>
                <w:sz w:val="3"/>
                <w:szCs w:val="3"/>
                <w:color w:val="auto"/>
              </w:rPr>
            </w:pPr>
          </w:p>
        </w:tc>
        <w:tc>
          <w:tcPr>
            <w:tcW w:w="620" w:type="dxa"/>
            <w:vAlign w:val="bottom"/>
            <w:tcBorders>
              <w:top w:val="single" w:sz="8" w:color="auto"/>
            </w:tcBorders>
            <w:vMerge w:val="restart"/>
          </w:tcPr>
          <w:p>
            <w:pPr>
              <w:jc w:val="right"/>
              <w:ind w:right="153"/>
              <w:spacing w:after="0"/>
              <w:rPr>
                <w:sz w:val="20"/>
                <w:szCs w:val="20"/>
                <w:color w:val="auto"/>
              </w:rPr>
            </w:pPr>
            <w:r>
              <w:rPr>
                <w:rFonts w:ascii="Arial" w:cs="Arial" w:eastAsia="Arial" w:hAnsi="Arial"/>
                <w:sz w:val="14"/>
                <w:szCs w:val="14"/>
                <w:b w:val="1"/>
                <w:bCs w:val="1"/>
                <w:color w:val="auto"/>
              </w:rPr>
              <w:t>2020</w:t>
            </w:r>
          </w:p>
        </w:tc>
        <w:tc>
          <w:tcPr>
            <w:tcW w:w="60" w:type="dxa"/>
            <w:vAlign w:val="bottom"/>
          </w:tcPr>
          <w:p>
            <w:pPr>
              <w:spacing w:after="0"/>
              <w:rPr>
                <w:sz w:val="3"/>
                <w:szCs w:val="3"/>
                <w:color w:val="auto"/>
              </w:rPr>
            </w:pPr>
          </w:p>
        </w:tc>
        <w:tc>
          <w:tcPr>
            <w:tcW w:w="300" w:type="dxa"/>
            <w:vAlign w:val="bottom"/>
          </w:tcPr>
          <w:p>
            <w:pPr>
              <w:spacing w:after="0"/>
              <w:rPr>
                <w:sz w:val="3"/>
                <w:szCs w:val="3"/>
                <w:color w:val="auto"/>
              </w:rPr>
            </w:pPr>
          </w:p>
        </w:tc>
        <w:tc>
          <w:tcPr>
            <w:tcW w:w="160" w:type="dxa"/>
            <w:vAlign w:val="bottom"/>
          </w:tcPr>
          <w:p>
            <w:pPr>
              <w:spacing w:after="0"/>
              <w:rPr>
                <w:sz w:val="3"/>
                <w:szCs w:val="3"/>
                <w:color w:val="auto"/>
              </w:rPr>
            </w:pPr>
          </w:p>
        </w:tc>
        <w:tc>
          <w:tcPr>
            <w:tcW w:w="1360" w:type="dxa"/>
            <w:vAlign w:val="bottom"/>
            <w:gridSpan w:val="2"/>
            <w:vMerge w:val="continue"/>
          </w:tcPr>
          <w:p>
            <w:pPr>
              <w:spacing w:after="0"/>
              <w:rPr>
                <w:sz w:val="3"/>
                <w:szCs w:val="3"/>
                <w:color w:val="auto"/>
              </w:rPr>
            </w:pPr>
          </w:p>
        </w:tc>
        <w:tc>
          <w:tcPr>
            <w:tcW w:w="100" w:type="dxa"/>
            <w:vAlign w:val="bottom"/>
          </w:tcPr>
          <w:p>
            <w:pPr>
              <w:spacing w:after="0"/>
              <w:rPr>
                <w:sz w:val="3"/>
                <w:szCs w:val="3"/>
                <w:color w:val="auto"/>
              </w:rPr>
            </w:pPr>
          </w:p>
        </w:tc>
        <w:tc>
          <w:tcPr>
            <w:tcW w:w="1540" w:type="dxa"/>
            <w:vAlign w:val="bottom"/>
            <w:tcBorders>
              <w:right w:val="single" w:sz="8" w:color="auto"/>
            </w:tcBorders>
            <w:gridSpan w:val="2"/>
            <w:vMerge w:val="continue"/>
          </w:tcPr>
          <w:p>
            <w:pPr>
              <w:spacing w:after="0"/>
              <w:rPr>
                <w:sz w:val="3"/>
                <w:szCs w:val="3"/>
                <w:color w:val="auto"/>
              </w:rPr>
            </w:pPr>
          </w:p>
        </w:tc>
        <w:tc>
          <w:tcPr>
            <w:tcW w:w="220" w:type="dxa"/>
            <w:vAlign w:val="bottom"/>
          </w:tcPr>
          <w:p>
            <w:pPr>
              <w:spacing w:after="0"/>
              <w:rPr>
                <w:sz w:val="3"/>
                <w:szCs w:val="3"/>
                <w:color w:val="auto"/>
              </w:rPr>
            </w:pPr>
          </w:p>
        </w:tc>
        <w:tc>
          <w:tcPr>
            <w:tcW w:w="14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71"/>
        </w:trPr>
        <w:tc>
          <w:tcPr>
            <w:tcW w:w="3960" w:type="dxa"/>
            <w:vAlign w:val="bottom"/>
          </w:tcPr>
          <w:p>
            <w:pPr>
              <w:spacing w:after="0"/>
              <w:rPr>
                <w:sz w:val="20"/>
                <w:szCs w:val="20"/>
                <w:color w:val="auto"/>
              </w:rPr>
            </w:pPr>
            <w:r>
              <w:rPr>
                <w:rFonts w:ascii="Arial" w:cs="Arial" w:eastAsia="Arial" w:hAnsi="Arial"/>
                <w:sz w:val="14"/>
                <w:szCs w:val="14"/>
                <w:color w:val="auto"/>
              </w:rPr>
              <w:t>(in thousands)</w:t>
            </w:r>
          </w:p>
        </w:tc>
        <w:tc>
          <w:tcPr>
            <w:tcW w:w="100" w:type="dxa"/>
            <w:vAlign w:val="bottom"/>
          </w:tcPr>
          <w:p>
            <w:pPr>
              <w:spacing w:after="0"/>
              <w:rPr>
                <w:sz w:val="14"/>
                <w:szCs w:val="14"/>
                <w:color w:val="auto"/>
              </w:rPr>
            </w:pPr>
          </w:p>
        </w:tc>
        <w:tc>
          <w:tcPr>
            <w:tcW w:w="66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20" w:type="dxa"/>
            <w:vAlign w:val="bottom"/>
            <w:vMerge w:val="continue"/>
          </w:tcPr>
          <w:p>
            <w:pPr>
              <w:spacing w:after="0"/>
              <w:rPr>
                <w:sz w:val="14"/>
                <w:szCs w:val="14"/>
                <w:color w:val="auto"/>
              </w:rPr>
            </w:pPr>
          </w:p>
        </w:tc>
        <w:tc>
          <w:tcPr>
            <w:tcW w:w="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520" w:type="dxa"/>
            <w:vAlign w:val="bottom"/>
            <w:gridSpan w:val="3"/>
          </w:tcPr>
          <w:p>
            <w:pPr>
              <w:spacing w:after="0"/>
              <w:rPr>
                <w:sz w:val="20"/>
                <w:szCs w:val="20"/>
                <w:color w:val="auto"/>
              </w:rPr>
            </w:pPr>
            <w:r>
              <w:rPr>
                <w:rFonts w:ascii="Arial" w:cs="Arial" w:eastAsia="Arial" w:hAnsi="Arial"/>
                <w:sz w:val="14"/>
                <w:szCs w:val="14"/>
                <w:b w:val="1"/>
                <w:bCs w:val="1"/>
                <w:color w:val="auto"/>
              </w:rPr>
              <w:t>December 31, 2020</w:t>
            </w:r>
          </w:p>
        </w:tc>
        <w:tc>
          <w:tcPr>
            <w:tcW w:w="1640" w:type="dxa"/>
            <w:vAlign w:val="bottom"/>
            <w:tcBorders>
              <w:right w:val="single" w:sz="8" w:color="auto"/>
            </w:tcBorders>
            <w:gridSpan w:val="3"/>
          </w:tcPr>
          <w:p>
            <w:pPr>
              <w:spacing w:after="0"/>
              <w:rPr>
                <w:sz w:val="20"/>
                <w:szCs w:val="20"/>
                <w:color w:val="auto"/>
              </w:rPr>
            </w:pPr>
            <w:r>
              <w:rPr>
                <w:rFonts w:ascii="Arial" w:cs="Arial" w:eastAsia="Arial" w:hAnsi="Arial"/>
                <w:sz w:val="14"/>
                <w:szCs w:val="14"/>
                <w:b w:val="1"/>
                <w:bCs w:val="1"/>
                <w:color w:val="auto"/>
              </w:rPr>
              <w:t>December 31, 2019</w:t>
            </w: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0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2"/>
              </w:rPr>
              <w:t>July 15, 2019</w:t>
            </w:r>
          </w:p>
        </w:tc>
        <w:tc>
          <w:tcPr>
            <w:tcW w:w="0" w:type="dxa"/>
            <w:vAlign w:val="bottom"/>
          </w:tcPr>
          <w:p>
            <w:pPr>
              <w:spacing w:after="0"/>
              <w:rPr>
                <w:sz w:val="1"/>
                <w:szCs w:val="1"/>
                <w:color w:val="auto"/>
              </w:rPr>
            </w:pPr>
          </w:p>
        </w:tc>
      </w:tr>
      <w:tr>
        <w:trPr>
          <w:trHeight w:val="210"/>
        </w:trPr>
        <w:tc>
          <w:tcPr>
            <w:tcW w:w="39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Revenue</w:t>
            </w: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76,757</w:t>
            </w:r>
          </w:p>
        </w:tc>
        <w:tc>
          <w:tcPr>
            <w:tcW w:w="2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54,586</w:t>
            </w:r>
          </w:p>
        </w:tc>
        <w:tc>
          <w:tcPr>
            <w:tcW w:w="6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118,317</w:t>
            </w:r>
          </w:p>
        </w:tc>
        <w:tc>
          <w:tcPr>
            <w:tcW w:w="3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40,045</w:t>
            </w:r>
          </w:p>
        </w:tc>
        <w:tc>
          <w:tcPr>
            <w:tcW w:w="480" w:type="dxa"/>
            <w:vAlign w:val="bottom"/>
            <w:tcBorders>
              <w:top w:val="single" w:sz="8" w:color="CCEEFF"/>
              <w:right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45,458</w:t>
            </w:r>
          </w:p>
        </w:tc>
        <w:tc>
          <w:tcPr>
            <w:tcW w:w="1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60" w:type="dxa"/>
            <w:vAlign w:val="bottom"/>
          </w:tcPr>
          <w:p>
            <w:pPr>
              <w:spacing w:after="0"/>
              <w:rPr>
                <w:sz w:val="20"/>
                <w:szCs w:val="20"/>
                <w:color w:val="auto"/>
              </w:rPr>
            </w:pPr>
            <w:r>
              <w:rPr>
                <w:rFonts w:ascii="Arial" w:cs="Arial" w:eastAsia="Arial" w:hAnsi="Arial"/>
                <w:sz w:val="18"/>
                <w:szCs w:val="18"/>
                <w:color w:val="auto"/>
              </w:rPr>
              <w:t>Cost of revenue:</w:t>
            </w: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480" w:type="dxa"/>
            <w:vAlign w:val="bottom"/>
            <w:tcBorders>
              <w:right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3960" w:type="dxa"/>
            <w:vAlign w:val="bottom"/>
            <w:shd w:val="clear" w:color="auto" w:fill="CCEEFF"/>
          </w:tcPr>
          <w:p>
            <w:pPr>
              <w:ind w:left="360"/>
              <w:spacing w:after="0" w:line="201" w:lineRule="exact"/>
              <w:rPr>
                <w:sz w:val="20"/>
                <w:szCs w:val="20"/>
                <w:color w:val="auto"/>
              </w:rPr>
            </w:pPr>
            <w:r>
              <w:rPr>
                <w:rFonts w:ascii="Arial" w:cs="Arial" w:eastAsia="Arial" w:hAnsi="Arial"/>
                <w:sz w:val="18"/>
                <w:szCs w:val="18"/>
                <w:color w:val="auto"/>
              </w:rPr>
              <w:t>Cost of revenue exclusive of amortization</w:t>
            </w: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480" w:type="dxa"/>
            <w:vAlign w:val="bottom"/>
            <w:tcBorders>
              <w:right w:val="single" w:sz="8" w:color="auto"/>
            </w:tcBorders>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960" w:type="dxa"/>
            <w:vAlign w:val="bottom"/>
            <w:shd w:val="clear" w:color="auto" w:fill="CCEEFF"/>
          </w:tcPr>
          <w:p>
            <w:pPr>
              <w:ind w:left="540"/>
              <w:spacing w:after="0"/>
              <w:rPr>
                <w:sz w:val="20"/>
                <w:szCs w:val="20"/>
                <w:color w:val="auto"/>
              </w:rPr>
            </w:pPr>
            <w:r>
              <w:rPr>
                <w:rFonts w:ascii="Arial" w:cs="Arial" w:eastAsia="Arial" w:hAnsi="Arial"/>
                <w:sz w:val="18"/>
                <w:szCs w:val="18"/>
                <w:color w:val="auto"/>
              </w:rPr>
              <w:t>shown below</w:t>
            </w:r>
          </w:p>
        </w:tc>
        <w:tc>
          <w:tcPr>
            <w:tcW w:w="100" w:type="dxa"/>
            <w:vAlign w:val="bottom"/>
            <w:shd w:val="clear" w:color="auto" w:fill="CCEEFF"/>
          </w:tcPr>
          <w:p>
            <w:pPr>
              <w:spacing w:after="0"/>
              <w:rPr>
                <w:sz w:val="20"/>
                <w:szCs w:val="20"/>
                <w:color w:val="auto"/>
              </w:rPr>
            </w:pP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8,766</w:t>
            </w:r>
          </w:p>
        </w:tc>
        <w:tc>
          <w:tcPr>
            <w:tcW w:w="14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6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5,257</w:t>
            </w:r>
          </w:p>
        </w:tc>
        <w:tc>
          <w:tcPr>
            <w:tcW w:w="3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3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11,085</w:t>
            </w:r>
          </w:p>
        </w:tc>
        <w:tc>
          <w:tcPr>
            <w:tcW w:w="100" w:type="dxa"/>
            <w:vAlign w:val="bottom"/>
            <w:shd w:val="clear" w:color="auto" w:fill="CCEEFF"/>
          </w:tcPr>
          <w:p>
            <w:pPr>
              <w:spacing w:after="0"/>
              <w:rPr>
                <w:sz w:val="20"/>
                <w:szCs w:val="20"/>
                <w:color w:val="auto"/>
              </w:rPr>
            </w:pPr>
          </w:p>
        </w:tc>
        <w:tc>
          <w:tcPr>
            <w:tcW w:w="1540" w:type="dxa"/>
            <w:vAlign w:val="bottom"/>
            <w:tcBorders>
              <w:right w:val="single" w:sz="8" w:color="auto"/>
            </w:tcBorders>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4,668</w:t>
            </w:r>
          </w:p>
        </w:tc>
        <w:tc>
          <w:tcPr>
            <w:tcW w:w="2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3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4,830</w:t>
            </w:r>
          </w:p>
        </w:tc>
        <w:tc>
          <w:tcPr>
            <w:tcW w:w="0" w:type="dxa"/>
            <w:vAlign w:val="bottom"/>
          </w:tcPr>
          <w:p>
            <w:pPr>
              <w:spacing w:after="0"/>
              <w:rPr>
                <w:sz w:val="1"/>
                <w:szCs w:val="1"/>
                <w:color w:val="auto"/>
              </w:rPr>
            </w:pPr>
          </w:p>
        </w:tc>
      </w:tr>
      <w:tr>
        <w:trPr>
          <w:trHeight w:val="216"/>
        </w:trPr>
        <w:tc>
          <w:tcPr>
            <w:tcW w:w="3960" w:type="dxa"/>
            <w:vAlign w:val="bottom"/>
          </w:tcPr>
          <w:p>
            <w:pPr>
              <w:ind w:left="360"/>
              <w:spacing w:after="0"/>
              <w:rPr>
                <w:sz w:val="20"/>
                <w:szCs w:val="20"/>
                <w:color w:val="auto"/>
              </w:rPr>
            </w:pPr>
            <w:r>
              <w:rPr>
                <w:rFonts w:ascii="Arial" w:cs="Arial" w:eastAsia="Arial" w:hAnsi="Arial"/>
                <w:sz w:val="18"/>
                <w:szCs w:val="18"/>
                <w:color w:val="auto"/>
              </w:rPr>
              <w:t>Amortization</w:t>
            </w:r>
          </w:p>
        </w:tc>
        <w:tc>
          <w:tcPr>
            <w:tcW w:w="100" w:type="dxa"/>
            <w:vAlign w:val="bottom"/>
          </w:tcPr>
          <w:p>
            <w:pPr>
              <w:spacing w:after="0"/>
              <w:rPr>
                <w:sz w:val="18"/>
                <w:szCs w:val="18"/>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8"/>
                <w:szCs w:val="18"/>
                <w:color w:val="auto"/>
              </w:rPr>
              <w:t>10,540</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gridSpan w:val="2"/>
          </w:tcPr>
          <w:p>
            <w:pPr>
              <w:jc w:val="right"/>
              <w:ind w:right="60"/>
              <w:spacing w:after="0"/>
              <w:rPr>
                <w:sz w:val="20"/>
                <w:szCs w:val="20"/>
                <w:color w:val="auto"/>
              </w:rPr>
            </w:pPr>
            <w:r>
              <w:rPr>
                <w:rFonts w:ascii="Arial" w:cs="Arial" w:eastAsia="Arial" w:hAnsi="Arial"/>
                <w:sz w:val="18"/>
                <w:szCs w:val="18"/>
                <w:color w:val="auto"/>
              </w:rPr>
              <w:t>9,484</w:t>
            </w: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60" w:type="dxa"/>
            <w:vAlign w:val="bottom"/>
            <w:gridSpan w:val="2"/>
          </w:tcPr>
          <w:p>
            <w:pPr>
              <w:jc w:val="right"/>
              <w:ind w:right="360"/>
              <w:spacing w:after="0"/>
              <w:rPr>
                <w:sz w:val="20"/>
                <w:szCs w:val="20"/>
                <w:color w:val="auto"/>
              </w:rPr>
            </w:pPr>
            <w:r>
              <w:rPr>
                <w:rFonts w:ascii="Arial" w:cs="Arial" w:eastAsia="Arial" w:hAnsi="Arial"/>
                <w:sz w:val="18"/>
                <w:szCs w:val="18"/>
                <w:color w:val="auto"/>
              </w:rPr>
              <w:t>19,383</w:t>
            </w:r>
          </w:p>
        </w:tc>
        <w:tc>
          <w:tcPr>
            <w:tcW w:w="100" w:type="dxa"/>
            <w:vAlign w:val="bottom"/>
          </w:tcPr>
          <w:p>
            <w:pPr>
              <w:spacing w:after="0"/>
              <w:rPr>
                <w:sz w:val="18"/>
                <w:szCs w:val="18"/>
                <w:color w:val="auto"/>
              </w:rPr>
            </w:pPr>
          </w:p>
        </w:tc>
        <w:tc>
          <w:tcPr>
            <w:tcW w:w="1540" w:type="dxa"/>
            <w:vAlign w:val="bottom"/>
            <w:tcBorders>
              <w:right w:val="single" w:sz="8" w:color="auto"/>
            </w:tcBorders>
            <w:gridSpan w:val="2"/>
          </w:tcPr>
          <w:p>
            <w:pPr>
              <w:jc w:val="right"/>
              <w:ind w:right="480"/>
              <w:spacing w:after="0"/>
              <w:rPr>
                <w:sz w:val="20"/>
                <w:szCs w:val="20"/>
                <w:color w:val="auto"/>
              </w:rPr>
            </w:pPr>
            <w:r>
              <w:rPr>
                <w:rFonts w:ascii="Arial" w:cs="Arial" w:eastAsia="Arial" w:hAnsi="Arial"/>
                <w:sz w:val="18"/>
                <w:szCs w:val="18"/>
                <w:color w:val="auto"/>
              </w:rPr>
              <w:t>8,614</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00" w:type="dxa"/>
            <w:vAlign w:val="bottom"/>
            <w:gridSpan w:val="2"/>
          </w:tcPr>
          <w:p>
            <w:pPr>
              <w:jc w:val="right"/>
              <w:ind w:right="120"/>
              <w:spacing w:after="0"/>
              <w:rPr>
                <w:sz w:val="20"/>
                <w:szCs w:val="20"/>
                <w:color w:val="auto"/>
              </w:rPr>
            </w:pPr>
            <w:r>
              <w:rPr>
                <w:rFonts w:ascii="Arial" w:cs="Arial" w:eastAsia="Arial" w:hAnsi="Arial"/>
                <w:sz w:val="18"/>
                <w:szCs w:val="18"/>
                <w:color w:val="auto"/>
              </w:rPr>
              <w:t>498</w:t>
            </w:r>
          </w:p>
        </w:tc>
        <w:tc>
          <w:tcPr>
            <w:tcW w:w="0" w:type="dxa"/>
            <w:vAlign w:val="bottom"/>
          </w:tcPr>
          <w:p>
            <w:pPr>
              <w:spacing w:after="0"/>
              <w:rPr>
                <w:sz w:val="1"/>
                <w:szCs w:val="1"/>
                <w:color w:val="auto"/>
              </w:rPr>
            </w:pPr>
          </w:p>
        </w:tc>
      </w:tr>
      <w:tr>
        <w:trPr>
          <w:trHeight w:val="216"/>
        </w:trPr>
        <w:tc>
          <w:tcPr>
            <w:tcW w:w="3960" w:type="dxa"/>
            <w:vAlign w:val="bottom"/>
            <w:shd w:val="clear" w:color="auto" w:fill="CCEEFF"/>
          </w:tcPr>
          <w:p>
            <w:pPr>
              <w:ind w:left="720"/>
              <w:spacing w:after="0"/>
              <w:rPr>
                <w:sz w:val="20"/>
                <w:szCs w:val="20"/>
                <w:color w:val="auto"/>
              </w:rPr>
            </w:pPr>
            <w:r>
              <w:rPr>
                <w:rFonts w:ascii="Arial" w:cs="Arial" w:eastAsia="Arial" w:hAnsi="Arial"/>
                <w:sz w:val="18"/>
                <w:szCs w:val="18"/>
                <w:b w:val="1"/>
                <w:bCs w:val="1"/>
                <w:color w:val="auto"/>
              </w:rPr>
              <w:t>Total cost of revenue</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19,306</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14,741</w:t>
            </w: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30,468</w:t>
            </w:r>
          </w:p>
        </w:tc>
        <w:tc>
          <w:tcPr>
            <w:tcW w:w="100" w:type="dxa"/>
            <w:vAlign w:val="bottom"/>
            <w:shd w:val="clear" w:color="auto" w:fill="CCEEFF"/>
          </w:tcPr>
          <w:p>
            <w:pPr>
              <w:spacing w:after="0"/>
              <w:rPr>
                <w:sz w:val="18"/>
                <w:szCs w:val="18"/>
                <w:color w:val="auto"/>
              </w:rPr>
            </w:pPr>
          </w:p>
        </w:tc>
        <w:tc>
          <w:tcPr>
            <w:tcW w:w="1540" w:type="dxa"/>
            <w:vAlign w:val="bottom"/>
            <w:tcBorders>
              <w:right w:val="single" w:sz="8" w:color="auto"/>
            </w:tcBorders>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13,282</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5,328</w:t>
            </w:r>
          </w:p>
        </w:tc>
        <w:tc>
          <w:tcPr>
            <w:tcW w:w="0" w:type="dxa"/>
            <w:vAlign w:val="bottom"/>
          </w:tcPr>
          <w:p>
            <w:pPr>
              <w:spacing w:after="0"/>
              <w:rPr>
                <w:sz w:val="1"/>
                <w:szCs w:val="1"/>
                <w:color w:val="auto"/>
              </w:rPr>
            </w:pPr>
          </w:p>
        </w:tc>
      </w:tr>
      <w:tr>
        <w:trPr>
          <w:trHeight w:val="223"/>
        </w:trPr>
        <w:tc>
          <w:tcPr>
            <w:tcW w:w="3960" w:type="dxa"/>
            <w:vAlign w:val="bottom"/>
          </w:tcPr>
          <w:p>
            <w:pPr>
              <w:spacing w:after="0"/>
              <w:rPr>
                <w:sz w:val="20"/>
                <w:szCs w:val="20"/>
                <w:color w:val="auto"/>
              </w:rPr>
            </w:pPr>
            <w:r>
              <w:rPr>
                <w:rFonts w:ascii="Arial" w:cs="Arial" w:eastAsia="Arial" w:hAnsi="Arial"/>
                <w:sz w:val="18"/>
                <w:szCs w:val="18"/>
                <w:b w:val="1"/>
                <w:bCs w:val="1"/>
                <w:color w:val="auto"/>
              </w:rPr>
              <w:t>Gross profit</w:t>
            </w:r>
          </w:p>
        </w:tc>
        <w:tc>
          <w:tcPr>
            <w:tcW w:w="10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57,451</w:t>
            </w: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39,845</w:t>
            </w:r>
          </w:p>
        </w:tc>
        <w:tc>
          <w:tcPr>
            <w:tcW w:w="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87,849</w:t>
            </w:r>
          </w:p>
        </w:tc>
        <w:tc>
          <w:tcPr>
            <w:tcW w:w="36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26,763</w:t>
            </w:r>
          </w:p>
        </w:tc>
        <w:tc>
          <w:tcPr>
            <w:tcW w:w="480" w:type="dxa"/>
            <w:vAlign w:val="bottom"/>
            <w:tcBorders>
              <w:right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1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40,130</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39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Operating expenses:</w:t>
            </w: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480" w:type="dxa"/>
            <w:vAlign w:val="bottom"/>
            <w:tcBorders>
              <w:right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60" w:type="dxa"/>
            <w:vAlign w:val="bottom"/>
          </w:tcPr>
          <w:p>
            <w:pPr>
              <w:ind w:left="360"/>
              <w:spacing w:after="0"/>
              <w:rPr>
                <w:sz w:val="20"/>
                <w:szCs w:val="20"/>
                <w:color w:val="auto"/>
              </w:rPr>
            </w:pPr>
            <w:r>
              <w:rPr>
                <w:rFonts w:ascii="Arial" w:cs="Arial" w:eastAsia="Arial" w:hAnsi="Arial"/>
                <w:sz w:val="18"/>
                <w:szCs w:val="18"/>
                <w:color w:val="auto"/>
              </w:rPr>
              <w:t>Sales and marketing</w:t>
            </w:r>
          </w:p>
        </w:tc>
        <w:tc>
          <w:tcPr>
            <w:tcW w:w="100" w:type="dxa"/>
            <w:vAlign w:val="bottom"/>
          </w:tcPr>
          <w:p>
            <w:pPr>
              <w:spacing w:after="0"/>
              <w:rPr>
                <w:sz w:val="18"/>
                <w:szCs w:val="18"/>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8"/>
                <w:szCs w:val="18"/>
                <w:color w:val="auto"/>
              </w:rPr>
              <w:t>24,627</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gridSpan w:val="2"/>
          </w:tcPr>
          <w:p>
            <w:pPr>
              <w:jc w:val="right"/>
              <w:ind w:right="60"/>
              <w:spacing w:after="0"/>
              <w:rPr>
                <w:sz w:val="20"/>
                <w:szCs w:val="20"/>
                <w:color w:val="auto"/>
              </w:rPr>
            </w:pPr>
            <w:r>
              <w:rPr>
                <w:rFonts w:ascii="Arial" w:cs="Arial" w:eastAsia="Arial" w:hAnsi="Arial"/>
                <w:sz w:val="18"/>
                <w:szCs w:val="18"/>
                <w:color w:val="auto"/>
              </w:rPr>
              <w:t>15,250</w:t>
            </w: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60" w:type="dxa"/>
            <w:vAlign w:val="bottom"/>
            <w:gridSpan w:val="2"/>
          </w:tcPr>
          <w:p>
            <w:pPr>
              <w:jc w:val="right"/>
              <w:ind w:right="360"/>
              <w:spacing w:after="0"/>
              <w:rPr>
                <w:sz w:val="20"/>
                <w:szCs w:val="20"/>
                <w:color w:val="auto"/>
              </w:rPr>
            </w:pPr>
            <w:r>
              <w:rPr>
                <w:rFonts w:ascii="Arial" w:cs="Arial" w:eastAsia="Arial" w:hAnsi="Arial"/>
                <w:sz w:val="18"/>
                <w:szCs w:val="18"/>
                <w:color w:val="auto"/>
              </w:rPr>
              <w:t>34,332</w:t>
            </w:r>
          </w:p>
        </w:tc>
        <w:tc>
          <w:tcPr>
            <w:tcW w:w="100" w:type="dxa"/>
            <w:vAlign w:val="bottom"/>
          </w:tcPr>
          <w:p>
            <w:pPr>
              <w:spacing w:after="0"/>
              <w:rPr>
                <w:sz w:val="18"/>
                <w:szCs w:val="18"/>
                <w:color w:val="auto"/>
              </w:rPr>
            </w:pPr>
          </w:p>
        </w:tc>
        <w:tc>
          <w:tcPr>
            <w:tcW w:w="1540" w:type="dxa"/>
            <w:vAlign w:val="bottom"/>
            <w:tcBorders>
              <w:right w:val="single" w:sz="8" w:color="auto"/>
            </w:tcBorders>
            <w:gridSpan w:val="2"/>
          </w:tcPr>
          <w:p>
            <w:pPr>
              <w:jc w:val="right"/>
              <w:ind w:right="480"/>
              <w:spacing w:after="0"/>
              <w:rPr>
                <w:sz w:val="20"/>
                <w:szCs w:val="20"/>
                <w:color w:val="auto"/>
              </w:rPr>
            </w:pPr>
            <w:r>
              <w:rPr>
                <w:rFonts w:ascii="Arial" w:cs="Arial" w:eastAsia="Arial" w:hAnsi="Arial"/>
                <w:sz w:val="18"/>
                <w:szCs w:val="18"/>
                <w:color w:val="auto"/>
              </w:rPr>
              <w:t>10,814</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00" w:type="dxa"/>
            <w:vAlign w:val="bottom"/>
            <w:gridSpan w:val="2"/>
          </w:tcPr>
          <w:p>
            <w:pPr>
              <w:jc w:val="right"/>
              <w:ind w:right="120"/>
              <w:spacing w:after="0"/>
              <w:rPr>
                <w:sz w:val="20"/>
                <w:szCs w:val="20"/>
                <w:color w:val="auto"/>
              </w:rPr>
            </w:pPr>
            <w:r>
              <w:rPr>
                <w:rFonts w:ascii="Arial" w:cs="Arial" w:eastAsia="Arial" w:hAnsi="Arial"/>
                <w:sz w:val="18"/>
                <w:szCs w:val="18"/>
                <w:color w:val="auto"/>
              </w:rPr>
              <w:t>16,039</w:t>
            </w:r>
          </w:p>
        </w:tc>
        <w:tc>
          <w:tcPr>
            <w:tcW w:w="0" w:type="dxa"/>
            <w:vAlign w:val="bottom"/>
          </w:tcPr>
          <w:p>
            <w:pPr>
              <w:spacing w:after="0"/>
              <w:rPr>
                <w:sz w:val="1"/>
                <w:szCs w:val="1"/>
                <w:color w:val="auto"/>
              </w:rPr>
            </w:pPr>
          </w:p>
        </w:tc>
      </w:tr>
      <w:tr>
        <w:trPr>
          <w:trHeight w:val="216"/>
        </w:trPr>
        <w:tc>
          <w:tcPr>
            <w:tcW w:w="39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Product development</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8,071</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4,948</w:t>
            </w: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11,062</w:t>
            </w:r>
          </w:p>
        </w:tc>
        <w:tc>
          <w:tcPr>
            <w:tcW w:w="100" w:type="dxa"/>
            <w:vAlign w:val="bottom"/>
            <w:shd w:val="clear" w:color="auto" w:fill="CCEEFF"/>
          </w:tcPr>
          <w:p>
            <w:pPr>
              <w:spacing w:after="0"/>
              <w:rPr>
                <w:sz w:val="18"/>
                <w:szCs w:val="18"/>
                <w:color w:val="auto"/>
              </w:rPr>
            </w:pPr>
          </w:p>
        </w:tc>
        <w:tc>
          <w:tcPr>
            <w:tcW w:w="1540" w:type="dxa"/>
            <w:vAlign w:val="bottom"/>
            <w:tcBorders>
              <w:right w:val="single" w:sz="8" w:color="auto"/>
            </w:tcBorders>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3,484</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3,961</w:t>
            </w:r>
          </w:p>
        </w:tc>
        <w:tc>
          <w:tcPr>
            <w:tcW w:w="0" w:type="dxa"/>
            <w:vAlign w:val="bottom"/>
          </w:tcPr>
          <w:p>
            <w:pPr>
              <w:spacing w:after="0"/>
              <w:rPr>
                <w:sz w:val="1"/>
                <w:szCs w:val="1"/>
                <w:color w:val="auto"/>
              </w:rPr>
            </w:pPr>
          </w:p>
        </w:tc>
      </w:tr>
      <w:tr>
        <w:trPr>
          <w:trHeight w:val="216"/>
        </w:trPr>
        <w:tc>
          <w:tcPr>
            <w:tcW w:w="3960" w:type="dxa"/>
            <w:vAlign w:val="bottom"/>
          </w:tcPr>
          <w:p>
            <w:pPr>
              <w:ind w:left="360"/>
              <w:spacing w:after="0"/>
              <w:rPr>
                <w:sz w:val="20"/>
                <w:szCs w:val="20"/>
                <w:color w:val="auto"/>
              </w:rPr>
            </w:pPr>
            <w:r>
              <w:rPr>
                <w:rFonts w:ascii="Arial" w:cs="Arial" w:eastAsia="Arial" w:hAnsi="Arial"/>
                <w:sz w:val="18"/>
                <w:szCs w:val="18"/>
                <w:color w:val="auto"/>
              </w:rPr>
              <w:t>General and administrative</w:t>
            </w:r>
          </w:p>
        </w:tc>
        <w:tc>
          <w:tcPr>
            <w:tcW w:w="100" w:type="dxa"/>
            <w:vAlign w:val="bottom"/>
          </w:tcPr>
          <w:p>
            <w:pPr>
              <w:spacing w:after="0"/>
              <w:rPr>
                <w:sz w:val="18"/>
                <w:szCs w:val="18"/>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8"/>
                <w:szCs w:val="18"/>
                <w:color w:val="auto"/>
              </w:rPr>
              <w:t>11,011</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gridSpan w:val="2"/>
          </w:tcPr>
          <w:p>
            <w:pPr>
              <w:jc w:val="right"/>
              <w:ind w:right="60"/>
              <w:spacing w:after="0"/>
              <w:rPr>
                <w:sz w:val="20"/>
                <w:szCs w:val="20"/>
                <w:color w:val="auto"/>
              </w:rPr>
            </w:pPr>
            <w:r>
              <w:rPr>
                <w:rFonts w:ascii="Arial" w:cs="Arial" w:eastAsia="Arial" w:hAnsi="Arial"/>
                <w:sz w:val="18"/>
                <w:szCs w:val="18"/>
                <w:color w:val="auto"/>
              </w:rPr>
              <w:t>5,567</w:t>
            </w: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60" w:type="dxa"/>
            <w:vAlign w:val="bottom"/>
            <w:gridSpan w:val="2"/>
          </w:tcPr>
          <w:p>
            <w:pPr>
              <w:jc w:val="right"/>
              <w:ind w:right="360"/>
              <w:spacing w:after="0"/>
              <w:rPr>
                <w:sz w:val="20"/>
                <w:szCs w:val="20"/>
                <w:color w:val="auto"/>
              </w:rPr>
            </w:pPr>
            <w:r>
              <w:rPr>
                <w:rFonts w:ascii="Arial" w:cs="Arial" w:eastAsia="Arial" w:hAnsi="Arial"/>
                <w:sz w:val="18"/>
                <w:szCs w:val="18"/>
                <w:color w:val="auto"/>
              </w:rPr>
              <w:t>12,927</w:t>
            </w:r>
          </w:p>
        </w:tc>
        <w:tc>
          <w:tcPr>
            <w:tcW w:w="100" w:type="dxa"/>
            <w:vAlign w:val="bottom"/>
          </w:tcPr>
          <w:p>
            <w:pPr>
              <w:spacing w:after="0"/>
              <w:rPr>
                <w:sz w:val="18"/>
                <w:szCs w:val="18"/>
                <w:color w:val="auto"/>
              </w:rPr>
            </w:pPr>
          </w:p>
        </w:tc>
        <w:tc>
          <w:tcPr>
            <w:tcW w:w="1540" w:type="dxa"/>
            <w:vAlign w:val="bottom"/>
            <w:tcBorders>
              <w:right w:val="single" w:sz="8" w:color="auto"/>
            </w:tcBorders>
            <w:gridSpan w:val="2"/>
          </w:tcPr>
          <w:p>
            <w:pPr>
              <w:jc w:val="right"/>
              <w:ind w:right="480"/>
              <w:spacing w:after="0"/>
              <w:rPr>
                <w:sz w:val="20"/>
                <w:szCs w:val="20"/>
                <w:color w:val="auto"/>
              </w:rPr>
            </w:pPr>
            <w:r>
              <w:rPr>
                <w:rFonts w:ascii="Arial" w:cs="Arial" w:eastAsia="Arial" w:hAnsi="Arial"/>
                <w:sz w:val="18"/>
                <w:szCs w:val="18"/>
                <w:color w:val="auto"/>
              </w:rPr>
              <w:t>6,365</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00" w:type="dxa"/>
            <w:vAlign w:val="bottom"/>
            <w:gridSpan w:val="2"/>
          </w:tcPr>
          <w:p>
            <w:pPr>
              <w:jc w:val="right"/>
              <w:ind w:right="120"/>
              <w:spacing w:after="0"/>
              <w:rPr>
                <w:sz w:val="20"/>
                <w:szCs w:val="20"/>
                <w:color w:val="auto"/>
              </w:rPr>
            </w:pPr>
            <w:r>
              <w:rPr>
                <w:rFonts w:ascii="Arial" w:cs="Arial" w:eastAsia="Arial" w:hAnsi="Arial"/>
                <w:sz w:val="18"/>
                <w:szCs w:val="18"/>
                <w:color w:val="auto"/>
              </w:rPr>
              <w:t>3,979</w:t>
            </w:r>
          </w:p>
        </w:tc>
        <w:tc>
          <w:tcPr>
            <w:tcW w:w="0" w:type="dxa"/>
            <w:vAlign w:val="bottom"/>
          </w:tcPr>
          <w:p>
            <w:pPr>
              <w:spacing w:after="0"/>
              <w:rPr>
                <w:sz w:val="1"/>
                <w:szCs w:val="1"/>
                <w:color w:val="auto"/>
              </w:rPr>
            </w:pPr>
          </w:p>
        </w:tc>
      </w:tr>
      <w:tr>
        <w:trPr>
          <w:trHeight w:val="216"/>
        </w:trPr>
        <w:tc>
          <w:tcPr>
            <w:tcW w:w="39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Depreciation and amortization</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19,054</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19,925</w:t>
            </w: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40,197</w:t>
            </w:r>
          </w:p>
        </w:tc>
        <w:tc>
          <w:tcPr>
            <w:tcW w:w="100" w:type="dxa"/>
            <w:vAlign w:val="bottom"/>
            <w:shd w:val="clear" w:color="auto" w:fill="CCEEFF"/>
          </w:tcPr>
          <w:p>
            <w:pPr>
              <w:spacing w:after="0"/>
              <w:rPr>
                <w:sz w:val="18"/>
                <w:szCs w:val="18"/>
                <w:color w:val="auto"/>
              </w:rPr>
            </w:pPr>
          </w:p>
        </w:tc>
        <w:tc>
          <w:tcPr>
            <w:tcW w:w="1540" w:type="dxa"/>
            <w:vAlign w:val="bottom"/>
            <w:tcBorders>
              <w:right w:val="single" w:sz="8" w:color="auto"/>
            </w:tcBorders>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22,459</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1,967</w:t>
            </w:r>
          </w:p>
        </w:tc>
        <w:tc>
          <w:tcPr>
            <w:tcW w:w="0" w:type="dxa"/>
            <w:vAlign w:val="bottom"/>
          </w:tcPr>
          <w:p>
            <w:pPr>
              <w:spacing w:after="0"/>
              <w:rPr>
                <w:sz w:val="1"/>
                <w:szCs w:val="1"/>
                <w:color w:val="auto"/>
              </w:rPr>
            </w:pPr>
          </w:p>
        </w:tc>
      </w:tr>
      <w:tr>
        <w:trPr>
          <w:trHeight w:val="216"/>
        </w:trPr>
        <w:tc>
          <w:tcPr>
            <w:tcW w:w="3960" w:type="dxa"/>
            <w:vAlign w:val="bottom"/>
          </w:tcPr>
          <w:p>
            <w:pPr>
              <w:ind w:left="360"/>
              <w:spacing w:after="0"/>
              <w:rPr>
                <w:sz w:val="20"/>
                <w:szCs w:val="20"/>
                <w:color w:val="auto"/>
              </w:rPr>
            </w:pPr>
            <w:r>
              <w:rPr>
                <w:rFonts w:ascii="Arial" w:cs="Arial" w:eastAsia="Arial" w:hAnsi="Arial"/>
                <w:sz w:val="18"/>
                <w:szCs w:val="18"/>
                <w:color w:val="auto"/>
              </w:rPr>
              <w:t>Transaction expenses</w:t>
            </w:r>
          </w:p>
        </w:tc>
        <w:tc>
          <w:tcPr>
            <w:tcW w:w="100" w:type="dxa"/>
            <w:vAlign w:val="bottom"/>
          </w:tcPr>
          <w:p>
            <w:pPr>
              <w:spacing w:after="0"/>
              <w:rPr>
                <w:sz w:val="18"/>
                <w:szCs w:val="18"/>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8"/>
                <w:szCs w:val="18"/>
                <w:color w:val="auto"/>
              </w:rPr>
              <w:t>3,469</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gridSpan w:val="2"/>
          </w:tcPr>
          <w:p>
            <w:pPr>
              <w:jc w:val="right"/>
              <w:ind w:right="60"/>
              <w:spacing w:after="0"/>
              <w:rPr>
                <w:sz w:val="20"/>
                <w:szCs w:val="20"/>
                <w:color w:val="auto"/>
              </w:rPr>
            </w:pPr>
            <w:r>
              <w:rPr>
                <w:rFonts w:ascii="Arial" w:cs="Arial" w:eastAsia="Arial" w:hAnsi="Arial"/>
                <w:sz w:val="18"/>
                <w:szCs w:val="18"/>
                <w:color w:val="auto"/>
              </w:rPr>
              <w:t>708</w:t>
            </w: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60" w:type="dxa"/>
            <w:vAlign w:val="bottom"/>
            <w:gridSpan w:val="2"/>
          </w:tcPr>
          <w:p>
            <w:pPr>
              <w:jc w:val="right"/>
              <w:ind w:right="360"/>
              <w:spacing w:after="0"/>
              <w:rPr>
                <w:sz w:val="20"/>
                <w:szCs w:val="20"/>
                <w:color w:val="auto"/>
              </w:rPr>
            </w:pPr>
            <w:r>
              <w:rPr>
                <w:rFonts w:ascii="Arial" w:cs="Arial" w:eastAsia="Arial" w:hAnsi="Arial"/>
                <w:sz w:val="18"/>
                <w:szCs w:val="18"/>
                <w:color w:val="auto"/>
              </w:rPr>
              <w:t>3,776</w:t>
            </w:r>
          </w:p>
        </w:tc>
        <w:tc>
          <w:tcPr>
            <w:tcW w:w="100" w:type="dxa"/>
            <w:vAlign w:val="bottom"/>
          </w:tcPr>
          <w:p>
            <w:pPr>
              <w:spacing w:after="0"/>
              <w:rPr>
                <w:sz w:val="18"/>
                <w:szCs w:val="18"/>
                <w:color w:val="auto"/>
              </w:rPr>
            </w:pPr>
          </w:p>
        </w:tc>
        <w:tc>
          <w:tcPr>
            <w:tcW w:w="1540" w:type="dxa"/>
            <w:vAlign w:val="bottom"/>
            <w:tcBorders>
              <w:right w:val="single" w:sz="8" w:color="auto"/>
            </w:tcBorders>
            <w:gridSpan w:val="2"/>
          </w:tcPr>
          <w:p>
            <w:pPr>
              <w:jc w:val="right"/>
              <w:ind w:right="480"/>
              <w:spacing w:after="0"/>
              <w:rPr>
                <w:sz w:val="20"/>
                <w:szCs w:val="20"/>
                <w:color w:val="auto"/>
              </w:rPr>
            </w:pPr>
            <w:r>
              <w:rPr>
                <w:rFonts w:ascii="Arial" w:cs="Arial" w:eastAsia="Arial" w:hAnsi="Arial"/>
                <w:sz w:val="18"/>
                <w:szCs w:val="18"/>
                <w:color w:val="auto"/>
              </w:rPr>
              <w:t>14,703</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00" w:type="dxa"/>
            <w:vAlign w:val="bottom"/>
            <w:gridSpan w:val="2"/>
          </w:tcPr>
          <w:p>
            <w:pPr>
              <w:jc w:val="right"/>
              <w:ind w:right="120"/>
              <w:spacing w:after="0"/>
              <w:rPr>
                <w:sz w:val="20"/>
                <w:szCs w:val="20"/>
                <w:color w:val="auto"/>
              </w:rPr>
            </w:pPr>
            <w:r>
              <w:rPr>
                <w:rFonts w:ascii="Arial" w:cs="Arial" w:eastAsia="Arial" w:hAnsi="Arial"/>
                <w:sz w:val="18"/>
                <w:szCs w:val="18"/>
                <w:color w:val="auto"/>
              </w:rPr>
              <w:t>1,151</w:t>
            </w:r>
          </w:p>
        </w:tc>
        <w:tc>
          <w:tcPr>
            <w:tcW w:w="0" w:type="dxa"/>
            <w:vAlign w:val="bottom"/>
          </w:tcPr>
          <w:p>
            <w:pPr>
              <w:spacing w:after="0"/>
              <w:rPr>
                <w:sz w:val="1"/>
                <w:szCs w:val="1"/>
                <w:color w:val="auto"/>
              </w:rPr>
            </w:pPr>
          </w:p>
        </w:tc>
      </w:tr>
      <w:tr>
        <w:trPr>
          <w:trHeight w:val="216"/>
        </w:trPr>
        <w:tc>
          <w:tcPr>
            <w:tcW w:w="3960" w:type="dxa"/>
            <w:vAlign w:val="bottom"/>
            <w:shd w:val="clear" w:color="auto" w:fill="CCEEFF"/>
          </w:tcPr>
          <w:p>
            <w:pPr>
              <w:ind w:left="720"/>
              <w:spacing w:after="0"/>
              <w:rPr>
                <w:sz w:val="20"/>
                <w:szCs w:val="20"/>
                <w:color w:val="auto"/>
              </w:rPr>
            </w:pPr>
            <w:r>
              <w:rPr>
                <w:rFonts w:ascii="Arial" w:cs="Arial" w:eastAsia="Arial" w:hAnsi="Arial"/>
                <w:sz w:val="18"/>
                <w:szCs w:val="18"/>
                <w:b w:val="1"/>
                <w:bCs w:val="1"/>
                <w:color w:val="auto"/>
              </w:rPr>
              <w:t>Total operating expenses</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66,232</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46,398</w:t>
            </w: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102,294</w:t>
            </w:r>
          </w:p>
        </w:tc>
        <w:tc>
          <w:tcPr>
            <w:tcW w:w="100" w:type="dxa"/>
            <w:vAlign w:val="bottom"/>
            <w:shd w:val="clear" w:color="auto" w:fill="CCEEFF"/>
          </w:tcPr>
          <w:p>
            <w:pPr>
              <w:spacing w:after="0"/>
              <w:rPr>
                <w:sz w:val="18"/>
                <w:szCs w:val="18"/>
                <w:color w:val="auto"/>
              </w:rPr>
            </w:pPr>
          </w:p>
        </w:tc>
        <w:tc>
          <w:tcPr>
            <w:tcW w:w="1540" w:type="dxa"/>
            <w:vAlign w:val="bottom"/>
            <w:tcBorders>
              <w:right w:val="single" w:sz="8" w:color="auto"/>
            </w:tcBorders>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57,825</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27,097</w:t>
            </w:r>
          </w:p>
        </w:tc>
        <w:tc>
          <w:tcPr>
            <w:tcW w:w="0" w:type="dxa"/>
            <w:vAlign w:val="bottom"/>
          </w:tcPr>
          <w:p>
            <w:pPr>
              <w:spacing w:after="0"/>
              <w:rPr>
                <w:sz w:val="1"/>
                <w:szCs w:val="1"/>
                <w:color w:val="auto"/>
              </w:rPr>
            </w:pPr>
          </w:p>
        </w:tc>
      </w:tr>
      <w:tr>
        <w:trPr>
          <w:trHeight w:val="223"/>
        </w:trPr>
        <w:tc>
          <w:tcPr>
            <w:tcW w:w="3960" w:type="dxa"/>
            <w:vAlign w:val="bottom"/>
          </w:tcPr>
          <w:p>
            <w:pPr>
              <w:ind w:left="360"/>
              <w:spacing w:after="0"/>
              <w:rPr>
                <w:sz w:val="20"/>
                <w:szCs w:val="20"/>
                <w:color w:val="auto"/>
              </w:rPr>
            </w:pPr>
            <w:r>
              <w:rPr>
                <w:rFonts w:ascii="Arial" w:cs="Arial" w:eastAsia="Arial" w:hAnsi="Arial"/>
                <w:sz w:val="18"/>
                <w:szCs w:val="18"/>
                <w:color w:val="auto"/>
              </w:rPr>
              <w:t>(Loss) income from operations</w:t>
            </w:r>
          </w:p>
        </w:tc>
        <w:tc>
          <w:tcPr>
            <w:tcW w:w="10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(8,781)</w:t>
            </w: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(6,553)</w:t>
            </w:r>
          </w:p>
        </w:tc>
        <w:tc>
          <w:tcPr>
            <w:tcW w:w="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(14,445)</w:t>
            </w:r>
          </w:p>
        </w:tc>
        <w:tc>
          <w:tcPr>
            <w:tcW w:w="36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(31,062)</w:t>
            </w:r>
          </w:p>
        </w:tc>
        <w:tc>
          <w:tcPr>
            <w:tcW w:w="480" w:type="dxa"/>
            <w:vAlign w:val="bottom"/>
            <w:tcBorders>
              <w:right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1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13,033</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3960" w:type="dxa"/>
            <w:vAlign w:val="bottom"/>
            <w:shd w:val="clear" w:color="auto" w:fill="CCEEFF"/>
          </w:tcPr>
          <w:p>
            <w:pPr>
              <w:spacing w:after="0"/>
              <w:rPr>
                <w:sz w:val="20"/>
                <w:szCs w:val="20"/>
                <w:color w:val="auto"/>
              </w:rPr>
            </w:pPr>
            <w:r>
              <w:rPr>
                <w:rFonts w:ascii="Arial" w:cs="Arial" w:eastAsia="Arial" w:hAnsi="Arial"/>
                <w:sz w:val="18"/>
                <w:szCs w:val="18"/>
                <w:color w:val="auto"/>
              </w:rPr>
              <w:t>Other expense, net:</w:t>
            </w: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480" w:type="dxa"/>
            <w:vAlign w:val="bottom"/>
            <w:tcBorders>
              <w:right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60" w:type="dxa"/>
            <w:vAlign w:val="bottom"/>
          </w:tcPr>
          <w:p>
            <w:pPr>
              <w:ind w:left="360"/>
              <w:spacing w:after="0"/>
              <w:rPr>
                <w:sz w:val="20"/>
                <w:szCs w:val="20"/>
                <w:color w:val="auto"/>
              </w:rPr>
            </w:pPr>
            <w:r>
              <w:rPr>
                <w:rFonts w:ascii="Arial" w:cs="Arial" w:eastAsia="Arial" w:hAnsi="Arial"/>
                <w:sz w:val="18"/>
                <w:szCs w:val="18"/>
                <w:color w:val="auto"/>
              </w:rPr>
              <w:t>Foreign currency transaction gain (loss)</w:t>
            </w:r>
          </w:p>
        </w:tc>
        <w:tc>
          <w:tcPr>
            <w:tcW w:w="100" w:type="dxa"/>
            <w:vAlign w:val="bottom"/>
          </w:tcPr>
          <w:p>
            <w:pPr>
              <w:spacing w:after="0"/>
              <w:rPr>
                <w:sz w:val="18"/>
                <w:szCs w:val="18"/>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8"/>
                <w:szCs w:val="18"/>
                <w:color w:val="auto"/>
              </w:rPr>
              <w:t>24</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60" w:type="dxa"/>
            <w:vAlign w:val="bottom"/>
            <w:gridSpan w:val="2"/>
          </w:tcPr>
          <w:p>
            <w:pPr>
              <w:jc w:val="right"/>
              <w:ind w:right="300"/>
              <w:spacing w:after="0"/>
              <w:rPr>
                <w:sz w:val="20"/>
                <w:szCs w:val="20"/>
                <w:color w:val="auto"/>
              </w:rPr>
            </w:pPr>
            <w:r>
              <w:rPr>
                <w:rFonts w:ascii="Arial" w:cs="Arial" w:eastAsia="Arial" w:hAnsi="Arial"/>
                <w:sz w:val="18"/>
                <w:szCs w:val="18"/>
                <w:color w:val="auto"/>
              </w:rPr>
              <w:t>(222)</w:t>
            </w:r>
          </w:p>
        </w:tc>
        <w:tc>
          <w:tcPr>
            <w:tcW w:w="100" w:type="dxa"/>
            <w:vAlign w:val="bottom"/>
          </w:tcPr>
          <w:p>
            <w:pPr>
              <w:spacing w:after="0"/>
              <w:rPr>
                <w:sz w:val="18"/>
                <w:szCs w:val="18"/>
                <w:color w:val="auto"/>
              </w:rPr>
            </w:pPr>
          </w:p>
        </w:tc>
        <w:tc>
          <w:tcPr>
            <w:tcW w:w="1540" w:type="dxa"/>
            <w:vAlign w:val="bottom"/>
            <w:tcBorders>
              <w:right w:val="single" w:sz="8" w:color="auto"/>
            </w:tcBorders>
            <w:gridSpan w:val="2"/>
          </w:tcPr>
          <w:p>
            <w:pPr>
              <w:jc w:val="right"/>
              <w:ind w:right="56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9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Interest expense, net</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(16,770)</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8"/>
              </w:rPr>
              <w:t>(18,780)</w:t>
            </w: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(36,490)</w:t>
            </w:r>
          </w:p>
        </w:tc>
        <w:tc>
          <w:tcPr>
            <w:tcW w:w="100" w:type="dxa"/>
            <w:vAlign w:val="bottom"/>
            <w:shd w:val="clear" w:color="auto" w:fill="CCEEFF"/>
          </w:tcPr>
          <w:p>
            <w:pPr>
              <w:spacing w:after="0"/>
              <w:rPr>
                <w:sz w:val="18"/>
                <w:szCs w:val="18"/>
                <w:color w:val="auto"/>
              </w:rPr>
            </w:pPr>
          </w:p>
        </w:tc>
        <w:tc>
          <w:tcPr>
            <w:tcW w:w="1540" w:type="dxa"/>
            <w:vAlign w:val="bottom"/>
            <w:tcBorders>
              <w:right w:val="single" w:sz="8" w:color="auto"/>
            </w:tcBorders>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(18,204)</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(165)</w:t>
            </w:r>
          </w:p>
        </w:tc>
        <w:tc>
          <w:tcPr>
            <w:tcW w:w="0" w:type="dxa"/>
            <w:vAlign w:val="bottom"/>
          </w:tcPr>
          <w:p>
            <w:pPr>
              <w:spacing w:after="0"/>
              <w:rPr>
                <w:sz w:val="1"/>
                <w:szCs w:val="1"/>
                <w:color w:val="auto"/>
              </w:rPr>
            </w:pPr>
          </w:p>
        </w:tc>
      </w:tr>
      <w:tr>
        <w:trPr>
          <w:trHeight w:val="216"/>
        </w:trPr>
        <w:tc>
          <w:tcPr>
            <w:tcW w:w="3960" w:type="dxa"/>
            <w:vAlign w:val="bottom"/>
          </w:tcPr>
          <w:p>
            <w:pPr>
              <w:ind w:left="720"/>
              <w:spacing w:after="0"/>
              <w:rPr>
                <w:sz w:val="20"/>
                <w:szCs w:val="20"/>
                <w:color w:val="auto"/>
              </w:rPr>
            </w:pPr>
            <w:r>
              <w:rPr>
                <w:rFonts w:ascii="Arial" w:cs="Arial" w:eastAsia="Arial" w:hAnsi="Arial"/>
                <w:sz w:val="18"/>
                <w:szCs w:val="18"/>
                <w:b w:val="1"/>
                <w:bCs w:val="1"/>
                <w:color w:val="auto"/>
              </w:rPr>
              <w:t>Total other expense, net</w:t>
            </w:r>
          </w:p>
        </w:tc>
        <w:tc>
          <w:tcPr>
            <w:tcW w:w="100" w:type="dxa"/>
            <w:vAlign w:val="bottom"/>
          </w:tcPr>
          <w:p>
            <w:pPr>
              <w:spacing w:after="0"/>
              <w:rPr>
                <w:sz w:val="18"/>
                <w:szCs w:val="18"/>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8"/>
                <w:szCs w:val="18"/>
                <w:color w:val="auto"/>
              </w:rPr>
              <w:t>(16,746)</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gridSpan w:val="2"/>
          </w:tcPr>
          <w:p>
            <w:pPr>
              <w:jc w:val="right"/>
              <w:spacing w:after="0"/>
              <w:rPr>
                <w:sz w:val="20"/>
                <w:szCs w:val="20"/>
                <w:color w:val="auto"/>
              </w:rPr>
            </w:pPr>
            <w:r>
              <w:rPr>
                <w:rFonts w:ascii="Arial" w:cs="Arial" w:eastAsia="Arial" w:hAnsi="Arial"/>
                <w:sz w:val="18"/>
                <w:szCs w:val="18"/>
                <w:color w:val="auto"/>
                <w:w w:val="98"/>
              </w:rPr>
              <w:t>(18,780)</w:t>
            </w: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60" w:type="dxa"/>
            <w:vAlign w:val="bottom"/>
            <w:gridSpan w:val="2"/>
          </w:tcPr>
          <w:p>
            <w:pPr>
              <w:jc w:val="right"/>
              <w:ind w:right="300"/>
              <w:spacing w:after="0"/>
              <w:rPr>
                <w:sz w:val="20"/>
                <w:szCs w:val="20"/>
                <w:color w:val="auto"/>
              </w:rPr>
            </w:pPr>
            <w:r>
              <w:rPr>
                <w:rFonts w:ascii="Arial" w:cs="Arial" w:eastAsia="Arial" w:hAnsi="Arial"/>
                <w:sz w:val="18"/>
                <w:szCs w:val="18"/>
                <w:color w:val="auto"/>
              </w:rPr>
              <w:t>(36,712)</w:t>
            </w:r>
          </w:p>
        </w:tc>
        <w:tc>
          <w:tcPr>
            <w:tcW w:w="100" w:type="dxa"/>
            <w:vAlign w:val="bottom"/>
          </w:tcPr>
          <w:p>
            <w:pPr>
              <w:spacing w:after="0"/>
              <w:rPr>
                <w:sz w:val="18"/>
                <w:szCs w:val="18"/>
                <w:color w:val="auto"/>
              </w:rPr>
            </w:pPr>
          </w:p>
        </w:tc>
        <w:tc>
          <w:tcPr>
            <w:tcW w:w="1540" w:type="dxa"/>
            <w:vAlign w:val="bottom"/>
            <w:tcBorders>
              <w:right w:val="single" w:sz="8" w:color="auto"/>
            </w:tcBorders>
            <w:gridSpan w:val="2"/>
          </w:tcPr>
          <w:p>
            <w:pPr>
              <w:jc w:val="right"/>
              <w:ind w:right="420"/>
              <w:spacing w:after="0"/>
              <w:rPr>
                <w:sz w:val="20"/>
                <w:szCs w:val="20"/>
                <w:color w:val="auto"/>
              </w:rPr>
            </w:pPr>
            <w:r>
              <w:rPr>
                <w:rFonts w:ascii="Arial" w:cs="Arial" w:eastAsia="Arial" w:hAnsi="Arial"/>
                <w:sz w:val="18"/>
                <w:szCs w:val="18"/>
                <w:color w:val="auto"/>
              </w:rPr>
              <w:t>(18,204)</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00" w:type="dxa"/>
            <w:vAlign w:val="bottom"/>
            <w:gridSpan w:val="2"/>
          </w:tcPr>
          <w:p>
            <w:pPr>
              <w:jc w:val="right"/>
              <w:ind w:right="60"/>
              <w:spacing w:after="0"/>
              <w:rPr>
                <w:sz w:val="20"/>
                <w:szCs w:val="20"/>
                <w:color w:val="auto"/>
              </w:rPr>
            </w:pPr>
            <w:r>
              <w:rPr>
                <w:rFonts w:ascii="Arial" w:cs="Arial" w:eastAsia="Arial" w:hAnsi="Arial"/>
                <w:sz w:val="18"/>
                <w:szCs w:val="18"/>
                <w:color w:val="auto"/>
              </w:rPr>
              <w:t>(165)</w:t>
            </w:r>
          </w:p>
        </w:tc>
        <w:tc>
          <w:tcPr>
            <w:tcW w:w="0" w:type="dxa"/>
            <w:vAlign w:val="bottom"/>
          </w:tcPr>
          <w:p>
            <w:pPr>
              <w:spacing w:after="0"/>
              <w:rPr>
                <w:sz w:val="1"/>
                <w:szCs w:val="1"/>
                <w:color w:val="auto"/>
              </w:rPr>
            </w:pPr>
          </w:p>
        </w:tc>
      </w:tr>
      <w:tr>
        <w:trPr>
          <w:trHeight w:val="27"/>
        </w:trPr>
        <w:tc>
          <w:tcPr>
            <w:tcW w:w="39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60" w:type="dxa"/>
            <w:vAlign w:val="bottom"/>
            <w:shd w:val="clear" w:color="auto" w:fill="000000"/>
          </w:tcPr>
          <w:p>
            <w:pPr>
              <w:spacing w:after="0"/>
              <w:rPr>
                <w:sz w:val="2"/>
                <w:szCs w:val="2"/>
                <w:color w:val="auto"/>
              </w:rPr>
            </w:pPr>
          </w:p>
        </w:tc>
        <w:tc>
          <w:tcPr>
            <w:tcW w:w="480" w:type="dxa"/>
            <w:vAlign w:val="bottom"/>
            <w:tcBorders>
              <w:right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1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3960" w:type="dxa"/>
            <w:vAlign w:val="bottom"/>
            <w:shd w:val="clear" w:color="auto" w:fill="CCEEFF"/>
          </w:tcPr>
          <w:p>
            <w:pPr>
              <w:ind w:left="720"/>
              <w:spacing w:after="0"/>
              <w:rPr>
                <w:sz w:val="20"/>
                <w:szCs w:val="20"/>
                <w:color w:val="auto"/>
              </w:rPr>
            </w:pPr>
            <w:r>
              <w:rPr>
                <w:rFonts w:ascii="Arial" w:cs="Arial" w:eastAsia="Arial" w:hAnsi="Arial"/>
                <w:sz w:val="18"/>
                <w:szCs w:val="18"/>
                <w:b w:val="1"/>
                <w:bCs w:val="1"/>
                <w:color w:val="auto"/>
              </w:rPr>
              <w:t>Net (loss) income</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(25,527)</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8"/>
              </w:rPr>
              <w:t>(25,333)</w:t>
            </w:r>
          </w:p>
        </w:tc>
        <w:tc>
          <w:tcPr>
            <w:tcW w:w="46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13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(51,157)</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1540" w:type="dxa"/>
            <w:vAlign w:val="bottom"/>
            <w:tcBorders>
              <w:right w:val="single" w:sz="8" w:color="auto"/>
            </w:tcBorders>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(49,266)</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12,868</w:t>
            </w:r>
          </w:p>
        </w:tc>
        <w:tc>
          <w:tcPr>
            <w:tcW w:w="0" w:type="dxa"/>
            <w:vAlign w:val="bottom"/>
          </w:tcPr>
          <w:p>
            <w:pPr>
              <w:spacing w:after="0"/>
              <w:rPr>
                <w:sz w:val="1"/>
                <w:szCs w:val="1"/>
                <w:color w:val="auto"/>
              </w:rPr>
            </w:pPr>
          </w:p>
        </w:tc>
      </w:tr>
      <w:tr>
        <w:trPr>
          <w:trHeight w:val="20"/>
        </w:trPr>
        <w:tc>
          <w:tcPr>
            <w:tcW w:w="39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right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5962650</wp:posOffset>
            </wp:positionH>
            <wp:positionV relativeFrom="paragraph">
              <wp:posOffset>-2982595</wp:posOffset>
            </wp:positionV>
            <wp:extent cx="26035" cy="825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26035" cy="8255"/>
                    </a:xfrm>
                    <a:prstGeom prst="rect">
                      <a:avLst/>
                    </a:prstGeom>
                    <a:noFill/>
                  </pic:spPr>
                </pic:pic>
              </a:graphicData>
            </a:graphic>
          </wp:anchor>
        </w:drawing>
      </w:r>
    </w:p>
    <w:p>
      <w:pPr>
        <w:spacing w:after="0" w:line="290"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Six Months Ended June 30, 2021 Compared to Six Months Ended June 30, 2020</w:t>
      </w:r>
    </w:p>
    <w:p>
      <w:pPr>
        <w:spacing w:after="0" w:line="117" w:lineRule="exact"/>
        <w:rPr>
          <w:sz w:val="20"/>
          <w:szCs w:val="20"/>
          <w:color w:val="auto"/>
        </w:rPr>
      </w:pPr>
    </w:p>
    <w:p>
      <w:pPr>
        <w:ind w:left="120" w:right="40" w:firstLine="440"/>
        <w:spacing w:after="0" w:line="259" w:lineRule="auto"/>
        <w:rPr>
          <w:sz w:val="20"/>
          <w:szCs w:val="20"/>
          <w:color w:val="auto"/>
        </w:rPr>
      </w:pPr>
      <w:r>
        <w:rPr>
          <w:rFonts w:ascii="Arial" w:cs="Arial" w:eastAsia="Arial" w:hAnsi="Arial"/>
          <w:sz w:val="18"/>
          <w:szCs w:val="18"/>
          <w:i w:val="1"/>
          <w:iCs w:val="1"/>
          <w:color w:val="auto"/>
        </w:rPr>
        <w:t xml:space="preserve">Revenue. </w:t>
      </w:r>
      <w:r>
        <w:rPr>
          <w:rFonts w:ascii="Arial" w:cs="Arial" w:eastAsia="Arial" w:hAnsi="Arial"/>
          <w:sz w:val="18"/>
          <w:szCs w:val="18"/>
          <w:color w:val="auto"/>
        </w:rPr>
        <w:t>Revenue was $76.8 million for the six months ended June 30, 2021, compared to $54.6 million for the six months ended June 30, 2020,</w:t>
      </w:r>
      <w:r>
        <w:rPr>
          <w:rFonts w:ascii="Arial" w:cs="Arial" w:eastAsia="Arial" w:hAnsi="Arial"/>
          <w:sz w:val="18"/>
          <w:szCs w:val="18"/>
          <w:i w:val="1"/>
          <w:iCs w:val="1"/>
          <w:color w:val="auto"/>
        </w:rPr>
        <w:t xml:space="preserve"> </w:t>
      </w:r>
      <w:r>
        <w:rPr>
          <w:rFonts w:ascii="Arial" w:cs="Arial" w:eastAsia="Arial" w:hAnsi="Arial"/>
          <w:sz w:val="18"/>
          <w:szCs w:val="18"/>
          <w:color w:val="auto"/>
        </w:rPr>
        <w:t>an increase of $22.2 million or 41%, driven by higher subscription revenue of $21.7 million. Of the 41% increase in total revenue, approximately 37% was attributable to net expansion with existing customers and 4% to the addition of new customers inclusive of those acquired through the acquisition of Monocl in October 2020.</w:t>
      </w:r>
    </w:p>
    <w:p>
      <w:pPr>
        <w:spacing w:after="0" w:line="119"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88</w:t>
      </w:r>
    </w:p>
    <w:p>
      <w:pPr>
        <w:sectPr>
          <w:pgSz w:w="11900" w:h="16838" w:orient="portrait"/>
          <w:cols w:equalWidth="0" w:num="1">
            <w:col w:w="11140"/>
          </w:cols>
          <w:pgMar w:left="320" w:top="459" w:right="439" w:bottom="1440" w:gutter="0" w:footer="0" w:header="0"/>
        </w:sectPr>
      </w:pPr>
    </w:p>
    <w:bookmarkStart w:id="95" w:name="page96"/>
    <w:bookmarkEnd w:id="9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Confidential Treatment Requested by Definitive Healthcare Corp.</w:t>
      </w:r>
    </w:p>
    <w:p>
      <w:pPr>
        <w:spacing w:after="0" w:line="27"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Pursuant to 17 C.F.R. Section 200.83</w:t>
      </w:r>
    </w:p>
    <w:p>
      <w:pPr>
        <w:spacing w:after="0" w:line="143" w:lineRule="exact"/>
        <w:rPr>
          <w:sz w:val="20"/>
          <w:szCs w:val="20"/>
          <w:color w:val="auto"/>
        </w:rPr>
      </w:pPr>
    </w:p>
    <w:p>
      <w:pPr>
        <w:ind w:left="120" w:right="60" w:firstLine="440"/>
        <w:spacing w:after="0" w:line="277" w:lineRule="auto"/>
        <w:rPr>
          <w:sz w:val="20"/>
          <w:szCs w:val="20"/>
          <w:color w:val="auto"/>
        </w:rPr>
      </w:pPr>
      <w:r>
        <w:rPr>
          <w:rFonts w:ascii="Arial" w:cs="Arial" w:eastAsia="Arial" w:hAnsi="Arial"/>
          <w:sz w:val="18"/>
          <w:szCs w:val="18"/>
          <w:i w:val="1"/>
          <w:iCs w:val="1"/>
          <w:color w:val="auto"/>
        </w:rPr>
        <w:t xml:space="preserve">Cost of Revenue. </w:t>
      </w:r>
      <w:r>
        <w:rPr>
          <w:rFonts w:ascii="Arial" w:cs="Arial" w:eastAsia="Arial" w:hAnsi="Arial"/>
          <w:sz w:val="18"/>
          <w:szCs w:val="18"/>
          <w:color w:val="auto"/>
        </w:rPr>
        <w:t>Cost of revenue was $19.3 million for the six months ended June 30, 2021, compared to $14.7 million for the same period in the</w:t>
      </w:r>
      <w:r>
        <w:rPr>
          <w:rFonts w:ascii="Arial" w:cs="Arial" w:eastAsia="Arial" w:hAnsi="Arial"/>
          <w:sz w:val="18"/>
          <w:szCs w:val="18"/>
          <w:i w:val="1"/>
          <w:iCs w:val="1"/>
          <w:color w:val="auto"/>
        </w:rPr>
        <w:t xml:space="preserve"> </w:t>
      </w:r>
      <w:r>
        <w:rPr>
          <w:rFonts w:ascii="Arial" w:cs="Arial" w:eastAsia="Arial" w:hAnsi="Arial"/>
          <w:sz w:val="18"/>
          <w:szCs w:val="18"/>
          <w:color w:val="auto"/>
        </w:rPr>
        <w:t>prior year, an increase of $4.6 million, or 31%. The increase was primarily due to:</w:t>
      </w:r>
    </w:p>
    <w:p>
      <w:pPr>
        <w:spacing w:after="0" w:line="76" w:lineRule="exact"/>
        <w:rPr>
          <w:sz w:val="20"/>
          <w:szCs w:val="20"/>
          <w:color w:val="auto"/>
        </w:rPr>
      </w:pPr>
    </w:p>
    <w:p>
      <w:pPr>
        <w:ind w:left="1080" w:hanging="532"/>
        <w:spacing w:after="0" w:line="263" w:lineRule="auto"/>
        <w:tabs>
          <w:tab w:leader="none" w:pos="1080" w:val="left"/>
        </w:tabs>
        <w:numPr>
          <w:ilvl w:val="0"/>
          <w:numId w:val="74"/>
        </w:numPr>
        <w:rPr>
          <w:rFonts w:ascii="Arial" w:cs="Arial" w:eastAsia="Arial" w:hAnsi="Arial"/>
          <w:sz w:val="18"/>
          <w:szCs w:val="18"/>
          <w:color w:val="auto"/>
        </w:rPr>
      </w:pPr>
      <w:r>
        <w:rPr>
          <w:rFonts w:ascii="Arial" w:cs="Arial" w:eastAsia="Arial" w:hAnsi="Arial"/>
          <w:sz w:val="18"/>
          <w:szCs w:val="18"/>
          <w:color w:val="auto"/>
        </w:rPr>
        <w:t>An increase in cost of revenue exclusive of amortization expense of $3.5 million, or 67%, to $8.8 million for the six months ended June 30, 2021, compared to $5.3 million for the six months ended June 30, 2020, due primarily to additional hiring to support our growth and, to a lesser extent, additional resources added through the Monocl acquisition in October 2020; and</w:t>
      </w:r>
    </w:p>
    <w:p>
      <w:pPr>
        <w:spacing w:after="0" w:line="89" w:lineRule="exact"/>
        <w:rPr>
          <w:rFonts w:ascii="Arial" w:cs="Arial" w:eastAsia="Arial" w:hAnsi="Arial"/>
          <w:sz w:val="18"/>
          <w:szCs w:val="18"/>
          <w:color w:val="auto"/>
        </w:rPr>
      </w:pPr>
    </w:p>
    <w:p>
      <w:pPr>
        <w:ind w:left="1080" w:right="220" w:hanging="532"/>
        <w:spacing w:after="0" w:line="263" w:lineRule="auto"/>
        <w:tabs>
          <w:tab w:leader="none" w:pos="1080" w:val="left"/>
        </w:tabs>
        <w:numPr>
          <w:ilvl w:val="0"/>
          <w:numId w:val="74"/>
        </w:numPr>
        <w:rPr>
          <w:rFonts w:ascii="Arial" w:cs="Arial" w:eastAsia="Arial" w:hAnsi="Arial"/>
          <w:sz w:val="18"/>
          <w:szCs w:val="18"/>
          <w:color w:val="auto"/>
        </w:rPr>
      </w:pPr>
      <w:r>
        <w:rPr>
          <w:rFonts w:ascii="Arial" w:cs="Arial" w:eastAsia="Arial" w:hAnsi="Arial"/>
          <w:sz w:val="18"/>
          <w:szCs w:val="18"/>
          <w:color w:val="auto"/>
        </w:rPr>
        <w:t>An increase in amortization expense of $1.0 million, or 11%, to $10.5 million for the six months ended June 30, 2021, compared to $9.5 million for the six months ended June 30, 2020, primarily due to additional amortization of acquired technology that arose from the Monocl acquisition in October 2020.</w:t>
      </w:r>
    </w:p>
    <w:p>
      <w:pPr>
        <w:spacing w:after="0" w:line="184" w:lineRule="exact"/>
        <w:rPr>
          <w:sz w:val="20"/>
          <w:szCs w:val="20"/>
          <w:color w:val="auto"/>
        </w:rPr>
      </w:pPr>
    </w:p>
    <w:p>
      <w:pPr>
        <w:ind w:left="120" w:right="540" w:firstLine="440"/>
        <w:spacing w:after="0" w:line="277" w:lineRule="auto"/>
        <w:rPr>
          <w:sz w:val="20"/>
          <w:szCs w:val="20"/>
          <w:color w:val="auto"/>
        </w:rPr>
      </w:pPr>
      <w:r>
        <w:rPr>
          <w:rFonts w:ascii="Arial" w:cs="Arial" w:eastAsia="Arial" w:hAnsi="Arial"/>
          <w:sz w:val="18"/>
          <w:szCs w:val="18"/>
          <w:i w:val="1"/>
          <w:iCs w:val="1"/>
          <w:color w:val="auto"/>
        </w:rPr>
        <w:t xml:space="preserve">Operating Expenses. </w:t>
      </w:r>
      <w:r>
        <w:rPr>
          <w:rFonts w:ascii="Arial" w:cs="Arial" w:eastAsia="Arial" w:hAnsi="Arial"/>
          <w:sz w:val="18"/>
          <w:szCs w:val="18"/>
          <w:color w:val="auto"/>
        </w:rPr>
        <w:t>Operating expenses were $66.2 million for the six months ended June 30, 2021, compared to $46.4 million for the six</w:t>
      </w:r>
      <w:r>
        <w:rPr>
          <w:rFonts w:ascii="Arial" w:cs="Arial" w:eastAsia="Arial" w:hAnsi="Arial"/>
          <w:sz w:val="18"/>
          <w:szCs w:val="18"/>
          <w:i w:val="1"/>
          <w:iCs w:val="1"/>
          <w:color w:val="auto"/>
        </w:rPr>
        <w:t xml:space="preserve"> </w:t>
      </w:r>
      <w:r>
        <w:rPr>
          <w:rFonts w:ascii="Arial" w:cs="Arial" w:eastAsia="Arial" w:hAnsi="Arial"/>
          <w:sz w:val="18"/>
          <w:szCs w:val="18"/>
          <w:color w:val="auto"/>
        </w:rPr>
        <w:t>months ended June 30, 2020, an increase of $19.8 million, or 43%. The increase was primarily due to:</w:t>
      </w:r>
    </w:p>
    <w:p>
      <w:pPr>
        <w:spacing w:after="0" w:line="76" w:lineRule="exact"/>
        <w:rPr>
          <w:sz w:val="20"/>
          <w:szCs w:val="20"/>
          <w:color w:val="auto"/>
        </w:rPr>
      </w:pPr>
    </w:p>
    <w:p>
      <w:pPr>
        <w:ind w:left="1080" w:right="60" w:hanging="532"/>
        <w:spacing w:after="0" w:line="286" w:lineRule="auto"/>
        <w:tabs>
          <w:tab w:leader="none" w:pos="1080" w:val="left"/>
        </w:tabs>
        <w:numPr>
          <w:ilvl w:val="0"/>
          <w:numId w:val="75"/>
        </w:numPr>
        <w:rPr>
          <w:rFonts w:ascii="Arial" w:cs="Arial" w:eastAsia="Arial" w:hAnsi="Arial"/>
          <w:sz w:val="17"/>
          <w:szCs w:val="17"/>
          <w:color w:val="auto"/>
        </w:rPr>
      </w:pPr>
      <w:r>
        <w:rPr>
          <w:rFonts w:ascii="Arial" w:cs="Arial" w:eastAsia="Arial" w:hAnsi="Arial"/>
          <w:sz w:val="17"/>
          <w:szCs w:val="17"/>
          <w:color w:val="auto"/>
        </w:rPr>
        <w:t>An increase in sales and marketing expense of $9.3 million, or 61%, to $24.6 million for the six months ended June 30, 2021, compared to $15.3 million for the six months ended June 30, 2020, due primarily to additional hiring to drive continued incremental sales and, to a lesser extent, additional sales and marketing resources added through the Monocl acquisition in October 2020;</w:t>
      </w:r>
    </w:p>
    <w:p>
      <w:pPr>
        <w:spacing w:after="0" w:line="70" w:lineRule="exact"/>
        <w:rPr>
          <w:rFonts w:ascii="Arial" w:cs="Arial" w:eastAsia="Arial" w:hAnsi="Arial"/>
          <w:sz w:val="17"/>
          <w:szCs w:val="17"/>
          <w:color w:val="auto"/>
        </w:rPr>
      </w:pPr>
    </w:p>
    <w:p>
      <w:pPr>
        <w:ind w:left="1080" w:right="40" w:hanging="532"/>
        <w:spacing w:after="0" w:line="301" w:lineRule="auto"/>
        <w:tabs>
          <w:tab w:leader="none" w:pos="1080" w:val="left"/>
        </w:tabs>
        <w:numPr>
          <w:ilvl w:val="0"/>
          <w:numId w:val="75"/>
        </w:numPr>
        <w:rPr>
          <w:rFonts w:ascii="Arial" w:cs="Arial" w:eastAsia="Arial" w:hAnsi="Arial"/>
          <w:sz w:val="16"/>
          <w:szCs w:val="16"/>
          <w:color w:val="auto"/>
        </w:rPr>
      </w:pPr>
      <w:r>
        <w:rPr>
          <w:rFonts w:ascii="Arial" w:cs="Arial" w:eastAsia="Arial" w:hAnsi="Arial"/>
          <w:sz w:val="16"/>
          <w:szCs w:val="16"/>
          <w:color w:val="auto"/>
        </w:rPr>
        <w:t>An increase in general and administrative expense of $5.4 million, or 96%, to $11.0 million for the six months ended June 30, 2021, compared to $5.6 million for the six months ended June 30, 2020, due primarily to additional hiring to support our growth, including incremental costs associated with preparing for our IPO, additional accounting and legal expenses and additional resources associated with controls, reporting and disclosure and, to a lesser extent, additional resources added through the Monocl acquisition in October 2020;</w:t>
      </w:r>
    </w:p>
    <w:p>
      <w:pPr>
        <w:spacing w:after="0" w:line="62" w:lineRule="exact"/>
        <w:rPr>
          <w:rFonts w:ascii="Arial" w:cs="Arial" w:eastAsia="Arial" w:hAnsi="Arial"/>
          <w:sz w:val="16"/>
          <w:szCs w:val="16"/>
          <w:color w:val="auto"/>
        </w:rPr>
      </w:pPr>
    </w:p>
    <w:p>
      <w:pPr>
        <w:ind w:left="1080" w:right="60" w:hanging="532"/>
        <w:spacing w:after="0" w:line="263" w:lineRule="auto"/>
        <w:tabs>
          <w:tab w:leader="none" w:pos="1080" w:val="left"/>
        </w:tabs>
        <w:numPr>
          <w:ilvl w:val="0"/>
          <w:numId w:val="75"/>
        </w:numPr>
        <w:rPr>
          <w:rFonts w:ascii="Arial" w:cs="Arial" w:eastAsia="Arial" w:hAnsi="Arial"/>
          <w:sz w:val="18"/>
          <w:szCs w:val="18"/>
          <w:color w:val="auto"/>
        </w:rPr>
      </w:pPr>
      <w:r>
        <w:rPr>
          <w:rFonts w:ascii="Arial" w:cs="Arial" w:eastAsia="Arial" w:hAnsi="Arial"/>
          <w:sz w:val="18"/>
          <w:szCs w:val="18"/>
          <w:color w:val="auto"/>
        </w:rPr>
        <w:t>An increase in product development expense of $3.2 million, or 65%, to $8.1 million for the six months ended June 30, 2021, compared to $4.9 million for the six months ended June 30, 2020, due primarily to additional product management resources added during the year to support our growth; and</w:t>
      </w:r>
    </w:p>
    <w:p>
      <w:pPr>
        <w:spacing w:after="0" w:line="89" w:lineRule="exact"/>
        <w:rPr>
          <w:rFonts w:ascii="Arial" w:cs="Arial" w:eastAsia="Arial" w:hAnsi="Arial"/>
          <w:sz w:val="18"/>
          <w:szCs w:val="18"/>
          <w:color w:val="auto"/>
        </w:rPr>
      </w:pPr>
    </w:p>
    <w:p>
      <w:pPr>
        <w:ind w:left="1080" w:hanging="532"/>
        <w:spacing w:after="0" w:line="263" w:lineRule="auto"/>
        <w:tabs>
          <w:tab w:leader="none" w:pos="1080" w:val="left"/>
        </w:tabs>
        <w:numPr>
          <w:ilvl w:val="0"/>
          <w:numId w:val="75"/>
        </w:numPr>
        <w:rPr>
          <w:rFonts w:ascii="Arial" w:cs="Arial" w:eastAsia="Arial" w:hAnsi="Arial"/>
          <w:sz w:val="18"/>
          <w:szCs w:val="18"/>
          <w:color w:val="auto"/>
        </w:rPr>
      </w:pPr>
      <w:r>
        <w:rPr>
          <w:rFonts w:ascii="Arial" w:cs="Arial" w:eastAsia="Arial" w:hAnsi="Arial"/>
          <w:sz w:val="18"/>
          <w:szCs w:val="18"/>
          <w:color w:val="auto"/>
        </w:rPr>
        <w:t>An increase in transaction expense of $2.8 million to $3.5 million for the six months ended June 30, 2021, compared to $0.7 million for the six months ended June 30, 2020, due primarily to an increase in the fair value of the contingent consideration in connection with the Monocl acquisition in October 2020.</w:t>
      </w:r>
    </w:p>
    <w:p>
      <w:pPr>
        <w:spacing w:after="0" w:line="184"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These increases were partially offset by:</w:t>
      </w:r>
    </w:p>
    <w:p>
      <w:pPr>
        <w:spacing w:after="0" w:line="131" w:lineRule="exact"/>
        <w:rPr>
          <w:sz w:val="20"/>
          <w:szCs w:val="20"/>
          <w:color w:val="auto"/>
        </w:rPr>
      </w:pPr>
    </w:p>
    <w:p>
      <w:pPr>
        <w:ind w:left="1080" w:right="60" w:hanging="532"/>
        <w:spacing w:after="0" w:line="277" w:lineRule="auto"/>
        <w:tabs>
          <w:tab w:leader="none" w:pos="1080" w:val="left"/>
        </w:tabs>
        <w:numPr>
          <w:ilvl w:val="0"/>
          <w:numId w:val="76"/>
        </w:numPr>
        <w:rPr>
          <w:rFonts w:ascii="Arial" w:cs="Arial" w:eastAsia="Arial" w:hAnsi="Arial"/>
          <w:sz w:val="18"/>
          <w:szCs w:val="18"/>
          <w:color w:val="auto"/>
        </w:rPr>
      </w:pPr>
      <w:r>
        <w:rPr>
          <w:rFonts w:ascii="Arial" w:cs="Arial" w:eastAsia="Arial" w:hAnsi="Arial"/>
          <w:sz w:val="18"/>
          <w:szCs w:val="18"/>
          <w:color w:val="auto"/>
        </w:rPr>
        <w:t>A decrease in depreciation and amortization expense of $0.8 million to $19.1 million for the six months ended June 30, 2021, compared to $19.9 million for the six months ended June 30, 2020.</w:t>
      </w:r>
    </w:p>
    <w:p>
      <w:pPr>
        <w:spacing w:after="0" w:line="170" w:lineRule="exact"/>
        <w:rPr>
          <w:sz w:val="20"/>
          <w:szCs w:val="20"/>
          <w:color w:val="auto"/>
        </w:rPr>
      </w:pPr>
    </w:p>
    <w:p>
      <w:pPr>
        <w:ind w:left="120" w:right="120" w:firstLine="440"/>
        <w:spacing w:after="0" w:line="277" w:lineRule="auto"/>
        <w:rPr>
          <w:sz w:val="20"/>
          <w:szCs w:val="20"/>
          <w:color w:val="auto"/>
        </w:rPr>
      </w:pPr>
      <w:r>
        <w:rPr>
          <w:rFonts w:ascii="Arial" w:cs="Arial" w:eastAsia="Arial" w:hAnsi="Arial"/>
          <w:sz w:val="18"/>
          <w:szCs w:val="18"/>
          <w:i w:val="1"/>
          <w:iCs w:val="1"/>
          <w:color w:val="auto"/>
        </w:rPr>
        <w:t xml:space="preserve">Other Expense, Net. </w:t>
      </w:r>
      <w:r>
        <w:rPr>
          <w:rFonts w:ascii="Arial" w:cs="Arial" w:eastAsia="Arial" w:hAnsi="Arial"/>
          <w:sz w:val="18"/>
          <w:szCs w:val="18"/>
          <w:color w:val="auto"/>
        </w:rPr>
        <w:t>Other expense, net, was $16.7 million for the six months ended June 30, 2021, compared to $18.8 million for the six months</w:t>
      </w:r>
      <w:r>
        <w:rPr>
          <w:rFonts w:ascii="Arial" w:cs="Arial" w:eastAsia="Arial" w:hAnsi="Arial"/>
          <w:sz w:val="18"/>
          <w:szCs w:val="18"/>
          <w:i w:val="1"/>
          <w:iCs w:val="1"/>
          <w:color w:val="auto"/>
        </w:rPr>
        <w:t xml:space="preserve"> </w:t>
      </w:r>
      <w:r>
        <w:rPr>
          <w:rFonts w:ascii="Arial" w:cs="Arial" w:eastAsia="Arial" w:hAnsi="Arial"/>
          <w:sz w:val="18"/>
          <w:szCs w:val="18"/>
          <w:color w:val="auto"/>
        </w:rPr>
        <w:t>ended June 30, 2021, a decrease of $2.1 million, or 11%, primarily due to:</w:t>
      </w:r>
    </w:p>
    <w:p>
      <w:pPr>
        <w:spacing w:after="0" w:line="76" w:lineRule="exact"/>
        <w:rPr>
          <w:sz w:val="20"/>
          <w:szCs w:val="20"/>
          <w:color w:val="auto"/>
        </w:rPr>
      </w:pPr>
    </w:p>
    <w:p>
      <w:pPr>
        <w:ind w:left="1080" w:right="60" w:hanging="532"/>
        <w:spacing w:after="0" w:line="308" w:lineRule="auto"/>
        <w:tabs>
          <w:tab w:leader="none" w:pos="1080" w:val="left"/>
        </w:tabs>
        <w:numPr>
          <w:ilvl w:val="0"/>
          <w:numId w:val="77"/>
        </w:numPr>
        <w:rPr>
          <w:rFonts w:ascii="Arial" w:cs="Arial" w:eastAsia="Arial" w:hAnsi="Arial"/>
          <w:sz w:val="17"/>
          <w:szCs w:val="17"/>
          <w:color w:val="auto"/>
        </w:rPr>
      </w:pPr>
      <w:r>
        <w:rPr>
          <w:rFonts w:ascii="Arial" w:cs="Arial" w:eastAsia="Arial" w:hAnsi="Arial"/>
          <w:sz w:val="17"/>
          <w:szCs w:val="17"/>
          <w:color w:val="auto"/>
        </w:rPr>
        <w:t>A decrease in interest expense, net of $2.0 million, or 11%, to $16.8 million for the six months ended June 30, 2021, as compared to $18.8 million for the six months ended June 30, 2020. The decrease was primarily due to lower interest rates; partially offset by</w:t>
      </w:r>
    </w:p>
    <w:p>
      <w:pPr>
        <w:spacing w:after="0" w:line="51" w:lineRule="exact"/>
        <w:rPr>
          <w:rFonts w:ascii="Arial" w:cs="Arial" w:eastAsia="Arial" w:hAnsi="Arial"/>
          <w:sz w:val="17"/>
          <w:szCs w:val="17"/>
          <w:color w:val="auto"/>
        </w:rPr>
      </w:pPr>
    </w:p>
    <w:p>
      <w:pPr>
        <w:ind w:left="1080" w:right="260" w:hanging="532"/>
        <w:spacing w:after="0" w:line="277" w:lineRule="auto"/>
        <w:tabs>
          <w:tab w:leader="none" w:pos="1080" w:val="left"/>
        </w:tabs>
        <w:numPr>
          <w:ilvl w:val="0"/>
          <w:numId w:val="77"/>
        </w:numPr>
        <w:rPr>
          <w:rFonts w:ascii="Arial" w:cs="Arial" w:eastAsia="Arial" w:hAnsi="Arial"/>
          <w:sz w:val="18"/>
          <w:szCs w:val="18"/>
          <w:color w:val="auto"/>
        </w:rPr>
      </w:pPr>
      <w:r>
        <w:rPr>
          <w:rFonts w:ascii="Arial" w:cs="Arial" w:eastAsia="Arial" w:hAnsi="Arial"/>
          <w:sz w:val="18"/>
          <w:szCs w:val="18"/>
          <w:color w:val="auto"/>
        </w:rPr>
        <w:t>Higher foreign currency transaction gain of less than $0.1 million for the six months ended June 30, 2021, as compared to nil for the six months ended June 30, 2020.</w:t>
      </w:r>
    </w:p>
    <w:p>
      <w:pPr>
        <w:spacing w:after="0" w:line="170" w:lineRule="exact"/>
        <w:rPr>
          <w:sz w:val="20"/>
          <w:szCs w:val="20"/>
          <w:color w:val="auto"/>
        </w:rPr>
      </w:pPr>
    </w:p>
    <w:p>
      <w:pPr>
        <w:ind w:left="120" w:right="500" w:firstLine="440"/>
        <w:spacing w:after="0" w:line="277" w:lineRule="auto"/>
        <w:rPr>
          <w:sz w:val="20"/>
          <w:szCs w:val="20"/>
          <w:color w:val="auto"/>
        </w:rPr>
      </w:pPr>
      <w:r>
        <w:rPr>
          <w:rFonts w:ascii="Arial" w:cs="Arial" w:eastAsia="Arial" w:hAnsi="Arial"/>
          <w:sz w:val="18"/>
          <w:szCs w:val="18"/>
          <w:i w:val="1"/>
          <w:iCs w:val="1"/>
          <w:color w:val="auto"/>
        </w:rPr>
        <w:t xml:space="preserve">Net loss. </w:t>
      </w:r>
      <w:r>
        <w:rPr>
          <w:rFonts w:ascii="Arial" w:cs="Arial" w:eastAsia="Arial" w:hAnsi="Arial"/>
          <w:sz w:val="18"/>
          <w:szCs w:val="18"/>
          <w:color w:val="auto"/>
        </w:rPr>
        <w:t>Net loss for the six months ended June 30, 2021 was $25.5 million, compared to net loss of $25.3 million for the six months ended</w:t>
      </w:r>
      <w:r>
        <w:rPr>
          <w:rFonts w:ascii="Arial" w:cs="Arial" w:eastAsia="Arial" w:hAnsi="Arial"/>
          <w:sz w:val="18"/>
          <w:szCs w:val="18"/>
          <w:i w:val="1"/>
          <w:iCs w:val="1"/>
          <w:color w:val="auto"/>
        </w:rPr>
        <w:t xml:space="preserve"> </w:t>
      </w:r>
      <w:r>
        <w:rPr>
          <w:rFonts w:ascii="Arial" w:cs="Arial" w:eastAsia="Arial" w:hAnsi="Arial"/>
          <w:sz w:val="18"/>
          <w:szCs w:val="18"/>
          <w:color w:val="auto"/>
        </w:rPr>
        <w:t>June 30, 2020, an increase of $0.2 million, or 1%. The increase was attributable to the items described above.</w:t>
      </w:r>
    </w:p>
    <w:p>
      <w:pPr>
        <w:spacing w:after="0" w:line="103" w:lineRule="exact"/>
        <w:rPr>
          <w:sz w:val="20"/>
          <w:szCs w:val="20"/>
          <w:color w:val="auto"/>
        </w:rPr>
      </w:pPr>
    </w:p>
    <w:p>
      <w:pPr>
        <w:jc w:val="center"/>
        <w:ind w:right="-359"/>
        <w:spacing w:after="0"/>
        <w:rPr>
          <w:sz w:val="20"/>
          <w:szCs w:val="20"/>
          <w:color w:val="auto"/>
        </w:rPr>
      </w:pPr>
      <w:r>
        <w:rPr>
          <w:rFonts w:ascii="Arial" w:cs="Arial" w:eastAsia="Arial" w:hAnsi="Arial"/>
          <w:sz w:val="18"/>
          <w:szCs w:val="18"/>
          <w:color w:val="auto"/>
        </w:rPr>
        <w:t>89</w:t>
      </w:r>
    </w:p>
    <w:p>
      <w:pPr>
        <w:sectPr>
          <w:pgSz w:w="11900" w:h="16838" w:orient="portrait"/>
          <w:cols w:equalWidth="0" w:num="1">
            <w:col w:w="11120"/>
          </w:cols>
          <w:pgMar w:left="320" w:top="459" w:right="459" w:bottom="1440" w:gutter="0" w:footer="0" w:header="0"/>
        </w:sectPr>
      </w:pPr>
    </w:p>
    <w:bookmarkStart w:id="96" w:name="page97"/>
    <w:bookmarkEnd w:id="9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Confidential Treatment Requested by Definitive Healthcare Corp.</w:t>
      </w:r>
    </w:p>
    <w:p>
      <w:pPr>
        <w:spacing w:after="0" w:line="27"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Pursuant to 17 C.F.R. Section 200.83</w:t>
      </w:r>
    </w:p>
    <w:p>
      <w:pPr>
        <w:spacing w:after="0" w:line="143" w:lineRule="exact"/>
        <w:rPr>
          <w:sz w:val="20"/>
          <w:szCs w:val="20"/>
          <w:color w:val="auto"/>
        </w:rPr>
      </w:pPr>
    </w:p>
    <w:p>
      <w:pPr>
        <w:ind w:left="120" w:right="460"/>
        <w:spacing w:after="0" w:line="277" w:lineRule="auto"/>
        <w:rPr>
          <w:sz w:val="20"/>
          <w:szCs w:val="20"/>
          <w:color w:val="auto"/>
        </w:rPr>
      </w:pPr>
      <w:r>
        <w:rPr>
          <w:rFonts w:ascii="Arial" w:cs="Arial" w:eastAsia="Arial" w:hAnsi="Arial"/>
          <w:sz w:val="18"/>
          <w:szCs w:val="18"/>
          <w:b w:val="1"/>
          <w:bCs w:val="1"/>
          <w:i w:val="1"/>
          <w:iCs w:val="1"/>
          <w:color w:val="auto"/>
        </w:rPr>
        <w:t>Year Ended December 31, 2020 Compared to Period from July 16, 2019 to December 31, 2019 (Successor) and Period from January 1, 2019 to July 15, 2019 (Predecessor)</w:t>
      </w:r>
    </w:p>
    <w:p>
      <w:pPr>
        <w:spacing w:after="0" w:line="62" w:lineRule="exact"/>
        <w:rPr>
          <w:sz w:val="20"/>
          <w:szCs w:val="20"/>
          <w:color w:val="auto"/>
        </w:rPr>
      </w:pPr>
    </w:p>
    <w:p>
      <w:pPr>
        <w:ind w:left="120" w:right="220" w:firstLine="440"/>
        <w:spacing w:after="0" w:line="255" w:lineRule="auto"/>
        <w:rPr>
          <w:sz w:val="20"/>
          <w:szCs w:val="20"/>
          <w:color w:val="auto"/>
        </w:rPr>
      </w:pPr>
      <w:r>
        <w:rPr>
          <w:rFonts w:ascii="Arial" w:cs="Arial" w:eastAsia="Arial" w:hAnsi="Arial"/>
          <w:sz w:val="18"/>
          <w:szCs w:val="18"/>
          <w:i w:val="1"/>
          <w:iCs w:val="1"/>
          <w:color w:val="auto"/>
        </w:rPr>
        <w:t>Revenue</w:t>
      </w:r>
      <w:r>
        <w:rPr>
          <w:rFonts w:ascii="Arial" w:cs="Arial" w:eastAsia="Arial" w:hAnsi="Arial"/>
          <w:sz w:val="18"/>
          <w:szCs w:val="18"/>
          <w:color w:val="auto"/>
        </w:rPr>
        <w:t>. Revenue was $118.3 million for the year ended December 31, 2020, compared to $40.0 million for the period from July 16, 2019 to</w:t>
      </w:r>
      <w:r>
        <w:rPr>
          <w:rFonts w:ascii="Arial" w:cs="Arial" w:eastAsia="Arial" w:hAnsi="Arial"/>
          <w:sz w:val="18"/>
          <w:szCs w:val="18"/>
          <w:i w:val="1"/>
          <w:iCs w:val="1"/>
          <w:color w:val="auto"/>
        </w:rPr>
        <w:t xml:space="preserve"> </w:t>
      </w:r>
      <w:r>
        <w:rPr>
          <w:rFonts w:ascii="Arial" w:cs="Arial" w:eastAsia="Arial" w:hAnsi="Arial"/>
          <w:sz w:val="18"/>
          <w:szCs w:val="18"/>
          <w:color w:val="auto"/>
        </w:rPr>
        <w:t>December 31, 2019 (Successor) and $45.5 million for the period from January 1, 2019 to July 15, 2019 (Predecessor), an increase of $32.8 million, or 38%, driven by higher subscription revenue of $32.0 million. During the year ended December 31, 2020, our total customers increased by 337 from 2,243 as of December 31, 2019 to 2,580 as of December 31, 2020. Of the 38% increase in total revenue, approximately 33% was attributable to net expansion with existing customers and 5% to the addition of new customers inclusive of those acquired through the acquisition of Monocl in October 2020.</w:t>
      </w:r>
    </w:p>
    <w:p>
      <w:pPr>
        <w:spacing w:after="0" w:line="192" w:lineRule="exact"/>
        <w:rPr>
          <w:sz w:val="20"/>
          <w:szCs w:val="20"/>
          <w:color w:val="auto"/>
        </w:rPr>
      </w:pPr>
    </w:p>
    <w:p>
      <w:pPr>
        <w:ind w:left="120" w:right="360" w:firstLine="440"/>
        <w:spacing w:after="0" w:line="263" w:lineRule="auto"/>
        <w:rPr>
          <w:sz w:val="20"/>
          <w:szCs w:val="20"/>
          <w:color w:val="auto"/>
        </w:rPr>
      </w:pPr>
      <w:r>
        <w:rPr>
          <w:rFonts w:ascii="Arial" w:cs="Arial" w:eastAsia="Arial" w:hAnsi="Arial"/>
          <w:sz w:val="18"/>
          <w:szCs w:val="18"/>
          <w:i w:val="1"/>
          <w:iCs w:val="1"/>
          <w:color w:val="auto"/>
        </w:rPr>
        <w:t xml:space="preserve">Cost of Revenue. </w:t>
      </w:r>
      <w:r>
        <w:rPr>
          <w:rFonts w:ascii="Arial" w:cs="Arial" w:eastAsia="Arial" w:hAnsi="Arial"/>
          <w:sz w:val="18"/>
          <w:szCs w:val="18"/>
          <w:color w:val="auto"/>
        </w:rPr>
        <w:t>Cost of revenue was $30.5 million for the year ended December 31, 2020, compared to $13.3 million for the period from</w:t>
      </w:r>
      <w:r>
        <w:rPr>
          <w:rFonts w:ascii="Arial" w:cs="Arial" w:eastAsia="Arial" w:hAnsi="Arial"/>
          <w:sz w:val="18"/>
          <w:szCs w:val="18"/>
          <w:i w:val="1"/>
          <w:iCs w:val="1"/>
          <w:color w:val="auto"/>
        </w:rPr>
        <w:t xml:space="preserve"> </w:t>
      </w:r>
      <w:r>
        <w:rPr>
          <w:rFonts w:ascii="Arial" w:cs="Arial" w:eastAsia="Arial" w:hAnsi="Arial"/>
          <w:sz w:val="18"/>
          <w:szCs w:val="18"/>
          <w:color w:val="auto"/>
        </w:rPr>
        <w:t>July 16, 2019 to December 31, 2019 (Successor) and $5.3 million for the period from January 1, 2019 to July 15, 2019 (Predecessor), an increase of $11.9 million, or 64%. The increase was primarily due to:</w:t>
      </w:r>
    </w:p>
    <w:p>
      <w:pPr>
        <w:spacing w:after="0" w:line="89" w:lineRule="exact"/>
        <w:rPr>
          <w:sz w:val="20"/>
          <w:szCs w:val="20"/>
          <w:color w:val="auto"/>
        </w:rPr>
      </w:pPr>
    </w:p>
    <w:p>
      <w:pPr>
        <w:ind w:left="1080" w:hanging="532"/>
        <w:spacing w:after="0" w:line="279" w:lineRule="auto"/>
        <w:tabs>
          <w:tab w:leader="none" w:pos="1080" w:val="left"/>
        </w:tabs>
        <w:numPr>
          <w:ilvl w:val="0"/>
          <w:numId w:val="78"/>
        </w:numPr>
        <w:rPr>
          <w:rFonts w:ascii="Arial" w:cs="Arial" w:eastAsia="Arial" w:hAnsi="Arial"/>
          <w:sz w:val="17"/>
          <w:szCs w:val="17"/>
          <w:color w:val="auto"/>
        </w:rPr>
      </w:pPr>
      <w:r>
        <w:rPr>
          <w:rFonts w:ascii="Arial" w:cs="Arial" w:eastAsia="Arial" w:hAnsi="Arial"/>
          <w:sz w:val="17"/>
          <w:szCs w:val="17"/>
          <w:color w:val="auto"/>
        </w:rPr>
        <w:t>An increase in amortization expense of $10.3 million, to $19.4 million for the year ended December 31, 2020, compared to $8.6 million for the period from July 16, 2019 to December 31, 2019 (Successor) and $0.5 million for the period from January 1, 2019 to July 15, 2019 (Predecessor), primarily due to additional amortization of acquired technology that arose from accounting for the Advent acquisition, and, to a lesser extent, the acquisitions of Monocl and HSE in October 2020 and December 2019, respectively.</w:t>
      </w:r>
    </w:p>
    <w:p>
      <w:pPr>
        <w:spacing w:after="0" w:line="76" w:lineRule="exact"/>
        <w:rPr>
          <w:rFonts w:ascii="Arial" w:cs="Arial" w:eastAsia="Arial" w:hAnsi="Arial"/>
          <w:sz w:val="17"/>
          <w:szCs w:val="17"/>
          <w:color w:val="auto"/>
        </w:rPr>
      </w:pPr>
    </w:p>
    <w:p>
      <w:pPr>
        <w:ind w:left="1080" w:hanging="532"/>
        <w:spacing w:after="0"/>
        <w:tabs>
          <w:tab w:leader="none" w:pos="1080" w:val="left"/>
        </w:tabs>
        <w:numPr>
          <w:ilvl w:val="0"/>
          <w:numId w:val="78"/>
        </w:numPr>
        <w:rPr>
          <w:rFonts w:ascii="Arial" w:cs="Arial" w:eastAsia="Arial" w:hAnsi="Arial"/>
          <w:sz w:val="18"/>
          <w:szCs w:val="18"/>
          <w:color w:val="auto"/>
        </w:rPr>
      </w:pPr>
      <w:r>
        <w:rPr>
          <w:rFonts w:ascii="Arial" w:cs="Arial" w:eastAsia="Arial" w:hAnsi="Arial"/>
          <w:sz w:val="18"/>
          <w:szCs w:val="18"/>
          <w:color w:val="auto"/>
        </w:rPr>
        <w:t>An increase in cost of revenue exclusive of amortization expense of $1.6 million, or 17%, to $11.1 million for the year ended</w:t>
      </w:r>
    </w:p>
    <w:p>
      <w:pPr>
        <w:spacing w:after="0" w:line="23" w:lineRule="exact"/>
        <w:rPr>
          <w:rFonts w:ascii="Arial" w:cs="Arial" w:eastAsia="Arial" w:hAnsi="Arial"/>
          <w:sz w:val="18"/>
          <w:szCs w:val="18"/>
          <w:color w:val="auto"/>
        </w:rPr>
      </w:pPr>
    </w:p>
    <w:p>
      <w:pPr>
        <w:jc w:val="both"/>
        <w:ind w:left="1080" w:right="20"/>
        <w:spacing w:after="0" w:line="302" w:lineRule="auto"/>
        <w:rPr>
          <w:rFonts w:ascii="Arial" w:cs="Arial" w:eastAsia="Arial" w:hAnsi="Arial"/>
          <w:sz w:val="18"/>
          <w:szCs w:val="18"/>
          <w:color w:val="auto"/>
        </w:rPr>
      </w:pPr>
      <w:r>
        <w:rPr>
          <w:rFonts w:ascii="Arial" w:cs="Arial" w:eastAsia="Arial" w:hAnsi="Arial"/>
          <w:sz w:val="16"/>
          <w:szCs w:val="16"/>
          <w:color w:val="auto"/>
        </w:rPr>
        <w:t>December 31, 2020, compared to $4.7 million for the period from July 16, 2019 to December 31, 2019 (Successor) and $4.8 million for the period from January 1, 2019 to July 15, 2019 (Predecessor), due primarily to additional hiring during the year to support our growth and to a lesser extent, additional resources added through the Monocl acquisition in October 2020 and the HSE acquisition in December 2019.</w:t>
      </w:r>
    </w:p>
    <w:p>
      <w:pPr>
        <w:spacing w:after="0" w:line="155" w:lineRule="exact"/>
        <w:rPr>
          <w:sz w:val="20"/>
          <w:szCs w:val="20"/>
          <w:color w:val="auto"/>
        </w:rPr>
      </w:pPr>
    </w:p>
    <w:p>
      <w:pPr>
        <w:ind w:left="120" w:right="80" w:firstLine="440"/>
        <w:spacing w:after="0" w:line="263" w:lineRule="auto"/>
        <w:rPr>
          <w:sz w:val="20"/>
          <w:szCs w:val="20"/>
          <w:color w:val="auto"/>
        </w:rPr>
      </w:pPr>
      <w:r>
        <w:rPr>
          <w:rFonts w:ascii="Arial" w:cs="Arial" w:eastAsia="Arial" w:hAnsi="Arial"/>
          <w:sz w:val="18"/>
          <w:szCs w:val="18"/>
          <w:i w:val="1"/>
          <w:iCs w:val="1"/>
          <w:color w:val="auto"/>
        </w:rPr>
        <w:t xml:space="preserve">Operating Expenses. </w:t>
      </w:r>
      <w:r>
        <w:rPr>
          <w:rFonts w:ascii="Arial" w:cs="Arial" w:eastAsia="Arial" w:hAnsi="Arial"/>
          <w:sz w:val="18"/>
          <w:szCs w:val="18"/>
          <w:color w:val="auto"/>
        </w:rPr>
        <w:t>Operating expenses were $102.3 million for the year ended December 31, 2020, compared to $57.8 million for the period</w:t>
      </w:r>
      <w:r>
        <w:rPr>
          <w:rFonts w:ascii="Arial" w:cs="Arial" w:eastAsia="Arial" w:hAnsi="Arial"/>
          <w:sz w:val="18"/>
          <w:szCs w:val="18"/>
          <w:i w:val="1"/>
          <w:iCs w:val="1"/>
          <w:color w:val="auto"/>
        </w:rPr>
        <w:t xml:space="preserve"> </w:t>
      </w:r>
      <w:r>
        <w:rPr>
          <w:rFonts w:ascii="Arial" w:cs="Arial" w:eastAsia="Arial" w:hAnsi="Arial"/>
          <w:sz w:val="18"/>
          <w:szCs w:val="18"/>
          <w:color w:val="auto"/>
        </w:rPr>
        <w:t>from July 16, 2019 to December 31, 2019 (Successor) and $27.1 million for the period from January 1, 2019 to July 15, 2019 (Predecessor), an increase of $17.4 million, or 20%. The increase was primarily due to:</w:t>
      </w:r>
    </w:p>
    <w:p>
      <w:pPr>
        <w:spacing w:after="0" w:line="89" w:lineRule="exact"/>
        <w:rPr>
          <w:sz w:val="20"/>
          <w:szCs w:val="20"/>
          <w:color w:val="auto"/>
        </w:rPr>
      </w:pPr>
    </w:p>
    <w:p>
      <w:pPr>
        <w:jc w:val="both"/>
        <w:ind w:left="1080" w:right="100" w:hanging="532"/>
        <w:spacing w:after="0" w:line="279" w:lineRule="auto"/>
        <w:tabs>
          <w:tab w:leader="none" w:pos="1080" w:val="left"/>
        </w:tabs>
        <w:numPr>
          <w:ilvl w:val="0"/>
          <w:numId w:val="79"/>
        </w:numPr>
        <w:rPr>
          <w:rFonts w:ascii="Arial" w:cs="Arial" w:eastAsia="Arial" w:hAnsi="Arial"/>
          <w:sz w:val="17"/>
          <w:szCs w:val="17"/>
          <w:color w:val="auto"/>
        </w:rPr>
      </w:pPr>
      <w:r>
        <w:rPr>
          <w:rFonts w:ascii="Arial" w:cs="Arial" w:eastAsia="Arial" w:hAnsi="Arial"/>
          <w:sz w:val="17"/>
          <w:szCs w:val="17"/>
          <w:color w:val="auto"/>
        </w:rPr>
        <w:t>An increase in depreciation and amortization expense of $15.7 million, to $40.2 million for the year ended December 31, 2020, compared to $22.5 million for the period from July 16, 2019 to December 31, 2019 (Successor) and $2.0 million for the period from January 1, 2019 to July 15, 2019 (Predecessor), due to additional amortization expense related to intangible assets acquired in the Advent acquisition, and, to a lesser extent, the acquisitions of HSE in December 2019 and Monocl in October 2020;</w:t>
      </w:r>
    </w:p>
    <w:p>
      <w:pPr>
        <w:spacing w:after="0" w:line="76" w:lineRule="exact"/>
        <w:rPr>
          <w:rFonts w:ascii="Arial" w:cs="Arial" w:eastAsia="Arial" w:hAnsi="Arial"/>
          <w:sz w:val="17"/>
          <w:szCs w:val="17"/>
          <w:color w:val="auto"/>
        </w:rPr>
      </w:pPr>
    </w:p>
    <w:p>
      <w:pPr>
        <w:ind w:left="1080" w:right="40" w:hanging="532"/>
        <w:spacing w:after="0" w:line="255" w:lineRule="auto"/>
        <w:tabs>
          <w:tab w:leader="none" w:pos="1080" w:val="left"/>
        </w:tabs>
        <w:numPr>
          <w:ilvl w:val="0"/>
          <w:numId w:val="79"/>
        </w:numPr>
        <w:rPr>
          <w:rFonts w:ascii="Arial" w:cs="Arial" w:eastAsia="Arial" w:hAnsi="Arial"/>
          <w:sz w:val="18"/>
          <w:szCs w:val="18"/>
          <w:color w:val="auto"/>
        </w:rPr>
      </w:pPr>
      <w:r>
        <w:rPr>
          <w:rFonts w:ascii="Arial" w:cs="Arial" w:eastAsia="Arial" w:hAnsi="Arial"/>
          <w:sz w:val="18"/>
          <w:szCs w:val="18"/>
          <w:color w:val="auto"/>
        </w:rPr>
        <w:t>An increase in sales and marketing expense of $7.5 million, or 28%, to $34.3 million for the year ended December 31, 2020, compared to $10.8 million for the period from July 16, 2019 to December 31, 2019 (Successor) and $16.0 million for the period from January 1, 2019 to July 15, 2019 (Predecessor), due primarily to additional hiring to drive continued incremental sales, and to a lesser extent, additional sales and marketing resources added through the Monocl acquisition in October 2020 and the HSE acquisition in December 2019, partially offset by lower equity compensation expenses due to the acceleration of Predecessor’s equity-based compensation plan, in connection with the Advent acquisition on July 16, 2019;</w:t>
      </w:r>
    </w:p>
    <w:p>
      <w:pPr>
        <w:spacing w:after="0" w:line="97" w:lineRule="exact"/>
        <w:rPr>
          <w:rFonts w:ascii="Arial" w:cs="Arial" w:eastAsia="Arial" w:hAnsi="Arial"/>
          <w:sz w:val="18"/>
          <w:szCs w:val="18"/>
          <w:color w:val="auto"/>
        </w:rPr>
      </w:pPr>
    </w:p>
    <w:p>
      <w:pPr>
        <w:ind w:left="1080" w:right="60" w:hanging="532"/>
        <w:spacing w:after="0" w:line="286" w:lineRule="auto"/>
        <w:tabs>
          <w:tab w:leader="none" w:pos="1080" w:val="left"/>
        </w:tabs>
        <w:numPr>
          <w:ilvl w:val="0"/>
          <w:numId w:val="79"/>
        </w:numPr>
        <w:rPr>
          <w:rFonts w:ascii="Arial" w:cs="Arial" w:eastAsia="Arial" w:hAnsi="Arial"/>
          <w:sz w:val="17"/>
          <w:szCs w:val="17"/>
          <w:color w:val="auto"/>
        </w:rPr>
      </w:pPr>
      <w:r>
        <w:rPr>
          <w:rFonts w:ascii="Arial" w:cs="Arial" w:eastAsia="Arial" w:hAnsi="Arial"/>
          <w:sz w:val="17"/>
          <w:szCs w:val="17"/>
          <w:color w:val="auto"/>
        </w:rPr>
        <w:t>An increase in product development expense of $3.6 million, or 48%, to $11.1 million for the year ended December 31, 2020, compared to $3.5 million for the period from July 16, 2019 to December 31, 2019 (Successor) and $4.0 million for the period from January 1, 2019 to July 15, 2019 (Predecessor), due primarily to additional product management resources added during the year;</w:t>
      </w:r>
    </w:p>
    <w:p>
      <w:pPr>
        <w:spacing w:after="0" w:line="98"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90</w:t>
      </w:r>
    </w:p>
    <w:p>
      <w:pPr>
        <w:sectPr>
          <w:pgSz w:w="11900" w:h="16838" w:orient="portrait"/>
          <w:cols w:equalWidth="0" w:num="1">
            <w:col w:w="11140"/>
          </w:cols>
          <w:pgMar w:left="320" w:top="459" w:right="439" w:bottom="1440" w:gutter="0" w:footer="0" w:header="0"/>
        </w:sectPr>
      </w:pPr>
    </w:p>
    <w:bookmarkStart w:id="97" w:name="page98"/>
    <w:bookmarkEnd w:id="9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Confidential Treatment Requested by Definitive Healthcare Corp.</w:t>
      </w:r>
    </w:p>
    <w:p>
      <w:pPr>
        <w:spacing w:after="0" w:line="27"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Pursuant to 17 C.F.R. Section 200.83</w:t>
      </w:r>
    </w:p>
    <w:p>
      <w:pPr>
        <w:spacing w:after="0" w:line="143" w:lineRule="exact"/>
        <w:rPr>
          <w:sz w:val="20"/>
          <w:szCs w:val="20"/>
          <w:color w:val="auto"/>
        </w:rPr>
      </w:pPr>
    </w:p>
    <w:p>
      <w:pPr>
        <w:ind w:left="1080" w:right="40" w:hanging="532"/>
        <w:spacing w:after="0" w:line="255" w:lineRule="auto"/>
        <w:tabs>
          <w:tab w:leader="none" w:pos="1080" w:val="left"/>
        </w:tabs>
        <w:numPr>
          <w:ilvl w:val="0"/>
          <w:numId w:val="80"/>
        </w:numPr>
        <w:rPr>
          <w:rFonts w:ascii="Arial" w:cs="Arial" w:eastAsia="Arial" w:hAnsi="Arial"/>
          <w:sz w:val="18"/>
          <w:szCs w:val="18"/>
          <w:color w:val="auto"/>
        </w:rPr>
      </w:pPr>
      <w:r>
        <w:rPr>
          <w:rFonts w:ascii="Arial" w:cs="Arial" w:eastAsia="Arial" w:hAnsi="Arial"/>
          <w:sz w:val="18"/>
          <w:szCs w:val="18"/>
          <w:color w:val="auto"/>
        </w:rPr>
        <w:t>An increase in general and administrative expense of $2.6 million, or 25%, to $12.9 million for the year ended December 31, 2020, compared to $6.4 million for the period from July 16, 2019 to December 31, 2019 (Successor) and $4.0 million for the period from January 1, 2019 to July 15, 2019 (Predecessor), due primarily to additional hiring during the year to support our growth, including incremental costs associated with preparing for an IPO, additional accounting and legal expenses, and additional resources associated with controls, reporting, and disclosure, and to a lesser extent, additional resources added through the Monocl acquisition in October 2020 and the HSE acquisition in December 2019;</w:t>
      </w:r>
    </w:p>
    <w:p>
      <w:pPr>
        <w:spacing w:after="0" w:line="97" w:lineRule="exact"/>
        <w:rPr>
          <w:rFonts w:ascii="Arial" w:cs="Arial" w:eastAsia="Arial" w:hAnsi="Arial"/>
          <w:sz w:val="18"/>
          <w:szCs w:val="18"/>
          <w:color w:val="auto"/>
        </w:rPr>
      </w:pPr>
    </w:p>
    <w:p>
      <w:pPr>
        <w:ind w:left="1080" w:right="140" w:hanging="532"/>
        <w:spacing w:after="0" w:line="311" w:lineRule="auto"/>
        <w:tabs>
          <w:tab w:leader="none" w:pos="1080" w:val="left"/>
        </w:tabs>
        <w:numPr>
          <w:ilvl w:val="0"/>
          <w:numId w:val="80"/>
        </w:numPr>
        <w:rPr>
          <w:rFonts w:ascii="Arial" w:cs="Arial" w:eastAsia="Arial" w:hAnsi="Arial"/>
          <w:sz w:val="16"/>
          <w:szCs w:val="16"/>
          <w:color w:val="auto"/>
        </w:rPr>
      </w:pPr>
      <w:r>
        <w:rPr>
          <w:rFonts w:ascii="Arial" w:cs="Arial" w:eastAsia="Arial" w:hAnsi="Arial"/>
          <w:sz w:val="16"/>
          <w:szCs w:val="16"/>
          <w:color w:val="auto"/>
        </w:rPr>
        <w:t>A decrease in transaction expense of $12.1 million, to $3.8 million for the year ended December 31, 2020, compared to $14.7 million for the period from July 16, 2019 to December 31, 2019 (Successor) and $1.2 million for the period from January 1, 2019 to July 15, 2019 (Predecessor), due primarily to $15.7 million of transaction costs incurred in connection with the Advent acquisition in 2019.</w:t>
      </w:r>
    </w:p>
    <w:p>
      <w:pPr>
        <w:spacing w:after="0" w:line="149" w:lineRule="exact"/>
        <w:rPr>
          <w:sz w:val="20"/>
          <w:szCs w:val="20"/>
          <w:color w:val="auto"/>
        </w:rPr>
      </w:pPr>
    </w:p>
    <w:p>
      <w:pPr>
        <w:ind w:left="120" w:right="140" w:firstLine="440"/>
        <w:spacing w:after="0" w:line="263" w:lineRule="auto"/>
        <w:rPr>
          <w:sz w:val="20"/>
          <w:szCs w:val="20"/>
          <w:color w:val="auto"/>
        </w:rPr>
      </w:pPr>
      <w:r>
        <w:rPr>
          <w:rFonts w:ascii="Arial" w:cs="Arial" w:eastAsia="Arial" w:hAnsi="Arial"/>
          <w:sz w:val="18"/>
          <w:szCs w:val="18"/>
          <w:i w:val="1"/>
          <w:iCs w:val="1"/>
          <w:color w:val="auto"/>
        </w:rPr>
        <w:t xml:space="preserve">Other Expense, Net. </w:t>
      </w:r>
      <w:r>
        <w:rPr>
          <w:rFonts w:ascii="Arial" w:cs="Arial" w:eastAsia="Arial" w:hAnsi="Arial"/>
          <w:sz w:val="18"/>
          <w:szCs w:val="18"/>
          <w:color w:val="auto"/>
        </w:rPr>
        <w:t>Other expense, net was $36.7 million for the year ended December 31, 2020, compared to $18.2 million for the period from</w:t>
      </w:r>
      <w:r>
        <w:rPr>
          <w:rFonts w:ascii="Arial" w:cs="Arial" w:eastAsia="Arial" w:hAnsi="Arial"/>
          <w:sz w:val="18"/>
          <w:szCs w:val="18"/>
          <w:i w:val="1"/>
          <w:iCs w:val="1"/>
          <w:color w:val="auto"/>
        </w:rPr>
        <w:t xml:space="preserve"> </w:t>
      </w:r>
      <w:r>
        <w:rPr>
          <w:rFonts w:ascii="Arial" w:cs="Arial" w:eastAsia="Arial" w:hAnsi="Arial"/>
          <w:sz w:val="18"/>
          <w:szCs w:val="18"/>
          <w:color w:val="auto"/>
        </w:rPr>
        <w:t>July 16, 2019 to December 31, 2019 (Successor) and $0.2 million for the period from January 1, 2019 to July 15, 2019 (Predecessor), an increase of $18.3 million, primarily due to:</w:t>
      </w:r>
    </w:p>
    <w:p>
      <w:pPr>
        <w:spacing w:after="0" w:line="89" w:lineRule="exact"/>
        <w:rPr>
          <w:sz w:val="20"/>
          <w:szCs w:val="20"/>
          <w:color w:val="auto"/>
        </w:rPr>
      </w:pPr>
    </w:p>
    <w:p>
      <w:pPr>
        <w:ind w:left="1080" w:hanging="532"/>
        <w:spacing w:after="0" w:line="259" w:lineRule="auto"/>
        <w:tabs>
          <w:tab w:leader="none" w:pos="1080" w:val="left"/>
        </w:tabs>
        <w:numPr>
          <w:ilvl w:val="0"/>
          <w:numId w:val="81"/>
        </w:numPr>
        <w:rPr>
          <w:rFonts w:ascii="Arial" w:cs="Arial" w:eastAsia="Arial" w:hAnsi="Arial"/>
          <w:sz w:val="18"/>
          <w:szCs w:val="18"/>
          <w:color w:val="auto"/>
        </w:rPr>
      </w:pPr>
      <w:r>
        <w:rPr>
          <w:rFonts w:ascii="Arial" w:cs="Arial" w:eastAsia="Arial" w:hAnsi="Arial"/>
          <w:sz w:val="18"/>
          <w:szCs w:val="18"/>
          <w:color w:val="auto"/>
        </w:rPr>
        <w:t>An increase in interest expense, net of $18.1 million, to $36.5 million for the year ended December 31, 2020, as compared to $18.2 million for the period from July 16, 2019 to December 31, 2019 (Successor) and $0.2 million for the period from January 1, 2019 to July 15, 2019 (Predecessor). The increase was primarily due to debt that we incurred in July 2019, in connection with the Advent acquisition, partially offset by lower interest rates; and</w:t>
      </w:r>
    </w:p>
    <w:p>
      <w:pPr>
        <w:spacing w:after="0" w:line="92" w:lineRule="exact"/>
        <w:rPr>
          <w:rFonts w:ascii="Arial" w:cs="Arial" w:eastAsia="Arial" w:hAnsi="Arial"/>
          <w:sz w:val="18"/>
          <w:szCs w:val="18"/>
          <w:color w:val="auto"/>
        </w:rPr>
      </w:pPr>
    </w:p>
    <w:p>
      <w:pPr>
        <w:ind w:left="1080" w:right="100" w:hanging="532"/>
        <w:spacing w:after="0" w:line="342" w:lineRule="auto"/>
        <w:tabs>
          <w:tab w:leader="none" w:pos="1080" w:val="left"/>
        </w:tabs>
        <w:numPr>
          <w:ilvl w:val="0"/>
          <w:numId w:val="81"/>
        </w:numPr>
        <w:rPr>
          <w:rFonts w:ascii="Arial" w:cs="Arial" w:eastAsia="Arial" w:hAnsi="Arial"/>
          <w:sz w:val="16"/>
          <w:szCs w:val="16"/>
          <w:color w:val="auto"/>
        </w:rPr>
      </w:pPr>
      <w:r>
        <w:rPr>
          <w:rFonts w:ascii="Arial" w:cs="Arial" w:eastAsia="Arial" w:hAnsi="Arial"/>
          <w:sz w:val="16"/>
          <w:szCs w:val="16"/>
          <w:color w:val="auto"/>
        </w:rPr>
        <w:t>Higher foreign currency transaction loss of $0.2 million, to $0.2 million for the year ended December 31, 2020, as compared to nil for the period from July 16, 2019 to December 31, 2019 (Successor) and nil for the period from January 1, 2019 to July 15, 2019 (Predecessor).</w:t>
      </w:r>
    </w:p>
    <w:p>
      <w:pPr>
        <w:spacing w:after="0" w:line="124" w:lineRule="exact"/>
        <w:rPr>
          <w:sz w:val="20"/>
          <w:szCs w:val="20"/>
          <w:color w:val="auto"/>
        </w:rPr>
      </w:pPr>
    </w:p>
    <w:p>
      <w:pPr>
        <w:ind w:left="120" w:right="20" w:firstLine="440"/>
        <w:spacing w:after="0" w:line="263" w:lineRule="auto"/>
        <w:rPr>
          <w:sz w:val="20"/>
          <w:szCs w:val="20"/>
          <w:color w:val="auto"/>
        </w:rPr>
      </w:pPr>
      <w:r>
        <w:rPr>
          <w:rFonts w:ascii="Arial" w:cs="Arial" w:eastAsia="Arial" w:hAnsi="Arial"/>
          <w:sz w:val="18"/>
          <w:szCs w:val="18"/>
          <w:i w:val="1"/>
          <w:iCs w:val="1"/>
          <w:color w:val="auto"/>
        </w:rPr>
        <w:t xml:space="preserve">Net loss. </w:t>
      </w:r>
      <w:r>
        <w:rPr>
          <w:rFonts w:ascii="Arial" w:cs="Arial" w:eastAsia="Arial" w:hAnsi="Arial"/>
          <w:sz w:val="18"/>
          <w:szCs w:val="18"/>
          <w:color w:val="auto"/>
        </w:rPr>
        <w:t>Net loss for the year ended December 31, 2020 was $51.2 million, compared to net loss of $49.3 million for the period from July 16,</w:t>
      </w:r>
      <w:r>
        <w:rPr>
          <w:rFonts w:ascii="Arial" w:cs="Arial" w:eastAsia="Arial" w:hAnsi="Arial"/>
          <w:sz w:val="18"/>
          <w:szCs w:val="18"/>
          <w:i w:val="1"/>
          <w:iCs w:val="1"/>
          <w:color w:val="auto"/>
        </w:rPr>
        <w:t xml:space="preserve"> </w:t>
      </w:r>
      <w:r>
        <w:rPr>
          <w:rFonts w:ascii="Arial" w:cs="Arial" w:eastAsia="Arial" w:hAnsi="Arial"/>
          <w:sz w:val="18"/>
          <w:szCs w:val="18"/>
          <w:color w:val="auto"/>
        </w:rPr>
        <w:t>2019 to December 31, 2019 (Successor) and net income of $12.9 million for the period from January 1, 2019 to July 15, 2019 (Predecessor), an increase of $14.8 million, or 41%. The increase was attributable to the items described above.</w:t>
      </w:r>
    </w:p>
    <w:p>
      <w:pPr>
        <w:spacing w:after="0" w:line="116" w:lineRule="exact"/>
        <w:rPr>
          <w:sz w:val="20"/>
          <w:szCs w:val="20"/>
          <w:color w:val="auto"/>
        </w:rPr>
      </w:pPr>
    </w:p>
    <w:p>
      <w:pPr>
        <w:jc w:val="center"/>
        <w:ind w:right="-379"/>
        <w:spacing w:after="0"/>
        <w:rPr>
          <w:sz w:val="20"/>
          <w:szCs w:val="20"/>
          <w:color w:val="auto"/>
        </w:rPr>
      </w:pPr>
      <w:r>
        <w:rPr>
          <w:rFonts w:ascii="Arial" w:cs="Arial" w:eastAsia="Arial" w:hAnsi="Arial"/>
          <w:sz w:val="18"/>
          <w:szCs w:val="18"/>
          <w:color w:val="auto"/>
        </w:rPr>
        <w:t>91</w:t>
      </w:r>
    </w:p>
    <w:p>
      <w:pPr>
        <w:sectPr>
          <w:pgSz w:w="11900" w:h="16838" w:orient="portrait"/>
          <w:cols w:equalWidth="0" w:num="1">
            <w:col w:w="11100"/>
          </w:cols>
          <w:pgMar w:left="320" w:top="459" w:right="479" w:bottom="1440" w:gutter="0" w:footer="0" w:header="0"/>
        </w:sectPr>
      </w:pPr>
    </w:p>
    <w:bookmarkStart w:id="98" w:name="page99"/>
    <w:bookmarkEnd w:id="9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Confidential Treatment Requested by Definitive Healthcare Corp.</w:t>
      </w:r>
    </w:p>
    <w:p>
      <w:pPr>
        <w:spacing w:after="0" w:line="27"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Pursuant to 17 C.F.R. Section 200.83</w:t>
      </w:r>
    </w:p>
    <w:p>
      <w:pPr>
        <w:spacing w:after="0" w:line="13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Selected Quarterly Financial Information</w:t>
      </w:r>
    </w:p>
    <w:p>
      <w:pPr>
        <w:spacing w:after="0" w:line="121" w:lineRule="exact"/>
        <w:rPr>
          <w:sz w:val="20"/>
          <w:szCs w:val="20"/>
          <w:color w:val="auto"/>
        </w:rPr>
      </w:pPr>
    </w:p>
    <w:p>
      <w:pPr>
        <w:ind w:left="120" w:right="80" w:firstLine="440"/>
        <w:spacing w:after="0" w:line="289" w:lineRule="auto"/>
        <w:rPr>
          <w:sz w:val="20"/>
          <w:szCs w:val="20"/>
          <w:color w:val="auto"/>
        </w:rPr>
      </w:pPr>
      <w:r>
        <w:rPr>
          <w:rFonts w:ascii="Arial" w:cs="Arial" w:eastAsia="Arial" w:hAnsi="Arial"/>
          <w:sz w:val="16"/>
          <w:szCs w:val="16"/>
          <w:color w:val="auto"/>
        </w:rPr>
        <w:t>The following tables present the unaudited quarterly historical consolidated financial and other data for each of the quarters ended June 30, 2021, March 31, 2021, December 31, 2020, September 30, 2020, June 30, 2020, March 31, 2020 and December 31, 2019, the period July 16, 2019 to September 30, 2019, the period from July 1, 2019 to July 15, 2019 and each of the quarters ended June 30, 2019 and March 31, 2019. The unaudited quarterly historical consolidated financial and other data have been prepared on the same basis as the audited consolidated financial statements of Definitive OpCo and its subsidiaries included elsewhere in this prospectus. In our opinion, the unaudited quarterly historical consolidated financial information includes all adjustments, which include normal recurring adjustments necessary to present fairly in all material respects our financial position and results of operations for these periods. This information should be read in conjunction with the consolidated financial statements of Definitive OpCo and the related notes included elsewhere in this prospectus. The results of historical periods are not necessarily indicative of the results in any future period and the results of a particular quarter or other interim period are not necessarily indicative of the results for a full year.</w:t>
      </w:r>
    </w:p>
    <w:p>
      <w:pPr>
        <w:spacing w:after="0" w:line="194" w:lineRule="exact"/>
        <w:rPr>
          <w:sz w:val="20"/>
          <w:szCs w:val="20"/>
          <w:color w:val="auto"/>
        </w:rPr>
      </w:pPr>
    </w:p>
    <w:tbl>
      <w:tblPr>
        <w:tblLayout w:type="fixed"/>
        <w:tblInd w:w="120" w:type="dxa"/>
        <w:tblCellMar>
          <w:top w:w="0" w:type="dxa"/>
          <w:left w:w="0" w:type="dxa"/>
          <w:bottom w:w="0" w:type="dxa"/>
          <w:right w:w="0" w:type="dxa"/>
        </w:tblCellMar>
      </w:tblPr>
      <w:tr>
        <w:trPr>
          <w:trHeight w:val="135"/>
        </w:trPr>
        <w:tc>
          <w:tcPr>
            <w:tcW w:w="2920" w:type="dxa"/>
            <w:vAlign w:val="bottom"/>
          </w:tcPr>
          <w:p>
            <w:pPr>
              <w:spacing w:after="0"/>
              <w:rPr>
                <w:sz w:val="11"/>
                <w:szCs w:val="11"/>
                <w:color w:val="auto"/>
              </w:rPr>
            </w:pPr>
          </w:p>
        </w:tc>
        <w:tc>
          <w:tcPr>
            <w:tcW w:w="48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480" w:type="dxa"/>
            <w:vAlign w:val="bottom"/>
            <w:tcBorders>
              <w:bottom w:val="single" w:sz="8" w:color="auto"/>
            </w:tcBorders>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20" w:type="dxa"/>
            <w:vAlign w:val="bottom"/>
            <w:tcBorders>
              <w:bottom w:val="single" w:sz="8" w:color="auto"/>
            </w:tcBorders>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1560" w:type="dxa"/>
            <w:vAlign w:val="bottom"/>
            <w:tcBorders>
              <w:bottom w:val="single" w:sz="8" w:color="auto"/>
            </w:tcBorders>
            <w:gridSpan w:val="5"/>
          </w:tcPr>
          <w:p>
            <w:pPr>
              <w:jc w:val="right"/>
              <w:ind w:right="620"/>
              <w:spacing w:after="0"/>
              <w:rPr>
                <w:sz w:val="20"/>
                <w:szCs w:val="20"/>
                <w:color w:val="auto"/>
              </w:rPr>
            </w:pPr>
            <w:r>
              <w:rPr>
                <w:rFonts w:ascii="Arial" w:cs="Arial" w:eastAsia="Arial" w:hAnsi="Arial"/>
                <w:sz w:val="11"/>
                <w:szCs w:val="11"/>
                <w:b w:val="1"/>
                <w:bCs w:val="1"/>
                <w:color w:val="auto"/>
              </w:rPr>
              <w:t>Successor</w:t>
            </w:r>
          </w:p>
        </w:tc>
        <w:tc>
          <w:tcPr>
            <w:tcW w:w="480" w:type="dxa"/>
            <w:vAlign w:val="bottom"/>
            <w:tcBorders>
              <w:bottom w:val="single" w:sz="8" w:color="auto"/>
            </w:tcBorders>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40" w:type="dxa"/>
            <w:vAlign w:val="bottom"/>
            <w:tcBorders>
              <w:bottom w:val="single" w:sz="8" w:color="auto"/>
            </w:tcBorders>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60" w:type="dxa"/>
            <w:vAlign w:val="bottom"/>
            <w:tcBorders>
              <w:bottom w:val="single" w:sz="8" w:color="auto"/>
            </w:tcBorders>
          </w:tcPr>
          <w:p>
            <w:pPr>
              <w:spacing w:after="0"/>
              <w:rPr>
                <w:sz w:val="11"/>
                <w:szCs w:val="11"/>
                <w:color w:val="auto"/>
              </w:rPr>
            </w:pPr>
          </w:p>
        </w:tc>
        <w:tc>
          <w:tcPr>
            <w:tcW w:w="300" w:type="dxa"/>
            <w:vAlign w:val="bottom"/>
            <w:tcBorders>
              <w:right w:val="single" w:sz="8" w:color="auto"/>
            </w:tcBorders>
          </w:tcPr>
          <w:p>
            <w:pPr>
              <w:spacing w:after="0"/>
              <w:rPr>
                <w:sz w:val="11"/>
                <w:szCs w:val="11"/>
                <w:color w:val="auto"/>
              </w:rPr>
            </w:pPr>
          </w:p>
        </w:tc>
        <w:tc>
          <w:tcPr>
            <w:tcW w:w="200" w:type="dxa"/>
            <w:vAlign w:val="bottom"/>
          </w:tcPr>
          <w:p>
            <w:pPr>
              <w:spacing w:after="0"/>
              <w:rPr>
                <w:sz w:val="11"/>
                <w:szCs w:val="11"/>
                <w:color w:val="auto"/>
              </w:rPr>
            </w:pPr>
          </w:p>
        </w:tc>
        <w:tc>
          <w:tcPr>
            <w:tcW w:w="38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660" w:type="dxa"/>
            <w:vAlign w:val="bottom"/>
            <w:tcBorders>
              <w:bottom w:val="single" w:sz="8" w:color="auto"/>
            </w:tcBorders>
            <w:gridSpan w:val="3"/>
          </w:tcPr>
          <w:p>
            <w:pPr>
              <w:jc w:val="right"/>
              <w:ind w:right="60"/>
              <w:spacing w:after="0"/>
              <w:rPr>
                <w:sz w:val="20"/>
                <w:szCs w:val="20"/>
                <w:color w:val="auto"/>
              </w:rPr>
            </w:pPr>
            <w:r>
              <w:rPr>
                <w:rFonts w:ascii="Arial" w:cs="Arial" w:eastAsia="Arial" w:hAnsi="Arial"/>
                <w:sz w:val="11"/>
                <w:szCs w:val="11"/>
                <w:b w:val="1"/>
                <w:bCs w:val="1"/>
                <w:color w:val="auto"/>
                <w:w w:val="87"/>
              </w:rPr>
              <w:t>Predecessor</w:t>
            </w:r>
          </w:p>
        </w:tc>
        <w:tc>
          <w:tcPr>
            <w:tcW w:w="480" w:type="dxa"/>
            <w:vAlign w:val="bottom"/>
            <w:tcBorders>
              <w:bottom w:val="single" w:sz="8" w:color="auto"/>
            </w:tcBorders>
          </w:tcPr>
          <w:p>
            <w:pPr>
              <w:spacing w:after="0"/>
              <w:rPr>
                <w:sz w:val="11"/>
                <w:szCs w:val="11"/>
                <w:color w:val="auto"/>
              </w:rPr>
            </w:pPr>
          </w:p>
        </w:tc>
        <w:tc>
          <w:tcPr>
            <w:tcW w:w="40" w:type="dxa"/>
            <w:vAlign w:val="bottom"/>
          </w:tcPr>
          <w:p>
            <w:pPr>
              <w:spacing w:after="0"/>
              <w:rPr>
                <w:sz w:val="11"/>
                <w:szCs w:val="11"/>
                <w:color w:val="auto"/>
              </w:rPr>
            </w:pPr>
          </w:p>
        </w:tc>
      </w:tr>
      <w:tr>
        <w:trPr>
          <w:trHeight w:val="101"/>
        </w:trPr>
        <w:tc>
          <w:tcPr>
            <w:tcW w:w="2920" w:type="dxa"/>
            <w:vAlign w:val="bottom"/>
          </w:tcPr>
          <w:p>
            <w:pPr>
              <w:spacing w:after="0"/>
              <w:rPr>
                <w:sz w:val="8"/>
                <w:szCs w:val="8"/>
                <w:color w:val="auto"/>
              </w:rPr>
            </w:pPr>
          </w:p>
        </w:tc>
        <w:tc>
          <w:tcPr>
            <w:tcW w:w="48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 w:type="dxa"/>
            <w:vAlign w:val="bottom"/>
          </w:tcPr>
          <w:p>
            <w:pPr>
              <w:spacing w:after="0"/>
              <w:rPr>
                <w:sz w:val="8"/>
                <w:szCs w:val="8"/>
                <w:color w:val="auto"/>
              </w:rPr>
            </w:pPr>
          </w:p>
        </w:tc>
        <w:tc>
          <w:tcPr>
            <w:tcW w:w="480" w:type="dxa"/>
            <w:vAlign w:val="bottom"/>
          </w:tcPr>
          <w:p>
            <w:pPr>
              <w:spacing w:after="0"/>
              <w:rPr>
                <w:sz w:val="8"/>
                <w:szCs w:val="8"/>
                <w:color w:val="auto"/>
              </w:rPr>
            </w:pPr>
          </w:p>
        </w:tc>
        <w:tc>
          <w:tcPr>
            <w:tcW w:w="180" w:type="dxa"/>
            <w:vAlign w:val="bottom"/>
          </w:tcPr>
          <w:p>
            <w:pPr>
              <w:spacing w:after="0"/>
              <w:rPr>
                <w:sz w:val="8"/>
                <w:szCs w:val="8"/>
                <w:color w:val="auto"/>
              </w:rPr>
            </w:pPr>
          </w:p>
        </w:tc>
        <w:tc>
          <w:tcPr>
            <w:tcW w:w="100" w:type="dxa"/>
            <w:vAlign w:val="bottom"/>
          </w:tcPr>
          <w:p>
            <w:pPr>
              <w:spacing w:after="0"/>
              <w:rPr>
                <w:sz w:val="8"/>
                <w:szCs w:val="8"/>
                <w:color w:val="auto"/>
              </w:rPr>
            </w:pPr>
          </w:p>
        </w:tc>
        <w:tc>
          <w:tcPr>
            <w:tcW w:w="520" w:type="dxa"/>
            <w:vAlign w:val="bottom"/>
          </w:tcPr>
          <w:p>
            <w:pPr>
              <w:spacing w:after="0"/>
              <w:rPr>
                <w:sz w:val="8"/>
                <w:szCs w:val="8"/>
                <w:color w:val="auto"/>
              </w:rPr>
            </w:pPr>
          </w:p>
        </w:tc>
        <w:tc>
          <w:tcPr>
            <w:tcW w:w="180" w:type="dxa"/>
            <w:vAlign w:val="bottom"/>
          </w:tcPr>
          <w:p>
            <w:pPr>
              <w:spacing w:after="0"/>
              <w:rPr>
                <w:sz w:val="8"/>
                <w:szCs w:val="8"/>
                <w:color w:val="auto"/>
              </w:rPr>
            </w:pPr>
          </w:p>
        </w:tc>
        <w:tc>
          <w:tcPr>
            <w:tcW w:w="120" w:type="dxa"/>
            <w:vAlign w:val="bottom"/>
          </w:tcPr>
          <w:p>
            <w:pPr>
              <w:spacing w:after="0"/>
              <w:rPr>
                <w:sz w:val="8"/>
                <w:szCs w:val="8"/>
                <w:color w:val="auto"/>
              </w:rPr>
            </w:pPr>
          </w:p>
        </w:tc>
        <w:tc>
          <w:tcPr>
            <w:tcW w:w="540" w:type="dxa"/>
            <w:vAlign w:val="bottom"/>
          </w:tcPr>
          <w:p>
            <w:pPr>
              <w:spacing w:after="0"/>
              <w:rPr>
                <w:sz w:val="8"/>
                <w:szCs w:val="8"/>
                <w:color w:val="auto"/>
              </w:rPr>
            </w:pPr>
          </w:p>
        </w:tc>
        <w:tc>
          <w:tcPr>
            <w:tcW w:w="18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180" w:type="dxa"/>
            <w:vAlign w:val="bottom"/>
          </w:tcPr>
          <w:p>
            <w:pPr>
              <w:spacing w:after="0"/>
              <w:rPr>
                <w:sz w:val="8"/>
                <w:szCs w:val="8"/>
                <w:color w:val="auto"/>
              </w:rPr>
            </w:pPr>
          </w:p>
        </w:tc>
        <w:tc>
          <w:tcPr>
            <w:tcW w:w="480" w:type="dxa"/>
            <w:vAlign w:val="bottom"/>
          </w:tcPr>
          <w:p>
            <w:pPr>
              <w:spacing w:after="0"/>
              <w:rPr>
                <w:sz w:val="8"/>
                <w:szCs w:val="8"/>
                <w:color w:val="auto"/>
              </w:rPr>
            </w:pPr>
          </w:p>
        </w:tc>
        <w:tc>
          <w:tcPr>
            <w:tcW w:w="180" w:type="dxa"/>
            <w:vAlign w:val="bottom"/>
          </w:tcPr>
          <w:p>
            <w:pPr>
              <w:spacing w:after="0"/>
              <w:rPr>
                <w:sz w:val="8"/>
                <w:szCs w:val="8"/>
                <w:color w:val="auto"/>
              </w:rPr>
            </w:pPr>
          </w:p>
        </w:tc>
        <w:tc>
          <w:tcPr>
            <w:tcW w:w="100" w:type="dxa"/>
            <w:vAlign w:val="bottom"/>
          </w:tcPr>
          <w:p>
            <w:pPr>
              <w:spacing w:after="0"/>
              <w:rPr>
                <w:sz w:val="8"/>
                <w:szCs w:val="8"/>
                <w:color w:val="auto"/>
              </w:rPr>
            </w:pPr>
          </w:p>
        </w:tc>
        <w:tc>
          <w:tcPr>
            <w:tcW w:w="540" w:type="dxa"/>
            <w:vAlign w:val="bottom"/>
          </w:tcPr>
          <w:p>
            <w:pPr>
              <w:spacing w:after="0"/>
              <w:rPr>
                <w:sz w:val="8"/>
                <w:szCs w:val="8"/>
                <w:color w:val="auto"/>
              </w:rPr>
            </w:pPr>
          </w:p>
        </w:tc>
        <w:tc>
          <w:tcPr>
            <w:tcW w:w="18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300" w:type="dxa"/>
            <w:vAlign w:val="bottom"/>
            <w:tcBorders>
              <w:right w:val="single" w:sz="8" w:color="auto"/>
            </w:tcBorders>
          </w:tcPr>
          <w:p>
            <w:pPr>
              <w:spacing w:after="0"/>
              <w:rPr>
                <w:sz w:val="8"/>
                <w:szCs w:val="8"/>
                <w:color w:val="auto"/>
              </w:rPr>
            </w:pPr>
          </w:p>
        </w:tc>
        <w:tc>
          <w:tcPr>
            <w:tcW w:w="200" w:type="dxa"/>
            <w:vAlign w:val="bottom"/>
          </w:tcPr>
          <w:p>
            <w:pPr>
              <w:spacing w:after="0"/>
              <w:rPr>
                <w:sz w:val="8"/>
                <w:szCs w:val="8"/>
                <w:color w:val="auto"/>
              </w:rPr>
            </w:pPr>
          </w:p>
        </w:tc>
        <w:tc>
          <w:tcPr>
            <w:tcW w:w="480" w:type="dxa"/>
            <w:vAlign w:val="bottom"/>
            <w:gridSpan w:val="2"/>
          </w:tcPr>
          <w:p>
            <w:pPr>
              <w:jc w:val="center"/>
              <w:ind w:right="100"/>
              <w:spacing w:after="0" w:line="102" w:lineRule="exact"/>
              <w:rPr>
                <w:sz w:val="20"/>
                <w:szCs w:val="20"/>
                <w:color w:val="auto"/>
              </w:rPr>
            </w:pPr>
            <w:r>
              <w:rPr>
                <w:rFonts w:ascii="Arial" w:cs="Arial" w:eastAsia="Arial" w:hAnsi="Arial"/>
                <w:sz w:val="11"/>
                <w:szCs w:val="11"/>
                <w:b w:val="1"/>
                <w:bCs w:val="1"/>
                <w:color w:val="auto"/>
                <w:w w:val="87"/>
              </w:rPr>
              <w:t>Period</w:t>
            </w:r>
          </w:p>
        </w:tc>
        <w:tc>
          <w:tcPr>
            <w:tcW w:w="80" w:type="dxa"/>
            <w:vAlign w:val="bottom"/>
          </w:tcPr>
          <w:p>
            <w:pPr>
              <w:spacing w:after="0"/>
              <w:rPr>
                <w:sz w:val="8"/>
                <w:szCs w:val="8"/>
                <w:color w:val="auto"/>
              </w:rPr>
            </w:pPr>
          </w:p>
        </w:tc>
        <w:tc>
          <w:tcPr>
            <w:tcW w:w="440" w:type="dxa"/>
            <w:vAlign w:val="bottom"/>
          </w:tcPr>
          <w:p>
            <w:pPr>
              <w:spacing w:after="0"/>
              <w:rPr>
                <w:sz w:val="8"/>
                <w:szCs w:val="8"/>
                <w:color w:val="auto"/>
              </w:rPr>
            </w:pPr>
          </w:p>
        </w:tc>
        <w:tc>
          <w:tcPr>
            <w:tcW w:w="140" w:type="dxa"/>
            <w:vAlign w:val="bottom"/>
          </w:tcPr>
          <w:p>
            <w:pPr>
              <w:spacing w:after="0"/>
              <w:rPr>
                <w:sz w:val="8"/>
                <w:szCs w:val="8"/>
                <w:color w:val="auto"/>
              </w:rPr>
            </w:pPr>
          </w:p>
        </w:tc>
        <w:tc>
          <w:tcPr>
            <w:tcW w:w="480" w:type="dxa"/>
            <w:vAlign w:val="bottom"/>
          </w:tcPr>
          <w:p>
            <w:pPr>
              <w:spacing w:after="0"/>
              <w:rPr>
                <w:sz w:val="8"/>
                <w:szCs w:val="8"/>
                <w:color w:val="auto"/>
              </w:rPr>
            </w:pPr>
          </w:p>
        </w:tc>
        <w:tc>
          <w:tcPr>
            <w:tcW w:w="40" w:type="dxa"/>
            <w:vAlign w:val="bottom"/>
          </w:tcPr>
          <w:p>
            <w:pPr>
              <w:spacing w:after="0"/>
              <w:rPr>
                <w:sz w:val="8"/>
                <w:szCs w:val="8"/>
                <w:color w:val="auto"/>
              </w:rPr>
            </w:pPr>
          </w:p>
        </w:tc>
      </w:tr>
      <w:tr>
        <w:trPr>
          <w:trHeight w:val="122"/>
        </w:trPr>
        <w:tc>
          <w:tcPr>
            <w:tcW w:w="2920" w:type="dxa"/>
            <w:vAlign w:val="bottom"/>
          </w:tcPr>
          <w:p>
            <w:pPr>
              <w:spacing w:after="0"/>
              <w:rPr>
                <w:sz w:val="10"/>
                <w:szCs w:val="10"/>
                <w:color w:val="auto"/>
              </w:rPr>
            </w:pPr>
          </w:p>
        </w:tc>
        <w:tc>
          <w:tcPr>
            <w:tcW w:w="580" w:type="dxa"/>
            <w:vAlign w:val="bottom"/>
            <w:gridSpan w:val="2"/>
          </w:tcPr>
          <w:p>
            <w:pPr>
              <w:jc w:val="center"/>
              <w:ind w:right="100"/>
              <w:spacing w:after="0" w:line="122" w:lineRule="exact"/>
              <w:rPr>
                <w:sz w:val="20"/>
                <w:szCs w:val="20"/>
                <w:color w:val="auto"/>
              </w:rPr>
            </w:pPr>
            <w:r>
              <w:rPr>
                <w:rFonts w:ascii="Arial" w:cs="Arial" w:eastAsia="Arial" w:hAnsi="Arial"/>
                <w:sz w:val="11"/>
                <w:szCs w:val="11"/>
                <w:b w:val="1"/>
                <w:bCs w:val="1"/>
                <w:color w:val="auto"/>
                <w:w w:val="93"/>
              </w:rPr>
              <w:t>Three</w:t>
            </w:r>
          </w:p>
        </w:tc>
        <w:tc>
          <w:tcPr>
            <w:tcW w:w="80" w:type="dxa"/>
            <w:vAlign w:val="bottom"/>
          </w:tcPr>
          <w:p>
            <w:pPr>
              <w:spacing w:after="0"/>
              <w:rPr>
                <w:sz w:val="10"/>
                <w:szCs w:val="10"/>
                <w:color w:val="auto"/>
              </w:rPr>
            </w:pPr>
          </w:p>
        </w:tc>
        <w:tc>
          <w:tcPr>
            <w:tcW w:w="660" w:type="dxa"/>
            <w:vAlign w:val="bottom"/>
            <w:gridSpan w:val="2"/>
          </w:tcPr>
          <w:p>
            <w:pPr>
              <w:jc w:val="center"/>
              <w:ind w:right="180"/>
              <w:spacing w:after="0" w:line="122" w:lineRule="exact"/>
              <w:rPr>
                <w:sz w:val="20"/>
                <w:szCs w:val="20"/>
                <w:color w:val="auto"/>
              </w:rPr>
            </w:pPr>
            <w:r>
              <w:rPr>
                <w:rFonts w:ascii="Arial" w:cs="Arial" w:eastAsia="Arial" w:hAnsi="Arial"/>
                <w:sz w:val="11"/>
                <w:szCs w:val="11"/>
                <w:b w:val="1"/>
                <w:bCs w:val="1"/>
                <w:color w:val="auto"/>
                <w:w w:val="93"/>
              </w:rPr>
              <w:t>Three</w:t>
            </w:r>
          </w:p>
        </w:tc>
        <w:tc>
          <w:tcPr>
            <w:tcW w:w="100" w:type="dxa"/>
            <w:vAlign w:val="bottom"/>
          </w:tcPr>
          <w:p>
            <w:pPr>
              <w:spacing w:after="0"/>
              <w:rPr>
                <w:sz w:val="10"/>
                <w:szCs w:val="10"/>
                <w:color w:val="auto"/>
              </w:rPr>
            </w:pPr>
          </w:p>
        </w:tc>
        <w:tc>
          <w:tcPr>
            <w:tcW w:w="700" w:type="dxa"/>
            <w:vAlign w:val="bottom"/>
            <w:gridSpan w:val="2"/>
          </w:tcPr>
          <w:p>
            <w:pPr>
              <w:jc w:val="center"/>
              <w:ind w:right="280"/>
              <w:spacing w:after="0" w:line="122" w:lineRule="exact"/>
              <w:rPr>
                <w:sz w:val="20"/>
                <w:szCs w:val="20"/>
                <w:color w:val="auto"/>
              </w:rPr>
            </w:pPr>
            <w:r>
              <w:rPr>
                <w:rFonts w:ascii="Arial" w:cs="Arial" w:eastAsia="Arial" w:hAnsi="Arial"/>
                <w:sz w:val="11"/>
                <w:szCs w:val="11"/>
                <w:b w:val="1"/>
                <w:bCs w:val="1"/>
                <w:color w:val="auto"/>
                <w:w w:val="86"/>
              </w:rPr>
              <w:t>Three</w:t>
            </w:r>
          </w:p>
        </w:tc>
        <w:tc>
          <w:tcPr>
            <w:tcW w:w="120" w:type="dxa"/>
            <w:vAlign w:val="bottom"/>
          </w:tcPr>
          <w:p>
            <w:pPr>
              <w:spacing w:after="0"/>
              <w:rPr>
                <w:sz w:val="10"/>
                <w:szCs w:val="10"/>
                <w:color w:val="auto"/>
              </w:rPr>
            </w:pPr>
          </w:p>
        </w:tc>
        <w:tc>
          <w:tcPr>
            <w:tcW w:w="720" w:type="dxa"/>
            <w:vAlign w:val="bottom"/>
            <w:gridSpan w:val="2"/>
          </w:tcPr>
          <w:p>
            <w:pPr>
              <w:jc w:val="center"/>
              <w:ind w:right="280"/>
              <w:spacing w:after="0" w:line="122" w:lineRule="exact"/>
              <w:rPr>
                <w:sz w:val="20"/>
                <w:szCs w:val="20"/>
                <w:color w:val="auto"/>
              </w:rPr>
            </w:pPr>
            <w:r>
              <w:rPr>
                <w:rFonts w:ascii="Arial" w:cs="Arial" w:eastAsia="Arial" w:hAnsi="Arial"/>
                <w:sz w:val="11"/>
                <w:szCs w:val="11"/>
                <w:b w:val="1"/>
                <w:bCs w:val="1"/>
                <w:color w:val="auto"/>
                <w:w w:val="93"/>
              </w:rPr>
              <w:t>Three</w:t>
            </w:r>
          </w:p>
        </w:tc>
        <w:tc>
          <w:tcPr>
            <w:tcW w:w="1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60" w:type="dxa"/>
            <w:vAlign w:val="bottom"/>
            <w:gridSpan w:val="2"/>
          </w:tcPr>
          <w:p>
            <w:pPr>
              <w:jc w:val="center"/>
              <w:ind w:right="180"/>
              <w:spacing w:after="0" w:line="122" w:lineRule="exact"/>
              <w:rPr>
                <w:sz w:val="20"/>
                <w:szCs w:val="20"/>
                <w:color w:val="auto"/>
              </w:rPr>
            </w:pPr>
            <w:r>
              <w:rPr>
                <w:rFonts w:ascii="Arial" w:cs="Arial" w:eastAsia="Arial" w:hAnsi="Arial"/>
                <w:sz w:val="11"/>
                <w:szCs w:val="11"/>
                <w:b w:val="1"/>
                <w:bCs w:val="1"/>
                <w:color w:val="auto"/>
                <w:w w:val="93"/>
              </w:rPr>
              <w:t>Three</w:t>
            </w:r>
          </w:p>
        </w:tc>
        <w:tc>
          <w:tcPr>
            <w:tcW w:w="100" w:type="dxa"/>
            <w:vAlign w:val="bottom"/>
          </w:tcPr>
          <w:p>
            <w:pPr>
              <w:spacing w:after="0"/>
              <w:rPr>
                <w:sz w:val="10"/>
                <w:szCs w:val="10"/>
                <w:color w:val="auto"/>
              </w:rPr>
            </w:pPr>
          </w:p>
        </w:tc>
        <w:tc>
          <w:tcPr>
            <w:tcW w:w="720" w:type="dxa"/>
            <w:vAlign w:val="bottom"/>
            <w:gridSpan w:val="2"/>
          </w:tcPr>
          <w:p>
            <w:pPr>
              <w:jc w:val="center"/>
              <w:ind w:right="280"/>
              <w:spacing w:after="0" w:line="122" w:lineRule="exact"/>
              <w:rPr>
                <w:sz w:val="20"/>
                <w:szCs w:val="20"/>
                <w:color w:val="auto"/>
              </w:rPr>
            </w:pPr>
            <w:r>
              <w:rPr>
                <w:rFonts w:ascii="Arial" w:cs="Arial" w:eastAsia="Arial" w:hAnsi="Arial"/>
                <w:sz w:val="11"/>
                <w:szCs w:val="11"/>
                <w:b w:val="1"/>
                <w:bCs w:val="1"/>
                <w:color w:val="auto"/>
                <w:w w:val="93"/>
              </w:rPr>
              <w:t>Three</w:t>
            </w:r>
          </w:p>
        </w:tc>
        <w:tc>
          <w:tcPr>
            <w:tcW w:w="960" w:type="dxa"/>
            <w:vAlign w:val="bottom"/>
            <w:tcBorders>
              <w:right w:val="single" w:sz="8" w:color="auto"/>
            </w:tcBorders>
            <w:gridSpan w:val="3"/>
          </w:tcPr>
          <w:p>
            <w:pPr>
              <w:jc w:val="center"/>
              <w:ind w:right="320"/>
              <w:spacing w:after="0" w:line="122" w:lineRule="exact"/>
              <w:rPr>
                <w:sz w:val="20"/>
                <w:szCs w:val="20"/>
                <w:color w:val="auto"/>
              </w:rPr>
            </w:pPr>
            <w:r>
              <w:rPr>
                <w:rFonts w:ascii="Arial" w:cs="Arial" w:eastAsia="Arial" w:hAnsi="Arial"/>
                <w:sz w:val="11"/>
                <w:szCs w:val="11"/>
                <w:b w:val="1"/>
                <w:bCs w:val="1"/>
                <w:color w:val="auto"/>
                <w:w w:val="90"/>
              </w:rPr>
              <w:t>Period from</w:t>
            </w:r>
          </w:p>
        </w:tc>
        <w:tc>
          <w:tcPr>
            <w:tcW w:w="200" w:type="dxa"/>
            <w:vAlign w:val="bottom"/>
          </w:tcPr>
          <w:p>
            <w:pPr>
              <w:spacing w:after="0"/>
              <w:rPr>
                <w:sz w:val="10"/>
                <w:szCs w:val="10"/>
                <w:color w:val="auto"/>
              </w:rPr>
            </w:pPr>
          </w:p>
        </w:tc>
        <w:tc>
          <w:tcPr>
            <w:tcW w:w="480" w:type="dxa"/>
            <w:vAlign w:val="bottom"/>
            <w:gridSpan w:val="2"/>
          </w:tcPr>
          <w:p>
            <w:pPr>
              <w:jc w:val="center"/>
              <w:ind w:right="100"/>
              <w:spacing w:after="0" w:line="122" w:lineRule="exact"/>
              <w:rPr>
                <w:sz w:val="20"/>
                <w:szCs w:val="20"/>
                <w:color w:val="auto"/>
              </w:rPr>
            </w:pPr>
            <w:r>
              <w:rPr>
                <w:rFonts w:ascii="Arial" w:cs="Arial" w:eastAsia="Arial" w:hAnsi="Arial"/>
                <w:sz w:val="11"/>
                <w:szCs w:val="11"/>
                <w:b w:val="1"/>
                <w:bCs w:val="1"/>
                <w:color w:val="auto"/>
                <w:w w:val="89"/>
              </w:rPr>
              <w:t>from</w:t>
            </w:r>
          </w:p>
        </w:tc>
        <w:tc>
          <w:tcPr>
            <w:tcW w:w="80" w:type="dxa"/>
            <w:vAlign w:val="bottom"/>
          </w:tcPr>
          <w:p>
            <w:pPr>
              <w:spacing w:after="0"/>
              <w:rPr>
                <w:sz w:val="10"/>
                <w:szCs w:val="10"/>
                <w:color w:val="auto"/>
              </w:rPr>
            </w:pPr>
          </w:p>
        </w:tc>
        <w:tc>
          <w:tcPr>
            <w:tcW w:w="580" w:type="dxa"/>
            <w:vAlign w:val="bottom"/>
            <w:gridSpan w:val="2"/>
          </w:tcPr>
          <w:p>
            <w:pPr>
              <w:jc w:val="center"/>
              <w:ind w:right="140"/>
              <w:spacing w:after="0" w:line="122" w:lineRule="exact"/>
              <w:rPr>
                <w:sz w:val="20"/>
                <w:szCs w:val="20"/>
                <w:color w:val="auto"/>
              </w:rPr>
            </w:pPr>
            <w:r>
              <w:rPr>
                <w:rFonts w:ascii="Arial" w:cs="Arial" w:eastAsia="Arial" w:hAnsi="Arial"/>
                <w:sz w:val="11"/>
                <w:szCs w:val="11"/>
                <w:b w:val="1"/>
                <w:bCs w:val="1"/>
                <w:color w:val="auto"/>
                <w:w w:val="93"/>
              </w:rPr>
              <w:t>Three</w:t>
            </w:r>
          </w:p>
        </w:tc>
        <w:tc>
          <w:tcPr>
            <w:tcW w:w="520" w:type="dxa"/>
            <w:vAlign w:val="bottom"/>
            <w:gridSpan w:val="2"/>
          </w:tcPr>
          <w:p>
            <w:pPr>
              <w:jc w:val="center"/>
              <w:ind w:right="40"/>
              <w:spacing w:after="0" w:line="122" w:lineRule="exact"/>
              <w:rPr>
                <w:sz w:val="20"/>
                <w:szCs w:val="20"/>
                <w:color w:val="auto"/>
              </w:rPr>
            </w:pPr>
            <w:r>
              <w:rPr>
                <w:rFonts w:ascii="Arial" w:cs="Arial" w:eastAsia="Arial" w:hAnsi="Arial"/>
                <w:sz w:val="11"/>
                <w:szCs w:val="11"/>
                <w:b w:val="1"/>
                <w:bCs w:val="1"/>
                <w:color w:val="auto"/>
                <w:w w:val="93"/>
              </w:rPr>
              <w:t>Three</w:t>
            </w:r>
          </w:p>
        </w:tc>
      </w:tr>
      <w:tr>
        <w:trPr>
          <w:trHeight w:val="122"/>
        </w:trPr>
        <w:tc>
          <w:tcPr>
            <w:tcW w:w="2920" w:type="dxa"/>
            <w:vAlign w:val="bottom"/>
          </w:tcPr>
          <w:p>
            <w:pPr>
              <w:spacing w:after="0"/>
              <w:rPr>
                <w:sz w:val="10"/>
                <w:szCs w:val="10"/>
                <w:color w:val="auto"/>
              </w:rPr>
            </w:pPr>
          </w:p>
        </w:tc>
        <w:tc>
          <w:tcPr>
            <w:tcW w:w="580" w:type="dxa"/>
            <w:vAlign w:val="bottom"/>
            <w:gridSpan w:val="2"/>
          </w:tcPr>
          <w:p>
            <w:pPr>
              <w:jc w:val="center"/>
              <w:ind w:right="100"/>
              <w:spacing w:after="0" w:line="122" w:lineRule="exact"/>
              <w:rPr>
                <w:sz w:val="20"/>
                <w:szCs w:val="20"/>
                <w:color w:val="auto"/>
              </w:rPr>
            </w:pPr>
            <w:r>
              <w:rPr>
                <w:rFonts w:ascii="Arial" w:cs="Arial" w:eastAsia="Arial" w:hAnsi="Arial"/>
                <w:sz w:val="11"/>
                <w:szCs w:val="11"/>
                <w:b w:val="1"/>
                <w:bCs w:val="1"/>
                <w:color w:val="auto"/>
                <w:w w:val="91"/>
              </w:rPr>
              <w:t>Months</w:t>
            </w:r>
          </w:p>
        </w:tc>
        <w:tc>
          <w:tcPr>
            <w:tcW w:w="80" w:type="dxa"/>
            <w:vAlign w:val="bottom"/>
          </w:tcPr>
          <w:p>
            <w:pPr>
              <w:spacing w:after="0"/>
              <w:rPr>
                <w:sz w:val="10"/>
                <w:szCs w:val="10"/>
                <w:color w:val="auto"/>
              </w:rPr>
            </w:pPr>
          </w:p>
        </w:tc>
        <w:tc>
          <w:tcPr>
            <w:tcW w:w="660" w:type="dxa"/>
            <w:vAlign w:val="bottom"/>
            <w:gridSpan w:val="2"/>
          </w:tcPr>
          <w:p>
            <w:pPr>
              <w:jc w:val="center"/>
              <w:ind w:right="180"/>
              <w:spacing w:after="0" w:line="122" w:lineRule="exact"/>
              <w:rPr>
                <w:sz w:val="20"/>
                <w:szCs w:val="20"/>
                <w:color w:val="auto"/>
              </w:rPr>
            </w:pPr>
            <w:r>
              <w:rPr>
                <w:rFonts w:ascii="Arial" w:cs="Arial" w:eastAsia="Arial" w:hAnsi="Arial"/>
                <w:sz w:val="11"/>
                <w:szCs w:val="11"/>
                <w:b w:val="1"/>
                <w:bCs w:val="1"/>
                <w:color w:val="auto"/>
                <w:w w:val="91"/>
              </w:rPr>
              <w:t>Months</w:t>
            </w:r>
          </w:p>
        </w:tc>
        <w:tc>
          <w:tcPr>
            <w:tcW w:w="100" w:type="dxa"/>
            <w:vAlign w:val="bottom"/>
          </w:tcPr>
          <w:p>
            <w:pPr>
              <w:spacing w:after="0"/>
              <w:rPr>
                <w:sz w:val="10"/>
                <w:szCs w:val="10"/>
                <w:color w:val="auto"/>
              </w:rPr>
            </w:pPr>
          </w:p>
        </w:tc>
        <w:tc>
          <w:tcPr>
            <w:tcW w:w="700" w:type="dxa"/>
            <w:vAlign w:val="bottom"/>
            <w:gridSpan w:val="2"/>
          </w:tcPr>
          <w:p>
            <w:pPr>
              <w:jc w:val="center"/>
              <w:ind w:right="280"/>
              <w:spacing w:after="0" w:line="122" w:lineRule="exact"/>
              <w:rPr>
                <w:sz w:val="20"/>
                <w:szCs w:val="20"/>
                <w:color w:val="auto"/>
              </w:rPr>
            </w:pPr>
            <w:r>
              <w:rPr>
                <w:rFonts w:ascii="Arial" w:cs="Arial" w:eastAsia="Arial" w:hAnsi="Arial"/>
                <w:sz w:val="11"/>
                <w:szCs w:val="11"/>
                <w:b w:val="1"/>
                <w:bCs w:val="1"/>
                <w:color w:val="auto"/>
                <w:w w:val="86"/>
              </w:rPr>
              <w:t>Months</w:t>
            </w:r>
          </w:p>
        </w:tc>
        <w:tc>
          <w:tcPr>
            <w:tcW w:w="120" w:type="dxa"/>
            <w:vAlign w:val="bottom"/>
          </w:tcPr>
          <w:p>
            <w:pPr>
              <w:spacing w:after="0"/>
              <w:rPr>
                <w:sz w:val="10"/>
                <w:szCs w:val="10"/>
                <w:color w:val="auto"/>
              </w:rPr>
            </w:pPr>
          </w:p>
        </w:tc>
        <w:tc>
          <w:tcPr>
            <w:tcW w:w="720" w:type="dxa"/>
            <w:vAlign w:val="bottom"/>
            <w:gridSpan w:val="2"/>
          </w:tcPr>
          <w:p>
            <w:pPr>
              <w:jc w:val="center"/>
              <w:ind w:right="280"/>
              <w:spacing w:after="0" w:line="122" w:lineRule="exact"/>
              <w:rPr>
                <w:sz w:val="20"/>
                <w:szCs w:val="20"/>
                <w:color w:val="auto"/>
              </w:rPr>
            </w:pPr>
            <w:r>
              <w:rPr>
                <w:rFonts w:ascii="Arial" w:cs="Arial" w:eastAsia="Arial" w:hAnsi="Arial"/>
                <w:sz w:val="11"/>
                <w:szCs w:val="11"/>
                <w:b w:val="1"/>
                <w:bCs w:val="1"/>
                <w:color w:val="auto"/>
                <w:w w:val="91"/>
              </w:rPr>
              <w:t>Months</w:t>
            </w:r>
          </w:p>
        </w:tc>
        <w:tc>
          <w:tcPr>
            <w:tcW w:w="840" w:type="dxa"/>
            <w:vAlign w:val="bottom"/>
            <w:gridSpan w:val="3"/>
          </w:tcPr>
          <w:p>
            <w:pPr>
              <w:jc w:val="center"/>
              <w:ind w:right="180"/>
              <w:spacing w:after="0" w:line="122" w:lineRule="exact"/>
              <w:rPr>
                <w:sz w:val="20"/>
                <w:szCs w:val="20"/>
                <w:color w:val="auto"/>
              </w:rPr>
            </w:pPr>
            <w:r>
              <w:rPr>
                <w:rFonts w:ascii="Arial" w:cs="Arial" w:eastAsia="Arial" w:hAnsi="Arial"/>
                <w:sz w:val="11"/>
                <w:szCs w:val="11"/>
                <w:b w:val="1"/>
                <w:bCs w:val="1"/>
                <w:color w:val="auto"/>
                <w:w w:val="91"/>
              </w:rPr>
              <w:t>Three Months</w:t>
            </w:r>
          </w:p>
        </w:tc>
        <w:tc>
          <w:tcPr>
            <w:tcW w:w="660" w:type="dxa"/>
            <w:vAlign w:val="bottom"/>
            <w:gridSpan w:val="2"/>
          </w:tcPr>
          <w:p>
            <w:pPr>
              <w:jc w:val="center"/>
              <w:ind w:right="180"/>
              <w:spacing w:after="0" w:line="122" w:lineRule="exact"/>
              <w:rPr>
                <w:sz w:val="20"/>
                <w:szCs w:val="20"/>
                <w:color w:val="auto"/>
              </w:rPr>
            </w:pPr>
            <w:r>
              <w:rPr>
                <w:rFonts w:ascii="Arial" w:cs="Arial" w:eastAsia="Arial" w:hAnsi="Arial"/>
                <w:sz w:val="11"/>
                <w:szCs w:val="11"/>
                <w:b w:val="1"/>
                <w:bCs w:val="1"/>
                <w:color w:val="auto"/>
                <w:w w:val="91"/>
              </w:rPr>
              <w:t>Months</w:t>
            </w:r>
          </w:p>
        </w:tc>
        <w:tc>
          <w:tcPr>
            <w:tcW w:w="100" w:type="dxa"/>
            <w:vAlign w:val="bottom"/>
          </w:tcPr>
          <w:p>
            <w:pPr>
              <w:spacing w:after="0"/>
              <w:rPr>
                <w:sz w:val="10"/>
                <w:szCs w:val="10"/>
                <w:color w:val="auto"/>
              </w:rPr>
            </w:pPr>
          </w:p>
        </w:tc>
        <w:tc>
          <w:tcPr>
            <w:tcW w:w="720" w:type="dxa"/>
            <w:vAlign w:val="bottom"/>
            <w:gridSpan w:val="2"/>
          </w:tcPr>
          <w:p>
            <w:pPr>
              <w:jc w:val="center"/>
              <w:ind w:right="280"/>
              <w:spacing w:after="0" w:line="122" w:lineRule="exact"/>
              <w:rPr>
                <w:sz w:val="20"/>
                <w:szCs w:val="20"/>
                <w:color w:val="auto"/>
              </w:rPr>
            </w:pPr>
            <w:r>
              <w:rPr>
                <w:rFonts w:ascii="Arial" w:cs="Arial" w:eastAsia="Arial" w:hAnsi="Arial"/>
                <w:sz w:val="11"/>
                <w:szCs w:val="11"/>
                <w:b w:val="1"/>
                <w:bCs w:val="1"/>
                <w:color w:val="auto"/>
                <w:w w:val="91"/>
              </w:rPr>
              <w:t>Months</w:t>
            </w:r>
          </w:p>
        </w:tc>
        <w:tc>
          <w:tcPr>
            <w:tcW w:w="960" w:type="dxa"/>
            <w:vAlign w:val="bottom"/>
            <w:tcBorders>
              <w:right w:val="single" w:sz="8" w:color="auto"/>
            </w:tcBorders>
            <w:gridSpan w:val="3"/>
          </w:tcPr>
          <w:p>
            <w:pPr>
              <w:jc w:val="center"/>
              <w:ind w:right="320"/>
              <w:spacing w:after="0" w:line="122" w:lineRule="exact"/>
              <w:rPr>
                <w:sz w:val="20"/>
                <w:szCs w:val="20"/>
                <w:color w:val="auto"/>
              </w:rPr>
            </w:pPr>
            <w:r>
              <w:rPr>
                <w:rFonts w:ascii="Arial" w:cs="Arial" w:eastAsia="Arial" w:hAnsi="Arial"/>
                <w:sz w:val="11"/>
                <w:szCs w:val="11"/>
                <w:b w:val="1"/>
                <w:bCs w:val="1"/>
                <w:color w:val="auto"/>
                <w:w w:val="88"/>
              </w:rPr>
              <w:t>July 16, 2019</w:t>
            </w:r>
          </w:p>
        </w:tc>
        <w:tc>
          <w:tcPr>
            <w:tcW w:w="200" w:type="dxa"/>
            <w:vAlign w:val="bottom"/>
          </w:tcPr>
          <w:p>
            <w:pPr>
              <w:spacing w:after="0"/>
              <w:rPr>
                <w:sz w:val="10"/>
                <w:szCs w:val="10"/>
                <w:color w:val="auto"/>
              </w:rPr>
            </w:pPr>
          </w:p>
        </w:tc>
        <w:tc>
          <w:tcPr>
            <w:tcW w:w="480" w:type="dxa"/>
            <w:vAlign w:val="bottom"/>
            <w:gridSpan w:val="2"/>
          </w:tcPr>
          <w:p>
            <w:pPr>
              <w:jc w:val="center"/>
              <w:ind w:right="100"/>
              <w:spacing w:after="0" w:line="122" w:lineRule="exact"/>
              <w:rPr>
                <w:sz w:val="20"/>
                <w:szCs w:val="20"/>
                <w:color w:val="auto"/>
              </w:rPr>
            </w:pPr>
            <w:r>
              <w:rPr>
                <w:rFonts w:ascii="Arial" w:cs="Arial" w:eastAsia="Arial" w:hAnsi="Arial"/>
                <w:sz w:val="11"/>
                <w:szCs w:val="11"/>
                <w:b w:val="1"/>
                <w:bCs w:val="1"/>
                <w:color w:val="auto"/>
                <w:w w:val="87"/>
              </w:rPr>
              <w:t>July 1,</w:t>
            </w:r>
          </w:p>
        </w:tc>
        <w:tc>
          <w:tcPr>
            <w:tcW w:w="80" w:type="dxa"/>
            <w:vAlign w:val="bottom"/>
          </w:tcPr>
          <w:p>
            <w:pPr>
              <w:spacing w:after="0"/>
              <w:rPr>
                <w:sz w:val="10"/>
                <w:szCs w:val="10"/>
                <w:color w:val="auto"/>
              </w:rPr>
            </w:pPr>
          </w:p>
        </w:tc>
        <w:tc>
          <w:tcPr>
            <w:tcW w:w="580" w:type="dxa"/>
            <w:vAlign w:val="bottom"/>
            <w:gridSpan w:val="2"/>
          </w:tcPr>
          <w:p>
            <w:pPr>
              <w:jc w:val="center"/>
              <w:ind w:right="140"/>
              <w:spacing w:after="0" w:line="122" w:lineRule="exact"/>
              <w:rPr>
                <w:sz w:val="20"/>
                <w:szCs w:val="20"/>
                <w:color w:val="auto"/>
              </w:rPr>
            </w:pPr>
            <w:r>
              <w:rPr>
                <w:rFonts w:ascii="Arial" w:cs="Arial" w:eastAsia="Arial" w:hAnsi="Arial"/>
                <w:sz w:val="11"/>
                <w:szCs w:val="11"/>
                <w:b w:val="1"/>
                <w:bCs w:val="1"/>
                <w:color w:val="auto"/>
                <w:w w:val="91"/>
              </w:rPr>
              <w:t>Months</w:t>
            </w:r>
          </w:p>
        </w:tc>
        <w:tc>
          <w:tcPr>
            <w:tcW w:w="520" w:type="dxa"/>
            <w:vAlign w:val="bottom"/>
            <w:gridSpan w:val="2"/>
          </w:tcPr>
          <w:p>
            <w:pPr>
              <w:jc w:val="center"/>
              <w:ind w:right="40"/>
              <w:spacing w:after="0" w:line="122" w:lineRule="exact"/>
              <w:rPr>
                <w:sz w:val="20"/>
                <w:szCs w:val="20"/>
                <w:color w:val="auto"/>
              </w:rPr>
            </w:pPr>
            <w:r>
              <w:rPr>
                <w:rFonts w:ascii="Arial" w:cs="Arial" w:eastAsia="Arial" w:hAnsi="Arial"/>
                <w:sz w:val="11"/>
                <w:szCs w:val="11"/>
                <w:b w:val="1"/>
                <w:bCs w:val="1"/>
                <w:color w:val="auto"/>
                <w:w w:val="91"/>
              </w:rPr>
              <w:t>Months</w:t>
            </w:r>
          </w:p>
        </w:tc>
      </w:tr>
      <w:tr>
        <w:trPr>
          <w:trHeight w:val="122"/>
        </w:trPr>
        <w:tc>
          <w:tcPr>
            <w:tcW w:w="2920" w:type="dxa"/>
            <w:vAlign w:val="bottom"/>
          </w:tcPr>
          <w:p>
            <w:pPr>
              <w:spacing w:after="0"/>
              <w:rPr>
                <w:sz w:val="10"/>
                <w:szCs w:val="10"/>
                <w:color w:val="auto"/>
              </w:rPr>
            </w:pPr>
          </w:p>
        </w:tc>
        <w:tc>
          <w:tcPr>
            <w:tcW w:w="580" w:type="dxa"/>
            <w:vAlign w:val="bottom"/>
            <w:gridSpan w:val="2"/>
          </w:tcPr>
          <w:p>
            <w:pPr>
              <w:jc w:val="center"/>
              <w:ind w:right="120"/>
              <w:spacing w:after="0" w:line="122" w:lineRule="exact"/>
              <w:rPr>
                <w:sz w:val="20"/>
                <w:szCs w:val="20"/>
                <w:color w:val="auto"/>
              </w:rPr>
            </w:pPr>
            <w:r>
              <w:rPr>
                <w:rFonts w:ascii="Arial" w:cs="Arial" w:eastAsia="Arial" w:hAnsi="Arial"/>
                <w:sz w:val="11"/>
                <w:szCs w:val="11"/>
                <w:b w:val="1"/>
                <w:bCs w:val="1"/>
                <w:color w:val="auto"/>
                <w:w w:val="89"/>
              </w:rPr>
              <w:t>Ended</w:t>
            </w:r>
          </w:p>
        </w:tc>
        <w:tc>
          <w:tcPr>
            <w:tcW w:w="80" w:type="dxa"/>
            <w:vAlign w:val="bottom"/>
          </w:tcPr>
          <w:p>
            <w:pPr>
              <w:spacing w:after="0"/>
              <w:rPr>
                <w:sz w:val="10"/>
                <w:szCs w:val="10"/>
                <w:color w:val="auto"/>
              </w:rPr>
            </w:pPr>
          </w:p>
        </w:tc>
        <w:tc>
          <w:tcPr>
            <w:tcW w:w="660" w:type="dxa"/>
            <w:vAlign w:val="bottom"/>
            <w:gridSpan w:val="2"/>
          </w:tcPr>
          <w:p>
            <w:pPr>
              <w:jc w:val="center"/>
              <w:ind w:right="200"/>
              <w:spacing w:after="0" w:line="122" w:lineRule="exact"/>
              <w:rPr>
                <w:sz w:val="20"/>
                <w:szCs w:val="20"/>
                <w:color w:val="auto"/>
              </w:rPr>
            </w:pPr>
            <w:r>
              <w:rPr>
                <w:rFonts w:ascii="Arial" w:cs="Arial" w:eastAsia="Arial" w:hAnsi="Arial"/>
                <w:sz w:val="11"/>
                <w:szCs w:val="11"/>
                <w:b w:val="1"/>
                <w:bCs w:val="1"/>
                <w:color w:val="auto"/>
                <w:w w:val="89"/>
              </w:rPr>
              <w:t>Ended</w:t>
            </w:r>
          </w:p>
        </w:tc>
        <w:tc>
          <w:tcPr>
            <w:tcW w:w="100" w:type="dxa"/>
            <w:vAlign w:val="bottom"/>
          </w:tcPr>
          <w:p>
            <w:pPr>
              <w:spacing w:after="0"/>
              <w:rPr>
                <w:sz w:val="10"/>
                <w:szCs w:val="10"/>
                <w:color w:val="auto"/>
              </w:rPr>
            </w:pPr>
          </w:p>
        </w:tc>
        <w:tc>
          <w:tcPr>
            <w:tcW w:w="700" w:type="dxa"/>
            <w:vAlign w:val="bottom"/>
            <w:gridSpan w:val="2"/>
          </w:tcPr>
          <w:p>
            <w:pPr>
              <w:jc w:val="center"/>
              <w:ind w:right="280"/>
              <w:spacing w:after="0" w:line="122" w:lineRule="exact"/>
              <w:rPr>
                <w:sz w:val="20"/>
                <w:szCs w:val="20"/>
                <w:color w:val="auto"/>
              </w:rPr>
            </w:pPr>
            <w:r>
              <w:rPr>
                <w:rFonts w:ascii="Arial" w:cs="Arial" w:eastAsia="Arial" w:hAnsi="Arial"/>
                <w:sz w:val="11"/>
                <w:szCs w:val="11"/>
                <w:b w:val="1"/>
                <w:bCs w:val="1"/>
                <w:color w:val="auto"/>
                <w:w w:val="89"/>
              </w:rPr>
              <w:t>Ended</w:t>
            </w:r>
          </w:p>
        </w:tc>
        <w:tc>
          <w:tcPr>
            <w:tcW w:w="120" w:type="dxa"/>
            <w:vAlign w:val="bottom"/>
          </w:tcPr>
          <w:p>
            <w:pPr>
              <w:spacing w:after="0"/>
              <w:rPr>
                <w:sz w:val="10"/>
                <w:szCs w:val="10"/>
                <w:color w:val="auto"/>
              </w:rPr>
            </w:pPr>
          </w:p>
        </w:tc>
        <w:tc>
          <w:tcPr>
            <w:tcW w:w="720" w:type="dxa"/>
            <w:vAlign w:val="bottom"/>
            <w:gridSpan w:val="2"/>
          </w:tcPr>
          <w:p>
            <w:pPr>
              <w:jc w:val="center"/>
              <w:ind w:right="300"/>
              <w:spacing w:after="0" w:line="122" w:lineRule="exact"/>
              <w:rPr>
                <w:sz w:val="20"/>
                <w:szCs w:val="20"/>
                <w:color w:val="auto"/>
              </w:rPr>
            </w:pPr>
            <w:r>
              <w:rPr>
                <w:rFonts w:ascii="Arial" w:cs="Arial" w:eastAsia="Arial" w:hAnsi="Arial"/>
                <w:sz w:val="11"/>
                <w:szCs w:val="11"/>
                <w:b w:val="1"/>
                <w:bCs w:val="1"/>
                <w:color w:val="auto"/>
                <w:w w:val="89"/>
              </w:rPr>
              <w:t>Ended</w:t>
            </w:r>
          </w:p>
        </w:tc>
        <w:tc>
          <w:tcPr>
            <w:tcW w:w="100" w:type="dxa"/>
            <w:vAlign w:val="bottom"/>
          </w:tcPr>
          <w:p>
            <w:pPr>
              <w:spacing w:after="0"/>
              <w:rPr>
                <w:sz w:val="10"/>
                <w:szCs w:val="10"/>
                <w:color w:val="auto"/>
              </w:rPr>
            </w:pPr>
          </w:p>
        </w:tc>
        <w:tc>
          <w:tcPr>
            <w:tcW w:w="740" w:type="dxa"/>
            <w:vAlign w:val="bottom"/>
            <w:gridSpan w:val="2"/>
          </w:tcPr>
          <w:p>
            <w:pPr>
              <w:jc w:val="center"/>
              <w:ind w:right="280"/>
              <w:spacing w:after="0" w:line="122" w:lineRule="exact"/>
              <w:rPr>
                <w:sz w:val="20"/>
                <w:szCs w:val="20"/>
                <w:color w:val="auto"/>
              </w:rPr>
            </w:pPr>
            <w:r>
              <w:rPr>
                <w:rFonts w:ascii="Arial" w:cs="Arial" w:eastAsia="Arial" w:hAnsi="Arial"/>
                <w:sz w:val="11"/>
                <w:szCs w:val="11"/>
                <w:b w:val="1"/>
                <w:bCs w:val="1"/>
                <w:color w:val="auto"/>
                <w:w w:val="89"/>
              </w:rPr>
              <w:t>Ended</w:t>
            </w:r>
          </w:p>
        </w:tc>
        <w:tc>
          <w:tcPr>
            <w:tcW w:w="660" w:type="dxa"/>
            <w:vAlign w:val="bottom"/>
            <w:gridSpan w:val="2"/>
          </w:tcPr>
          <w:p>
            <w:pPr>
              <w:jc w:val="center"/>
              <w:ind w:right="160"/>
              <w:spacing w:after="0" w:line="122" w:lineRule="exact"/>
              <w:rPr>
                <w:sz w:val="20"/>
                <w:szCs w:val="20"/>
                <w:color w:val="auto"/>
              </w:rPr>
            </w:pPr>
            <w:r>
              <w:rPr>
                <w:rFonts w:ascii="Arial" w:cs="Arial" w:eastAsia="Arial" w:hAnsi="Arial"/>
                <w:sz w:val="11"/>
                <w:szCs w:val="11"/>
                <w:b w:val="1"/>
                <w:bCs w:val="1"/>
                <w:color w:val="auto"/>
                <w:w w:val="89"/>
              </w:rPr>
              <w:t>Ended</w:t>
            </w:r>
          </w:p>
        </w:tc>
        <w:tc>
          <w:tcPr>
            <w:tcW w:w="100" w:type="dxa"/>
            <w:vAlign w:val="bottom"/>
          </w:tcPr>
          <w:p>
            <w:pPr>
              <w:spacing w:after="0"/>
              <w:rPr>
                <w:sz w:val="10"/>
                <w:szCs w:val="10"/>
                <w:color w:val="auto"/>
              </w:rPr>
            </w:pPr>
          </w:p>
        </w:tc>
        <w:tc>
          <w:tcPr>
            <w:tcW w:w="720" w:type="dxa"/>
            <w:vAlign w:val="bottom"/>
            <w:gridSpan w:val="2"/>
          </w:tcPr>
          <w:p>
            <w:pPr>
              <w:jc w:val="center"/>
              <w:ind w:right="300"/>
              <w:spacing w:after="0" w:line="122" w:lineRule="exact"/>
              <w:rPr>
                <w:sz w:val="20"/>
                <w:szCs w:val="20"/>
                <w:color w:val="auto"/>
              </w:rPr>
            </w:pPr>
            <w:r>
              <w:rPr>
                <w:rFonts w:ascii="Arial" w:cs="Arial" w:eastAsia="Arial" w:hAnsi="Arial"/>
                <w:sz w:val="11"/>
                <w:szCs w:val="11"/>
                <w:b w:val="1"/>
                <w:bCs w:val="1"/>
                <w:color w:val="auto"/>
                <w:w w:val="89"/>
              </w:rPr>
              <w:t>Ended</w:t>
            </w:r>
          </w:p>
        </w:tc>
        <w:tc>
          <w:tcPr>
            <w:tcW w:w="100" w:type="dxa"/>
            <w:vAlign w:val="bottom"/>
          </w:tcPr>
          <w:p>
            <w:pPr>
              <w:spacing w:after="0"/>
              <w:rPr>
                <w:sz w:val="10"/>
                <w:szCs w:val="10"/>
                <w:color w:val="auto"/>
              </w:rPr>
            </w:pPr>
          </w:p>
        </w:tc>
        <w:tc>
          <w:tcPr>
            <w:tcW w:w="860" w:type="dxa"/>
            <w:vAlign w:val="bottom"/>
            <w:tcBorders>
              <w:right w:val="single" w:sz="8" w:color="auto"/>
            </w:tcBorders>
            <w:gridSpan w:val="2"/>
          </w:tcPr>
          <w:p>
            <w:pPr>
              <w:jc w:val="center"/>
              <w:ind w:right="420"/>
              <w:spacing w:after="0" w:line="122" w:lineRule="exact"/>
              <w:rPr>
                <w:sz w:val="20"/>
                <w:szCs w:val="20"/>
                <w:color w:val="auto"/>
              </w:rPr>
            </w:pPr>
            <w:r>
              <w:rPr>
                <w:rFonts w:ascii="Arial" w:cs="Arial" w:eastAsia="Arial" w:hAnsi="Arial"/>
                <w:sz w:val="11"/>
                <w:szCs w:val="11"/>
                <w:b w:val="1"/>
                <w:bCs w:val="1"/>
                <w:color w:val="auto"/>
                <w:w w:val="76"/>
              </w:rPr>
              <w:t>to</w:t>
            </w:r>
          </w:p>
        </w:tc>
        <w:tc>
          <w:tcPr>
            <w:tcW w:w="200" w:type="dxa"/>
            <w:vAlign w:val="bottom"/>
          </w:tcPr>
          <w:p>
            <w:pPr>
              <w:spacing w:after="0"/>
              <w:rPr>
                <w:sz w:val="10"/>
                <w:szCs w:val="10"/>
                <w:color w:val="auto"/>
              </w:rPr>
            </w:pPr>
          </w:p>
        </w:tc>
        <w:tc>
          <w:tcPr>
            <w:tcW w:w="480" w:type="dxa"/>
            <w:vAlign w:val="bottom"/>
            <w:gridSpan w:val="2"/>
          </w:tcPr>
          <w:p>
            <w:pPr>
              <w:jc w:val="center"/>
              <w:ind w:right="100"/>
              <w:spacing w:after="0" w:line="122" w:lineRule="exact"/>
              <w:rPr>
                <w:sz w:val="20"/>
                <w:szCs w:val="20"/>
                <w:color w:val="auto"/>
              </w:rPr>
            </w:pPr>
            <w:r>
              <w:rPr>
                <w:rFonts w:ascii="Arial" w:cs="Arial" w:eastAsia="Arial" w:hAnsi="Arial"/>
                <w:sz w:val="11"/>
                <w:szCs w:val="11"/>
                <w:b w:val="1"/>
                <w:bCs w:val="1"/>
                <w:color w:val="auto"/>
                <w:w w:val="89"/>
              </w:rPr>
              <w:t>2019 to</w:t>
            </w:r>
          </w:p>
        </w:tc>
        <w:tc>
          <w:tcPr>
            <w:tcW w:w="80" w:type="dxa"/>
            <w:vAlign w:val="bottom"/>
          </w:tcPr>
          <w:p>
            <w:pPr>
              <w:spacing w:after="0"/>
              <w:rPr>
                <w:sz w:val="10"/>
                <w:szCs w:val="10"/>
                <w:color w:val="auto"/>
              </w:rPr>
            </w:pPr>
          </w:p>
        </w:tc>
        <w:tc>
          <w:tcPr>
            <w:tcW w:w="580" w:type="dxa"/>
            <w:vAlign w:val="bottom"/>
            <w:gridSpan w:val="2"/>
          </w:tcPr>
          <w:p>
            <w:pPr>
              <w:jc w:val="center"/>
              <w:ind w:right="120"/>
              <w:spacing w:after="0" w:line="122" w:lineRule="exact"/>
              <w:rPr>
                <w:sz w:val="20"/>
                <w:szCs w:val="20"/>
                <w:color w:val="auto"/>
              </w:rPr>
            </w:pPr>
            <w:r>
              <w:rPr>
                <w:rFonts w:ascii="Arial" w:cs="Arial" w:eastAsia="Arial" w:hAnsi="Arial"/>
                <w:sz w:val="11"/>
                <w:szCs w:val="11"/>
                <w:b w:val="1"/>
                <w:bCs w:val="1"/>
                <w:color w:val="auto"/>
                <w:w w:val="89"/>
              </w:rPr>
              <w:t>Ended</w:t>
            </w:r>
          </w:p>
        </w:tc>
        <w:tc>
          <w:tcPr>
            <w:tcW w:w="520" w:type="dxa"/>
            <w:vAlign w:val="bottom"/>
            <w:gridSpan w:val="2"/>
          </w:tcPr>
          <w:p>
            <w:pPr>
              <w:jc w:val="center"/>
              <w:ind w:right="60"/>
              <w:spacing w:after="0" w:line="122" w:lineRule="exact"/>
              <w:rPr>
                <w:sz w:val="20"/>
                <w:szCs w:val="20"/>
                <w:color w:val="auto"/>
              </w:rPr>
            </w:pPr>
            <w:r>
              <w:rPr>
                <w:rFonts w:ascii="Arial" w:cs="Arial" w:eastAsia="Arial" w:hAnsi="Arial"/>
                <w:sz w:val="11"/>
                <w:szCs w:val="11"/>
                <w:b w:val="1"/>
                <w:bCs w:val="1"/>
                <w:color w:val="auto"/>
                <w:w w:val="89"/>
              </w:rPr>
              <w:t>Ended</w:t>
            </w:r>
          </w:p>
        </w:tc>
      </w:tr>
      <w:tr>
        <w:trPr>
          <w:trHeight w:val="122"/>
        </w:trPr>
        <w:tc>
          <w:tcPr>
            <w:tcW w:w="2920" w:type="dxa"/>
            <w:vAlign w:val="bottom"/>
          </w:tcPr>
          <w:p>
            <w:pPr>
              <w:spacing w:after="0"/>
              <w:rPr>
                <w:sz w:val="10"/>
                <w:szCs w:val="10"/>
                <w:color w:val="auto"/>
              </w:rPr>
            </w:pPr>
          </w:p>
        </w:tc>
        <w:tc>
          <w:tcPr>
            <w:tcW w:w="580" w:type="dxa"/>
            <w:vAlign w:val="bottom"/>
            <w:gridSpan w:val="2"/>
          </w:tcPr>
          <w:p>
            <w:pPr>
              <w:jc w:val="center"/>
              <w:ind w:right="120"/>
              <w:spacing w:after="0" w:line="122" w:lineRule="exact"/>
              <w:rPr>
                <w:sz w:val="20"/>
                <w:szCs w:val="20"/>
                <w:color w:val="auto"/>
              </w:rPr>
            </w:pPr>
            <w:r>
              <w:rPr>
                <w:rFonts w:ascii="Arial" w:cs="Arial" w:eastAsia="Arial" w:hAnsi="Arial"/>
                <w:sz w:val="11"/>
                <w:szCs w:val="11"/>
                <w:b w:val="1"/>
                <w:bCs w:val="1"/>
                <w:color w:val="auto"/>
                <w:w w:val="86"/>
              </w:rPr>
              <w:t>June 30,</w:t>
            </w:r>
          </w:p>
        </w:tc>
        <w:tc>
          <w:tcPr>
            <w:tcW w:w="80" w:type="dxa"/>
            <w:vAlign w:val="bottom"/>
          </w:tcPr>
          <w:p>
            <w:pPr>
              <w:spacing w:after="0"/>
              <w:rPr>
                <w:sz w:val="10"/>
                <w:szCs w:val="10"/>
                <w:color w:val="auto"/>
              </w:rPr>
            </w:pPr>
          </w:p>
        </w:tc>
        <w:tc>
          <w:tcPr>
            <w:tcW w:w="660" w:type="dxa"/>
            <w:vAlign w:val="bottom"/>
            <w:gridSpan w:val="2"/>
          </w:tcPr>
          <w:p>
            <w:pPr>
              <w:jc w:val="center"/>
              <w:ind w:right="180"/>
              <w:spacing w:after="0" w:line="122" w:lineRule="exact"/>
              <w:rPr>
                <w:sz w:val="20"/>
                <w:szCs w:val="20"/>
                <w:color w:val="auto"/>
              </w:rPr>
            </w:pPr>
            <w:r>
              <w:rPr>
                <w:rFonts w:ascii="Arial" w:cs="Arial" w:eastAsia="Arial" w:hAnsi="Arial"/>
                <w:sz w:val="11"/>
                <w:szCs w:val="11"/>
                <w:b w:val="1"/>
                <w:bCs w:val="1"/>
                <w:color w:val="auto"/>
                <w:w w:val="94"/>
              </w:rPr>
              <w:t>March 31,</w:t>
            </w:r>
          </w:p>
        </w:tc>
        <w:tc>
          <w:tcPr>
            <w:tcW w:w="800" w:type="dxa"/>
            <w:vAlign w:val="bottom"/>
            <w:gridSpan w:val="3"/>
          </w:tcPr>
          <w:p>
            <w:pPr>
              <w:jc w:val="center"/>
              <w:ind w:right="180"/>
              <w:spacing w:after="0" w:line="122" w:lineRule="exact"/>
              <w:rPr>
                <w:sz w:val="20"/>
                <w:szCs w:val="20"/>
                <w:color w:val="auto"/>
              </w:rPr>
            </w:pPr>
            <w:r>
              <w:rPr>
                <w:rFonts w:ascii="Arial" w:cs="Arial" w:eastAsia="Arial" w:hAnsi="Arial"/>
                <w:sz w:val="11"/>
                <w:szCs w:val="11"/>
                <w:b w:val="1"/>
                <w:bCs w:val="1"/>
                <w:color w:val="auto"/>
                <w:w w:val="86"/>
              </w:rPr>
              <w:t>December 31,</w:t>
            </w:r>
          </w:p>
        </w:tc>
        <w:tc>
          <w:tcPr>
            <w:tcW w:w="840" w:type="dxa"/>
            <w:vAlign w:val="bottom"/>
            <w:gridSpan w:val="3"/>
          </w:tcPr>
          <w:p>
            <w:pPr>
              <w:jc w:val="center"/>
              <w:ind w:right="180"/>
              <w:spacing w:after="0" w:line="122" w:lineRule="exact"/>
              <w:rPr>
                <w:sz w:val="20"/>
                <w:szCs w:val="20"/>
                <w:color w:val="auto"/>
              </w:rPr>
            </w:pPr>
            <w:r>
              <w:rPr>
                <w:rFonts w:ascii="Arial" w:cs="Arial" w:eastAsia="Arial" w:hAnsi="Arial"/>
                <w:sz w:val="11"/>
                <w:szCs w:val="11"/>
                <w:b w:val="1"/>
                <w:bCs w:val="1"/>
                <w:color w:val="auto"/>
                <w:w w:val="87"/>
              </w:rPr>
              <w:t>September 30,</w:t>
            </w:r>
          </w:p>
        </w:tc>
        <w:tc>
          <w:tcPr>
            <w:tcW w:w="100" w:type="dxa"/>
            <w:vAlign w:val="bottom"/>
          </w:tcPr>
          <w:p>
            <w:pPr>
              <w:spacing w:after="0"/>
              <w:rPr>
                <w:sz w:val="10"/>
                <w:szCs w:val="10"/>
                <w:color w:val="auto"/>
              </w:rPr>
            </w:pPr>
          </w:p>
        </w:tc>
        <w:tc>
          <w:tcPr>
            <w:tcW w:w="740" w:type="dxa"/>
            <w:vAlign w:val="bottom"/>
            <w:gridSpan w:val="2"/>
          </w:tcPr>
          <w:p>
            <w:pPr>
              <w:jc w:val="center"/>
              <w:ind w:right="280"/>
              <w:spacing w:after="0" w:line="122" w:lineRule="exact"/>
              <w:rPr>
                <w:sz w:val="20"/>
                <w:szCs w:val="20"/>
                <w:color w:val="auto"/>
              </w:rPr>
            </w:pPr>
            <w:r>
              <w:rPr>
                <w:rFonts w:ascii="Arial" w:cs="Arial" w:eastAsia="Arial" w:hAnsi="Arial"/>
                <w:sz w:val="11"/>
                <w:szCs w:val="11"/>
                <w:b w:val="1"/>
                <w:bCs w:val="1"/>
                <w:color w:val="auto"/>
                <w:w w:val="86"/>
              </w:rPr>
              <w:t>June 30,</w:t>
            </w:r>
          </w:p>
        </w:tc>
        <w:tc>
          <w:tcPr>
            <w:tcW w:w="660" w:type="dxa"/>
            <w:vAlign w:val="bottom"/>
            <w:gridSpan w:val="2"/>
          </w:tcPr>
          <w:p>
            <w:pPr>
              <w:jc w:val="center"/>
              <w:ind w:right="180"/>
              <w:spacing w:after="0" w:line="122" w:lineRule="exact"/>
              <w:rPr>
                <w:sz w:val="20"/>
                <w:szCs w:val="20"/>
                <w:color w:val="auto"/>
              </w:rPr>
            </w:pPr>
            <w:r>
              <w:rPr>
                <w:rFonts w:ascii="Arial" w:cs="Arial" w:eastAsia="Arial" w:hAnsi="Arial"/>
                <w:sz w:val="11"/>
                <w:szCs w:val="11"/>
                <w:b w:val="1"/>
                <w:bCs w:val="1"/>
                <w:color w:val="auto"/>
                <w:w w:val="94"/>
              </w:rPr>
              <w:t>March 31,</w:t>
            </w:r>
          </w:p>
        </w:tc>
        <w:tc>
          <w:tcPr>
            <w:tcW w:w="820" w:type="dxa"/>
            <w:vAlign w:val="bottom"/>
            <w:gridSpan w:val="3"/>
          </w:tcPr>
          <w:p>
            <w:pPr>
              <w:jc w:val="center"/>
              <w:ind w:right="180"/>
              <w:spacing w:after="0" w:line="122" w:lineRule="exact"/>
              <w:rPr>
                <w:sz w:val="20"/>
                <w:szCs w:val="20"/>
                <w:color w:val="auto"/>
              </w:rPr>
            </w:pPr>
            <w:r>
              <w:rPr>
                <w:rFonts w:ascii="Arial" w:cs="Arial" w:eastAsia="Arial" w:hAnsi="Arial"/>
                <w:sz w:val="11"/>
                <w:szCs w:val="11"/>
                <w:b w:val="1"/>
                <w:bCs w:val="1"/>
                <w:color w:val="auto"/>
                <w:w w:val="89"/>
              </w:rPr>
              <w:t>December 31,</w:t>
            </w:r>
          </w:p>
        </w:tc>
        <w:tc>
          <w:tcPr>
            <w:tcW w:w="960" w:type="dxa"/>
            <w:vAlign w:val="bottom"/>
            <w:tcBorders>
              <w:right w:val="single" w:sz="8" w:color="auto"/>
            </w:tcBorders>
            <w:gridSpan w:val="3"/>
          </w:tcPr>
          <w:p>
            <w:pPr>
              <w:jc w:val="center"/>
              <w:ind w:right="300"/>
              <w:spacing w:after="0" w:line="122" w:lineRule="exact"/>
              <w:rPr>
                <w:sz w:val="20"/>
                <w:szCs w:val="20"/>
                <w:color w:val="auto"/>
              </w:rPr>
            </w:pPr>
            <w:r>
              <w:rPr>
                <w:rFonts w:ascii="Arial" w:cs="Arial" w:eastAsia="Arial" w:hAnsi="Arial"/>
                <w:sz w:val="11"/>
                <w:szCs w:val="11"/>
                <w:b w:val="1"/>
                <w:bCs w:val="1"/>
                <w:color w:val="auto"/>
                <w:w w:val="87"/>
              </w:rPr>
              <w:t>September 30,</w:t>
            </w:r>
          </w:p>
        </w:tc>
        <w:tc>
          <w:tcPr>
            <w:tcW w:w="200" w:type="dxa"/>
            <w:vAlign w:val="bottom"/>
          </w:tcPr>
          <w:p>
            <w:pPr>
              <w:spacing w:after="0"/>
              <w:rPr>
                <w:sz w:val="10"/>
                <w:szCs w:val="10"/>
                <w:color w:val="auto"/>
              </w:rPr>
            </w:pPr>
          </w:p>
        </w:tc>
        <w:tc>
          <w:tcPr>
            <w:tcW w:w="480" w:type="dxa"/>
            <w:vAlign w:val="bottom"/>
            <w:gridSpan w:val="2"/>
          </w:tcPr>
          <w:p>
            <w:pPr>
              <w:jc w:val="center"/>
              <w:ind w:right="80"/>
              <w:spacing w:after="0" w:line="122" w:lineRule="exact"/>
              <w:rPr>
                <w:sz w:val="20"/>
                <w:szCs w:val="20"/>
                <w:color w:val="auto"/>
              </w:rPr>
            </w:pPr>
            <w:r>
              <w:rPr>
                <w:rFonts w:ascii="Arial" w:cs="Arial" w:eastAsia="Arial" w:hAnsi="Arial"/>
                <w:sz w:val="11"/>
                <w:szCs w:val="11"/>
                <w:b w:val="1"/>
                <w:bCs w:val="1"/>
                <w:color w:val="auto"/>
                <w:w w:val="89"/>
              </w:rPr>
              <w:t>July 15,</w:t>
            </w:r>
          </w:p>
        </w:tc>
        <w:tc>
          <w:tcPr>
            <w:tcW w:w="80" w:type="dxa"/>
            <w:vAlign w:val="bottom"/>
          </w:tcPr>
          <w:p>
            <w:pPr>
              <w:spacing w:after="0"/>
              <w:rPr>
                <w:sz w:val="10"/>
                <w:szCs w:val="10"/>
                <w:color w:val="auto"/>
              </w:rPr>
            </w:pPr>
          </w:p>
        </w:tc>
        <w:tc>
          <w:tcPr>
            <w:tcW w:w="580" w:type="dxa"/>
            <w:vAlign w:val="bottom"/>
            <w:gridSpan w:val="2"/>
          </w:tcPr>
          <w:p>
            <w:pPr>
              <w:jc w:val="center"/>
              <w:ind w:right="140"/>
              <w:spacing w:after="0" w:line="122" w:lineRule="exact"/>
              <w:rPr>
                <w:sz w:val="20"/>
                <w:szCs w:val="20"/>
                <w:color w:val="auto"/>
              </w:rPr>
            </w:pPr>
            <w:r>
              <w:rPr>
                <w:rFonts w:ascii="Arial" w:cs="Arial" w:eastAsia="Arial" w:hAnsi="Arial"/>
                <w:sz w:val="11"/>
                <w:szCs w:val="11"/>
                <w:b w:val="1"/>
                <w:bCs w:val="1"/>
                <w:color w:val="auto"/>
                <w:w w:val="90"/>
              </w:rPr>
              <w:t>June 30,</w:t>
            </w:r>
          </w:p>
        </w:tc>
        <w:tc>
          <w:tcPr>
            <w:tcW w:w="520" w:type="dxa"/>
            <w:vAlign w:val="bottom"/>
            <w:gridSpan w:val="2"/>
          </w:tcPr>
          <w:p>
            <w:pPr>
              <w:jc w:val="center"/>
              <w:ind w:right="40"/>
              <w:spacing w:after="0" w:line="122" w:lineRule="exact"/>
              <w:rPr>
                <w:sz w:val="20"/>
                <w:szCs w:val="20"/>
                <w:color w:val="auto"/>
              </w:rPr>
            </w:pPr>
            <w:r>
              <w:rPr>
                <w:rFonts w:ascii="Arial" w:cs="Arial" w:eastAsia="Arial" w:hAnsi="Arial"/>
                <w:sz w:val="11"/>
                <w:szCs w:val="11"/>
                <w:b w:val="1"/>
                <w:bCs w:val="1"/>
                <w:color w:val="auto"/>
                <w:w w:val="94"/>
              </w:rPr>
              <w:t>March 31,</w:t>
            </w:r>
          </w:p>
        </w:tc>
      </w:tr>
      <w:tr>
        <w:trPr>
          <w:trHeight w:val="135"/>
        </w:trPr>
        <w:tc>
          <w:tcPr>
            <w:tcW w:w="2920" w:type="dxa"/>
            <w:vAlign w:val="bottom"/>
          </w:tcPr>
          <w:p>
            <w:pPr>
              <w:spacing w:after="0"/>
              <w:rPr>
                <w:sz w:val="11"/>
                <w:szCs w:val="11"/>
                <w:color w:val="auto"/>
              </w:rPr>
            </w:pPr>
          </w:p>
        </w:tc>
        <w:tc>
          <w:tcPr>
            <w:tcW w:w="480" w:type="dxa"/>
            <w:vAlign w:val="bottom"/>
          </w:tcPr>
          <w:p>
            <w:pPr>
              <w:jc w:val="center"/>
              <w:spacing w:after="0"/>
              <w:rPr>
                <w:sz w:val="20"/>
                <w:szCs w:val="20"/>
                <w:color w:val="auto"/>
              </w:rPr>
            </w:pPr>
            <w:r>
              <w:rPr>
                <w:rFonts w:ascii="Arial" w:cs="Arial" w:eastAsia="Arial" w:hAnsi="Arial"/>
                <w:sz w:val="11"/>
                <w:szCs w:val="11"/>
                <w:b w:val="1"/>
                <w:bCs w:val="1"/>
                <w:color w:val="auto"/>
                <w:w w:val="89"/>
              </w:rPr>
              <w:t>2021</w:t>
            </w:r>
          </w:p>
        </w:tc>
        <w:tc>
          <w:tcPr>
            <w:tcW w:w="100" w:type="dxa"/>
            <w:vAlign w:val="bottom"/>
          </w:tcPr>
          <w:p>
            <w:pPr>
              <w:spacing w:after="0"/>
              <w:rPr>
                <w:sz w:val="11"/>
                <w:szCs w:val="11"/>
                <w:color w:val="auto"/>
              </w:rPr>
            </w:pPr>
          </w:p>
        </w:tc>
        <w:tc>
          <w:tcPr>
            <w:tcW w:w="560" w:type="dxa"/>
            <w:vAlign w:val="bottom"/>
            <w:gridSpan w:val="2"/>
          </w:tcPr>
          <w:p>
            <w:pPr>
              <w:jc w:val="center"/>
              <w:spacing w:after="0"/>
              <w:rPr>
                <w:sz w:val="20"/>
                <w:szCs w:val="20"/>
                <w:color w:val="auto"/>
              </w:rPr>
            </w:pPr>
            <w:r>
              <w:rPr>
                <w:rFonts w:ascii="Arial" w:cs="Arial" w:eastAsia="Arial" w:hAnsi="Arial"/>
                <w:sz w:val="11"/>
                <w:szCs w:val="11"/>
                <w:b w:val="1"/>
                <w:bCs w:val="1"/>
                <w:color w:val="auto"/>
                <w:w w:val="89"/>
              </w:rPr>
              <w:t>2021</w:t>
            </w: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Pr>
          <w:p>
            <w:pPr>
              <w:jc w:val="center"/>
              <w:ind w:right="39"/>
              <w:spacing w:after="0"/>
              <w:rPr>
                <w:sz w:val="20"/>
                <w:szCs w:val="20"/>
                <w:color w:val="auto"/>
              </w:rPr>
            </w:pPr>
            <w:r>
              <w:rPr>
                <w:rFonts w:ascii="Arial" w:cs="Arial" w:eastAsia="Arial" w:hAnsi="Arial"/>
                <w:sz w:val="11"/>
                <w:szCs w:val="11"/>
                <w:b w:val="1"/>
                <w:bCs w:val="1"/>
                <w:color w:val="auto"/>
                <w:w w:val="92"/>
              </w:rPr>
              <w:t>2020 (1)</w:t>
            </w:r>
          </w:p>
        </w:tc>
        <w:tc>
          <w:tcPr>
            <w:tcW w:w="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jc w:val="center"/>
              <w:ind w:right="60"/>
              <w:spacing w:after="0"/>
              <w:rPr>
                <w:sz w:val="20"/>
                <w:szCs w:val="20"/>
                <w:color w:val="auto"/>
              </w:rPr>
            </w:pPr>
            <w:r>
              <w:rPr>
                <w:rFonts w:ascii="Arial" w:cs="Arial" w:eastAsia="Arial" w:hAnsi="Arial"/>
                <w:sz w:val="11"/>
                <w:szCs w:val="11"/>
                <w:b w:val="1"/>
                <w:bCs w:val="1"/>
                <w:color w:val="auto"/>
                <w:w w:val="89"/>
              </w:rPr>
              <w:t>2020</w:t>
            </w: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jc w:val="center"/>
              <w:ind w:right="38"/>
              <w:spacing w:after="0"/>
              <w:rPr>
                <w:sz w:val="20"/>
                <w:szCs w:val="20"/>
                <w:color w:val="auto"/>
              </w:rPr>
            </w:pPr>
            <w:r>
              <w:rPr>
                <w:rFonts w:ascii="Arial" w:cs="Arial" w:eastAsia="Arial" w:hAnsi="Arial"/>
                <w:sz w:val="11"/>
                <w:szCs w:val="11"/>
                <w:b w:val="1"/>
                <w:bCs w:val="1"/>
                <w:color w:val="auto"/>
                <w:w w:val="89"/>
              </w:rPr>
              <w:t>2020</w:t>
            </w:r>
          </w:p>
        </w:tc>
        <w:tc>
          <w:tcPr>
            <w:tcW w:w="180" w:type="dxa"/>
            <w:vAlign w:val="bottom"/>
          </w:tcPr>
          <w:p>
            <w:pPr>
              <w:spacing w:after="0"/>
              <w:rPr>
                <w:sz w:val="11"/>
                <w:szCs w:val="11"/>
                <w:color w:val="auto"/>
              </w:rPr>
            </w:pPr>
          </w:p>
        </w:tc>
        <w:tc>
          <w:tcPr>
            <w:tcW w:w="480" w:type="dxa"/>
            <w:vAlign w:val="bottom"/>
          </w:tcPr>
          <w:p>
            <w:pPr>
              <w:jc w:val="center"/>
              <w:spacing w:after="0"/>
              <w:rPr>
                <w:sz w:val="20"/>
                <w:szCs w:val="20"/>
                <w:color w:val="auto"/>
              </w:rPr>
            </w:pPr>
            <w:r>
              <w:rPr>
                <w:rFonts w:ascii="Arial" w:cs="Arial" w:eastAsia="Arial" w:hAnsi="Arial"/>
                <w:sz w:val="11"/>
                <w:szCs w:val="11"/>
                <w:b w:val="1"/>
                <w:bCs w:val="1"/>
                <w:color w:val="auto"/>
                <w:w w:val="89"/>
              </w:rPr>
              <w:t>2020</w:t>
            </w: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40" w:type="dxa"/>
            <w:vAlign w:val="bottom"/>
          </w:tcPr>
          <w:p>
            <w:pPr>
              <w:jc w:val="center"/>
              <w:ind w:right="39"/>
              <w:spacing w:after="0"/>
              <w:rPr>
                <w:sz w:val="20"/>
                <w:szCs w:val="20"/>
                <w:color w:val="auto"/>
              </w:rPr>
            </w:pPr>
            <w:r>
              <w:rPr>
                <w:rFonts w:ascii="Arial" w:cs="Arial" w:eastAsia="Arial" w:hAnsi="Arial"/>
                <w:sz w:val="11"/>
                <w:szCs w:val="11"/>
                <w:b w:val="1"/>
                <w:bCs w:val="1"/>
                <w:color w:val="auto"/>
                <w:w w:val="87"/>
              </w:rPr>
              <w:t>2019 (2)</w:t>
            </w: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jc w:val="center"/>
              <w:ind w:right="57"/>
              <w:spacing w:after="0"/>
              <w:rPr>
                <w:sz w:val="20"/>
                <w:szCs w:val="20"/>
                <w:color w:val="auto"/>
              </w:rPr>
            </w:pPr>
            <w:r>
              <w:rPr>
                <w:rFonts w:ascii="Arial" w:cs="Arial" w:eastAsia="Arial" w:hAnsi="Arial"/>
                <w:sz w:val="11"/>
                <w:szCs w:val="11"/>
                <w:b w:val="1"/>
                <w:bCs w:val="1"/>
                <w:color w:val="auto"/>
                <w:w w:val="87"/>
              </w:rPr>
              <w:t>2019 (3)</w:t>
            </w:r>
          </w:p>
        </w:tc>
        <w:tc>
          <w:tcPr>
            <w:tcW w:w="300" w:type="dxa"/>
            <w:vAlign w:val="bottom"/>
            <w:tcBorders>
              <w:right w:val="single" w:sz="8" w:color="auto"/>
            </w:tcBorders>
          </w:tcPr>
          <w:p>
            <w:pPr>
              <w:spacing w:after="0"/>
              <w:rPr>
                <w:sz w:val="11"/>
                <w:szCs w:val="11"/>
                <w:color w:val="auto"/>
              </w:rPr>
            </w:pPr>
          </w:p>
        </w:tc>
        <w:tc>
          <w:tcPr>
            <w:tcW w:w="200" w:type="dxa"/>
            <w:vAlign w:val="bottom"/>
          </w:tcPr>
          <w:p>
            <w:pPr>
              <w:spacing w:after="0"/>
              <w:rPr>
                <w:sz w:val="11"/>
                <w:szCs w:val="11"/>
                <w:color w:val="auto"/>
              </w:rPr>
            </w:pPr>
          </w:p>
        </w:tc>
        <w:tc>
          <w:tcPr>
            <w:tcW w:w="380" w:type="dxa"/>
            <w:vAlign w:val="bottom"/>
          </w:tcPr>
          <w:p>
            <w:pPr>
              <w:jc w:val="right"/>
              <w:spacing w:after="0"/>
              <w:rPr>
                <w:sz w:val="20"/>
                <w:szCs w:val="20"/>
                <w:color w:val="auto"/>
              </w:rPr>
            </w:pPr>
            <w:r>
              <w:rPr>
                <w:rFonts w:ascii="Arial" w:cs="Arial" w:eastAsia="Arial" w:hAnsi="Arial"/>
                <w:sz w:val="11"/>
                <w:szCs w:val="11"/>
                <w:b w:val="1"/>
                <w:bCs w:val="1"/>
                <w:color w:val="auto"/>
                <w:w w:val="87"/>
              </w:rPr>
              <w:t>2019 (3)</w:t>
            </w:r>
          </w:p>
        </w:tc>
        <w:tc>
          <w:tcPr>
            <w:tcW w:w="100" w:type="dxa"/>
            <w:vAlign w:val="bottom"/>
          </w:tcPr>
          <w:p>
            <w:pPr>
              <w:spacing w:after="0"/>
              <w:rPr>
                <w:sz w:val="11"/>
                <w:szCs w:val="11"/>
                <w:color w:val="auto"/>
              </w:rPr>
            </w:pPr>
          </w:p>
        </w:tc>
        <w:tc>
          <w:tcPr>
            <w:tcW w:w="520" w:type="dxa"/>
            <w:vAlign w:val="bottom"/>
            <w:gridSpan w:val="2"/>
          </w:tcPr>
          <w:p>
            <w:pPr>
              <w:jc w:val="center"/>
              <w:ind w:left="18"/>
              <w:spacing w:after="0"/>
              <w:rPr>
                <w:sz w:val="20"/>
                <w:szCs w:val="20"/>
                <w:color w:val="auto"/>
              </w:rPr>
            </w:pPr>
            <w:r>
              <w:rPr>
                <w:rFonts w:ascii="Arial" w:cs="Arial" w:eastAsia="Arial" w:hAnsi="Arial"/>
                <w:sz w:val="11"/>
                <w:szCs w:val="11"/>
                <w:b w:val="1"/>
                <w:bCs w:val="1"/>
                <w:color w:val="auto"/>
                <w:w w:val="81"/>
              </w:rPr>
              <w:t>2019</w:t>
            </w:r>
          </w:p>
        </w:tc>
        <w:tc>
          <w:tcPr>
            <w:tcW w:w="140" w:type="dxa"/>
            <w:vAlign w:val="bottom"/>
          </w:tcPr>
          <w:p>
            <w:pPr>
              <w:spacing w:after="0"/>
              <w:rPr>
                <w:sz w:val="11"/>
                <w:szCs w:val="11"/>
                <w:color w:val="auto"/>
              </w:rPr>
            </w:pPr>
          </w:p>
        </w:tc>
        <w:tc>
          <w:tcPr>
            <w:tcW w:w="480" w:type="dxa"/>
            <w:vAlign w:val="bottom"/>
          </w:tcPr>
          <w:p>
            <w:pPr>
              <w:jc w:val="center"/>
              <w:spacing w:after="0"/>
              <w:rPr>
                <w:sz w:val="20"/>
                <w:szCs w:val="20"/>
                <w:color w:val="auto"/>
              </w:rPr>
            </w:pPr>
            <w:r>
              <w:rPr>
                <w:rFonts w:ascii="Arial" w:cs="Arial" w:eastAsia="Arial" w:hAnsi="Arial"/>
                <w:sz w:val="11"/>
                <w:szCs w:val="11"/>
                <w:b w:val="1"/>
                <w:bCs w:val="1"/>
                <w:color w:val="auto"/>
                <w:w w:val="87"/>
              </w:rPr>
              <w:t>2019 (4)</w:t>
            </w:r>
          </w:p>
        </w:tc>
        <w:tc>
          <w:tcPr>
            <w:tcW w:w="40" w:type="dxa"/>
            <w:vAlign w:val="bottom"/>
          </w:tcPr>
          <w:p>
            <w:pPr>
              <w:spacing w:after="0"/>
              <w:rPr>
                <w:sz w:val="11"/>
                <w:szCs w:val="11"/>
                <w:color w:val="auto"/>
              </w:rPr>
            </w:pPr>
          </w:p>
        </w:tc>
      </w:tr>
      <w:tr>
        <w:trPr>
          <w:trHeight w:val="142"/>
        </w:trPr>
        <w:tc>
          <w:tcPr>
            <w:tcW w:w="2920" w:type="dxa"/>
            <w:vAlign w:val="bottom"/>
            <w:tcBorders>
              <w:top w:val="single" w:sz="8" w:color="CCEEFF"/>
            </w:tcBorders>
            <w:shd w:val="clear" w:color="auto" w:fill="CCEEFF"/>
          </w:tcPr>
          <w:p>
            <w:pPr>
              <w:spacing w:after="0" w:line="142" w:lineRule="exact"/>
              <w:rPr>
                <w:sz w:val="20"/>
                <w:szCs w:val="20"/>
                <w:color w:val="auto"/>
              </w:rPr>
            </w:pPr>
            <w:r>
              <w:rPr>
                <w:rFonts w:ascii="Arial" w:cs="Arial" w:eastAsia="Arial" w:hAnsi="Arial"/>
                <w:sz w:val="13"/>
                <w:szCs w:val="13"/>
                <w:color w:val="auto"/>
              </w:rPr>
              <w:t>Revenue</w:t>
            </w:r>
          </w:p>
        </w:tc>
        <w:tc>
          <w:tcPr>
            <w:tcW w:w="48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3"/>
                <w:szCs w:val="13"/>
                <w:color w:val="auto"/>
                <w:w w:val="90"/>
              </w:rPr>
              <w:t>$ 39,821</w:t>
            </w:r>
          </w:p>
        </w:tc>
        <w:tc>
          <w:tcPr>
            <w:tcW w:w="10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48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3"/>
                <w:szCs w:val="13"/>
                <w:color w:val="auto"/>
                <w:w w:val="90"/>
              </w:rPr>
              <w:t>$ 36,936</w:t>
            </w:r>
          </w:p>
        </w:tc>
        <w:tc>
          <w:tcPr>
            <w:tcW w:w="18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52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3"/>
                <w:szCs w:val="13"/>
                <w:color w:val="auto"/>
              </w:rPr>
              <w:t>33,658</w:t>
            </w:r>
          </w:p>
        </w:tc>
        <w:tc>
          <w:tcPr>
            <w:tcW w:w="18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3"/>
                <w:szCs w:val="13"/>
                <w:color w:val="auto"/>
                <w:w w:val="82"/>
              </w:rPr>
              <w:t>$</w:t>
            </w:r>
          </w:p>
        </w:tc>
        <w:tc>
          <w:tcPr>
            <w:tcW w:w="54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3"/>
                <w:szCs w:val="13"/>
                <w:color w:val="auto"/>
              </w:rPr>
              <w:t>30,073</w:t>
            </w:r>
          </w:p>
        </w:tc>
        <w:tc>
          <w:tcPr>
            <w:tcW w:w="18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56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3"/>
                <w:szCs w:val="13"/>
                <w:color w:val="auto"/>
              </w:rPr>
              <w:t>28,245</w:t>
            </w:r>
          </w:p>
        </w:tc>
        <w:tc>
          <w:tcPr>
            <w:tcW w:w="180" w:type="dxa"/>
            <w:vAlign w:val="bottom"/>
            <w:tcBorders>
              <w:top w:val="single" w:sz="8" w:color="CCEEFF"/>
            </w:tcBorders>
            <w:shd w:val="clear" w:color="auto" w:fill="CCEEFF"/>
          </w:tcPr>
          <w:p>
            <w:pPr>
              <w:spacing w:after="0"/>
              <w:rPr>
                <w:sz w:val="12"/>
                <w:szCs w:val="12"/>
                <w:color w:val="auto"/>
              </w:rPr>
            </w:pPr>
          </w:p>
        </w:tc>
        <w:tc>
          <w:tcPr>
            <w:tcW w:w="48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3"/>
                <w:szCs w:val="13"/>
                <w:color w:val="auto"/>
                <w:w w:val="90"/>
              </w:rPr>
              <w:t>$ 26,341</w:t>
            </w:r>
          </w:p>
        </w:tc>
        <w:tc>
          <w:tcPr>
            <w:tcW w:w="18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54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3"/>
                <w:szCs w:val="13"/>
                <w:color w:val="auto"/>
              </w:rPr>
              <w:t>23,233</w:t>
            </w:r>
          </w:p>
        </w:tc>
        <w:tc>
          <w:tcPr>
            <w:tcW w:w="18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56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3"/>
                <w:szCs w:val="13"/>
                <w:color w:val="auto"/>
              </w:rPr>
              <w:t>16,812</w:t>
            </w:r>
          </w:p>
        </w:tc>
        <w:tc>
          <w:tcPr>
            <w:tcW w:w="300" w:type="dxa"/>
            <w:vAlign w:val="bottom"/>
            <w:tcBorders>
              <w:top w:val="single" w:sz="8" w:color="CCEEFF"/>
              <w:right w:val="single" w:sz="8" w:color="auto"/>
            </w:tcBorders>
            <w:shd w:val="clear" w:color="auto" w:fill="CCEEFF"/>
          </w:tcPr>
          <w:p>
            <w:pPr>
              <w:spacing w:after="0"/>
              <w:rPr>
                <w:sz w:val="12"/>
                <w:szCs w:val="12"/>
                <w:color w:val="auto"/>
              </w:rPr>
            </w:pPr>
          </w:p>
        </w:tc>
        <w:tc>
          <w:tcPr>
            <w:tcW w:w="200" w:type="dxa"/>
            <w:vAlign w:val="bottom"/>
            <w:tcBorders>
              <w:top w:val="single" w:sz="8" w:color="CCEEFF"/>
            </w:tcBorders>
            <w:shd w:val="clear" w:color="auto" w:fill="CCEEFF"/>
          </w:tcPr>
          <w:p>
            <w:pPr>
              <w:spacing w:after="0"/>
              <w:rPr>
                <w:sz w:val="12"/>
                <w:szCs w:val="12"/>
                <w:color w:val="auto"/>
              </w:rPr>
            </w:pPr>
          </w:p>
        </w:tc>
        <w:tc>
          <w:tcPr>
            <w:tcW w:w="38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3"/>
                <w:szCs w:val="13"/>
                <w:color w:val="auto"/>
                <w:w w:val="90"/>
              </w:rPr>
              <w:t>$3,829</w:t>
            </w:r>
          </w:p>
        </w:tc>
        <w:tc>
          <w:tcPr>
            <w:tcW w:w="10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44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3"/>
                <w:szCs w:val="13"/>
                <w:color w:val="auto"/>
                <w:w w:val="89"/>
              </w:rPr>
              <w:t>$22,631</w:t>
            </w:r>
          </w:p>
        </w:tc>
        <w:tc>
          <w:tcPr>
            <w:tcW w:w="140" w:type="dxa"/>
            <w:vAlign w:val="bottom"/>
            <w:tcBorders>
              <w:top w:val="single" w:sz="8" w:color="CCEEFF"/>
            </w:tcBorders>
            <w:shd w:val="clear" w:color="auto" w:fill="CCEEFF"/>
          </w:tcPr>
          <w:p>
            <w:pPr>
              <w:spacing w:after="0"/>
              <w:rPr>
                <w:sz w:val="12"/>
                <w:szCs w:val="12"/>
                <w:color w:val="auto"/>
              </w:rPr>
            </w:pPr>
          </w:p>
        </w:tc>
        <w:tc>
          <w:tcPr>
            <w:tcW w:w="48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3"/>
                <w:szCs w:val="13"/>
                <w:color w:val="auto"/>
                <w:w w:val="90"/>
              </w:rPr>
              <w:t>$ 18,998</w:t>
            </w:r>
          </w:p>
        </w:tc>
        <w:tc>
          <w:tcPr>
            <w:tcW w:w="40" w:type="dxa"/>
            <w:vAlign w:val="bottom"/>
            <w:tcBorders>
              <w:top w:val="single" w:sz="8" w:color="CCEEFF"/>
            </w:tcBorders>
            <w:shd w:val="clear" w:color="auto" w:fill="CCEEFF"/>
          </w:tcPr>
          <w:p>
            <w:pPr>
              <w:spacing w:after="0"/>
              <w:rPr>
                <w:sz w:val="12"/>
                <w:szCs w:val="12"/>
                <w:color w:val="auto"/>
              </w:rPr>
            </w:pPr>
          </w:p>
        </w:tc>
      </w:tr>
      <w:tr>
        <w:trPr>
          <w:trHeight w:val="148"/>
        </w:trPr>
        <w:tc>
          <w:tcPr>
            <w:tcW w:w="2920" w:type="dxa"/>
            <w:vAlign w:val="bottom"/>
          </w:tcPr>
          <w:p>
            <w:pPr>
              <w:spacing w:after="0"/>
              <w:rPr>
                <w:sz w:val="20"/>
                <w:szCs w:val="20"/>
                <w:color w:val="auto"/>
              </w:rPr>
            </w:pPr>
            <w:r>
              <w:rPr>
                <w:rFonts w:ascii="Arial" w:cs="Arial" w:eastAsia="Arial" w:hAnsi="Arial"/>
                <w:sz w:val="13"/>
                <w:szCs w:val="13"/>
                <w:color w:val="auto"/>
              </w:rPr>
              <w:t>Gross profit</w:t>
            </w:r>
          </w:p>
        </w:tc>
        <w:tc>
          <w:tcPr>
            <w:tcW w:w="580" w:type="dxa"/>
            <w:vAlign w:val="bottom"/>
            <w:gridSpan w:val="2"/>
          </w:tcPr>
          <w:p>
            <w:pPr>
              <w:jc w:val="right"/>
              <w:ind w:right="100"/>
              <w:spacing w:after="0"/>
              <w:rPr>
                <w:sz w:val="20"/>
                <w:szCs w:val="20"/>
                <w:color w:val="auto"/>
              </w:rPr>
            </w:pPr>
            <w:r>
              <w:rPr>
                <w:rFonts w:ascii="Arial" w:cs="Arial" w:eastAsia="Arial" w:hAnsi="Arial"/>
                <w:sz w:val="13"/>
                <w:szCs w:val="13"/>
                <w:color w:val="auto"/>
              </w:rPr>
              <w:t>29,952</w:t>
            </w:r>
          </w:p>
        </w:tc>
        <w:tc>
          <w:tcPr>
            <w:tcW w:w="560" w:type="dxa"/>
            <w:vAlign w:val="bottom"/>
            <w:gridSpan w:val="2"/>
          </w:tcPr>
          <w:p>
            <w:pPr>
              <w:jc w:val="right"/>
              <w:spacing w:after="0"/>
              <w:rPr>
                <w:sz w:val="20"/>
                <w:szCs w:val="20"/>
                <w:color w:val="auto"/>
              </w:rPr>
            </w:pPr>
            <w:r>
              <w:rPr>
                <w:rFonts w:ascii="Arial" w:cs="Arial" w:eastAsia="Arial" w:hAnsi="Arial"/>
                <w:sz w:val="13"/>
                <w:szCs w:val="13"/>
                <w:color w:val="auto"/>
              </w:rPr>
              <w:t>27,499</w:t>
            </w: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jc w:val="right"/>
              <w:spacing w:after="0"/>
              <w:rPr>
                <w:sz w:val="20"/>
                <w:szCs w:val="20"/>
                <w:color w:val="auto"/>
              </w:rPr>
            </w:pPr>
            <w:r>
              <w:rPr>
                <w:rFonts w:ascii="Arial" w:cs="Arial" w:eastAsia="Arial" w:hAnsi="Arial"/>
                <w:sz w:val="13"/>
                <w:szCs w:val="13"/>
                <w:color w:val="auto"/>
              </w:rPr>
              <w:t>25,344</w:t>
            </w: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jc w:val="right"/>
              <w:spacing w:after="0"/>
              <w:rPr>
                <w:sz w:val="20"/>
                <w:szCs w:val="20"/>
                <w:color w:val="auto"/>
              </w:rPr>
            </w:pPr>
            <w:r>
              <w:rPr>
                <w:rFonts w:ascii="Arial" w:cs="Arial" w:eastAsia="Arial" w:hAnsi="Arial"/>
                <w:sz w:val="13"/>
                <w:szCs w:val="13"/>
                <w:color w:val="auto"/>
              </w:rPr>
              <w:t>22,660</w:t>
            </w: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jc w:val="right"/>
              <w:spacing w:after="0"/>
              <w:rPr>
                <w:sz w:val="20"/>
                <w:szCs w:val="20"/>
                <w:color w:val="auto"/>
              </w:rPr>
            </w:pPr>
            <w:r>
              <w:rPr>
                <w:rFonts w:ascii="Arial" w:cs="Arial" w:eastAsia="Arial" w:hAnsi="Arial"/>
                <w:sz w:val="13"/>
                <w:szCs w:val="13"/>
                <w:color w:val="auto"/>
              </w:rPr>
              <w:t>20,939</w:t>
            </w:r>
          </w:p>
        </w:tc>
        <w:tc>
          <w:tcPr>
            <w:tcW w:w="180" w:type="dxa"/>
            <w:vAlign w:val="bottom"/>
          </w:tcPr>
          <w:p>
            <w:pPr>
              <w:spacing w:after="0"/>
              <w:rPr>
                <w:sz w:val="12"/>
                <w:szCs w:val="12"/>
                <w:color w:val="auto"/>
              </w:rPr>
            </w:pPr>
          </w:p>
        </w:tc>
        <w:tc>
          <w:tcPr>
            <w:tcW w:w="660" w:type="dxa"/>
            <w:vAlign w:val="bottom"/>
            <w:gridSpan w:val="2"/>
          </w:tcPr>
          <w:p>
            <w:pPr>
              <w:jc w:val="right"/>
              <w:ind w:right="180"/>
              <w:spacing w:after="0"/>
              <w:rPr>
                <w:sz w:val="20"/>
                <w:szCs w:val="20"/>
                <w:color w:val="auto"/>
              </w:rPr>
            </w:pPr>
            <w:r>
              <w:rPr>
                <w:rFonts w:ascii="Arial" w:cs="Arial" w:eastAsia="Arial" w:hAnsi="Arial"/>
                <w:sz w:val="13"/>
                <w:szCs w:val="13"/>
                <w:color w:val="auto"/>
              </w:rPr>
              <w:t>18,906</w:t>
            </w:r>
          </w:p>
        </w:tc>
        <w:tc>
          <w:tcPr>
            <w:tcW w:w="100" w:type="dxa"/>
            <w:vAlign w:val="bottom"/>
          </w:tcPr>
          <w:p>
            <w:pPr>
              <w:spacing w:after="0"/>
              <w:rPr>
                <w:sz w:val="12"/>
                <w:szCs w:val="12"/>
                <w:color w:val="auto"/>
              </w:rPr>
            </w:pPr>
          </w:p>
        </w:tc>
        <w:tc>
          <w:tcPr>
            <w:tcW w:w="720" w:type="dxa"/>
            <w:vAlign w:val="bottom"/>
            <w:gridSpan w:val="2"/>
          </w:tcPr>
          <w:p>
            <w:pPr>
              <w:jc w:val="right"/>
              <w:ind w:right="180"/>
              <w:spacing w:after="0"/>
              <w:rPr>
                <w:sz w:val="20"/>
                <w:szCs w:val="20"/>
                <w:color w:val="auto"/>
              </w:rPr>
            </w:pPr>
            <w:r>
              <w:rPr>
                <w:rFonts w:ascii="Arial" w:cs="Arial" w:eastAsia="Arial" w:hAnsi="Arial"/>
                <w:sz w:val="13"/>
                <w:szCs w:val="13"/>
                <w:color w:val="auto"/>
              </w:rPr>
              <w:t>15,796</w:t>
            </w:r>
          </w:p>
        </w:tc>
        <w:tc>
          <w:tcPr>
            <w:tcW w:w="100" w:type="dxa"/>
            <w:vAlign w:val="bottom"/>
          </w:tcPr>
          <w:p>
            <w:pPr>
              <w:spacing w:after="0"/>
              <w:rPr>
                <w:sz w:val="12"/>
                <w:szCs w:val="12"/>
                <w:color w:val="auto"/>
              </w:rPr>
            </w:pPr>
          </w:p>
        </w:tc>
        <w:tc>
          <w:tcPr>
            <w:tcW w:w="860" w:type="dxa"/>
            <w:vAlign w:val="bottom"/>
            <w:tcBorders>
              <w:right w:val="single" w:sz="8" w:color="auto"/>
            </w:tcBorders>
            <w:gridSpan w:val="2"/>
          </w:tcPr>
          <w:p>
            <w:pPr>
              <w:jc w:val="right"/>
              <w:ind w:right="300"/>
              <w:spacing w:after="0"/>
              <w:rPr>
                <w:sz w:val="20"/>
                <w:szCs w:val="20"/>
                <w:color w:val="auto"/>
              </w:rPr>
            </w:pPr>
            <w:r>
              <w:rPr>
                <w:rFonts w:ascii="Arial" w:cs="Arial" w:eastAsia="Arial" w:hAnsi="Arial"/>
                <w:sz w:val="13"/>
                <w:szCs w:val="13"/>
                <w:color w:val="auto"/>
              </w:rPr>
              <w:t>10,967</w:t>
            </w:r>
          </w:p>
        </w:tc>
        <w:tc>
          <w:tcPr>
            <w:tcW w:w="200" w:type="dxa"/>
            <w:vAlign w:val="bottom"/>
          </w:tcPr>
          <w:p>
            <w:pPr>
              <w:spacing w:after="0"/>
              <w:rPr>
                <w:sz w:val="12"/>
                <w:szCs w:val="12"/>
                <w:color w:val="auto"/>
              </w:rPr>
            </w:pPr>
          </w:p>
        </w:tc>
        <w:tc>
          <w:tcPr>
            <w:tcW w:w="480" w:type="dxa"/>
            <w:vAlign w:val="bottom"/>
            <w:gridSpan w:val="2"/>
          </w:tcPr>
          <w:p>
            <w:pPr>
              <w:jc w:val="right"/>
              <w:ind w:right="100"/>
              <w:spacing w:after="0"/>
              <w:rPr>
                <w:sz w:val="20"/>
                <w:szCs w:val="20"/>
                <w:color w:val="auto"/>
              </w:rPr>
            </w:pPr>
            <w:r>
              <w:rPr>
                <w:rFonts w:ascii="Arial" w:cs="Arial" w:eastAsia="Arial" w:hAnsi="Arial"/>
                <w:sz w:val="13"/>
                <w:szCs w:val="13"/>
                <w:color w:val="auto"/>
              </w:rPr>
              <w:t>3,297</w:t>
            </w:r>
          </w:p>
        </w:tc>
        <w:tc>
          <w:tcPr>
            <w:tcW w:w="660" w:type="dxa"/>
            <w:vAlign w:val="bottom"/>
            <w:gridSpan w:val="3"/>
          </w:tcPr>
          <w:p>
            <w:pPr>
              <w:jc w:val="right"/>
              <w:ind w:right="140"/>
              <w:spacing w:after="0"/>
              <w:rPr>
                <w:sz w:val="20"/>
                <w:szCs w:val="20"/>
                <w:color w:val="auto"/>
              </w:rPr>
            </w:pPr>
            <w:r>
              <w:rPr>
                <w:rFonts w:ascii="Arial" w:cs="Arial" w:eastAsia="Arial" w:hAnsi="Arial"/>
                <w:sz w:val="13"/>
                <w:szCs w:val="13"/>
                <w:color w:val="auto"/>
              </w:rPr>
              <w:t>20,177</w:t>
            </w:r>
          </w:p>
        </w:tc>
        <w:tc>
          <w:tcPr>
            <w:tcW w:w="480" w:type="dxa"/>
            <w:vAlign w:val="bottom"/>
          </w:tcPr>
          <w:p>
            <w:pPr>
              <w:jc w:val="right"/>
              <w:spacing w:after="0"/>
              <w:rPr>
                <w:sz w:val="20"/>
                <w:szCs w:val="20"/>
                <w:color w:val="auto"/>
              </w:rPr>
            </w:pPr>
            <w:r>
              <w:rPr>
                <w:rFonts w:ascii="Arial" w:cs="Arial" w:eastAsia="Arial" w:hAnsi="Arial"/>
                <w:sz w:val="13"/>
                <w:szCs w:val="13"/>
                <w:color w:val="auto"/>
              </w:rPr>
              <w:t>16,656</w:t>
            </w:r>
          </w:p>
        </w:tc>
        <w:tc>
          <w:tcPr>
            <w:tcW w:w="40" w:type="dxa"/>
            <w:vAlign w:val="bottom"/>
          </w:tcPr>
          <w:p>
            <w:pPr>
              <w:spacing w:after="0"/>
              <w:rPr>
                <w:sz w:val="12"/>
                <w:szCs w:val="12"/>
                <w:color w:val="auto"/>
              </w:rPr>
            </w:pPr>
          </w:p>
        </w:tc>
      </w:tr>
      <w:tr>
        <w:trPr>
          <w:trHeight w:val="149"/>
        </w:trPr>
        <w:tc>
          <w:tcPr>
            <w:tcW w:w="2920" w:type="dxa"/>
            <w:vAlign w:val="bottom"/>
            <w:shd w:val="clear" w:color="auto" w:fill="CCEEFF"/>
          </w:tcPr>
          <w:p>
            <w:pPr>
              <w:ind w:left="140"/>
              <w:spacing w:after="0"/>
              <w:rPr>
                <w:sz w:val="20"/>
                <w:szCs w:val="20"/>
                <w:color w:val="auto"/>
              </w:rPr>
            </w:pPr>
            <w:r>
              <w:rPr>
                <w:rFonts w:ascii="Arial" w:cs="Arial" w:eastAsia="Arial" w:hAnsi="Arial"/>
                <w:sz w:val="13"/>
                <w:szCs w:val="13"/>
                <w:color w:val="auto"/>
              </w:rPr>
              <w:t>(Loss) income from operations</w:t>
            </w:r>
          </w:p>
        </w:tc>
        <w:tc>
          <w:tcPr>
            <w:tcW w:w="580" w:type="dxa"/>
            <w:vAlign w:val="bottom"/>
            <w:gridSpan w:val="2"/>
            <w:shd w:val="clear" w:color="auto" w:fill="CCEEFF"/>
          </w:tcPr>
          <w:p>
            <w:pPr>
              <w:jc w:val="right"/>
              <w:ind w:right="60"/>
              <w:spacing w:after="0"/>
              <w:rPr>
                <w:sz w:val="20"/>
                <w:szCs w:val="20"/>
                <w:color w:val="auto"/>
              </w:rPr>
            </w:pPr>
            <w:r>
              <w:rPr>
                <w:rFonts w:ascii="Arial" w:cs="Arial" w:eastAsia="Arial" w:hAnsi="Arial"/>
                <w:sz w:val="13"/>
                <w:szCs w:val="13"/>
                <w:color w:val="auto"/>
              </w:rPr>
              <w:t>(6,623)</w:t>
            </w:r>
          </w:p>
        </w:tc>
        <w:tc>
          <w:tcPr>
            <w:tcW w:w="740" w:type="dxa"/>
            <w:vAlign w:val="bottom"/>
            <w:gridSpan w:val="3"/>
            <w:shd w:val="clear" w:color="auto" w:fill="CCEEFF"/>
          </w:tcPr>
          <w:p>
            <w:pPr>
              <w:jc w:val="right"/>
              <w:ind w:right="140"/>
              <w:spacing w:after="0"/>
              <w:rPr>
                <w:sz w:val="20"/>
                <w:szCs w:val="20"/>
                <w:color w:val="auto"/>
              </w:rPr>
            </w:pPr>
            <w:r>
              <w:rPr>
                <w:rFonts w:ascii="Arial" w:cs="Arial" w:eastAsia="Arial" w:hAnsi="Arial"/>
                <w:sz w:val="13"/>
                <w:szCs w:val="13"/>
                <w:color w:val="auto"/>
              </w:rPr>
              <w:t>(2,158)</w:t>
            </w:r>
          </w:p>
        </w:tc>
        <w:tc>
          <w:tcPr>
            <w:tcW w:w="10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(6,952)</w:t>
            </w:r>
          </w:p>
        </w:tc>
        <w:tc>
          <w:tcPr>
            <w:tcW w:w="12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(940)</w:t>
            </w:r>
          </w:p>
        </w:tc>
        <w:tc>
          <w:tcPr>
            <w:tcW w:w="10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(2,170)</w:t>
            </w:r>
          </w:p>
        </w:tc>
        <w:tc>
          <w:tcPr>
            <w:tcW w:w="66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(4,383)</w:t>
            </w:r>
          </w:p>
        </w:tc>
        <w:tc>
          <w:tcPr>
            <w:tcW w:w="10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(8,586)</w:t>
            </w:r>
          </w:p>
        </w:tc>
        <w:tc>
          <w:tcPr>
            <w:tcW w:w="100" w:type="dxa"/>
            <w:vAlign w:val="bottom"/>
            <w:shd w:val="clear" w:color="auto" w:fill="CCEEFF"/>
          </w:tcPr>
          <w:p>
            <w:pPr>
              <w:spacing w:after="0"/>
              <w:rPr>
                <w:sz w:val="12"/>
                <w:szCs w:val="12"/>
                <w:color w:val="auto"/>
              </w:rPr>
            </w:pPr>
          </w:p>
        </w:tc>
        <w:tc>
          <w:tcPr>
            <w:tcW w:w="860" w:type="dxa"/>
            <w:vAlign w:val="bottom"/>
            <w:tcBorders>
              <w:right w:val="single" w:sz="8" w:color="auto"/>
            </w:tcBorders>
            <w:gridSpan w:val="2"/>
            <w:shd w:val="clear" w:color="auto" w:fill="CCEEFF"/>
          </w:tcPr>
          <w:p>
            <w:pPr>
              <w:jc w:val="right"/>
              <w:ind w:right="260"/>
              <w:spacing w:after="0"/>
              <w:rPr>
                <w:sz w:val="20"/>
                <w:szCs w:val="20"/>
                <w:color w:val="auto"/>
              </w:rPr>
            </w:pPr>
            <w:r>
              <w:rPr>
                <w:rFonts w:ascii="Arial" w:cs="Arial" w:eastAsia="Arial" w:hAnsi="Arial"/>
                <w:sz w:val="13"/>
                <w:szCs w:val="13"/>
                <w:color w:val="auto"/>
              </w:rPr>
              <w:t>(22,476)</w:t>
            </w:r>
          </w:p>
        </w:tc>
        <w:tc>
          <w:tcPr>
            <w:tcW w:w="200" w:type="dxa"/>
            <w:vAlign w:val="bottom"/>
            <w:shd w:val="clear" w:color="auto" w:fill="CCEEFF"/>
          </w:tcPr>
          <w:p>
            <w:pPr>
              <w:spacing w:after="0"/>
              <w:rPr>
                <w:sz w:val="12"/>
                <w:szCs w:val="12"/>
                <w:color w:val="auto"/>
              </w:rPr>
            </w:pPr>
          </w:p>
        </w:tc>
        <w:tc>
          <w:tcPr>
            <w:tcW w:w="480" w:type="dxa"/>
            <w:vAlign w:val="bottom"/>
            <w:gridSpan w:val="2"/>
            <w:shd w:val="clear" w:color="auto" w:fill="CCEEFF"/>
          </w:tcPr>
          <w:p>
            <w:pPr>
              <w:jc w:val="right"/>
              <w:ind w:right="60"/>
              <w:spacing w:after="0"/>
              <w:rPr>
                <w:sz w:val="20"/>
                <w:szCs w:val="20"/>
                <w:color w:val="auto"/>
              </w:rPr>
            </w:pPr>
            <w:r>
              <w:rPr>
                <w:rFonts w:ascii="Arial" w:cs="Arial" w:eastAsia="Arial" w:hAnsi="Arial"/>
                <w:sz w:val="13"/>
                <w:szCs w:val="13"/>
                <w:color w:val="auto"/>
              </w:rPr>
              <w:t>(647)</w:t>
            </w:r>
          </w:p>
        </w:tc>
        <w:tc>
          <w:tcPr>
            <w:tcW w:w="660" w:type="dxa"/>
            <w:vAlign w:val="bottom"/>
            <w:gridSpan w:val="3"/>
            <w:shd w:val="clear" w:color="auto" w:fill="CCEEFF"/>
          </w:tcPr>
          <w:p>
            <w:pPr>
              <w:jc w:val="right"/>
              <w:ind w:right="140"/>
              <w:spacing w:after="0"/>
              <w:rPr>
                <w:sz w:val="20"/>
                <w:szCs w:val="20"/>
                <w:color w:val="auto"/>
              </w:rPr>
            </w:pPr>
            <w:r>
              <w:rPr>
                <w:rFonts w:ascii="Arial" w:cs="Arial" w:eastAsia="Arial" w:hAnsi="Arial"/>
                <w:sz w:val="13"/>
                <w:szCs w:val="13"/>
                <w:color w:val="auto"/>
              </w:rPr>
              <w:t>8,022</w:t>
            </w:r>
          </w:p>
        </w:tc>
        <w:tc>
          <w:tcPr>
            <w:tcW w:w="4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5,658</w:t>
            </w:r>
          </w:p>
        </w:tc>
        <w:tc>
          <w:tcPr>
            <w:tcW w:w="40" w:type="dxa"/>
            <w:vAlign w:val="bottom"/>
            <w:shd w:val="clear" w:color="auto" w:fill="CCEEFF"/>
          </w:tcPr>
          <w:p>
            <w:pPr>
              <w:spacing w:after="0"/>
              <w:rPr>
                <w:sz w:val="12"/>
                <w:szCs w:val="12"/>
                <w:color w:val="auto"/>
              </w:rPr>
            </w:pPr>
          </w:p>
        </w:tc>
      </w:tr>
      <w:tr>
        <w:trPr>
          <w:trHeight w:val="148"/>
        </w:trPr>
        <w:tc>
          <w:tcPr>
            <w:tcW w:w="2920" w:type="dxa"/>
            <w:vAlign w:val="bottom"/>
          </w:tcPr>
          <w:p>
            <w:pPr>
              <w:spacing w:after="0"/>
              <w:rPr>
                <w:sz w:val="20"/>
                <w:szCs w:val="20"/>
                <w:color w:val="auto"/>
              </w:rPr>
            </w:pPr>
            <w:r>
              <w:rPr>
                <w:rFonts w:ascii="Arial" w:cs="Arial" w:eastAsia="Arial" w:hAnsi="Arial"/>
                <w:sz w:val="13"/>
                <w:szCs w:val="13"/>
                <w:color w:val="auto"/>
              </w:rPr>
              <w:t>Net (loss) income</w:t>
            </w:r>
          </w:p>
        </w:tc>
        <w:tc>
          <w:tcPr>
            <w:tcW w:w="580" w:type="dxa"/>
            <w:vAlign w:val="bottom"/>
            <w:gridSpan w:val="2"/>
          </w:tcPr>
          <w:p>
            <w:pPr>
              <w:jc w:val="right"/>
              <w:ind w:right="60"/>
              <w:spacing w:after="0"/>
              <w:rPr>
                <w:sz w:val="20"/>
                <w:szCs w:val="20"/>
                <w:color w:val="auto"/>
              </w:rPr>
            </w:pPr>
            <w:r>
              <w:rPr>
                <w:rFonts w:ascii="Arial" w:cs="Arial" w:eastAsia="Arial" w:hAnsi="Arial"/>
                <w:sz w:val="13"/>
                <w:szCs w:val="13"/>
                <w:color w:val="auto"/>
              </w:rPr>
              <w:t>(15,039)</w:t>
            </w:r>
          </w:p>
        </w:tc>
        <w:tc>
          <w:tcPr>
            <w:tcW w:w="740" w:type="dxa"/>
            <w:vAlign w:val="bottom"/>
            <w:gridSpan w:val="3"/>
          </w:tcPr>
          <w:p>
            <w:pPr>
              <w:jc w:val="right"/>
              <w:ind w:right="140"/>
              <w:spacing w:after="0"/>
              <w:rPr>
                <w:sz w:val="20"/>
                <w:szCs w:val="20"/>
                <w:color w:val="auto"/>
              </w:rPr>
            </w:pPr>
            <w:r>
              <w:rPr>
                <w:rFonts w:ascii="Arial" w:cs="Arial" w:eastAsia="Arial" w:hAnsi="Arial"/>
                <w:sz w:val="13"/>
                <w:szCs w:val="13"/>
                <w:color w:val="auto"/>
              </w:rPr>
              <w:t>(10,488)</w:t>
            </w:r>
          </w:p>
        </w:tc>
        <w:tc>
          <w:tcPr>
            <w:tcW w:w="100" w:type="dxa"/>
            <w:vAlign w:val="bottom"/>
          </w:tcPr>
          <w:p>
            <w:pPr>
              <w:spacing w:after="0"/>
              <w:rPr>
                <w:sz w:val="12"/>
                <w:szCs w:val="12"/>
                <w:color w:val="auto"/>
              </w:rPr>
            </w:pPr>
          </w:p>
        </w:tc>
        <w:tc>
          <w:tcPr>
            <w:tcW w:w="700" w:type="dxa"/>
            <w:vAlign w:val="bottom"/>
            <w:gridSpan w:val="2"/>
          </w:tcPr>
          <w:p>
            <w:pPr>
              <w:jc w:val="right"/>
              <w:ind w:right="120"/>
              <w:spacing w:after="0"/>
              <w:rPr>
                <w:sz w:val="20"/>
                <w:szCs w:val="20"/>
                <w:color w:val="auto"/>
              </w:rPr>
            </w:pPr>
            <w:r>
              <w:rPr>
                <w:rFonts w:ascii="Arial" w:cs="Arial" w:eastAsia="Arial" w:hAnsi="Arial"/>
                <w:sz w:val="13"/>
                <w:szCs w:val="13"/>
                <w:color w:val="auto"/>
              </w:rPr>
              <w:t>(15,862)</w:t>
            </w:r>
          </w:p>
        </w:tc>
        <w:tc>
          <w:tcPr>
            <w:tcW w:w="120" w:type="dxa"/>
            <w:vAlign w:val="bottom"/>
          </w:tcPr>
          <w:p>
            <w:pPr>
              <w:spacing w:after="0"/>
              <w:rPr>
                <w:sz w:val="12"/>
                <w:szCs w:val="12"/>
                <w:color w:val="auto"/>
              </w:rPr>
            </w:pPr>
          </w:p>
        </w:tc>
        <w:tc>
          <w:tcPr>
            <w:tcW w:w="720" w:type="dxa"/>
            <w:vAlign w:val="bottom"/>
            <w:gridSpan w:val="2"/>
          </w:tcPr>
          <w:p>
            <w:pPr>
              <w:jc w:val="right"/>
              <w:ind w:right="120"/>
              <w:spacing w:after="0"/>
              <w:rPr>
                <w:sz w:val="20"/>
                <w:szCs w:val="20"/>
                <w:color w:val="auto"/>
              </w:rPr>
            </w:pPr>
            <w:r>
              <w:rPr>
                <w:rFonts w:ascii="Arial" w:cs="Arial" w:eastAsia="Arial" w:hAnsi="Arial"/>
                <w:sz w:val="13"/>
                <w:szCs w:val="13"/>
                <w:color w:val="auto"/>
              </w:rPr>
              <w:t>(9,962)</w:t>
            </w:r>
          </w:p>
        </w:tc>
        <w:tc>
          <w:tcPr>
            <w:tcW w:w="100" w:type="dxa"/>
            <w:vAlign w:val="bottom"/>
          </w:tcPr>
          <w:p>
            <w:pPr>
              <w:spacing w:after="0"/>
              <w:rPr>
                <w:sz w:val="12"/>
                <w:szCs w:val="12"/>
                <w:color w:val="auto"/>
              </w:rPr>
            </w:pPr>
          </w:p>
        </w:tc>
        <w:tc>
          <w:tcPr>
            <w:tcW w:w="740" w:type="dxa"/>
            <w:vAlign w:val="bottom"/>
            <w:gridSpan w:val="2"/>
          </w:tcPr>
          <w:p>
            <w:pPr>
              <w:jc w:val="right"/>
              <w:ind w:right="140"/>
              <w:spacing w:after="0"/>
              <w:rPr>
                <w:sz w:val="20"/>
                <w:szCs w:val="20"/>
                <w:color w:val="auto"/>
              </w:rPr>
            </w:pPr>
            <w:r>
              <w:rPr>
                <w:rFonts w:ascii="Arial" w:cs="Arial" w:eastAsia="Arial" w:hAnsi="Arial"/>
                <w:sz w:val="13"/>
                <w:szCs w:val="13"/>
                <w:color w:val="auto"/>
              </w:rPr>
              <w:t>(11,498)</w:t>
            </w:r>
          </w:p>
        </w:tc>
        <w:tc>
          <w:tcPr>
            <w:tcW w:w="660" w:type="dxa"/>
            <w:vAlign w:val="bottom"/>
            <w:gridSpan w:val="2"/>
          </w:tcPr>
          <w:p>
            <w:pPr>
              <w:jc w:val="right"/>
              <w:ind w:right="120"/>
              <w:spacing w:after="0"/>
              <w:rPr>
                <w:sz w:val="20"/>
                <w:szCs w:val="20"/>
                <w:color w:val="auto"/>
              </w:rPr>
            </w:pPr>
            <w:r>
              <w:rPr>
                <w:rFonts w:ascii="Arial" w:cs="Arial" w:eastAsia="Arial" w:hAnsi="Arial"/>
                <w:sz w:val="13"/>
                <w:szCs w:val="13"/>
                <w:color w:val="auto"/>
              </w:rPr>
              <w:t>(13,835)</w:t>
            </w:r>
          </w:p>
        </w:tc>
        <w:tc>
          <w:tcPr>
            <w:tcW w:w="100" w:type="dxa"/>
            <w:vAlign w:val="bottom"/>
          </w:tcPr>
          <w:p>
            <w:pPr>
              <w:spacing w:after="0"/>
              <w:rPr>
                <w:sz w:val="12"/>
                <w:szCs w:val="12"/>
                <w:color w:val="auto"/>
              </w:rPr>
            </w:pPr>
          </w:p>
        </w:tc>
        <w:tc>
          <w:tcPr>
            <w:tcW w:w="720" w:type="dxa"/>
            <w:vAlign w:val="bottom"/>
            <w:gridSpan w:val="2"/>
          </w:tcPr>
          <w:p>
            <w:pPr>
              <w:jc w:val="right"/>
              <w:ind w:right="140"/>
              <w:spacing w:after="0"/>
              <w:rPr>
                <w:sz w:val="20"/>
                <w:szCs w:val="20"/>
                <w:color w:val="auto"/>
              </w:rPr>
            </w:pPr>
            <w:r>
              <w:rPr>
                <w:rFonts w:ascii="Arial" w:cs="Arial" w:eastAsia="Arial" w:hAnsi="Arial"/>
                <w:sz w:val="13"/>
                <w:szCs w:val="13"/>
                <w:color w:val="auto"/>
              </w:rPr>
              <w:t>(18,480)</w:t>
            </w:r>
          </w:p>
        </w:tc>
        <w:tc>
          <w:tcPr>
            <w:tcW w:w="100" w:type="dxa"/>
            <w:vAlign w:val="bottom"/>
          </w:tcPr>
          <w:p>
            <w:pPr>
              <w:spacing w:after="0"/>
              <w:rPr>
                <w:sz w:val="12"/>
                <w:szCs w:val="12"/>
                <w:color w:val="auto"/>
              </w:rPr>
            </w:pPr>
          </w:p>
        </w:tc>
        <w:tc>
          <w:tcPr>
            <w:tcW w:w="860" w:type="dxa"/>
            <w:vAlign w:val="bottom"/>
            <w:tcBorders>
              <w:right w:val="single" w:sz="8" w:color="auto"/>
            </w:tcBorders>
            <w:gridSpan w:val="2"/>
          </w:tcPr>
          <w:p>
            <w:pPr>
              <w:jc w:val="right"/>
              <w:ind w:right="260"/>
              <w:spacing w:after="0"/>
              <w:rPr>
                <w:sz w:val="20"/>
                <w:szCs w:val="20"/>
                <w:color w:val="auto"/>
              </w:rPr>
            </w:pPr>
            <w:r>
              <w:rPr>
                <w:rFonts w:ascii="Arial" w:cs="Arial" w:eastAsia="Arial" w:hAnsi="Arial"/>
                <w:sz w:val="13"/>
                <w:szCs w:val="13"/>
                <w:color w:val="auto"/>
              </w:rPr>
              <w:t>(30,786)</w:t>
            </w:r>
          </w:p>
        </w:tc>
        <w:tc>
          <w:tcPr>
            <w:tcW w:w="200" w:type="dxa"/>
            <w:vAlign w:val="bottom"/>
          </w:tcPr>
          <w:p>
            <w:pPr>
              <w:spacing w:after="0"/>
              <w:rPr>
                <w:sz w:val="12"/>
                <w:szCs w:val="12"/>
                <w:color w:val="auto"/>
              </w:rPr>
            </w:pPr>
          </w:p>
        </w:tc>
        <w:tc>
          <w:tcPr>
            <w:tcW w:w="480" w:type="dxa"/>
            <w:vAlign w:val="bottom"/>
            <w:gridSpan w:val="2"/>
          </w:tcPr>
          <w:p>
            <w:pPr>
              <w:jc w:val="right"/>
              <w:ind w:right="60"/>
              <w:spacing w:after="0"/>
              <w:rPr>
                <w:sz w:val="20"/>
                <w:szCs w:val="20"/>
                <w:color w:val="auto"/>
              </w:rPr>
            </w:pPr>
            <w:r>
              <w:rPr>
                <w:rFonts w:ascii="Arial" w:cs="Arial" w:eastAsia="Arial" w:hAnsi="Arial"/>
                <w:sz w:val="13"/>
                <w:szCs w:val="13"/>
                <w:color w:val="auto"/>
              </w:rPr>
              <w:t>(639)</w:t>
            </w:r>
          </w:p>
        </w:tc>
        <w:tc>
          <w:tcPr>
            <w:tcW w:w="660" w:type="dxa"/>
            <w:vAlign w:val="bottom"/>
            <w:gridSpan w:val="3"/>
          </w:tcPr>
          <w:p>
            <w:pPr>
              <w:jc w:val="right"/>
              <w:ind w:right="140"/>
              <w:spacing w:after="0"/>
              <w:rPr>
                <w:sz w:val="20"/>
                <w:szCs w:val="20"/>
                <w:color w:val="auto"/>
              </w:rPr>
            </w:pPr>
            <w:r>
              <w:rPr>
                <w:rFonts w:ascii="Arial" w:cs="Arial" w:eastAsia="Arial" w:hAnsi="Arial"/>
                <w:sz w:val="13"/>
                <w:szCs w:val="13"/>
                <w:color w:val="auto"/>
              </w:rPr>
              <w:t>7,964</w:t>
            </w:r>
          </w:p>
        </w:tc>
        <w:tc>
          <w:tcPr>
            <w:tcW w:w="480" w:type="dxa"/>
            <w:vAlign w:val="bottom"/>
          </w:tcPr>
          <w:p>
            <w:pPr>
              <w:jc w:val="right"/>
              <w:spacing w:after="0"/>
              <w:rPr>
                <w:sz w:val="20"/>
                <w:szCs w:val="20"/>
                <w:color w:val="auto"/>
              </w:rPr>
            </w:pPr>
            <w:r>
              <w:rPr>
                <w:rFonts w:ascii="Arial" w:cs="Arial" w:eastAsia="Arial" w:hAnsi="Arial"/>
                <w:sz w:val="13"/>
                <w:szCs w:val="13"/>
                <w:color w:val="auto"/>
              </w:rPr>
              <w:t>5,543</w:t>
            </w:r>
          </w:p>
        </w:tc>
        <w:tc>
          <w:tcPr>
            <w:tcW w:w="40" w:type="dxa"/>
            <w:vAlign w:val="bottom"/>
          </w:tcPr>
          <w:p>
            <w:pPr>
              <w:spacing w:after="0"/>
              <w:rPr>
                <w:sz w:val="12"/>
                <w:szCs w:val="1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85725</wp:posOffset>
            </wp:positionV>
            <wp:extent cx="771525" cy="825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55" w:lineRule="exact"/>
        <w:rPr>
          <w:sz w:val="20"/>
          <w:szCs w:val="20"/>
          <w:color w:val="auto"/>
        </w:rPr>
      </w:pPr>
    </w:p>
    <w:p>
      <w:pPr>
        <w:ind w:left="540" w:right="260" w:hanging="424"/>
        <w:spacing w:after="0" w:line="271" w:lineRule="auto"/>
        <w:tabs>
          <w:tab w:leader="none" w:pos="540" w:val="left"/>
        </w:tabs>
        <w:numPr>
          <w:ilvl w:val="0"/>
          <w:numId w:val="82"/>
        </w:numPr>
        <w:rPr>
          <w:rFonts w:ascii="Arial" w:cs="Arial" w:eastAsia="Arial" w:hAnsi="Arial"/>
          <w:sz w:val="17"/>
          <w:szCs w:val="17"/>
          <w:color w:val="auto"/>
        </w:rPr>
      </w:pPr>
      <w:r>
        <w:rPr>
          <w:rFonts w:ascii="Arial" w:cs="Arial" w:eastAsia="Arial" w:hAnsi="Arial"/>
          <w:sz w:val="17"/>
          <w:szCs w:val="17"/>
          <w:color w:val="auto"/>
        </w:rPr>
        <w:t>The Company completed the purchase of all of the outstanding shares of Monocl in December 2020 for a total estimated consideration of $46.3 million and up to $60.0 million, consisting of approximately $18.3 million of cash payable at closing, $25.4 million of rollover equity of the Company indirectly through an affiliate, AIDH Management Holdings, LLC, and up to $15.0 million of contingent consideration.</w:t>
      </w:r>
    </w:p>
    <w:p>
      <w:pPr>
        <w:ind w:left="540" w:right="600" w:hanging="424"/>
        <w:spacing w:after="0" w:line="250" w:lineRule="auto"/>
        <w:tabs>
          <w:tab w:leader="none" w:pos="540" w:val="left"/>
        </w:tabs>
        <w:numPr>
          <w:ilvl w:val="0"/>
          <w:numId w:val="82"/>
        </w:numPr>
        <w:rPr>
          <w:rFonts w:ascii="Arial" w:cs="Arial" w:eastAsia="Arial" w:hAnsi="Arial"/>
          <w:sz w:val="18"/>
          <w:szCs w:val="18"/>
          <w:color w:val="auto"/>
        </w:rPr>
      </w:pPr>
      <w:r>
        <w:rPr>
          <w:rFonts w:ascii="Arial" w:cs="Arial" w:eastAsia="Arial" w:hAnsi="Arial"/>
          <w:sz w:val="18"/>
          <w:szCs w:val="18"/>
          <w:color w:val="auto"/>
        </w:rPr>
        <w:t>The Company acquired 100% of the issued and outstanding common and preferred stock of HSE for a total purchase price of $6.8 million, consisting of $2.8 million of cash and $4.0 million of equity issued.</w:t>
      </w:r>
    </w:p>
    <w:p>
      <w:pPr>
        <w:ind w:left="540" w:right="140" w:hanging="424"/>
        <w:spacing w:after="0" w:line="265" w:lineRule="auto"/>
        <w:tabs>
          <w:tab w:leader="none" w:pos="540" w:val="left"/>
        </w:tabs>
        <w:numPr>
          <w:ilvl w:val="0"/>
          <w:numId w:val="82"/>
        </w:numPr>
        <w:rPr>
          <w:rFonts w:ascii="Arial" w:cs="Arial" w:eastAsia="Arial" w:hAnsi="Arial"/>
          <w:sz w:val="17"/>
          <w:szCs w:val="17"/>
          <w:color w:val="auto"/>
        </w:rPr>
      </w:pPr>
      <w:r>
        <w:rPr>
          <w:rFonts w:ascii="Arial" w:cs="Arial" w:eastAsia="Arial" w:hAnsi="Arial"/>
          <w:sz w:val="17"/>
          <w:szCs w:val="17"/>
          <w:color w:val="auto"/>
        </w:rPr>
        <w:t>On July 16, 2019, Advent acquired 100% of the issued and outstanding units of the Company, for a total consideration of $1,699.6 million, consisting of $1,129.3 million of cash and $570.3 million of equity units issued to the sellers and former owners. As a result, our interest expense increased substantially and is reflected in our Successor periods consolidated financial statements. Accordingly, the consolidated financial statements for the period prior to the acquisition may not be comparable to those from the periods after.</w:t>
      </w:r>
    </w:p>
    <w:p>
      <w:pPr>
        <w:ind w:left="540" w:right="360" w:hanging="424"/>
        <w:spacing w:after="0" w:line="260" w:lineRule="auto"/>
        <w:tabs>
          <w:tab w:leader="none" w:pos="540" w:val="left"/>
        </w:tabs>
        <w:numPr>
          <w:ilvl w:val="0"/>
          <w:numId w:val="82"/>
        </w:numPr>
        <w:rPr>
          <w:rFonts w:ascii="Arial" w:cs="Arial" w:eastAsia="Arial" w:hAnsi="Arial"/>
          <w:sz w:val="18"/>
          <w:szCs w:val="18"/>
          <w:color w:val="auto"/>
        </w:rPr>
      </w:pPr>
      <w:r>
        <w:rPr>
          <w:rFonts w:ascii="Arial" w:cs="Arial" w:eastAsia="Arial" w:hAnsi="Arial"/>
          <w:sz w:val="18"/>
          <w:szCs w:val="18"/>
          <w:color w:val="auto"/>
        </w:rPr>
        <w:t>The Predecessor Company acquired substantially all of the assets and assumed substantially all of the liabilities of HIMSS for a total purchase price of $29.8 million.</w:t>
      </w:r>
    </w:p>
    <w:p>
      <w:pPr>
        <w:spacing w:after="0" w:line="118"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92</w:t>
      </w:r>
    </w:p>
    <w:p>
      <w:pPr>
        <w:sectPr>
          <w:pgSz w:w="11900" w:h="16838" w:orient="portrait"/>
          <w:cols w:equalWidth="0" w:num="1">
            <w:col w:w="11140"/>
          </w:cols>
          <w:pgMar w:left="320" w:top="459" w:right="439" w:bottom="1440" w:gutter="0" w:footer="0" w:header="0"/>
        </w:sectPr>
      </w:pPr>
    </w:p>
    <w:bookmarkStart w:id="99" w:name="page100"/>
    <w:bookmarkEnd w:id="9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Confidential Treatment Requested by Definitive Healthcare Corp.</w:t>
      </w:r>
    </w:p>
    <w:p>
      <w:pPr>
        <w:spacing w:after="0" w:line="27"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Pursuant to 17 C.F.R. Section 200.83</w:t>
      </w:r>
    </w:p>
    <w:p>
      <w:pPr>
        <w:spacing w:after="0" w:line="143"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Adjusted Gross Profit</w:t>
      </w:r>
    </w:p>
    <w:p>
      <w:pPr>
        <w:spacing w:after="0" w:line="253" w:lineRule="exact"/>
        <w:rPr>
          <w:sz w:val="20"/>
          <w:szCs w:val="20"/>
          <w:color w:val="auto"/>
        </w:rPr>
      </w:pPr>
    </w:p>
    <w:tbl>
      <w:tblPr>
        <w:tblLayout w:type="fixed"/>
        <w:tblInd w:w="120" w:type="dxa"/>
        <w:tblCellMar>
          <w:top w:w="0" w:type="dxa"/>
          <w:left w:w="0" w:type="dxa"/>
          <w:bottom w:w="0" w:type="dxa"/>
          <w:right w:w="0" w:type="dxa"/>
        </w:tblCellMar>
      </w:tblPr>
      <w:tr>
        <w:trPr>
          <w:trHeight w:val="135"/>
        </w:trPr>
        <w:tc>
          <w:tcPr>
            <w:tcW w:w="74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40" w:type="dxa"/>
            <w:vAlign w:val="bottom"/>
            <w:tcBorders>
              <w:bottom w:val="single" w:sz="8" w:color="auto"/>
            </w:tcBorders>
          </w:tcPr>
          <w:p>
            <w:pPr>
              <w:spacing w:after="0"/>
              <w:rPr>
                <w:sz w:val="11"/>
                <w:szCs w:val="11"/>
                <w:color w:val="auto"/>
              </w:rPr>
            </w:pPr>
          </w:p>
        </w:tc>
        <w:tc>
          <w:tcPr>
            <w:tcW w:w="280" w:type="dxa"/>
            <w:vAlign w:val="bottom"/>
            <w:tcBorders>
              <w:bottom w:val="single" w:sz="8" w:color="auto"/>
            </w:tcBorders>
          </w:tcPr>
          <w:p>
            <w:pPr>
              <w:spacing w:after="0"/>
              <w:rPr>
                <w:sz w:val="11"/>
                <w:szCs w:val="11"/>
                <w:color w:val="auto"/>
              </w:rPr>
            </w:pPr>
          </w:p>
        </w:tc>
        <w:tc>
          <w:tcPr>
            <w:tcW w:w="460" w:type="dxa"/>
            <w:vAlign w:val="bottom"/>
            <w:tcBorders>
              <w:bottom w:val="single" w:sz="8" w:color="auto"/>
            </w:tcBorders>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40" w:type="dxa"/>
            <w:vAlign w:val="bottom"/>
            <w:tcBorders>
              <w:bottom w:val="single" w:sz="8" w:color="auto"/>
            </w:tcBorders>
          </w:tcPr>
          <w:p>
            <w:pPr>
              <w:spacing w:after="0"/>
              <w:rPr>
                <w:sz w:val="11"/>
                <w:szCs w:val="11"/>
                <w:color w:val="auto"/>
              </w:rPr>
            </w:pPr>
          </w:p>
        </w:tc>
        <w:tc>
          <w:tcPr>
            <w:tcW w:w="26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1540" w:type="dxa"/>
            <w:vAlign w:val="bottom"/>
            <w:tcBorders>
              <w:bottom w:val="single" w:sz="8" w:color="auto"/>
            </w:tcBorders>
            <w:gridSpan w:val="5"/>
          </w:tcPr>
          <w:p>
            <w:pPr>
              <w:jc w:val="right"/>
              <w:ind w:right="640"/>
              <w:spacing w:after="0"/>
              <w:rPr>
                <w:sz w:val="20"/>
                <w:szCs w:val="20"/>
                <w:color w:val="auto"/>
              </w:rPr>
            </w:pPr>
            <w:r>
              <w:rPr>
                <w:rFonts w:ascii="Arial" w:cs="Arial" w:eastAsia="Arial" w:hAnsi="Arial"/>
                <w:sz w:val="11"/>
                <w:szCs w:val="11"/>
                <w:b w:val="1"/>
                <w:bCs w:val="1"/>
                <w:color w:val="auto"/>
              </w:rPr>
              <w:t>Successor</w:t>
            </w:r>
          </w:p>
        </w:tc>
        <w:tc>
          <w:tcPr>
            <w:tcW w:w="460" w:type="dxa"/>
            <w:vAlign w:val="bottom"/>
            <w:tcBorders>
              <w:bottom w:val="single" w:sz="8" w:color="auto"/>
            </w:tcBorders>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20" w:type="dxa"/>
            <w:vAlign w:val="bottom"/>
            <w:tcBorders>
              <w:bottom w:val="single" w:sz="8" w:color="auto"/>
            </w:tcBorders>
          </w:tcPr>
          <w:p>
            <w:pPr>
              <w:spacing w:after="0"/>
              <w:rPr>
                <w:sz w:val="11"/>
                <w:szCs w:val="11"/>
                <w:color w:val="auto"/>
              </w:rPr>
            </w:pPr>
          </w:p>
        </w:tc>
        <w:tc>
          <w:tcPr>
            <w:tcW w:w="28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540" w:type="dxa"/>
            <w:vAlign w:val="bottom"/>
            <w:tcBorders>
              <w:bottom w:val="single" w:sz="8" w:color="auto"/>
            </w:tcBorders>
          </w:tcPr>
          <w:p>
            <w:pPr>
              <w:spacing w:after="0"/>
              <w:rPr>
                <w:sz w:val="11"/>
                <w:szCs w:val="11"/>
                <w:color w:val="auto"/>
              </w:rPr>
            </w:pPr>
          </w:p>
        </w:tc>
        <w:tc>
          <w:tcPr>
            <w:tcW w:w="260" w:type="dxa"/>
            <w:vAlign w:val="bottom"/>
          </w:tcPr>
          <w:p>
            <w:pPr>
              <w:spacing w:after="0"/>
              <w:rPr>
                <w:sz w:val="11"/>
                <w:szCs w:val="11"/>
                <w:color w:val="auto"/>
              </w:rPr>
            </w:pPr>
          </w:p>
        </w:tc>
        <w:tc>
          <w:tcPr>
            <w:tcW w:w="120" w:type="dxa"/>
            <w:vAlign w:val="bottom"/>
            <w:tcBorders>
              <w:right w:val="single" w:sz="8" w:color="auto"/>
            </w:tcBorders>
          </w:tcPr>
          <w:p>
            <w:pPr>
              <w:spacing w:after="0"/>
              <w:rPr>
                <w:sz w:val="11"/>
                <w:szCs w:val="11"/>
                <w:color w:val="auto"/>
              </w:rPr>
            </w:pPr>
          </w:p>
        </w:tc>
        <w:tc>
          <w:tcPr>
            <w:tcW w:w="260" w:type="dxa"/>
            <w:vAlign w:val="bottom"/>
          </w:tcPr>
          <w:p>
            <w:pPr>
              <w:spacing w:after="0"/>
              <w:rPr>
                <w:sz w:val="11"/>
                <w:szCs w:val="11"/>
                <w:color w:val="auto"/>
              </w:rPr>
            </w:pPr>
          </w:p>
        </w:tc>
        <w:tc>
          <w:tcPr>
            <w:tcW w:w="380" w:type="dxa"/>
            <w:vAlign w:val="bottom"/>
            <w:tcBorders>
              <w:bottom w:val="single" w:sz="8" w:color="auto"/>
            </w:tcBorders>
          </w:tcPr>
          <w:p>
            <w:pPr>
              <w:spacing w:after="0"/>
              <w:rPr>
                <w:sz w:val="11"/>
                <w:szCs w:val="11"/>
                <w:color w:val="auto"/>
              </w:rPr>
            </w:pPr>
          </w:p>
        </w:tc>
        <w:tc>
          <w:tcPr>
            <w:tcW w:w="260" w:type="dxa"/>
            <w:vAlign w:val="bottom"/>
            <w:tcBorders>
              <w:bottom w:val="single" w:sz="8" w:color="auto"/>
            </w:tcBorders>
          </w:tcPr>
          <w:p>
            <w:pPr>
              <w:spacing w:after="0"/>
              <w:rPr>
                <w:sz w:val="11"/>
                <w:szCs w:val="11"/>
                <w:color w:val="auto"/>
              </w:rPr>
            </w:pPr>
          </w:p>
        </w:tc>
        <w:tc>
          <w:tcPr>
            <w:tcW w:w="740" w:type="dxa"/>
            <w:vAlign w:val="bottom"/>
            <w:tcBorders>
              <w:bottom w:val="single" w:sz="8" w:color="auto"/>
            </w:tcBorders>
            <w:gridSpan w:val="2"/>
          </w:tcPr>
          <w:p>
            <w:pPr>
              <w:jc w:val="right"/>
              <w:ind w:right="180"/>
              <w:spacing w:after="0"/>
              <w:rPr>
                <w:sz w:val="20"/>
                <w:szCs w:val="20"/>
                <w:color w:val="auto"/>
              </w:rPr>
            </w:pPr>
            <w:r>
              <w:rPr>
                <w:rFonts w:ascii="Arial" w:cs="Arial" w:eastAsia="Arial" w:hAnsi="Arial"/>
                <w:sz w:val="11"/>
                <w:szCs w:val="11"/>
                <w:b w:val="1"/>
                <w:bCs w:val="1"/>
                <w:color w:val="auto"/>
                <w:w w:val="81"/>
              </w:rPr>
              <w:t>Predecessor</w:t>
            </w:r>
          </w:p>
        </w:tc>
        <w:tc>
          <w:tcPr>
            <w:tcW w:w="460" w:type="dxa"/>
            <w:vAlign w:val="bottom"/>
            <w:tcBorders>
              <w:bottom w:val="single" w:sz="8" w:color="auto"/>
            </w:tcBorders>
          </w:tcPr>
          <w:p>
            <w:pPr>
              <w:spacing w:after="0"/>
              <w:rPr>
                <w:sz w:val="11"/>
                <w:szCs w:val="11"/>
                <w:color w:val="auto"/>
              </w:rPr>
            </w:pPr>
          </w:p>
        </w:tc>
        <w:tc>
          <w:tcPr>
            <w:tcW w:w="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1"/>
        </w:trPr>
        <w:tc>
          <w:tcPr>
            <w:tcW w:w="740" w:type="dxa"/>
            <w:vAlign w:val="bottom"/>
          </w:tcPr>
          <w:p>
            <w:pPr>
              <w:spacing w:after="0"/>
              <w:rPr>
                <w:sz w:val="8"/>
                <w:szCs w:val="8"/>
                <w:color w:val="auto"/>
              </w:rPr>
            </w:pPr>
          </w:p>
        </w:tc>
        <w:tc>
          <w:tcPr>
            <w:tcW w:w="1260" w:type="dxa"/>
            <w:vAlign w:val="bottom"/>
          </w:tcPr>
          <w:p>
            <w:pPr>
              <w:spacing w:after="0"/>
              <w:rPr>
                <w:sz w:val="8"/>
                <w:szCs w:val="8"/>
                <w:color w:val="auto"/>
              </w:rPr>
            </w:pPr>
          </w:p>
        </w:tc>
        <w:tc>
          <w:tcPr>
            <w:tcW w:w="60" w:type="dxa"/>
            <w:vAlign w:val="bottom"/>
          </w:tcPr>
          <w:p>
            <w:pPr>
              <w:spacing w:after="0"/>
              <w:rPr>
                <w:sz w:val="8"/>
                <w:szCs w:val="8"/>
                <w:color w:val="auto"/>
              </w:rPr>
            </w:pPr>
          </w:p>
        </w:tc>
        <w:tc>
          <w:tcPr>
            <w:tcW w:w="440" w:type="dxa"/>
            <w:vAlign w:val="bottom"/>
          </w:tcPr>
          <w:p>
            <w:pPr>
              <w:spacing w:after="0"/>
              <w:rPr>
                <w:sz w:val="8"/>
                <w:szCs w:val="8"/>
                <w:color w:val="auto"/>
              </w:rPr>
            </w:pPr>
          </w:p>
        </w:tc>
        <w:tc>
          <w:tcPr>
            <w:tcW w:w="280" w:type="dxa"/>
            <w:vAlign w:val="bottom"/>
          </w:tcPr>
          <w:p>
            <w:pPr>
              <w:spacing w:after="0"/>
              <w:rPr>
                <w:sz w:val="8"/>
                <w:szCs w:val="8"/>
                <w:color w:val="auto"/>
              </w:rPr>
            </w:pPr>
          </w:p>
        </w:tc>
        <w:tc>
          <w:tcPr>
            <w:tcW w:w="46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100" w:type="dxa"/>
            <w:vAlign w:val="bottom"/>
          </w:tcPr>
          <w:p>
            <w:pPr>
              <w:spacing w:after="0"/>
              <w:rPr>
                <w:sz w:val="8"/>
                <w:szCs w:val="8"/>
                <w:color w:val="auto"/>
              </w:rPr>
            </w:pPr>
          </w:p>
        </w:tc>
        <w:tc>
          <w:tcPr>
            <w:tcW w:w="540" w:type="dxa"/>
            <w:vAlign w:val="bottom"/>
          </w:tcPr>
          <w:p>
            <w:pPr>
              <w:spacing w:after="0"/>
              <w:rPr>
                <w:sz w:val="8"/>
                <w:szCs w:val="8"/>
                <w:color w:val="auto"/>
              </w:rPr>
            </w:pPr>
          </w:p>
        </w:tc>
        <w:tc>
          <w:tcPr>
            <w:tcW w:w="260" w:type="dxa"/>
            <w:vAlign w:val="bottom"/>
          </w:tcPr>
          <w:p>
            <w:pPr>
              <w:spacing w:after="0"/>
              <w:rPr>
                <w:sz w:val="8"/>
                <w:szCs w:val="8"/>
                <w:color w:val="auto"/>
              </w:rPr>
            </w:pPr>
          </w:p>
        </w:tc>
        <w:tc>
          <w:tcPr>
            <w:tcW w:w="120" w:type="dxa"/>
            <w:vAlign w:val="bottom"/>
          </w:tcPr>
          <w:p>
            <w:pPr>
              <w:spacing w:after="0"/>
              <w:rPr>
                <w:sz w:val="8"/>
                <w:szCs w:val="8"/>
                <w:color w:val="auto"/>
              </w:rPr>
            </w:pPr>
          </w:p>
        </w:tc>
        <w:tc>
          <w:tcPr>
            <w:tcW w:w="54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440" w:type="dxa"/>
            <w:vAlign w:val="bottom"/>
          </w:tcPr>
          <w:p>
            <w:pPr>
              <w:spacing w:after="0"/>
              <w:rPr>
                <w:sz w:val="8"/>
                <w:szCs w:val="8"/>
                <w:color w:val="auto"/>
              </w:rPr>
            </w:pPr>
          </w:p>
        </w:tc>
        <w:tc>
          <w:tcPr>
            <w:tcW w:w="280" w:type="dxa"/>
            <w:vAlign w:val="bottom"/>
          </w:tcPr>
          <w:p>
            <w:pPr>
              <w:spacing w:after="0"/>
              <w:rPr>
                <w:sz w:val="8"/>
                <w:szCs w:val="8"/>
                <w:color w:val="auto"/>
              </w:rPr>
            </w:pPr>
          </w:p>
        </w:tc>
        <w:tc>
          <w:tcPr>
            <w:tcW w:w="46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100" w:type="dxa"/>
            <w:vAlign w:val="bottom"/>
          </w:tcPr>
          <w:p>
            <w:pPr>
              <w:spacing w:after="0"/>
              <w:rPr>
                <w:sz w:val="8"/>
                <w:szCs w:val="8"/>
                <w:color w:val="auto"/>
              </w:rPr>
            </w:pPr>
          </w:p>
        </w:tc>
        <w:tc>
          <w:tcPr>
            <w:tcW w:w="520" w:type="dxa"/>
            <w:vAlign w:val="bottom"/>
          </w:tcPr>
          <w:p>
            <w:pPr>
              <w:spacing w:after="0"/>
              <w:rPr>
                <w:sz w:val="8"/>
                <w:szCs w:val="8"/>
                <w:color w:val="auto"/>
              </w:rPr>
            </w:pPr>
          </w:p>
        </w:tc>
        <w:tc>
          <w:tcPr>
            <w:tcW w:w="280" w:type="dxa"/>
            <w:vAlign w:val="bottom"/>
          </w:tcPr>
          <w:p>
            <w:pPr>
              <w:spacing w:after="0"/>
              <w:rPr>
                <w:sz w:val="8"/>
                <w:szCs w:val="8"/>
                <w:color w:val="auto"/>
              </w:rPr>
            </w:pPr>
          </w:p>
        </w:tc>
        <w:tc>
          <w:tcPr>
            <w:tcW w:w="120" w:type="dxa"/>
            <w:vAlign w:val="bottom"/>
          </w:tcPr>
          <w:p>
            <w:pPr>
              <w:spacing w:after="0"/>
              <w:rPr>
                <w:sz w:val="8"/>
                <w:szCs w:val="8"/>
                <w:color w:val="auto"/>
              </w:rPr>
            </w:pPr>
          </w:p>
        </w:tc>
        <w:tc>
          <w:tcPr>
            <w:tcW w:w="540" w:type="dxa"/>
            <w:vAlign w:val="bottom"/>
          </w:tcPr>
          <w:p>
            <w:pPr>
              <w:jc w:val="center"/>
              <w:ind w:right="58"/>
              <w:spacing w:after="0" w:line="102" w:lineRule="exact"/>
              <w:rPr>
                <w:sz w:val="20"/>
                <w:szCs w:val="20"/>
                <w:color w:val="auto"/>
              </w:rPr>
            </w:pPr>
            <w:r>
              <w:rPr>
                <w:rFonts w:ascii="Arial" w:cs="Arial" w:eastAsia="Arial" w:hAnsi="Arial"/>
                <w:sz w:val="11"/>
                <w:szCs w:val="11"/>
                <w:b w:val="1"/>
                <w:bCs w:val="1"/>
                <w:color w:val="auto"/>
                <w:w w:val="87"/>
              </w:rPr>
              <w:t>Period</w:t>
            </w:r>
          </w:p>
        </w:tc>
        <w:tc>
          <w:tcPr>
            <w:tcW w:w="260" w:type="dxa"/>
            <w:vAlign w:val="bottom"/>
          </w:tcPr>
          <w:p>
            <w:pPr>
              <w:spacing w:after="0"/>
              <w:rPr>
                <w:sz w:val="8"/>
                <w:szCs w:val="8"/>
                <w:color w:val="auto"/>
              </w:rPr>
            </w:pPr>
          </w:p>
        </w:tc>
        <w:tc>
          <w:tcPr>
            <w:tcW w:w="120" w:type="dxa"/>
            <w:vAlign w:val="bottom"/>
          </w:tcPr>
          <w:p>
            <w:pPr>
              <w:spacing w:after="0"/>
              <w:rPr>
                <w:sz w:val="8"/>
                <w:szCs w:val="8"/>
                <w:color w:val="auto"/>
              </w:rPr>
            </w:pPr>
          </w:p>
        </w:tc>
        <w:tc>
          <w:tcPr>
            <w:tcW w:w="260" w:type="dxa"/>
            <w:vAlign w:val="bottom"/>
          </w:tcPr>
          <w:p>
            <w:pPr>
              <w:spacing w:after="0"/>
              <w:rPr>
                <w:sz w:val="8"/>
                <w:szCs w:val="8"/>
                <w:color w:val="auto"/>
              </w:rPr>
            </w:pPr>
          </w:p>
        </w:tc>
        <w:tc>
          <w:tcPr>
            <w:tcW w:w="640" w:type="dxa"/>
            <w:vAlign w:val="bottom"/>
            <w:gridSpan w:val="2"/>
          </w:tcPr>
          <w:p>
            <w:pPr>
              <w:jc w:val="center"/>
              <w:ind w:right="260"/>
              <w:spacing w:after="0" w:line="102" w:lineRule="exact"/>
              <w:rPr>
                <w:sz w:val="20"/>
                <w:szCs w:val="20"/>
                <w:color w:val="auto"/>
              </w:rPr>
            </w:pPr>
            <w:r>
              <w:rPr>
                <w:rFonts w:ascii="Arial" w:cs="Arial" w:eastAsia="Arial" w:hAnsi="Arial"/>
                <w:sz w:val="11"/>
                <w:szCs w:val="11"/>
                <w:b w:val="1"/>
                <w:bCs w:val="1"/>
                <w:color w:val="auto"/>
                <w:w w:val="87"/>
              </w:rPr>
              <w:t>Period</w:t>
            </w:r>
          </w:p>
        </w:tc>
        <w:tc>
          <w:tcPr>
            <w:tcW w:w="440" w:type="dxa"/>
            <w:vAlign w:val="bottom"/>
          </w:tcPr>
          <w:p>
            <w:pPr>
              <w:spacing w:after="0"/>
              <w:rPr>
                <w:sz w:val="8"/>
                <w:szCs w:val="8"/>
                <w:color w:val="auto"/>
              </w:rPr>
            </w:pPr>
          </w:p>
        </w:tc>
        <w:tc>
          <w:tcPr>
            <w:tcW w:w="300" w:type="dxa"/>
            <w:vAlign w:val="bottom"/>
          </w:tcPr>
          <w:p>
            <w:pPr>
              <w:spacing w:after="0"/>
              <w:rPr>
                <w:sz w:val="8"/>
                <w:szCs w:val="8"/>
                <w:color w:val="auto"/>
              </w:rPr>
            </w:pPr>
          </w:p>
        </w:tc>
        <w:tc>
          <w:tcPr>
            <w:tcW w:w="460" w:type="dxa"/>
            <w:vAlign w:val="bottom"/>
          </w:tcPr>
          <w:p>
            <w:pPr>
              <w:spacing w:after="0"/>
              <w:rPr>
                <w:sz w:val="8"/>
                <w:szCs w:val="8"/>
                <w:color w:val="auto"/>
              </w:rPr>
            </w:pPr>
          </w:p>
        </w:tc>
        <w:tc>
          <w:tcPr>
            <w:tcW w:w="1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22"/>
        </w:trPr>
        <w:tc>
          <w:tcPr>
            <w:tcW w:w="740" w:type="dxa"/>
            <w:vAlign w:val="bottom"/>
          </w:tcPr>
          <w:p>
            <w:pPr>
              <w:spacing w:after="0"/>
              <w:rPr>
                <w:sz w:val="10"/>
                <w:szCs w:val="10"/>
                <w:color w:val="auto"/>
              </w:rPr>
            </w:pPr>
          </w:p>
        </w:tc>
        <w:tc>
          <w:tcPr>
            <w:tcW w:w="12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20" w:type="dxa"/>
            <w:vAlign w:val="bottom"/>
            <w:gridSpan w:val="2"/>
          </w:tcPr>
          <w:p>
            <w:pPr>
              <w:jc w:val="center"/>
              <w:ind w:right="280"/>
              <w:spacing w:after="0" w:line="122" w:lineRule="exact"/>
              <w:rPr>
                <w:sz w:val="20"/>
                <w:szCs w:val="20"/>
                <w:color w:val="auto"/>
              </w:rPr>
            </w:pPr>
            <w:r>
              <w:rPr>
                <w:rFonts w:ascii="Arial" w:cs="Arial" w:eastAsia="Arial" w:hAnsi="Arial"/>
                <w:sz w:val="11"/>
                <w:szCs w:val="11"/>
                <w:b w:val="1"/>
                <w:bCs w:val="1"/>
                <w:color w:val="auto"/>
                <w:w w:val="93"/>
              </w:rPr>
              <w:t>Three</w:t>
            </w:r>
          </w:p>
        </w:tc>
        <w:tc>
          <w:tcPr>
            <w:tcW w:w="660" w:type="dxa"/>
            <w:vAlign w:val="bottom"/>
            <w:gridSpan w:val="2"/>
          </w:tcPr>
          <w:p>
            <w:pPr>
              <w:jc w:val="center"/>
              <w:ind w:right="180"/>
              <w:spacing w:after="0" w:line="122" w:lineRule="exact"/>
              <w:rPr>
                <w:sz w:val="20"/>
                <w:szCs w:val="20"/>
                <w:color w:val="auto"/>
              </w:rPr>
            </w:pPr>
            <w:r>
              <w:rPr>
                <w:rFonts w:ascii="Arial" w:cs="Arial" w:eastAsia="Arial" w:hAnsi="Arial"/>
                <w:sz w:val="11"/>
                <w:szCs w:val="11"/>
                <w:b w:val="1"/>
                <w:bCs w:val="1"/>
                <w:color w:val="auto"/>
                <w:w w:val="93"/>
              </w:rPr>
              <w:t>Three</w:t>
            </w: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0" w:type="dxa"/>
            <w:vAlign w:val="bottom"/>
            <w:gridSpan w:val="2"/>
          </w:tcPr>
          <w:p>
            <w:pPr>
              <w:jc w:val="center"/>
              <w:ind w:right="360"/>
              <w:spacing w:after="0" w:line="122" w:lineRule="exact"/>
              <w:rPr>
                <w:sz w:val="20"/>
                <w:szCs w:val="20"/>
                <w:color w:val="auto"/>
              </w:rPr>
            </w:pPr>
            <w:r>
              <w:rPr>
                <w:rFonts w:ascii="Arial" w:cs="Arial" w:eastAsia="Arial" w:hAnsi="Arial"/>
                <w:sz w:val="11"/>
                <w:szCs w:val="11"/>
                <w:b w:val="1"/>
                <w:bCs w:val="1"/>
                <w:color w:val="auto"/>
                <w:w w:val="93"/>
              </w:rPr>
              <w:t>Three</w:t>
            </w:r>
          </w:p>
        </w:tc>
        <w:tc>
          <w:tcPr>
            <w:tcW w:w="120" w:type="dxa"/>
            <w:vAlign w:val="bottom"/>
          </w:tcPr>
          <w:p>
            <w:pPr>
              <w:spacing w:after="0"/>
              <w:rPr>
                <w:sz w:val="10"/>
                <w:szCs w:val="10"/>
                <w:color w:val="auto"/>
              </w:rPr>
            </w:pPr>
          </w:p>
        </w:tc>
        <w:tc>
          <w:tcPr>
            <w:tcW w:w="740" w:type="dxa"/>
            <w:vAlign w:val="bottom"/>
            <w:gridSpan w:val="2"/>
          </w:tcPr>
          <w:p>
            <w:pPr>
              <w:jc w:val="center"/>
              <w:ind w:right="300"/>
              <w:spacing w:after="0" w:line="122" w:lineRule="exact"/>
              <w:rPr>
                <w:sz w:val="20"/>
                <w:szCs w:val="20"/>
                <w:color w:val="auto"/>
              </w:rPr>
            </w:pPr>
            <w:r>
              <w:rPr>
                <w:rFonts w:ascii="Arial" w:cs="Arial" w:eastAsia="Arial" w:hAnsi="Arial"/>
                <w:sz w:val="11"/>
                <w:szCs w:val="11"/>
                <w:b w:val="1"/>
                <w:bCs w:val="1"/>
                <w:color w:val="auto"/>
                <w:w w:val="93"/>
              </w:rPr>
              <w:t>Three</w:t>
            </w:r>
          </w:p>
        </w:tc>
        <w:tc>
          <w:tcPr>
            <w:tcW w:w="80" w:type="dxa"/>
            <w:vAlign w:val="bottom"/>
          </w:tcPr>
          <w:p>
            <w:pPr>
              <w:spacing w:after="0"/>
              <w:rPr>
                <w:sz w:val="10"/>
                <w:szCs w:val="10"/>
                <w:color w:val="auto"/>
              </w:rPr>
            </w:pPr>
          </w:p>
        </w:tc>
        <w:tc>
          <w:tcPr>
            <w:tcW w:w="720" w:type="dxa"/>
            <w:vAlign w:val="bottom"/>
            <w:gridSpan w:val="2"/>
          </w:tcPr>
          <w:p>
            <w:pPr>
              <w:jc w:val="center"/>
              <w:ind w:right="280"/>
              <w:spacing w:after="0" w:line="122" w:lineRule="exact"/>
              <w:rPr>
                <w:sz w:val="20"/>
                <w:szCs w:val="20"/>
                <w:color w:val="auto"/>
              </w:rPr>
            </w:pPr>
            <w:r>
              <w:rPr>
                <w:rFonts w:ascii="Arial" w:cs="Arial" w:eastAsia="Arial" w:hAnsi="Arial"/>
                <w:sz w:val="11"/>
                <w:szCs w:val="11"/>
                <w:b w:val="1"/>
                <w:bCs w:val="1"/>
                <w:color w:val="auto"/>
                <w:w w:val="93"/>
              </w:rPr>
              <w:t>Three</w:t>
            </w:r>
          </w:p>
        </w:tc>
        <w:tc>
          <w:tcPr>
            <w:tcW w:w="660" w:type="dxa"/>
            <w:vAlign w:val="bottom"/>
            <w:gridSpan w:val="2"/>
          </w:tcPr>
          <w:p>
            <w:pPr>
              <w:jc w:val="center"/>
              <w:ind w:right="200"/>
              <w:spacing w:after="0" w:line="122" w:lineRule="exact"/>
              <w:rPr>
                <w:sz w:val="20"/>
                <w:szCs w:val="20"/>
                <w:color w:val="auto"/>
              </w:rPr>
            </w:pPr>
            <w:r>
              <w:rPr>
                <w:rFonts w:ascii="Arial" w:cs="Arial" w:eastAsia="Arial" w:hAnsi="Arial"/>
                <w:sz w:val="11"/>
                <w:szCs w:val="11"/>
                <w:b w:val="1"/>
                <w:bCs w:val="1"/>
                <w:color w:val="auto"/>
                <w:w w:val="86"/>
              </w:rPr>
              <w:t>Three</w:t>
            </w: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0" w:type="dxa"/>
            <w:vAlign w:val="bottom"/>
            <w:gridSpan w:val="2"/>
          </w:tcPr>
          <w:p>
            <w:pPr>
              <w:jc w:val="center"/>
              <w:ind w:right="380"/>
              <w:spacing w:after="0" w:line="122" w:lineRule="exact"/>
              <w:rPr>
                <w:sz w:val="20"/>
                <w:szCs w:val="20"/>
                <w:color w:val="auto"/>
              </w:rPr>
            </w:pPr>
            <w:r>
              <w:rPr>
                <w:rFonts w:ascii="Arial" w:cs="Arial" w:eastAsia="Arial" w:hAnsi="Arial"/>
                <w:sz w:val="11"/>
                <w:szCs w:val="11"/>
                <w:b w:val="1"/>
                <w:bCs w:val="1"/>
                <w:color w:val="auto"/>
                <w:w w:val="86"/>
              </w:rPr>
              <w:t>Three</w:t>
            </w:r>
          </w:p>
        </w:tc>
        <w:tc>
          <w:tcPr>
            <w:tcW w:w="120" w:type="dxa"/>
            <w:vAlign w:val="bottom"/>
          </w:tcPr>
          <w:p>
            <w:pPr>
              <w:spacing w:after="0"/>
              <w:rPr>
                <w:sz w:val="10"/>
                <w:szCs w:val="10"/>
                <w:color w:val="auto"/>
              </w:rPr>
            </w:pPr>
          </w:p>
        </w:tc>
        <w:tc>
          <w:tcPr>
            <w:tcW w:w="800" w:type="dxa"/>
            <w:vAlign w:val="bottom"/>
            <w:gridSpan w:val="2"/>
          </w:tcPr>
          <w:p>
            <w:pPr>
              <w:jc w:val="center"/>
              <w:ind w:right="380"/>
              <w:spacing w:after="0" w:line="122" w:lineRule="exact"/>
              <w:rPr>
                <w:sz w:val="20"/>
                <w:szCs w:val="20"/>
                <w:color w:val="auto"/>
              </w:rPr>
            </w:pPr>
            <w:r>
              <w:rPr>
                <w:rFonts w:ascii="Arial" w:cs="Arial" w:eastAsia="Arial" w:hAnsi="Arial"/>
                <w:sz w:val="11"/>
                <w:szCs w:val="11"/>
                <w:b w:val="1"/>
                <w:bCs w:val="1"/>
                <w:color w:val="auto"/>
                <w:w w:val="89"/>
              </w:rPr>
              <w:t>from</w:t>
            </w:r>
          </w:p>
        </w:tc>
        <w:tc>
          <w:tcPr>
            <w:tcW w:w="1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640" w:type="dxa"/>
            <w:vAlign w:val="bottom"/>
            <w:gridSpan w:val="2"/>
          </w:tcPr>
          <w:p>
            <w:pPr>
              <w:jc w:val="center"/>
              <w:ind w:right="260"/>
              <w:spacing w:after="0" w:line="122" w:lineRule="exact"/>
              <w:rPr>
                <w:sz w:val="20"/>
                <w:szCs w:val="20"/>
                <w:color w:val="auto"/>
              </w:rPr>
            </w:pPr>
            <w:r>
              <w:rPr>
                <w:rFonts w:ascii="Arial" w:cs="Arial" w:eastAsia="Arial" w:hAnsi="Arial"/>
                <w:sz w:val="11"/>
                <w:szCs w:val="11"/>
                <w:b w:val="1"/>
                <w:bCs w:val="1"/>
                <w:color w:val="auto"/>
                <w:w w:val="89"/>
              </w:rPr>
              <w:t>from</w:t>
            </w:r>
          </w:p>
        </w:tc>
        <w:tc>
          <w:tcPr>
            <w:tcW w:w="740" w:type="dxa"/>
            <w:vAlign w:val="bottom"/>
            <w:gridSpan w:val="2"/>
          </w:tcPr>
          <w:p>
            <w:pPr>
              <w:jc w:val="center"/>
              <w:ind w:right="300"/>
              <w:spacing w:after="0" w:line="122" w:lineRule="exact"/>
              <w:rPr>
                <w:sz w:val="20"/>
                <w:szCs w:val="20"/>
                <w:color w:val="auto"/>
              </w:rPr>
            </w:pPr>
            <w:r>
              <w:rPr>
                <w:rFonts w:ascii="Arial" w:cs="Arial" w:eastAsia="Arial" w:hAnsi="Arial"/>
                <w:sz w:val="11"/>
                <w:szCs w:val="11"/>
                <w:b w:val="1"/>
                <w:bCs w:val="1"/>
                <w:color w:val="auto"/>
                <w:w w:val="93"/>
              </w:rPr>
              <w:t>Three</w:t>
            </w:r>
          </w:p>
        </w:tc>
        <w:tc>
          <w:tcPr>
            <w:tcW w:w="620" w:type="dxa"/>
            <w:vAlign w:val="bottom"/>
            <w:gridSpan w:val="2"/>
          </w:tcPr>
          <w:p>
            <w:pPr>
              <w:jc w:val="center"/>
              <w:ind w:right="160"/>
              <w:spacing w:after="0" w:line="122" w:lineRule="exact"/>
              <w:rPr>
                <w:sz w:val="20"/>
                <w:szCs w:val="20"/>
                <w:color w:val="auto"/>
              </w:rPr>
            </w:pPr>
            <w:r>
              <w:rPr>
                <w:rFonts w:ascii="Arial" w:cs="Arial" w:eastAsia="Arial" w:hAnsi="Arial"/>
                <w:sz w:val="11"/>
                <w:szCs w:val="11"/>
                <w:b w:val="1"/>
                <w:bCs w:val="1"/>
                <w:color w:val="auto"/>
                <w:w w:val="86"/>
              </w:rPr>
              <w:t>Three</w:t>
            </w:r>
          </w:p>
        </w:tc>
        <w:tc>
          <w:tcPr>
            <w:tcW w:w="0" w:type="dxa"/>
            <w:vAlign w:val="bottom"/>
          </w:tcPr>
          <w:p>
            <w:pPr>
              <w:spacing w:after="0"/>
              <w:rPr>
                <w:sz w:val="1"/>
                <w:szCs w:val="1"/>
                <w:color w:val="auto"/>
              </w:rPr>
            </w:pPr>
          </w:p>
        </w:tc>
      </w:tr>
      <w:tr>
        <w:trPr>
          <w:trHeight w:val="122"/>
        </w:trPr>
        <w:tc>
          <w:tcPr>
            <w:tcW w:w="740" w:type="dxa"/>
            <w:vAlign w:val="bottom"/>
          </w:tcPr>
          <w:p>
            <w:pPr>
              <w:spacing w:after="0"/>
              <w:rPr>
                <w:sz w:val="10"/>
                <w:szCs w:val="10"/>
                <w:color w:val="auto"/>
              </w:rPr>
            </w:pPr>
          </w:p>
        </w:tc>
        <w:tc>
          <w:tcPr>
            <w:tcW w:w="12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20" w:type="dxa"/>
            <w:vAlign w:val="bottom"/>
            <w:gridSpan w:val="2"/>
          </w:tcPr>
          <w:p>
            <w:pPr>
              <w:jc w:val="center"/>
              <w:ind w:right="280"/>
              <w:spacing w:after="0" w:line="122" w:lineRule="exact"/>
              <w:rPr>
                <w:sz w:val="20"/>
                <w:szCs w:val="20"/>
                <w:color w:val="auto"/>
              </w:rPr>
            </w:pPr>
            <w:r>
              <w:rPr>
                <w:rFonts w:ascii="Arial" w:cs="Arial" w:eastAsia="Arial" w:hAnsi="Arial"/>
                <w:sz w:val="11"/>
                <w:szCs w:val="11"/>
                <w:b w:val="1"/>
                <w:bCs w:val="1"/>
                <w:color w:val="auto"/>
                <w:w w:val="91"/>
              </w:rPr>
              <w:t>Months</w:t>
            </w:r>
          </w:p>
        </w:tc>
        <w:tc>
          <w:tcPr>
            <w:tcW w:w="660" w:type="dxa"/>
            <w:vAlign w:val="bottom"/>
            <w:gridSpan w:val="2"/>
          </w:tcPr>
          <w:p>
            <w:pPr>
              <w:jc w:val="center"/>
              <w:ind w:right="180"/>
              <w:spacing w:after="0" w:line="122" w:lineRule="exact"/>
              <w:rPr>
                <w:sz w:val="20"/>
                <w:szCs w:val="20"/>
                <w:color w:val="auto"/>
              </w:rPr>
            </w:pPr>
            <w:r>
              <w:rPr>
                <w:rFonts w:ascii="Arial" w:cs="Arial" w:eastAsia="Arial" w:hAnsi="Arial"/>
                <w:sz w:val="11"/>
                <w:szCs w:val="11"/>
                <w:b w:val="1"/>
                <w:bCs w:val="1"/>
                <w:color w:val="auto"/>
                <w:w w:val="91"/>
              </w:rPr>
              <w:t>Months</w:t>
            </w: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0" w:type="dxa"/>
            <w:vAlign w:val="bottom"/>
            <w:gridSpan w:val="2"/>
          </w:tcPr>
          <w:p>
            <w:pPr>
              <w:jc w:val="center"/>
              <w:ind w:right="360"/>
              <w:spacing w:after="0" w:line="122" w:lineRule="exact"/>
              <w:rPr>
                <w:sz w:val="20"/>
                <w:szCs w:val="20"/>
                <w:color w:val="auto"/>
              </w:rPr>
            </w:pPr>
            <w:r>
              <w:rPr>
                <w:rFonts w:ascii="Arial" w:cs="Arial" w:eastAsia="Arial" w:hAnsi="Arial"/>
                <w:sz w:val="11"/>
                <w:szCs w:val="11"/>
                <w:b w:val="1"/>
                <w:bCs w:val="1"/>
                <w:color w:val="auto"/>
                <w:w w:val="91"/>
              </w:rPr>
              <w:t>Months</w:t>
            </w:r>
          </w:p>
        </w:tc>
        <w:tc>
          <w:tcPr>
            <w:tcW w:w="120" w:type="dxa"/>
            <w:vAlign w:val="bottom"/>
          </w:tcPr>
          <w:p>
            <w:pPr>
              <w:spacing w:after="0"/>
              <w:rPr>
                <w:sz w:val="10"/>
                <w:szCs w:val="10"/>
                <w:color w:val="auto"/>
              </w:rPr>
            </w:pPr>
          </w:p>
        </w:tc>
        <w:tc>
          <w:tcPr>
            <w:tcW w:w="740" w:type="dxa"/>
            <w:vAlign w:val="bottom"/>
            <w:gridSpan w:val="2"/>
          </w:tcPr>
          <w:p>
            <w:pPr>
              <w:jc w:val="center"/>
              <w:ind w:right="300"/>
              <w:spacing w:after="0" w:line="122" w:lineRule="exact"/>
              <w:rPr>
                <w:sz w:val="20"/>
                <w:szCs w:val="20"/>
                <w:color w:val="auto"/>
              </w:rPr>
            </w:pPr>
            <w:r>
              <w:rPr>
                <w:rFonts w:ascii="Arial" w:cs="Arial" w:eastAsia="Arial" w:hAnsi="Arial"/>
                <w:sz w:val="11"/>
                <w:szCs w:val="11"/>
                <w:b w:val="1"/>
                <w:bCs w:val="1"/>
                <w:color w:val="auto"/>
                <w:w w:val="91"/>
              </w:rPr>
              <w:t>Months</w:t>
            </w:r>
          </w:p>
        </w:tc>
        <w:tc>
          <w:tcPr>
            <w:tcW w:w="80" w:type="dxa"/>
            <w:vAlign w:val="bottom"/>
          </w:tcPr>
          <w:p>
            <w:pPr>
              <w:spacing w:after="0"/>
              <w:rPr>
                <w:sz w:val="10"/>
                <w:szCs w:val="10"/>
                <w:color w:val="auto"/>
              </w:rPr>
            </w:pPr>
          </w:p>
        </w:tc>
        <w:tc>
          <w:tcPr>
            <w:tcW w:w="720" w:type="dxa"/>
            <w:vAlign w:val="bottom"/>
            <w:gridSpan w:val="2"/>
          </w:tcPr>
          <w:p>
            <w:pPr>
              <w:jc w:val="center"/>
              <w:ind w:right="280"/>
              <w:spacing w:after="0" w:line="122" w:lineRule="exact"/>
              <w:rPr>
                <w:sz w:val="20"/>
                <w:szCs w:val="20"/>
                <w:color w:val="auto"/>
              </w:rPr>
            </w:pPr>
            <w:r>
              <w:rPr>
                <w:rFonts w:ascii="Arial" w:cs="Arial" w:eastAsia="Arial" w:hAnsi="Arial"/>
                <w:sz w:val="11"/>
                <w:szCs w:val="11"/>
                <w:b w:val="1"/>
                <w:bCs w:val="1"/>
                <w:color w:val="auto"/>
                <w:w w:val="91"/>
              </w:rPr>
              <w:t>Months</w:t>
            </w:r>
          </w:p>
        </w:tc>
        <w:tc>
          <w:tcPr>
            <w:tcW w:w="660" w:type="dxa"/>
            <w:vAlign w:val="bottom"/>
            <w:gridSpan w:val="2"/>
          </w:tcPr>
          <w:p>
            <w:pPr>
              <w:jc w:val="center"/>
              <w:ind w:right="200"/>
              <w:spacing w:after="0" w:line="122" w:lineRule="exact"/>
              <w:rPr>
                <w:sz w:val="20"/>
                <w:szCs w:val="20"/>
                <w:color w:val="auto"/>
              </w:rPr>
            </w:pPr>
            <w:r>
              <w:rPr>
                <w:rFonts w:ascii="Arial" w:cs="Arial" w:eastAsia="Arial" w:hAnsi="Arial"/>
                <w:sz w:val="11"/>
                <w:szCs w:val="11"/>
                <w:b w:val="1"/>
                <w:bCs w:val="1"/>
                <w:color w:val="auto"/>
                <w:w w:val="86"/>
              </w:rPr>
              <w:t>Months</w:t>
            </w: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0" w:type="dxa"/>
            <w:vAlign w:val="bottom"/>
            <w:gridSpan w:val="2"/>
          </w:tcPr>
          <w:p>
            <w:pPr>
              <w:jc w:val="center"/>
              <w:ind w:right="380"/>
              <w:spacing w:after="0" w:line="122" w:lineRule="exact"/>
              <w:rPr>
                <w:sz w:val="20"/>
                <w:szCs w:val="20"/>
                <w:color w:val="auto"/>
              </w:rPr>
            </w:pPr>
            <w:r>
              <w:rPr>
                <w:rFonts w:ascii="Arial" w:cs="Arial" w:eastAsia="Arial" w:hAnsi="Arial"/>
                <w:sz w:val="11"/>
                <w:szCs w:val="11"/>
                <w:b w:val="1"/>
                <w:bCs w:val="1"/>
                <w:color w:val="auto"/>
                <w:w w:val="86"/>
              </w:rPr>
              <w:t>Months</w:t>
            </w:r>
          </w:p>
        </w:tc>
        <w:tc>
          <w:tcPr>
            <w:tcW w:w="920" w:type="dxa"/>
            <w:vAlign w:val="bottom"/>
            <w:gridSpan w:val="3"/>
          </w:tcPr>
          <w:p>
            <w:pPr>
              <w:jc w:val="center"/>
              <w:ind w:right="260"/>
              <w:spacing w:after="0" w:line="122" w:lineRule="exact"/>
              <w:rPr>
                <w:sz w:val="20"/>
                <w:szCs w:val="20"/>
                <w:color w:val="auto"/>
              </w:rPr>
            </w:pPr>
            <w:r>
              <w:rPr>
                <w:rFonts w:ascii="Arial" w:cs="Arial" w:eastAsia="Arial" w:hAnsi="Arial"/>
                <w:sz w:val="11"/>
                <w:szCs w:val="11"/>
                <w:b w:val="1"/>
                <w:bCs w:val="1"/>
                <w:color w:val="auto"/>
                <w:w w:val="91"/>
              </w:rPr>
              <w:t>July 16, 2019</w:t>
            </w:r>
          </w:p>
        </w:tc>
        <w:tc>
          <w:tcPr>
            <w:tcW w:w="1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640" w:type="dxa"/>
            <w:vAlign w:val="bottom"/>
            <w:gridSpan w:val="2"/>
          </w:tcPr>
          <w:p>
            <w:pPr>
              <w:jc w:val="center"/>
              <w:ind w:right="280"/>
              <w:spacing w:after="0" w:line="122" w:lineRule="exact"/>
              <w:rPr>
                <w:sz w:val="20"/>
                <w:szCs w:val="20"/>
                <w:color w:val="auto"/>
              </w:rPr>
            </w:pPr>
            <w:r>
              <w:rPr>
                <w:rFonts w:ascii="Arial" w:cs="Arial" w:eastAsia="Arial" w:hAnsi="Arial"/>
                <w:sz w:val="11"/>
                <w:szCs w:val="11"/>
                <w:b w:val="1"/>
                <w:bCs w:val="1"/>
                <w:color w:val="auto"/>
                <w:w w:val="93"/>
              </w:rPr>
              <w:t>July 1,</w:t>
            </w:r>
          </w:p>
        </w:tc>
        <w:tc>
          <w:tcPr>
            <w:tcW w:w="740" w:type="dxa"/>
            <w:vAlign w:val="bottom"/>
            <w:gridSpan w:val="2"/>
          </w:tcPr>
          <w:p>
            <w:pPr>
              <w:jc w:val="center"/>
              <w:ind w:right="300"/>
              <w:spacing w:after="0" w:line="122" w:lineRule="exact"/>
              <w:rPr>
                <w:sz w:val="20"/>
                <w:szCs w:val="20"/>
                <w:color w:val="auto"/>
              </w:rPr>
            </w:pPr>
            <w:r>
              <w:rPr>
                <w:rFonts w:ascii="Arial" w:cs="Arial" w:eastAsia="Arial" w:hAnsi="Arial"/>
                <w:sz w:val="11"/>
                <w:szCs w:val="11"/>
                <w:b w:val="1"/>
                <w:bCs w:val="1"/>
                <w:color w:val="auto"/>
                <w:w w:val="91"/>
              </w:rPr>
              <w:t>Months</w:t>
            </w:r>
          </w:p>
        </w:tc>
        <w:tc>
          <w:tcPr>
            <w:tcW w:w="620" w:type="dxa"/>
            <w:vAlign w:val="bottom"/>
            <w:gridSpan w:val="2"/>
          </w:tcPr>
          <w:p>
            <w:pPr>
              <w:jc w:val="center"/>
              <w:ind w:right="160"/>
              <w:spacing w:after="0" w:line="122" w:lineRule="exact"/>
              <w:rPr>
                <w:sz w:val="20"/>
                <w:szCs w:val="20"/>
                <w:color w:val="auto"/>
              </w:rPr>
            </w:pPr>
            <w:r>
              <w:rPr>
                <w:rFonts w:ascii="Arial" w:cs="Arial" w:eastAsia="Arial" w:hAnsi="Arial"/>
                <w:sz w:val="11"/>
                <w:szCs w:val="11"/>
                <w:b w:val="1"/>
                <w:bCs w:val="1"/>
                <w:color w:val="auto"/>
                <w:w w:val="86"/>
              </w:rPr>
              <w:t>Months</w:t>
            </w:r>
          </w:p>
        </w:tc>
        <w:tc>
          <w:tcPr>
            <w:tcW w:w="0" w:type="dxa"/>
            <w:vAlign w:val="bottom"/>
          </w:tcPr>
          <w:p>
            <w:pPr>
              <w:spacing w:after="0"/>
              <w:rPr>
                <w:sz w:val="1"/>
                <w:szCs w:val="1"/>
                <w:color w:val="auto"/>
              </w:rPr>
            </w:pPr>
          </w:p>
        </w:tc>
      </w:tr>
      <w:tr>
        <w:trPr>
          <w:trHeight w:val="122"/>
        </w:trPr>
        <w:tc>
          <w:tcPr>
            <w:tcW w:w="740" w:type="dxa"/>
            <w:vAlign w:val="bottom"/>
          </w:tcPr>
          <w:p>
            <w:pPr>
              <w:spacing w:after="0"/>
              <w:rPr>
                <w:sz w:val="10"/>
                <w:szCs w:val="10"/>
                <w:color w:val="auto"/>
              </w:rPr>
            </w:pPr>
          </w:p>
        </w:tc>
        <w:tc>
          <w:tcPr>
            <w:tcW w:w="12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20" w:type="dxa"/>
            <w:vAlign w:val="bottom"/>
            <w:gridSpan w:val="2"/>
          </w:tcPr>
          <w:p>
            <w:pPr>
              <w:jc w:val="center"/>
              <w:ind w:right="260"/>
              <w:spacing w:after="0" w:line="122" w:lineRule="exact"/>
              <w:rPr>
                <w:sz w:val="20"/>
                <w:szCs w:val="20"/>
                <w:color w:val="auto"/>
              </w:rPr>
            </w:pPr>
            <w:r>
              <w:rPr>
                <w:rFonts w:ascii="Arial" w:cs="Arial" w:eastAsia="Arial" w:hAnsi="Arial"/>
                <w:sz w:val="11"/>
                <w:szCs w:val="11"/>
                <w:b w:val="1"/>
                <w:bCs w:val="1"/>
                <w:color w:val="auto"/>
                <w:w w:val="89"/>
              </w:rPr>
              <w:t>Ended</w:t>
            </w:r>
          </w:p>
        </w:tc>
        <w:tc>
          <w:tcPr>
            <w:tcW w:w="660" w:type="dxa"/>
            <w:vAlign w:val="bottom"/>
            <w:gridSpan w:val="2"/>
          </w:tcPr>
          <w:p>
            <w:pPr>
              <w:jc w:val="center"/>
              <w:ind w:right="200"/>
              <w:spacing w:after="0" w:line="122" w:lineRule="exact"/>
              <w:rPr>
                <w:sz w:val="20"/>
                <w:szCs w:val="20"/>
                <w:color w:val="auto"/>
              </w:rPr>
            </w:pPr>
            <w:r>
              <w:rPr>
                <w:rFonts w:ascii="Arial" w:cs="Arial" w:eastAsia="Arial" w:hAnsi="Arial"/>
                <w:sz w:val="11"/>
                <w:szCs w:val="11"/>
                <w:b w:val="1"/>
                <w:bCs w:val="1"/>
                <w:color w:val="auto"/>
                <w:w w:val="89"/>
              </w:rPr>
              <w:t>Ended</w:t>
            </w: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0" w:type="dxa"/>
            <w:vAlign w:val="bottom"/>
            <w:gridSpan w:val="2"/>
          </w:tcPr>
          <w:p>
            <w:pPr>
              <w:jc w:val="center"/>
              <w:ind w:right="380"/>
              <w:spacing w:after="0" w:line="122" w:lineRule="exact"/>
              <w:rPr>
                <w:sz w:val="20"/>
                <w:szCs w:val="20"/>
                <w:color w:val="auto"/>
              </w:rPr>
            </w:pPr>
            <w:r>
              <w:rPr>
                <w:rFonts w:ascii="Arial" w:cs="Arial" w:eastAsia="Arial" w:hAnsi="Arial"/>
                <w:sz w:val="11"/>
                <w:szCs w:val="11"/>
                <w:b w:val="1"/>
                <w:bCs w:val="1"/>
                <w:color w:val="auto"/>
                <w:w w:val="89"/>
              </w:rPr>
              <w:t>Ended</w:t>
            </w:r>
          </w:p>
        </w:tc>
        <w:tc>
          <w:tcPr>
            <w:tcW w:w="120" w:type="dxa"/>
            <w:vAlign w:val="bottom"/>
          </w:tcPr>
          <w:p>
            <w:pPr>
              <w:spacing w:after="0"/>
              <w:rPr>
                <w:sz w:val="10"/>
                <w:szCs w:val="10"/>
                <w:color w:val="auto"/>
              </w:rPr>
            </w:pPr>
          </w:p>
        </w:tc>
        <w:tc>
          <w:tcPr>
            <w:tcW w:w="740" w:type="dxa"/>
            <w:vAlign w:val="bottom"/>
            <w:gridSpan w:val="2"/>
          </w:tcPr>
          <w:p>
            <w:pPr>
              <w:jc w:val="center"/>
              <w:ind w:right="320"/>
              <w:spacing w:after="0" w:line="122" w:lineRule="exact"/>
              <w:rPr>
                <w:sz w:val="20"/>
                <w:szCs w:val="20"/>
                <w:color w:val="auto"/>
              </w:rPr>
            </w:pPr>
            <w:r>
              <w:rPr>
                <w:rFonts w:ascii="Arial" w:cs="Arial" w:eastAsia="Arial" w:hAnsi="Arial"/>
                <w:sz w:val="11"/>
                <w:szCs w:val="11"/>
                <w:b w:val="1"/>
                <w:bCs w:val="1"/>
                <w:color w:val="auto"/>
                <w:w w:val="89"/>
              </w:rPr>
              <w:t>Ended</w:t>
            </w:r>
          </w:p>
        </w:tc>
        <w:tc>
          <w:tcPr>
            <w:tcW w:w="80" w:type="dxa"/>
            <w:vAlign w:val="bottom"/>
          </w:tcPr>
          <w:p>
            <w:pPr>
              <w:spacing w:after="0"/>
              <w:rPr>
                <w:sz w:val="10"/>
                <w:szCs w:val="10"/>
                <w:color w:val="auto"/>
              </w:rPr>
            </w:pPr>
          </w:p>
        </w:tc>
        <w:tc>
          <w:tcPr>
            <w:tcW w:w="720" w:type="dxa"/>
            <w:vAlign w:val="bottom"/>
            <w:gridSpan w:val="2"/>
          </w:tcPr>
          <w:p>
            <w:pPr>
              <w:jc w:val="center"/>
              <w:ind w:right="300"/>
              <w:spacing w:after="0" w:line="122" w:lineRule="exact"/>
              <w:rPr>
                <w:sz w:val="20"/>
                <w:szCs w:val="20"/>
                <w:color w:val="auto"/>
              </w:rPr>
            </w:pPr>
            <w:r>
              <w:rPr>
                <w:rFonts w:ascii="Arial" w:cs="Arial" w:eastAsia="Arial" w:hAnsi="Arial"/>
                <w:sz w:val="11"/>
                <w:szCs w:val="11"/>
                <w:b w:val="1"/>
                <w:bCs w:val="1"/>
                <w:color w:val="auto"/>
                <w:w w:val="89"/>
              </w:rPr>
              <w:t>Ended</w:t>
            </w:r>
          </w:p>
        </w:tc>
        <w:tc>
          <w:tcPr>
            <w:tcW w:w="660" w:type="dxa"/>
            <w:vAlign w:val="bottom"/>
            <w:gridSpan w:val="2"/>
          </w:tcPr>
          <w:p>
            <w:pPr>
              <w:jc w:val="center"/>
              <w:ind w:right="200"/>
              <w:spacing w:after="0" w:line="122" w:lineRule="exact"/>
              <w:rPr>
                <w:sz w:val="20"/>
                <w:szCs w:val="20"/>
                <w:color w:val="auto"/>
              </w:rPr>
            </w:pPr>
            <w:r>
              <w:rPr>
                <w:rFonts w:ascii="Arial" w:cs="Arial" w:eastAsia="Arial" w:hAnsi="Arial"/>
                <w:sz w:val="11"/>
                <w:szCs w:val="11"/>
                <w:b w:val="1"/>
                <w:bCs w:val="1"/>
                <w:color w:val="auto"/>
                <w:w w:val="89"/>
              </w:rPr>
              <w:t>Ended</w:t>
            </w: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0" w:type="dxa"/>
            <w:vAlign w:val="bottom"/>
            <w:gridSpan w:val="2"/>
          </w:tcPr>
          <w:p>
            <w:pPr>
              <w:jc w:val="center"/>
              <w:ind w:right="380"/>
              <w:spacing w:after="0" w:line="122" w:lineRule="exact"/>
              <w:rPr>
                <w:sz w:val="20"/>
                <w:szCs w:val="20"/>
                <w:color w:val="auto"/>
              </w:rPr>
            </w:pPr>
            <w:r>
              <w:rPr>
                <w:rFonts w:ascii="Arial" w:cs="Arial" w:eastAsia="Arial" w:hAnsi="Arial"/>
                <w:sz w:val="11"/>
                <w:szCs w:val="11"/>
                <w:b w:val="1"/>
                <w:bCs w:val="1"/>
                <w:color w:val="auto"/>
                <w:w w:val="89"/>
              </w:rPr>
              <w:t>Ended</w:t>
            </w:r>
          </w:p>
        </w:tc>
        <w:tc>
          <w:tcPr>
            <w:tcW w:w="120" w:type="dxa"/>
            <w:vAlign w:val="bottom"/>
          </w:tcPr>
          <w:p>
            <w:pPr>
              <w:spacing w:after="0"/>
              <w:rPr>
                <w:sz w:val="10"/>
                <w:szCs w:val="10"/>
                <w:color w:val="auto"/>
              </w:rPr>
            </w:pPr>
          </w:p>
        </w:tc>
        <w:tc>
          <w:tcPr>
            <w:tcW w:w="800" w:type="dxa"/>
            <w:vAlign w:val="bottom"/>
            <w:gridSpan w:val="2"/>
          </w:tcPr>
          <w:p>
            <w:pPr>
              <w:jc w:val="center"/>
              <w:ind w:right="380"/>
              <w:spacing w:after="0" w:line="122" w:lineRule="exact"/>
              <w:rPr>
                <w:sz w:val="20"/>
                <w:szCs w:val="20"/>
                <w:color w:val="auto"/>
              </w:rPr>
            </w:pPr>
            <w:r>
              <w:rPr>
                <w:rFonts w:ascii="Arial" w:cs="Arial" w:eastAsia="Arial" w:hAnsi="Arial"/>
                <w:sz w:val="11"/>
                <w:szCs w:val="11"/>
                <w:b w:val="1"/>
                <w:bCs w:val="1"/>
                <w:color w:val="auto"/>
                <w:w w:val="95"/>
              </w:rPr>
              <w:t>to</w:t>
            </w:r>
          </w:p>
        </w:tc>
        <w:tc>
          <w:tcPr>
            <w:tcW w:w="1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640" w:type="dxa"/>
            <w:vAlign w:val="bottom"/>
            <w:gridSpan w:val="2"/>
          </w:tcPr>
          <w:p>
            <w:pPr>
              <w:jc w:val="center"/>
              <w:ind w:right="280"/>
              <w:spacing w:after="0" w:line="122" w:lineRule="exact"/>
              <w:rPr>
                <w:sz w:val="20"/>
                <w:szCs w:val="20"/>
                <w:color w:val="auto"/>
              </w:rPr>
            </w:pPr>
            <w:r>
              <w:rPr>
                <w:rFonts w:ascii="Arial" w:cs="Arial" w:eastAsia="Arial" w:hAnsi="Arial"/>
                <w:sz w:val="11"/>
                <w:szCs w:val="11"/>
                <w:b w:val="1"/>
                <w:bCs w:val="1"/>
                <w:color w:val="auto"/>
                <w:w w:val="84"/>
              </w:rPr>
              <w:t>2019 to</w:t>
            </w:r>
          </w:p>
        </w:tc>
        <w:tc>
          <w:tcPr>
            <w:tcW w:w="740" w:type="dxa"/>
            <w:vAlign w:val="bottom"/>
            <w:gridSpan w:val="2"/>
          </w:tcPr>
          <w:p>
            <w:pPr>
              <w:jc w:val="center"/>
              <w:ind w:right="280"/>
              <w:spacing w:after="0" w:line="122" w:lineRule="exact"/>
              <w:rPr>
                <w:sz w:val="20"/>
                <w:szCs w:val="20"/>
                <w:color w:val="auto"/>
              </w:rPr>
            </w:pPr>
            <w:r>
              <w:rPr>
                <w:rFonts w:ascii="Arial" w:cs="Arial" w:eastAsia="Arial" w:hAnsi="Arial"/>
                <w:sz w:val="11"/>
                <w:szCs w:val="11"/>
                <w:b w:val="1"/>
                <w:bCs w:val="1"/>
                <w:color w:val="auto"/>
                <w:w w:val="89"/>
              </w:rPr>
              <w:t>Ended</w:t>
            </w:r>
          </w:p>
        </w:tc>
        <w:tc>
          <w:tcPr>
            <w:tcW w:w="620" w:type="dxa"/>
            <w:vAlign w:val="bottom"/>
            <w:gridSpan w:val="2"/>
          </w:tcPr>
          <w:p>
            <w:pPr>
              <w:jc w:val="center"/>
              <w:ind w:right="160"/>
              <w:spacing w:after="0" w:line="122" w:lineRule="exact"/>
              <w:rPr>
                <w:sz w:val="20"/>
                <w:szCs w:val="20"/>
                <w:color w:val="auto"/>
              </w:rPr>
            </w:pPr>
            <w:r>
              <w:rPr>
                <w:rFonts w:ascii="Arial" w:cs="Arial" w:eastAsia="Arial" w:hAnsi="Arial"/>
                <w:sz w:val="11"/>
                <w:szCs w:val="11"/>
                <w:b w:val="1"/>
                <w:bCs w:val="1"/>
                <w:color w:val="auto"/>
                <w:w w:val="89"/>
              </w:rPr>
              <w:t>Ended</w:t>
            </w:r>
          </w:p>
        </w:tc>
        <w:tc>
          <w:tcPr>
            <w:tcW w:w="0" w:type="dxa"/>
            <w:vAlign w:val="bottom"/>
          </w:tcPr>
          <w:p>
            <w:pPr>
              <w:spacing w:after="0"/>
              <w:rPr>
                <w:sz w:val="1"/>
                <w:szCs w:val="1"/>
                <w:color w:val="auto"/>
              </w:rPr>
            </w:pPr>
          </w:p>
        </w:tc>
      </w:tr>
      <w:tr>
        <w:trPr>
          <w:trHeight w:val="122"/>
        </w:trPr>
        <w:tc>
          <w:tcPr>
            <w:tcW w:w="740" w:type="dxa"/>
            <w:vAlign w:val="bottom"/>
            <w:vMerge w:val="restart"/>
          </w:tcPr>
          <w:p>
            <w:pPr>
              <w:spacing w:after="0"/>
              <w:rPr>
                <w:sz w:val="20"/>
                <w:szCs w:val="20"/>
                <w:color w:val="auto"/>
              </w:rPr>
            </w:pPr>
            <w:r>
              <w:rPr>
                <w:rFonts w:ascii="Arial" w:cs="Arial" w:eastAsia="Arial" w:hAnsi="Arial"/>
                <w:sz w:val="11"/>
                <w:szCs w:val="11"/>
                <w:b w:val="1"/>
                <w:bCs w:val="1"/>
                <w:u w:val="single" w:color="auto"/>
                <w:color w:val="auto"/>
                <w:w w:val="84"/>
              </w:rPr>
              <w:t>(</w:t>
            </w:r>
            <w:r>
              <w:rPr>
                <w:rFonts w:ascii="Arial" w:cs="Arial" w:eastAsia="Arial" w:hAnsi="Arial"/>
                <w:sz w:val="11"/>
                <w:szCs w:val="11"/>
                <w:b w:val="1"/>
                <w:bCs w:val="1"/>
                <w:color w:val="auto"/>
                <w:w w:val="84"/>
              </w:rPr>
              <w:t>$ in thousands)</w:t>
            </w:r>
          </w:p>
        </w:tc>
        <w:tc>
          <w:tcPr>
            <w:tcW w:w="1260" w:type="dxa"/>
            <w:vAlign w:val="bottom"/>
            <w:vMerge w:val="restart"/>
          </w:tcPr>
          <w:p>
            <w:pPr>
              <w:spacing w:after="0"/>
              <w:rPr>
                <w:sz w:val="10"/>
                <w:szCs w:val="10"/>
                <w:color w:val="auto"/>
              </w:rPr>
            </w:pPr>
          </w:p>
        </w:tc>
        <w:tc>
          <w:tcPr>
            <w:tcW w:w="60" w:type="dxa"/>
            <w:vAlign w:val="bottom"/>
          </w:tcPr>
          <w:p>
            <w:pPr>
              <w:spacing w:after="0"/>
              <w:rPr>
                <w:sz w:val="10"/>
                <w:szCs w:val="10"/>
                <w:color w:val="auto"/>
              </w:rPr>
            </w:pPr>
          </w:p>
        </w:tc>
        <w:tc>
          <w:tcPr>
            <w:tcW w:w="720" w:type="dxa"/>
            <w:vAlign w:val="bottom"/>
            <w:gridSpan w:val="2"/>
          </w:tcPr>
          <w:p>
            <w:pPr>
              <w:jc w:val="center"/>
              <w:ind w:right="260"/>
              <w:spacing w:after="0" w:line="122" w:lineRule="exact"/>
              <w:rPr>
                <w:sz w:val="20"/>
                <w:szCs w:val="20"/>
                <w:color w:val="auto"/>
              </w:rPr>
            </w:pPr>
            <w:r>
              <w:rPr>
                <w:rFonts w:ascii="Arial" w:cs="Arial" w:eastAsia="Arial" w:hAnsi="Arial"/>
                <w:sz w:val="11"/>
                <w:szCs w:val="11"/>
                <w:b w:val="1"/>
                <w:bCs w:val="1"/>
                <w:color w:val="auto"/>
                <w:w w:val="86"/>
              </w:rPr>
              <w:t>June 30,</w:t>
            </w:r>
          </w:p>
        </w:tc>
        <w:tc>
          <w:tcPr>
            <w:tcW w:w="660" w:type="dxa"/>
            <w:vAlign w:val="bottom"/>
            <w:gridSpan w:val="2"/>
          </w:tcPr>
          <w:p>
            <w:pPr>
              <w:jc w:val="center"/>
              <w:ind w:right="200"/>
              <w:spacing w:after="0" w:line="122" w:lineRule="exact"/>
              <w:rPr>
                <w:sz w:val="20"/>
                <w:szCs w:val="20"/>
                <w:color w:val="auto"/>
              </w:rPr>
            </w:pPr>
            <w:r>
              <w:rPr>
                <w:rFonts w:ascii="Arial" w:cs="Arial" w:eastAsia="Arial" w:hAnsi="Arial"/>
                <w:sz w:val="11"/>
                <w:szCs w:val="11"/>
                <w:b w:val="1"/>
                <w:bCs w:val="1"/>
                <w:color w:val="auto"/>
                <w:w w:val="90"/>
              </w:rPr>
              <w:t>March 31,</w:t>
            </w:r>
          </w:p>
        </w:tc>
        <w:tc>
          <w:tcPr>
            <w:tcW w:w="80" w:type="dxa"/>
            <w:vAlign w:val="bottom"/>
          </w:tcPr>
          <w:p>
            <w:pPr>
              <w:spacing w:after="0"/>
              <w:rPr>
                <w:sz w:val="10"/>
                <w:szCs w:val="10"/>
                <w:color w:val="auto"/>
              </w:rPr>
            </w:pPr>
          </w:p>
        </w:tc>
        <w:tc>
          <w:tcPr>
            <w:tcW w:w="900" w:type="dxa"/>
            <w:vAlign w:val="bottom"/>
            <w:gridSpan w:val="3"/>
          </w:tcPr>
          <w:p>
            <w:pPr>
              <w:jc w:val="center"/>
              <w:ind w:right="260"/>
              <w:spacing w:after="0" w:line="122" w:lineRule="exact"/>
              <w:rPr>
                <w:sz w:val="20"/>
                <w:szCs w:val="20"/>
                <w:color w:val="auto"/>
              </w:rPr>
            </w:pPr>
            <w:r>
              <w:rPr>
                <w:rFonts w:ascii="Arial" w:cs="Arial" w:eastAsia="Arial" w:hAnsi="Arial"/>
                <w:sz w:val="11"/>
                <w:szCs w:val="11"/>
                <w:b w:val="1"/>
                <w:bCs w:val="1"/>
                <w:color w:val="auto"/>
                <w:w w:val="89"/>
              </w:rPr>
              <w:t>December 31,</w:t>
            </w:r>
          </w:p>
        </w:tc>
        <w:tc>
          <w:tcPr>
            <w:tcW w:w="860" w:type="dxa"/>
            <w:vAlign w:val="bottom"/>
            <w:gridSpan w:val="3"/>
          </w:tcPr>
          <w:p>
            <w:pPr>
              <w:jc w:val="center"/>
              <w:ind w:right="200"/>
              <w:spacing w:after="0" w:line="122" w:lineRule="exact"/>
              <w:rPr>
                <w:sz w:val="20"/>
                <w:szCs w:val="20"/>
                <w:color w:val="auto"/>
              </w:rPr>
            </w:pPr>
            <w:r>
              <w:rPr>
                <w:rFonts w:ascii="Arial" w:cs="Arial" w:eastAsia="Arial" w:hAnsi="Arial"/>
                <w:sz w:val="11"/>
                <w:szCs w:val="11"/>
                <w:b w:val="1"/>
                <w:bCs w:val="1"/>
                <w:color w:val="auto"/>
                <w:w w:val="87"/>
              </w:rPr>
              <w:t>September 30,</w:t>
            </w:r>
          </w:p>
        </w:tc>
        <w:tc>
          <w:tcPr>
            <w:tcW w:w="80" w:type="dxa"/>
            <w:vAlign w:val="bottom"/>
          </w:tcPr>
          <w:p>
            <w:pPr>
              <w:spacing w:after="0"/>
              <w:rPr>
                <w:sz w:val="10"/>
                <w:szCs w:val="10"/>
                <w:color w:val="auto"/>
              </w:rPr>
            </w:pPr>
          </w:p>
        </w:tc>
        <w:tc>
          <w:tcPr>
            <w:tcW w:w="720" w:type="dxa"/>
            <w:vAlign w:val="bottom"/>
            <w:gridSpan w:val="2"/>
          </w:tcPr>
          <w:p>
            <w:pPr>
              <w:jc w:val="center"/>
              <w:ind w:right="280"/>
              <w:spacing w:after="0" w:line="122" w:lineRule="exact"/>
              <w:rPr>
                <w:sz w:val="20"/>
                <w:szCs w:val="20"/>
                <w:color w:val="auto"/>
              </w:rPr>
            </w:pPr>
            <w:r>
              <w:rPr>
                <w:rFonts w:ascii="Arial" w:cs="Arial" w:eastAsia="Arial" w:hAnsi="Arial"/>
                <w:sz w:val="11"/>
                <w:szCs w:val="11"/>
                <w:b w:val="1"/>
                <w:bCs w:val="1"/>
                <w:color w:val="auto"/>
                <w:w w:val="90"/>
              </w:rPr>
              <w:t>June 30,</w:t>
            </w:r>
          </w:p>
        </w:tc>
        <w:tc>
          <w:tcPr>
            <w:tcW w:w="660" w:type="dxa"/>
            <w:vAlign w:val="bottom"/>
            <w:gridSpan w:val="2"/>
          </w:tcPr>
          <w:p>
            <w:pPr>
              <w:jc w:val="center"/>
              <w:ind w:right="200"/>
              <w:spacing w:after="0" w:line="122" w:lineRule="exact"/>
              <w:rPr>
                <w:sz w:val="20"/>
                <w:szCs w:val="20"/>
                <w:color w:val="auto"/>
              </w:rPr>
            </w:pPr>
            <w:r>
              <w:rPr>
                <w:rFonts w:ascii="Arial" w:cs="Arial" w:eastAsia="Arial" w:hAnsi="Arial"/>
                <w:sz w:val="11"/>
                <w:szCs w:val="11"/>
                <w:b w:val="1"/>
                <w:bCs w:val="1"/>
                <w:color w:val="auto"/>
                <w:w w:val="90"/>
              </w:rPr>
              <w:t>March 31,</w:t>
            </w:r>
          </w:p>
        </w:tc>
        <w:tc>
          <w:tcPr>
            <w:tcW w:w="80" w:type="dxa"/>
            <w:vAlign w:val="bottom"/>
          </w:tcPr>
          <w:p>
            <w:pPr>
              <w:spacing w:after="0"/>
              <w:rPr>
                <w:sz w:val="10"/>
                <w:szCs w:val="10"/>
                <w:color w:val="auto"/>
              </w:rPr>
            </w:pPr>
          </w:p>
        </w:tc>
        <w:tc>
          <w:tcPr>
            <w:tcW w:w="900" w:type="dxa"/>
            <w:vAlign w:val="bottom"/>
            <w:gridSpan w:val="3"/>
          </w:tcPr>
          <w:p>
            <w:pPr>
              <w:jc w:val="center"/>
              <w:ind w:right="280"/>
              <w:spacing w:after="0" w:line="122" w:lineRule="exact"/>
              <w:rPr>
                <w:sz w:val="20"/>
                <w:szCs w:val="20"/>
                <w:color w:val="auto"/>
              </w:rPr>
            </w:pPr>
            <w:r>
              <w:rPr>
                <w:rFonts w:ascii="Arial" w:cs="Arial" w:eastAsia="Arial" w:hAnsi="Arial"/>
                <w:sz w:val="11"/>
                <w:szCs w:val="11"/>
                <w:b w:val="1"/>
                <w:bCs w:val="1"/>
                <w:color w:val="auto"/>
                <w:w w:val="86"/>
              </w:rPr>
              <w:t>December 31,</w:t>
            </w:r>
          </w:p>
        </w:tc>
        <w:tc>
          <w:tcPr>
            <w:tcW w:w="920" w:type="dxa"/>
            <w:vAlign w:val="bottom"/>
            <w:gridSpan w:val="3"/>
          </w:tcPr>
          <w:p>
            <w:pPr>
              <w:jc w:val="center"/>
              <w:ind w:right="260"/>
              <w:spacing w:after="0" w:line="122" w:lineRule="exact"/>
              <w:rPr>
                <w:sz w:val="20"/>
                <w:szCs w:val="20"/>
                <w:color w:val="auto"/>
              </w:rPr>
            </w:pPr>
            <w:r>
              <w:rPr>
                <w:rFonts w:ascii="Arial" w:cs="Arial" w:eastAsia="Arial" w:hAnsi="Arial"/>
                <w:sz w:val="11"/>
                <w:szCs w:val="11"/>
                <w:b w:val="1"/>
                <w:bCs w:val="1"/>
                <w:color w:val="auto"/>
                <w:w w:val="87"/>
              </w:rPr>
              <w:t>September 30,</w:t>
            </w:r>
          </w:p>
        </w:tc>
        <w:tc>
          <w:tcPr>
            <w:tcW w:w="1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640" w:type="dxa"/>
            <w:vAlign w:val="bottom"/>
            <w:gridSpan w:val="2"/>
          </w:tcPr>
          <w:p>
            <w:pPr>
              <w:jc w:val="center"/>
              <w:ind w:right="280"/>
              <w:spacing w:after="0" w:line="122" w:lineRule="exact"/>
              <w:rPr>
                <w:sz w:val="20"/>
                <w:szCs w:val="20"/>
                <w:color w:val="auto"/>
              </w:rPr>
            </w:pPr>
            <w:r>
              <w:rPr>
                <w:rFonts w:ascii="Arial" w:cs="Arial" w:eastAsia="Arial" w:hAnsi="Arial"/>
                <w:sz w:val="11"/>
                <w:szCs w:val="11"/>
                <w:b w:val="1"/>
                <w:bCs w:val="1"/>
                <w:color w:val="auto"/>
                <w:w w:val="89"/>
              </w:rPr>
              <w:t>July 15,</w:t>
            </w:r>
          </w:p>
        </w:tc>
        <w:tc>
          <w:tcPr>
            <w:tcW w:w="740" w:type="dxa"/>
            <w:vAlign w:val="bottom"/>
            <w:gridSpan w:val="2"/>
          </w:tcPr>
          <w:p>
            <w:pPr>
              <w:jc w:val="center"/>
              <w:ind w:right="280"/>
              <w:spacing w:after="0" w:line="122" w:lineRule="exact"/>
              <w:rPr>
                <w:sz w:val="20"/>
                <w:szCs w:val="20"/>
                <w:color w:val="auto"/>
              </w:rPr>
            </w:pPr>
            <w:r>
              <w:rPr>
                <w:rFonts w:ascii="Arial" w:cs="Arial" w:eastAsia="Arial" w:hAnsi="Arial"/>
                <w:sz w:val="11"/>
                <w:szCs w:val="11"/>
                <w:b w:val="1"/>
                <w:bCs w:val="1"/>
                <w:color w:val="auto"/>
                <w:w w:val="86"/>
              </w:rPr>
              <w:t>June 30,</w:t>
            </w:r>
          </w:p>
        </w:tc>
        <w:tc>
          <w:tcPr>
            <w:tcW w:w="620" w:type="dxa"/>
            <w:vAlign w:val="bottom"/>
            <w:gridSpan w:val="2"/>
          </w:tcPr>
          <w:p>
            <w:pPr>
              <w:jc w:val="center"/>
              <w:ind w:right="160"/>
              <w:spacing w:after="0" w:line="122" w:lineRule="exact"/>
              <w:rPr>
                <w:sz w:val="20"/>
                <w:szCs w:val="20"/>
                <w:color w:val="auto"/>
              </w:rPr>
            </w:pPr>
            <w:r>
              <w:rPr>
                <w:rFonts w:ascii="Arial" w:cs="Arial" w:eastAsia="Arial" w:hAnsi="Arial"/>
                <w:sz w:val="11"/>
                <w:szCs w:val="11"/>
                <w:b w:val="1"/>
                <w:bCs w:val="1"/>
                <w:color w:val="auto"/>
                <w:w w:val="90"/>
              </w:rPr>
              <w:t>March 31,</w:t>
            </w:r>
          </w:p>
        </w:tc>
        <w:tc>
          <w:tcPr>
            <w:tcW w:w="0" w:type="dxa"/>
            <w:vAlign w:val="bottom"/>
          </w:tcPr>
          <w:p>
            <w:pPr>
              <w:spacing w:after="0"/>
              <w:rPr>
                <w:sz w:val="1"/>
                <w:szCs w:val="1"/>
                <w:color w:val="auto"/>
              </w:rPr>
            </w:pPr>
          </w:p>
        </w:tc>
      </w:tr>
      <w:tr>
        <w:trPr>
          <w:trHeight w:val="142"/>
        </w:trPr>
        <w:tc>
          <w:tcPr>
            <w:tcW w:w="740" w:type="dxa"/>
            <w:vAlign w:val="bottom"/>
            <w:tcBorders>
              <w:bottom w:val="single" w:sz="8" w:color="auto"/>
            </w:tcBorders>
            <w:vMerge w:val="continue"/>
          </w:tcPr>
          <w:p>
            <w:pPr>
              <w:spacing w:after="0"/>
              <w:rPr>
                <w:sz w:val="12"/>
                <w:szCs w:val="12"/>
                <w:color w:val="auto"/>
              </w:rPr>
            </w:pPr>
          </w:p>
        </w:tc>
        <w:tc>
          <w:tcPr>
            <w:tcW w:w="1260" w:type="dxa"/>
            <w:vAlign w:val="bottom"/>
            <w:vMerge w:val="continue"/>
          </w:tcPr>
          <w:p>
            <w:pPr>
              <w:spacing w:after="0"/>
              <w:rPr>
                <w:sz w:val="12"/>
                <w:szCs w:val="12"/>
                <w:color w:val="auto"/>
              </w:rPr>
            </w:pPr>
          </w:p>
        </w:tc>
        <w:tc>
          <w:tcPr>
            <w:tcW w:w="500" w:type="dxa"/>
            <w:vAlign w:val="bottom"/>
            <w:gridSpan w:val="2"/>
          </w:tcPr>
          <w:p>
            <w:pPr>
              <w:jc w:val="center"/>
              <w:ind w:left="16"/>
              <w:spacing w:after="0" w:line="122" w:lineRule="exact"/>
              <w:rPr>
                <w:sz w:val="20"/>
                <w:szCs w:val="20"/>
                <w:color w:val="auto"/>
              </w:rPr>
            </w:pPr>
            <w:r>
              <w:rPr>
                <w:rFonts w:ascii="Arial" w:cs="Arial" w:eastAsia="Arial" w:hAnsi="Arial"/>
                <w:sz w:val="11"/>
                <w:szCs w:val="11"/>
                <w:b w:val="1"/>
                <w:bCs w:val="1"/>
                <w:color w:val="auto"/>
                <w:w w:val="89"/>
              </w:rPr>
              <w:t>2021</w:t>
            </w:r>
          </w:p>
        </w:tc>
        <w:tc>
          <w:tcPr>
            <w:tcW w:w="280" w:type="dxa"/>
            <w:vAlign w:val="bottom"/>
          </w:tcPr>
          <w:p>
            <w:pPr>
              <w:spacing w:after="0"/>
              <w:rPr>
                <w:sz w:val="12"/>
                <w:szCs w:val="12"/>
                <w:color w:val="auto"/>
              </w:rPr>
            </w:pPr>
          </w:p>
        </w:tc>
        <w:tc>
          <w:tcPr>
            <w:tcW w:w="460" w:type="dxa"/>
            <w:vAlign w:val="bottom"/>
          </w:tcPr>
          <w:p>
            <w:pPr>
              <w:jc w:val="center"/>
              <w:spacing w:after="0" w:line="122" w:lineRule="exact"/>
              <w:rPr>
                <w:sz w:val="20"/>
                <w:szCs w:val="20"/>
                <w:color w:val="auto"/>
              </w:rPr>
            </w:pPr>
            <w:r>
              <w:rPr>
                <w:rFonts w:ascii="Arial" w:cs="Arial" w:eastAsia="Arial" w:hAnsi="Arial"/>
                <w:sz w:val="11"/>
                <w:szCs w:val="11"/>
                <w:b w:val="1"/>
                <w:bCs w:val="1"/>
                <w:color w:val="auto"/>
                <w:w w:val="89"/>
              </w:rPr>
              <w:t>2021</w:t>
            </w: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jc w:val="center"/>
              <w:ind w:right="58"/>
              <w:spacing w:after="0" w:line="122" w:lineRule="exact"/>
              <w:rPr>
                <w:sz w:val="20"/>
                <w:szCs w:val="20"/>
                <w:color w:val="auto"/>
              </w:rPr>
            </w:pPr>
            <w:r>
              <w:rPr>
                <w:rFonts w:ascii="Arial" w:cs="Arial" w:eastAsia="Arial" w:hAnsi="Arial"/>
                <w:sz w:val="11"/>
                <w:szCs w:val="11"/>
                <w:b w:val="1"/>
                <w:bCs w:val="1"/>
                <w:color w:val="auto"/>
                <w:w w:val="89"/>
              </w:rPr>
              <w:t>2020</w:t>
            </w:r>
          </w:p>
        </w:tc>
        <w:tc>
          <w:tcPr>
            <w:tcW w:w="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jc w:val="center"/>
              <w:ind w:right="59"/>
              <w:spacing w:after="0" w:line="122" w:lineRule="exact"/>
              <w:rPr>
                <w:sz w:val="20"/>
                <w:szCs w:val="20"/>
                <w:color w:val="auto"/>
              </w:rPr>
            </w:pPr>
            <w:r>
              <w:rPr>
                <w:rFonts w:ascii="Arial" w:cs="Arial" w:eastAsia="Arial" w:hAnsi="Arial"/>
                <w:sz w:val="11"/>
                <w:szCs w:val="11"/>
                <w:b w:val="1"/>
                <w:bCs w:val="1"/>
                <w:color w:val="auto"/>
                <w:w w:val="89"/>
              </w:rPr>
              <w:t>2020</w:t>
            </w:r>
          </w:p>
        </w:tc>
        <w:tc>
          <w:tcPr>
            <w:tcW w:w="200" w:type="dxa"/>
            <w:vAlign w:val="bottom"/>
          </w:tcPr>
          <w:p>
            <w:pPr>
              <w:spacing w:after="0"/>
              <w:rPr>
                <w:sz w:val="12"/>
                <w:szCs w:val="12"/>
                <w:color w:val="auto"/>
              </w:rPr>
            </w:pPr>
          </w:p>
        </w:tc>
        <w:tc>
          <w:tcPr>
            <w:tcW w:w="520" w:type="dxa"/>
            <w:vAlign w:val="bottom"/>
            <w:gridSpan w:val="2"/>
          </w:tcPr>
          <w:p>
            <w:pPr>
              <w:jc w:val="center"/>
              <w:ind w:left="15"/>
              <w:spacing w:after="0" w:line="122" w:lineRule="exact"/>
              <w:rPr>
                <w:sz w:val="20"/>
                <w:szCs w:val="20"/>
                <w:color w:val="auto"/>
              </w:rPr>
            </w:pPr>
            <w:r>
              <w:rPr>
                <w:rFonts w:ascii="Arial" w:cs="Arial" w:eastAsia="Arial" w:hAnsi="Arial"/>
                <w:sz w:val="11"/>
                <w:szCs w:val="11"/>
                <w:b w:val="1"/>
                <w:bCs w:val="1"/>
                <w:color w:val="auto"/>
                <w:w w:val="81"/>
              </w:rPr>
              <w:t>2020</w:t>
            </w:r>
          </w:p>
        </w:tc>
        <w:tc>
          <w:tcPr>
            <w:tcW w:w="280" w:type="dxa"/>
            <w:vAlign w:val="bottom"/>
          </w:tcPr>
          <w:p>
            <w:pPr>
              <w:spacing w:after="0"/>
              <w:rPr>
                <w:sz w:val="12"/>
                <w:szCs w:val="12"/>
                <w:color w:val="auto"/>
              </w:rPr>
            </w:pPr>
          </w:p>
        </w:tc>
        <w:tc>
          <w:tcPr>
            <w:tcW w:w="460" w:type="dxa"/>
            <w:vAlign w:val="bottom"/>
          </w:tcPr>
          <w:p>
            <w:pPr>
              <w:jc w:val="center"/>
              <w:spacing w:after="0" w:line="122" w:lineRule="exact"/>
              <w:rPr>
                <w:sz w:val="20"/>
                <w:szCs w:val="20"/>
                <w:color w:val="auto"/>
              </w:rPr>
            </w:pPr>
            <w:r>
              <w:rPr>
                <w:rFonts w:ascii="Arial" w:cs="Arial" w:eastAsia="Arial" w:hAnsi="Arial"/>
                <w:sz w:val="11"/>
                <w:szCs w:val="11"/>
                <w:b w:val="1"/>
                <w:bCs w:val="1"/>
                <w:color w:val="auto"/>
                <w:w w:val="89"/>
              </w:rPr>
              <w:t>2020</w:t>
            </w: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jc w:val="center"/>
              <w:ind w:right="38"/>
              <w:spacing w:after="0" w:line="122" w:lineRule="exact"/>
              <w:rPr>
                <w:sz w:val="20"/>
                <w:szCs w:val="20"/>
                <w:color w:val="auto"/>
              </w:rPr>
            </w:pPr>
            <w:r>
              <w:rPr>
                <w:rFonts w:ascii="Arial" w:cs="Arial" w:eastAsia="Arial" w:hAnsi="Arial"/>
                <w:sz w:val="11"/>
                <w:szCs w:val="11"/>
                <w:b w:val="1"/>
                <w:bCs w:val="1"/>
                <w:color w:val="auto"/>
                <w:w w:val="89"/>
              </w:rPr>
              <w:t>2019</w:t>
            </w:r>
          </w:p>
        </w:tc>
        <w:tc>
          <w:tcPr>
            <w:tcW w:w="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jc w:val="center"/>
              <w:ind w:right="58"/>
              <w:spacing w:after="0" w:line="122" w:lineRule="exact"/>
              <w:rPr>
                <w:sz w:val="20"/>
                <w:szCs w:val="20"/>
                <w:color w:val="auto"/>
              </w:rPr>
            </w:pPr>
            <w:r>
              <w:rPr>
                <w:rFonts w:ascii="Arial" w:cs="Arial" w:eastAsia="Arial" w:hAnsi="Arial"/>
                <w:sz w:val="11"/>
                <w:szCs w:val="11"/>
                <w:b w:val="1"/>
                <w:bCs w:val="1"/>
                <w:color w:val="auto"/>
                <w:w w:val="89"/>
              </w:rPr>
              <w:t>2019</w:t>
            </w:r>
          </w:p>
        </w:tc>
        <w:tc>
          <w:tcPr>
            <w:tcW w:w="260" w:type="dxa"/>
            <w:vAlign w:val="bottom"/>
          </w:tcPr>
          <w:p>
            <w:pPr>
              <w:spacing w:after="0"/>
              <w:rPr>
                <w:sz w:val="12"/>
                <w:szCs w:val="12"/>
                <w:color w:val="auto"/>
              </w:rPr>
            </w:pPr>
          </w:p>
        </w:tc>
        <w:tc>
          <w:tcPr>
            <w:tcW w:w="120" w:type="dxa"/>
            <w:vAlign w:val="bottom"/>
            <w:tcBorders>
              <w:right w:val="single" w:sz="8" w:color="auto"/>
            </w:tcBorders>
          </w:tcPr>
          <w:p>
            <w:pPr>
              <w:spacing w:after="0"/>
              <w:rPr>
                <w:sz w:val="12"/>
                <w:szCs w:val="12"/>
                <w:color w:val="auto"/>
              </w:rPr>
            </w:pPr>
          </w:p>
        </w:tc>
        <w:tc>
          <w:tcPr>
            <w:tcW w:w="640" w:type="dxa"/>
            <w:vAlign w:val="bottom"/>
            <w:gridSpan w:val="2"/>
          </w:tcPr>
          <w:p>
            <w:pPr>
              <w:jc w:val="center"/>
              <w:ind w:left="195"/>
              <w:spacing w:after="0" w:line="122" w:lineRule="exact"/>
              <w:rPr>
                <w:sz w:val="20"/>
                <w:szCs w:val="20"/>
                <w:color w:val="auto"/>
              </w:rPr>
            </w:pPr>
            <w:r>
              <w:rPr>
                <w:rFonts w:ascii="Arial" w:cs="Arial" w:eastAsia="Arial" w:hAnsi="Arial"/>
                <w:sz w:val="11"/>
                <w:szCs w:val="11"/>
                <w:b w:val="1"/>
                <w:bCs w:val="1"/>
                <w:color w:val="auto"/>
                <w:w w:val="89"/>
              </w:rPr>
              <w:t>2019</w:t>
            </w:r>
          </w:p>
        </w:tc>
        <w:tc>
          <w:tcPr>
            <w:tcW w:w="260" w:type="dxa"/>
            <w:vAlign w:val="bottom"/>
          </w:tcPr>
          <w:p>
            <w:pPr>
              <w:spacing w:after="0"/>
              <w:rPr>
                <w:sz w:val="12"/>
                <w:szCs w:val="12"/>
                <w:color w:val="auto"/>
              </w:rPr>
            </w:pPr>
          </w:p>
        </w:tc>
        <w:tc>
          <w:tcPr>
            <w:tcW w:w="440" w:type="dxa"/>
            <w:vAlign w:val="bottom"/>
          </w:tcPr>
          <w:p>
            <w:pPr>
              <w:jc w:val="center"/>
              <w:spacing w:after="0" w:line="122" w:lineRule="exact"/>
              <w:rPr>
                <w:sz w:val="20"/>
                <w:szCs w:val="20"/>
                <w:color w:val="auto"/>
              </w:rPr>
            </w:pPr>
            <w:r>
              <w:rPr>
                <w:rFonts w:ascii="Arial" w:cs="Arial" w:eastAsia="Arial" w:hAnsi="Arial"/>
                <w:sz w:val="11"/>
                <w:szCs w:val="11"/>
                <w:b w:val="1"/>
                <w:bCs w:val="1"/>
                <w:color w:val="auto"/>
                <w:w w:val="89"/>
              </w:rPr>
              <w:t>2019</w:t>
            </w:r>
          </w:p>
        </w:tc>
        <w:tc>
          <w:tcPr>
            <w:tcW w:w="300" w:type="dxa"/>
            <w:vAlign w:val="bottom"/>
          </w:tcPr>
          <w:p>
            <w:pPr>
              <w:spacing w:after="0"/>
              <w:rPr>
                <w:sz w:val="12"/>
                <w:szCs w:val="12"/>
                <w:color w:val="auto"/>
              </w:rPr>
            </w:pPr>
          </w:p>
        </w:tc>
        <w:tc>
          <w:tcPr>
            <w:tcW w:w="460" w:type="dxa"/>
            <w:vAlign w:val="bottom"/>
          </w:tcPr>
          <w:p>
            <w:pPr>
              <w:jc w:val="center"/>
              <w:spacing w:after="0" w:line="122" w:lineRule="exact"/>
              <w:rPr>
                <w:sz w:val="20"/>
                <w:szCs w:val="20"/>
                <w:color w:val="auto"/>
              </w:rPr>
            </w:pPr>
            <w:r>
              <w:rPr>
                <w:rFonts w:ascii="Arial" w:cs="Arial" w:eastAsia="Arial" w:hAnsi="Arial"/>
                <w:sz w:val="11"/>
                <w:szCs w:val="11"/>
                <w:b w:val="1"/>
                <w:bCs w:val="1"/>
                <w:color w:val="auto"/>
                <w:w w:val="89"/>
              </w:rPr>
              <w:t>2019</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2000" w:type="dxa"/>
            <w:vAlign w:val="bottom"/>
            <w:tcBorders>
              <w:top w:val="single" w:sz="8" w:color="CCEEFF"/>
            </w:tcBorders>
            <w:gridSpan w:val="2"/>
            <w:shd w:val="clear" w:color="auto" w:fill="CCEEFF"/>
          </w:tcPr>
          <w:p>
            <w:pPr>
              <w:spacing w:after="0" w:line="136" w:lineRule="exact"/>
              <w:rPr>
                <w:sz w:val="20"/>
                <w:szCs w:val="20"/>
                <w:color w:val="auto"/>
              </w:rPr>
            </w:pPr>
            <w:r>
              <w:rPr>
                <w:rFonts w:ascii="Arial" w:cs="Arial" w:eastAsia="Arial" w:hAnsi="Arial"/>
                <w:sz w:val="13"/>
                <w:szCs w:val="13"/>
                <w:color w:val="auto"/>
              </w:rPr>
              <w:t>Reported gross profit</w:t>
            </w:r>
          </w:p>
        </w:tc>
        <w:tc>
          <w:tcPr>
            <w:tcW w:w="60" w:type="dxa"/>
            <w:vAlign w:val="bottom"/>
            <w:tcBorders>
              <w:top w:val="single" w:sz="8" w:color="CCEEFF"/>
            </w:tcBorders>
            <w:shd w:val="clear" w:color="auto" w:fill="CCEEFF"/>
          </w:tcPr>
          <w:p>
            <w:pPr>
              <w:spacing w:after="0"/>
              <w:rPr>
                <w:sz w:val="11"/>
                <w:szCs w:val="11"/>
                <w:color w:val="auto"/>
              </w:rPr>
            </w:pPr>
          </w:p>
        </w:tc>
        <w:tc>
          <w:tcPr>
            <w:tcW w:w="440" w:type="dxa"/>
            <w:vAlign w:val="bottom"/>
            <w:tcBorders>
              <w:top w:val="single" w:sz="8" w:color="auto"/>
            </w:tcBorders>
            <w:shd w:val="clear" w:color="auto" w:fill="CCEEFF"/>
          </w:tcPr>
          <w:p>
            <w:pPr>
              <w:jc w:val="center"/>
              <w:spacing w:after="0" w:line="136" w:lineRule="exact"/>
              <w:rPr>
                <w:sz w:val="20"/>
                <w:szCs w:val="20"/>
                <w:color w:val="auto"/>
              </w:rPr>
            </w:pPr>
            <w:r>
              <w:rPr>
                <w:rFonts w:ascii="Arial" w:cs="Arial" w:eastAsia="Arial" w:hAnsi="Arial"/>
                <w:sz w:val="13"/>
                <w:szCs w:val="13"/>
                <w:color w:val="auto"/>
                <w:w w:val="93"/>
              </w:rPr>
              <w:t>$29,952</w:t>
            </w:r>
          </w:p>
        </w:tc>
        <w:tc>
          <w:tcPr>
            <w:tcW w:w="280" w:type="dxa"/>
            <w:vAlign w:val="bottom"/>
            <w:tcBorders>
              <w:top w:val="single" w:sz="8" w:color="CCEEFF"/>
            </w:tcBorders>
            <w:shd w:val="clear" w:color="auto" w:fill="CCEEFF"/>
          </w:tcPr>
          <w:p>
            <w:pPr>
              <w:spacing w:after="0"/>
              <w:rPr>
                <w:sz w:val="11"/>
                <w:szCs w:val="11"/>
                <w:color w:val="auto"/>
              </w:rPr>
            </w:pPr>
          </w:p>
        </w:tc>
        <w:tc>
          <w:tcPr>
            <w:tcW w:w="460" w:type="dxa"/>
            <w:vAlign w:val="bottom"/>
            <w:tcBorders>
              <w:top w:val="single" w:sz="8" w:color="auto"/>
            </w:tcBorders>
            <w:shd w:val="clear" w:color="auto" w:fill="CCEEFF"/>
          </w:tcPr>
          <w:p>
            <w:pPr>
              <w:jc w:val="right"/>
              <w:spacing w:after="0" w:line="136" w:lineRule="exact"/>
              <w:rPr>
                <w:sz w:val="20"/>
                <w:szCs w:val="20"/>
                <w:color w:val="auto"/>
              </w:rPr>
            </w:pPr>
            <w:r>
              <w:rPr>
                <w:rFonts w:ascii="Arial" w:cs="Arial" w:eastAsia="Arial" w:hAnsi="Arial"/>
                <w:sz w:val="13"/>
                <w:szCs w:val="13"/>
                <w:color w:val="auto"/>
                <w:w w:val="86"/>
              </w:rPr>
              <w:t>$ 27,499</w:t>
            </w:r>
          </w:p>
        </w:tc>
        <w:tc>
          <w:tcPr>
            <w:tcW w:w="20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540" w:type="dxa"/>
            <w:vAlign w:val="bottom"/>
            <w:tcBorders>
              <w:top w:val="single" w:sz="8" w:color="auto"/>
            </w:tcBorders>
            <w:shd w:val="clear" w:color="auto" w:fill="CCEEFF"/>
          </w:tcPr>
          <w:p>
            <w:pPr>
              <w:jc w:val="right"/>
              <w:spacing w:after="0" w:line="136" w:lineRule="exact"/>
              <w:rPr>
                <w:sz w:val="20"/>
                <w:szCs w:val="20"/>
                <w:color w:val="auto"/>
              </w:rPr>
            </w:pPr>
            <w:r>
              <w:rPr>
                <w:rFonts w:ascii="Arial" w:cs="Arial" w:eastAsia="Arial" w:hAnsi="Arial"/>
                <w:sz w:val="13"/>
                <w:szCs w:val="13"/>
                <w:color w:val="auto"/>
              </w:rPr>
              <w:t>25,344</w:t>
            </w:r>
          </w:p>
        </w:tc>
        <w:tc>
          <w:tcPr>
            <w:tcW w:w="26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auto"/>
            </w:tcBorders>
            <w:shd w:val="clear" w:color="auto" w:fill="CCEEFF"/>
          </w:tcPr>
          <w:p>
            <w:pPr>
              <w:jc w:val="right"/>
              <w:spacing w:after="0" w:line="136" w:lineRule="exact"/>
              <w:rPr>
                <w:sz w:val="20"/>
                <w:szCs w:val="20"/>
                <w:color w:val="auto"/>
              </w:rPr>
            </w:pPr>
            <w:r>
              <w:rPr>
                <w:rFonts w:ascii="Arial" w:cs="Arial" w:eastAsia="Arial" w:hAnsi="Arial"/>
                <w:sz w:val="13"/>
                <w:szCs w:val="13"/>
                <w:color w:val="auto"/>
                <w:w w:val="82"/>
              </w:rPr>
              <w:t>$</w:t>
            </w:r>
          </w:p>
        </w:tc>
        <w:tc>
          <w:tcPr>
            <w:tcW w:w="540" w:type="dxa"/>
            <w:vAlign w:val="bottom"/>
            <w:tcBorders>
              <w:top w:val="single" w:sz="8" w:color="auto"/>
            </w:tcBorders>
            <w:shd w:val="clear" w:color="auto" w:fill="CCEEFF"/>
          </w:tcPr>
          <w:p>
            <w:pPr>
              <w:jc w:val="right"/>
              <w:spacing w:after="0" w:line="136" w:lineRule="exact"/>
              <w:rPr>
                <w:sz w:val="20"/>
                <w:szCs w:val="20"/>
                <w:color w:val="auto"/>
              </w:rPr>
            </w:pPr>
            <w:r>
              <w:rPr>
                <w:rFonts w:ascii="Arial" w:cs="Arial" w:eastAsia="Arial" w:hAnsi="Arial"/>
                <w:sz w:val="13"/>
                <w:szCs w:val="13"/>
                <w:color w:val="auto"/>
              </w:rPr>
              <w:t>22,660</w:t>
            </w:r>
          </w:p>
        </w:tc>
        <w:tc>
          <w:tcPr>
            <w:tcW w:w="20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440" w:type="dxa"/>
            <w:vAlign w:val="bottom"/>
            <w:tcBorders>
              <w:top w:val="single" w:sz="8" w:color="auto"/>
            </w:tcBorders>
            <w:shd w:val="clear" w:color="auto" w:fill="CCEEFF"/>
          </w:tcPr>
          <w:p>
            <w:pPr>
              <w:jc w:val="right"/>
              <w:spacing w:after="0" w:line="136" w:lineRule="exact"/>
              <w:rPr>
                <w:sz w:val="20"/>
                <w:szCs w:val="20"/>
                <w:color w:val="auto"/>
              </w:rPr>
            </w:pPr>
            <w:r>
              <w:rPr>
                <w:rFonts w:ascii="Arial" w:cs="Arial" w:eastAsia="Arial" w:hAnsi="Arial"/>
                <w:sz w:val="13"/>
                <w:szCs w:val="13"/>
                <w:color w:val="auto"/>
                <w:w w:val="89"/>
              </w:rPr>
              <w:t>$20,939</w:t>
            </w:r>
          </w:p>
        </w:tc>
        <w:tc>
          <w:tcPr>
            <w:tcW w:w="280" w:type="dxa"/>
            <w:vAlign w:val="bottom"/>
            <w:tcBorders>
              <w:top w:val="single" w:sz="8" w:color="CCEEFF"/>
            </w:tcBorders>
            <w:shd w:val="clear" w:color="auto" w:fill="CCEEFF"/>
          </w:tcPr>
          <w:p>
            <w:pPr>
              <w:spacing w:after="0"/>
              <w:rPr>
                <w:sz w:val="11"/>
                <w:szCs w:val="11"/>
                <w:color w:val="auto"/>
              </w:rPr>
            </w:pPr>
          </w:p>
        </w:tc>
        <w:tc>
          <w:tcPr>
            <w:tcW w:w="460" w:type="dxa"/>
            <w:vAlign w:val="bottom"/>
            <w:tcBorders>
              <w:top w:val="single" w:sz="8" w:color="auto"/>
            </w:tcBorders>
            <w:shd w:val="clear" w:color="auto" w:fill="CCEEFF"/>
          </w:tcPr>
          <w:p>
            <w:pPr>
              <w:jc w:val="right"/>
              <w:spacing w:after="0" w:line="136" w:lineRule="exact"/>
              <w:rPr>
                <w:sz w:val="20"/>
                <w:szCs w:val="20"/>
                <w:color w:val="auto"/>
              </w:rPr>
            </w:pPr>
            <w:r>
              <w:rPr>
                <w:rFonts w:ascii="Arial" w:cs="Arial" w:eastAsia="Arial" w:hAnsi="Arial"/>
                <w:sz w:val="13"/>
                <w:szCs w:val="13"/>
                <w:color w:val="auto"/>
                <w:w w:val="86"/>
              </w:rPr>
              <w:t>$ 18,906</w:t>
            </w:r>
          </w:p>
        </w:tc>
        <w:tc>
          <w:tcPr>
            <w:tcW w:w="20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520" w:type="dxa"/>
            <w:vAlign w:val="bottom"/>
            <w:tcBorders>
              <w:top w:val="single" w:sz="8" w:color="auto"/>
            </w:tcBorders>
            <w:shd w:val="clear" w:color="auto" w:fill="CCEEFF"/>
          </w:tcPr>
          <w:p>
            <w:pPr>
              <w:jc w:val="right"/>
              <w:spacing w:after="0" w:line="136" w:lineRule="exact"/>
              <w:rPr>
                <w:sz w:val="20"/>
                <w:szCs w:val="20"/>
                <w:color w:val="auto"/>
              </w:rPr>
            </w:pPr>
            <w:r>
              <w:rPr>
                <w:rFonts w:ascii="Arial" w:cs="Arial" w:eastAsia="Arial" w:hAnsi="Arial"/>
                <w:sz w:val="13"/>
                <w:szCs w:val="13"/>
                <w:color w:val="auto"/>
              </w:rPr>
              <w:t>15,796</w:t>
            </w:r>
          </w:p>
        </w:tc>
        <w:tc>
          <w:tcPr>
            <w:tcW w:w="28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auto"/>
            </w:tcBorders>
            <w:shd w:val="clear" w:color="auto" w:fill="CCEEFF"/>
          </w:tcPr>
          <w:p>
            <w:pPr>
              <w:jc w:val="right"/>
              <w:ind w:right="8"/>
              <w:spacing w:after="0"/>
              <w:rPr>
                <w:sz w:val="20"/>
                <w:szCs w:val="20"/>
                <w:color w:val="auto"/>
              </w:rPr>
            </w:pPr>
            <w:r>
              <w:rPr>
                <w:rFonts w:ascii="Arial" w:cs="Arial" w:eastAsia="Arial" w:hAnsi="Arial"/>
                <w:sz w:val="10"/>
                <w:szCs w:val="10"/>
                <w:color w:val="auto"/>
                <w:w w:val="71"/>
              </w:rPr>
              <w:t>$</w:t>
            </w:r>
          </w:p>
        </w:tc>
        <w:tc>
          <w:tcPr>
            <w:tcW w:w="540" w:type="dxa"/>
            <w:vAlign w:val="bottom"/>
            <w:tcBorders>
              <w:top w:val="single" w:sz="8" w:color="auto"/>
            </w:tcBorders>
            <w:shd w:val="clear" w:color="auto" w:fill="CCEEFF"/>
          </w:tcPr>
          <w:p>
            <w:pPr>
              <w:jc w:val="right"/>
              <w:spacing w:after="0" w:line="136" w:lineRule="exact"/>
              <w:rPr>
                <w:sz w:val="20"/>
                <w:szCs w:val="20"/>
                <w:color w:val="auto"/>
              </w:rPr>
            </w:pPr>
            <w:r>
              <w:rPr>
                <w:rFonts w:ascii="Arial" w:cs="Arial" w:eastAsia="Arial" w:hAnsi="Arial"/>
                <w:sz w:val="13"/>
                <w:szCs w:val="13"/>
                <w:color w:val="auto"/>
              </w:rPr>
              <w:t>10,967</w:t>
            </w:r>
          </w:p>
        </w:tc>
        <w:tc>
          <w:tcPr>
            <w:tcW w:w="26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auto"/>
              <w:right w:val="single" w:sz="8" w:color="auto"/>
            </w:tcBorders>
            <w:shd w:val="clear" w:color="auto" w:fill="CCEEFF"/>
          </w:tcPr>
          <w:p>
            <w:pPr>
              <w:spacing w:after="0"/>
              <w:rPr>
                <w:sz w:val="11"/>
                <w:szCs w:val="11"/>
                <w:color w:val="auto"/>
              </w:rPr>
            </w:pPr>
          </w:p>
        </w:tc>
        <w:tc>
          <w:tcPr>
            <w:tcW w:w="260" w:type="dxa"/>
            <w:vAlign w:val="bottom"/>
            <w:tcBorders>
              <w:top w:val="single" w:sz="8" w:color="CCEEFF"/>
            </w:tcBorders>
            <w:shd w:val="clear" w:color="auto" w:fill="CCEEFF"/>
          </w:tcPr>
          <w:p>
            <w:pPr>
              <w:spacing w:after="0"/>
              <w:rPr>
                <w:sz w:val="11"/>
                <w:szCs w:val="11"/>
                <w:color w:val="auto"/>
              </w:rPr>
            </w:pPr>
          </w:p>
        </w:tc>
        <w:tc>
          <w:tcPr>
            <w:tcW w:w="380" w:type="dxa"/>
            <w:vAlign w:val="bottom"/>
            <w:tcBorders>
              <w:top w:val="single" w:sz="8" w:color="auto"/>
            </w:tcBorders>
            <w:shd w:val="clear" w:color="auto" w:fill="CCEEFF"/>
          </w:tcPr>
          <w:p>
            <w:pPr>
              <w:jc w:val="right"/>
              <w:spacing w:after="0" w:line="136" w:lineRule="exact"/>
              <w:rPr>
                <w:sz w:val="20"/>
                <w:szCs w:val="20"/>
                <w:color w:val="auto"/>
              </w:rPr>
            </w:pPr>
            <w:r>
              <w:rPr>
                <w:rFonts w:ascii="Arial" w:cs="Arial" w:eastAsia="Arial" w:hAnsi="Arial"/>
                <w:sz w:val="13"/>
                <w:szCs w:val="13"/>
                <w:color w:val="auto"/>
                <w:w w:val="90"/>
              </w:rPr>
              <w:t>$3,297</w:t>
            </w:r>
          </w:p>
        </w:tc>
        <w:tc>
          <w:tcPr>
            <w:tcW w:w="260" w:type="dxa"/>
            <w:vAlign w:val="bottom"/>
            <w:tcBorders>
              <w:top w:val="single" w:sz="8" w:color="CCEEFF"/>
            </w:tcBorders>
            <w:shd w:val="clear" w:color="auto" w:fill="CCEEFF"/>
          </w:tcPr>
          <w:p>
            <w:pPr>
              <w:spacing w:after="0"/>
              <w:rPr>
                <w:sz w:val="11"/>
                <w:szCs w:val="11"/>
                <w:color w:val="auto"/>
              </w:rPr>
            </w:pPr>
          </w:p>
        </w:tc>
        <w:tc>
          <w:tcPr>
            <w:tcW w:w="440" w:type="dxa"/>
            <w:vAlign w:val="bottom"/>
            <w:tcBorders>
              <w:top w:val="single" w:sz="8" w:color="auto"/>
            </w:tcBorders>
            <w:shd w:val="clear" w:color="auto" w:fill="CCEEFF"/>
          </w:tcPr>
          <w:p>
            <w:pPr>
              <w:jc w:val="right"/>
              <w:spacing w:after="0" w:line="136" w:lineRule="exact"/>
              <w:rPr>
                <w:sz w:val="20"/>
                <w:szCs w:val="20"/>
                <w:color w:val="auto"/>
              </w:rPr>
            </w:pPr>
            <w:r>
              <w:rPr>
                <w:rFonts w:ascii="Arial" w:cs="Arial" w:eastAsia="Arial" w:hAnsi="Arial"/>
                <w:sz w:val="13"/>
                <w:szCs w:val="13"/>
                <w:color w:val="auto"/>
                <w:w w:val="89"/>
              </w:rPr>
              <w:t>$20,177</w:t>
            </w:r>
          </w:p>
        </w:tc>
        <w:tc>
          <w:tcPr>
            <w:tcW w:w="300" w:type="dxa"/>
            <w:vAlign w:val="bottom"/>
            <w:tcBorders>
              <w:top w:val="single" w:sz="8" w:color="CCEEFF"/>
            </w:tcBorders>
            <w:shd w:val="clear" w:color="auto" w:fill="CCEEFF"/>
          </w:tcPr>
          <w:p>
            <w:pPr>
              <w:spacing w:after="0"/>
              <w:rPr>
                <w:sz w:val="11"/>
                <w:szCs w:val="11"/>
                <w:color w:val="auto"/>
              </w:rPr>
            </w:pPr>
          </w:p>
        </w:tc>
        <w:tc>
          <w:tcPr>
            <w:tcW w:w="460" w:type="dxa"/>
            <w:vAlign w:val="bottom"/>
            <w:tcBorders>
              <w:top w:val="single" w:sz="8" w:color="auto"/>
            </w:tcBorders>
            <w:shd w:val="clear" w:color="auto" w:fill="CCEEFF"/>
          </w:tcPr>
          <w:p>
            <w:pPr>
              <w:jc w:val="right"/>
              <w:spacing w:after="0" w:line="136" w:lineRule="exact"/>
              <w:rPr>
                <w:sz w:val="20"/>
                <w:szCs w:val="20"/>
                <w:color w:val="auto"/>
              </w:rPr>
            </w:pPr>
            <w:r>
              <w:rPr>
                <w:rFonts w:ascii="Arial" w:cs="Arial" w:eastAsia="Arial" w:hAnsi="Arial"/>
                <w:sz w:val="13"/>
                <w:szCs w:val="13"/>
                <w:color w:val="auto"/>
                <w:w w:val="86"/>
              </w:rPr>
              <w:t>$ 16,656</w:t>
            </w:r>
          </w:p>
        </w:tc>
        <w:tc>
          <w:tcPr>
            <w:tcW w:w="160" w:type="dxa"/>
            <w:vAlign w:val="bottom"/>
            <w:tcBorders>
              <w:top w:val="single" w:sz="8" w:color="CCEEFF"/>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8"/>
        </w:trPr>
        <w:tc>
          <w:tcPr>
            <w:tcW w:w="2000" w:type="dxa"/>
            <w:vAlign w:val="bottom"/>
            <w:gridSpan w:val="2"/>
          </w:tcPr>
          <w:p>
            <w:pPr>
              <w:spacing w:after="0" w:line="138" w:lineRule="exact"/>
              <w:rPr>
                <w:sz w:val="20"/>
                <w:szCs w:val="20"/>
                <w:color w:val="auto"/>
              </w:rPr>
            </w:pPr>
            <w:r>
              <w:rPr>
                <w:rFonts w:ascii="Arial" w:cs="Arial" w:eastAsia="Arial" w:hAnsi="Arial"/>
                <w:sz w:val="13"/>
                <w:szCs w:val="13"/>
                <w:color w:val="auto"/>
              </w:rPr>
              <w:t>Amortization of intangible assets</w:t>
            </w:r>
          </w:p>
        </w:tc>
        <w:tc>
          <w:tcPr>
            <w:tcW w:w="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0" w:type="dxa"/>
            <w:vAlign w:val="bottom"/>
            <w:tcBorders>
              <w:right w:val="single" w:sz="8" w:color="auto"/>
            </w:tcBorders>
          </w:tcPr>
          <w:p>
            <w:pPr>
              <w:spacing w:after="0"/>
              <w:rPr>
                <w:sz w:val="11"/>
                <w:szCs w:val="11"/>
                <w:color w:val="auto"/>
              </w:rPr>
            </w:pPr>
          </w:p>
        </w:tc>
        <w:tc>
          <w:tcPr>
            <w:tcW w:w="2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2000" w:type="dxa"/>
            <w:vAlign w:val="bottom"/>
            <w:gridSpan w:val="2"/>
          </w:tcPr>
          <w:p>
            <w:pPr>
              <w:ind w:left="140"/>
              <w:spacing w:after="0"/>
              <w:rPr>
                <w:sz w:val="20"/>
                <w:szCs w:val="20"/>
                <w:color w:val="auto"/>
              </w:rPr>
            </w:pPr>
            <w:r>
              <w:rPr>
                <w:rFonts w:ascii="Arial" w:cs="Arial" w:eastAsia="Arial" w:hAnsi="Arial"/>
                <w:sz w:val="13"/>
                <w:szCs w:val="13"/>
                <w:color w:val="auto"/>
                <w:w w:val="97"/>
              </w:rPr>
              <w:t>resulting from acquisition-related</w:t>
            </w:r>
          </w:p>
        </w:tc>
        <w:tc>
          <w:tcPr>
            <w:tcW w:w="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0" w:type="dxa"/>
            <w:vAlign w:val="bottom"/>
            <w:tcBorders>
              <w:right w:val="single" w:sz="8" w:color="auto"/>
            </w:tcBorders>
          </w:tcPr>
          <w:p>
            <w:pPr>
              <w:spacing w:after="0"/>
              <w:rPr>
                <w:sz w:val="12"/>
                <w:szCs w:val="12"/>
                <w:color w:val="auto"/>
              </w:rPr>
            </w:pPr>
          </w:p>
        </w:tc>
        <w:tc>
          <w:tcPr>
            <w:tcW w:w="2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00" w:type="dxa"/>
            <w:vAlign w:val="bottom"/>
            <w:gridSpan w:val="2"/>
          </w:tcPr>
          <w:p>
            <w:pPr>
              <w:ind w:left="140"/>
              <w:spacing w:after="0"/>
              <w:rPr>
                <w:sz w:val="20"/>
                <w:szCs w:val="20"/>
                <w:color w:val="auto"/>
              </w:rPr>
            </w:pPr>
            <w:r>
              <w:rPr>
                <w:rFonts w:ascii="Arial" w:cs="Arial" w:eastAsia="Arial" w:hAnsi="Arial"/>
                <w:sz w:val="13"/>
                <w:szCs w:val="13"/>
                <w:color w:val="auto"/>
              </w:rPr>
              <w:t>purchase accounting</w:t>
            </w:r>
          </w:p>
        </w:tc>
        <w:tc>
          <w:tcPr>
            <w:tcW w:w="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0" w:type="dxa"/>
            <w:vAlign w:val="bottom"/>
            <w:tcBorders>
              <w:right w:val="single" w:sz="8" w:color="auto"/>
            </w:tcBorders>
          </w:tcPr>
          <w:p>
            <w:pPr>
              <w:spacing w:after="0"/>
              <w:rPr>
                <w:sz w:val="12"/>
                <w:szCs w:val="12"/>
                <w:color w:val="auto"/>
              </w:rPr>
            </w:pPr>
          </w:p>
        </w:tc>
        <w:tc>
          <w:tcPr>
            <w:tcW w:w="2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2000" w:type="dxa"/>
            <w:vAlign w:val="bottom"/>
            <w:gridSpan w:val="2"/>
          </w:tcPr>
          <w:p>
            <w:pPr>
              <w:ind w:left="140"/>
              <w:spacing w:after="0"/>
              <w:rPr>
                <w:sz w:val="20"/>
                <w:szCs w:val="20"/>
                <w:color w:val="auto"/>
              </w:rPr>
            </w:pPr>
            <w:r>
              <w:rPr>
                <w:rFonts w:ascii="Arial" w:cs="Arial" w:eastAsia="Arial" w:hAnsi="Arial"/>
                <w:sz w:val="13"/>
                <w:szCs w:val="13"/>
                <w:color w:val="auto"/>
              </w:rPr>
              <w:t>adjustments</w:t>
            </w:r>
            <w:r>
              <w:rPr>
                <w:rFonts w:ascii="Arial" w:cs="Arial" w:eastAsia="Arial" w:hAnsi="Arial"/>
                <w:sz w:val="11"/>
                <w:szCs w:val="11"/>
                <w:color w:val="auto"/>
              </w:rPr>
              <w:t>(1)</w:t>
            </w:r>
          </w:p>
        </w:tc>
        <w:tc>
          <w:tcPr>
            <w:tcW w:w="780" w:type="dxa"/>
            <w:vAlign w:val="bottom"/>
            <w:gridSpan w:val="3"/>
          </w:tcPr>
          <w:p>
            <w:pPr>
              <w:jc w:val="right"/>
              <w:ind w:right="280"/>
              <w:spacing w:after="0"/>
              <w:rPr>
                <w:sz w:val="20"/>
                <w:szCs w:val="20"/>
                <w:color w:val="auto"/>
              </w:rPr>
            </w:pPr>
            <w:r>
              <w:rPr>
                <w:rFonts w:ascii="Arial" w:cs="Arial" w:eastAsia="Arial" w:hAnsi="Arial"/>
                <w:sz w:val="13"/>
                <w:szCs w:val="13"/>
                <w:color w:val="auto"/>
              </w:rPr>
              <w:t>5,042</w:t>
            </w:r>
          </w:p>
        </w:tc>
        <w:tc>
          <w:tcPr>
            <w:tcW w:w="460" w:type="dxa"/>
            <w:vAlign w:val="bottom"/>
          </w:tcPr>
          <w:p>
            <w:pPr>
              <w:jc w:val="right"/>
              <w:spacing w:after="0"/>
              <w:rPr>
                <w:sz w:val="20"/>
                <w:szCs w:val="20"/>
                <w:color w:val="auto"/>
              </w:rPr>
            </w:pPr>
            <w:r>
              <w:rPr>
                <w:rFonts w:ascii="Arial" w:cs="Arial" w:eastAsia="Arial" w:hAnsi="Arial"/>
                <w:sz w:val="13"/>
                <w:szCs w:val="13"/>
                <w:color w:val="auto"/>
              </w:rPr>
              <w:t>4,987</w:t>
            </w: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gridSpan w:val="2"/>
          </w:tcPr>
          <w:p>
            <w:pPr>
              <w:jc w:val="right"/>
              <w:ind w:right="260"/>
              <w:spacing w:after="0"/>
              <w:rPr>
                <w:sz w:val="20"/>
                <w:szCs w:val="20"/>
                <w:color w:val="auto"/>
              </w:rPr>
            </w:pPr>
            <w:r>
              <w:rPr>
                <w:rFonts w:ascii="Arial" w:cs="Arial" w:eastAsia="Arial" w:hAnsi="Arial"/>
                <w:sz w:val="13"/>
                <w:szCs w:val="13"/>
                <w:color w:val="auto"/>
              </w:rPr>
              <w:t>4,994</w:t>
            </w:r>
          </w:p>
        </w:tc>
        <w:tc>
          <w:tcPr>
            <w:tcW w:w="120" w:type="dxa"/>
            <w:vAlign w:val="bottom"/>
          </w:tcPr>
          <w:p>
            <w:pPr>
              <w:spacing w:after="0"/>
              <w:rPr>
                <w:sz w:val="13"/>
                <w:szCs w:val="13"/>
                <w:color w:val="auto"/>
              </w:rPr>
            </w:pPr>
          </w:p>
        </w:tc>
        <w:tc>
          <w:tcPr>
            <w:tcW w:w="540" w:type="dxa"/>
            <w:vAlign w:val="bottom"/>
          </w:tcPr>
          <w:p>
            <w:pPr>
              <w:jc w:val="right"/>
              <w:spacing w:after="0"/>
              <w:rPr>
                <w:sz w:val="20"/>
                <w:szCs w:val="20"/>
                <w:color w:val="auto"/>
              </w:rPr>
            </w:pPr>
            <w:r>
              <w:rPr>
                <w:rFonts w:ascii="Arial" w:cs="Arial" w:eastAsia="Arial" w:hAnsi="Arial"/>
                <w:sz w:val="13"/>
                <w:szCs w:val="13"/>
                <w:color w:val="auto"/>
              </w:rPr>
              <w:t>4,759</w:t>
            </w:r>
          </w:p>
        </w:tc>
        <w:tc>
          <w:tcPr>
            <w:tcW w:w="200" w:type="dxa"/>
            <w:vAlign w:val="bottom"/>
          </w:tcPr>
          <w:p>
            <w:pPr>
              <w:spacing w:after="0"/>
              <w:rPr>
                <w:sz w:val="13"/>
                <w:szCs w:val="13"/>
                <w:color w:val="auto"/>
              </w:rPr>
            </w:pPr>
          </w:p>
        </w:tc>
        <w:tc>
          <w:tcPr>
            <w:tcW w:w="800" w:type="dxa"/>
            <w:vAlign w:val="bottom"/>
            <w:gridSpan w:val="3"/>
          </w:tcPr>
          <w:p>
            <w:pPr>
              <w:jc w:val="right"/>
              <w:ind w:right="280"/>
              <w:spacing w:after="0"/>
              <w:rPr>
                <w:sz w:val="20"/>
                <w:szCs w:val="20"/>
                <w:color w:val="auto"/>
              </w:rPr>
            </w:pPr>
            <w:r>
              <w:rPr>
                <w:rFonts w:ascii="Arial" w:cs="Arial" w:eastAsia="Arial" w:hAnsi="Arial"/>
                <w:sz w:val="13"/>
                <w:szCs w:val="13"/>
                <w:color w:val="auto"/>
              </w:rPr>
              <w:t>4,708</w:t>
            </w:r>
          </w:p>
        </w:tc>
        <w:tc>
          <w:tcPr>
            <w:tcW w:w="460" w:type="dxa"/>
            <w:vAlign w:val="bottom"/>
          </w:tcPr>
          <w:p>
            <w:pPr>
              <w:jc w:val="right"/>
              <w:spacing w:after="0"/>
              <w:rPr>
                <w:sz w:val="20"/>
                <w:szCs w:val="20"/>
                <w:color w:val="auto"/>
              </w:rPr>
            </w:pPr>
            <w:r>
              <w:rPr>
                <w:rFonts w:ascii="Arial" w:cs="Arial" w:eastAsia="Arial" w:hAnsi="Arial"/>
                <w:sz w:val="13"/>
                <w:szCs w:val="13"/>
                <w:color w:val="auto"/>
              </w:rPr>
              <w:t>4,708</w:t>
            </w: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gridSpan w:val="2"/>
          </w:tcPr>
          <w:p>
            <w:pPr>
              <w:jc w:val="right"/>
              <w:ind w:right="280"/>
              <w:spacing w:after="0"/>
              <w:rPr>
                <w:sz w:val="20"/>
                <w:szCs w:val="20"/>
                <w:color w:val="auto"/>
              </w:rPr>
            </w:pPr>
            <w:r>
              <w:rPr>
                <w:rFonts w:ascii="Arial" w:cs="Arial" w:eastAsia="Arial" w:hAnsi="Arial"/>
                <w:sz w:val="13"/>
                <w:szCs w:val="13"/>
                <w:color w:val="auto"/>
              </w:rPr>
              <w:t>4,696</w:t>
            </w:r>
          </w:p>
        </w:tc>
        <w:tc>
          <w:tcPr>
            <w:tcW w:w="120" w:type="dxa"/>
            <w:vAlign w:val="bottom"/>
          </w:tcPr>
          <w:p>
            <w:pPr>
              <w:spacing w:after="0"/>
              <w:rPr>
                <w:sz w:val="13"/>
                <w:szCs w:val="13"/>
                <w:color w:val="auto"/>
              </w:rPr>
            </w:pPr>
          </w:p>
        </w:tc>
        <w:tc>
          <w:tcPr>
            <w:tcW w:w="540" w:type="dxa"/>
            <w:vAlign w:val="bottom"/>
          </w:tcPr>
          <w:p>
            <w:pPr>
              <w:jc w:val="right"/>
              <w:spacing w:after="0"/>
              <w:rPr>
                <w:sz w:val="20"/>
                <w:szCs w:val="20"/>
                <w:color w:val="auto"/>
              </w:rPr>
            </w:pPr>
            <w:r>
              <w:rPr>
                <w:rFonts w:ascii="Arial" w:cs="Arial" w:eastAsia="Arial" w:hAnsi="Arial"/>
                <w:sz w:val="13"/>
                <w:szCs w:val="13"/>
                <w:color w:val="auto"/>
              </w:rPr>
              <w:t>3,906</w:t>
            </w:r>
          </w:p>
        </w:tc>
        <w:tc>
          <w:tcPr>
            <w:tcW w:w="260" w:type="dxa"/>
            <w:vAlign w:val="bottom"/>
          </w:tcPr>
          <w:p>
            <w:pPr>
              <w:spacing w:after="0"/>
              <w:rPr>
                <w:sz w:val="13"/>
                <w:szCs w:val="13"/>
                <w:color w:val="auto"/>
              </w:rPr>
            </w:pPr>
          </w:p>
        </w:tc>
        <w:tc>
          <w:tcPr>
            <w:tcW w:w="120" w:type="dxa"/>
            <w:vAlign w:val="bottom"/>
            <w:tcBorders>
              <w:right w:val="single" w:sz="8" w:color="auto"/>
            </w:tcBorders>
          </w:tcPr>
          <w:p>
            <w:pPr>
              <w:spacing w:after="0"/>
              <w:rPr>
                <w:sz w:val="13"/>
                <w:szCs w:val="13"/>
                <w:color w:val="auto"/>
              </w:rPr>
            </w:pPr>
          </w:p>
        </w:tc>
        <w:tc>
          <w:tcPr>
            <w:tcW w:w="900" w:type="dxa"/>
            <w:vAlign w:val="bottom"/>
            <w:gridSpan w:val="3"/>
          </w:tcPr>
          <w:p>
            <w:pPr>
              <w:jc w:val="right"/>
              <w:ind w:right="260"/>
              <w:spacing w:after="0"/>
              <w:rPr>
                <w:sz w:val="20"/>
                <w:szCs w:val="20"/>
                <w:color w:val="auto"/>
              </w:rPr>
            </w:pPr>
            <w:r>
              <w:rPr>
                <w:rFonts w:ascii="Arial" w:cs="Arial" w:eastAsia="Arial" w:hAnsi="Arial"/>
                <w:sz w:val="13"/>
                <w:szCs w:val="13"/>
                <w:color w:val="auto"/>
              </w:rPr>
              <w:t>41</w:t>
            </w:r>
          </w:p>
        </w:tc>
        <w:tc>
          <w:tcPr>
            <w:tcW w:w="440" w:type="dxa"/>
            <w:vAlign w:val="bottom"/>
          </w:tcPr>
          <w:p>
            <w:pPr>
              <w:jc w:val="right"/>
              <w:spacing w:after="0"/>
              <w:rPr>
                <w:sz w:val="20"/>
                <w:szCs w:val="20"/>
                <w:color w:val="auto"/>
              </w:rPr>
            </w:pPr>
            <w:r>
              <w:rPr>
                <w:rFonts w:ascii="Arial" w:cs="Arial" w:eastAsia="Arial" w:hAnsi="Arial"/>
                <w:sz w:val="13"/>
                <w:szCs w:val="13"/>
                <w:color w:val="auto"/>
              </w:rPr>
              <w:t>249</w:t>
            </w:r>
          </w:p>
        </w:tc>
        <w:tc>
          <w:tcPr>
            <w:tcW w:w="300" w:type="dxa"/>
            <w:vAlign w:val="bottom"/>
          </w:tcPr>
          <w:p>
            <w:pPr>
              <w:spacing w:after="0"/>
              <w:rPr>
                <w:sz w:val="13"/>
                <w:szCs w:val="13"/>
                <w:color w:val="auto"/>
              </w:rPr>
            </w:pPr>
          </w:p>
        </w:tc>
        <w:tc>
          <w:tcPr>
            <w:tcW w:w="460" w:type="dxa"/>
            <w:vAlign w:val="bottom"/>
          </w:tcPr>
          <w:p>
            <w:pPr>
              <w:jc w:val="right"/>
              <w:spacing w:after="0"/>
              <w:rPr>
                <w:sz w:val="20"/>
                <w:szCs w:val="20"/>
                <w:color w:val="auto"/>
              </w:rPr>
            </w:pPr>
            <w:r>
              <w:rPr>
                <w:rFonts w:ascii="Arial" w:cs="Arial" w:eastAsia="Arial" w:hAnsi="Arial"/>
                <w:sz w:val="13"/>
                <w:szCs w:val="13"/>
                <w:color w:val="auto"/>
              </w:rPr>
              <w:t>208</w:t>
            </w:r>
          </w:p>
        </w:tc>
        <w:tc>
          <w:tcPr>
            <w:tcW w:w="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200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Equity compensation costs</w:t>
            </w:r>
          </w:p>
        </w:tc>
        <w:tc>
          <w:tcPr>
            <w:tcW w:w="60" w:type="dxa"/>
            <w:vAlign w:val="bottom"/>
            <w:shd w:val="clear" w:color="auto" w:fill="CCEEFF"/>
          </w:tcPr>
          <w:p>
            <w:pPr>
              <w:spacing w:after="0"/>
              <w:rPr>
                <w:sz w:val="12"/>
                <w:szCs w:val="12"/>
                <w:color w:val="auto"/>
              </w:rPr>
            </w:pPr>
          </w:p>
        </w:tc>
        <w:tc>
          <w:tcPr>
            <w:tcW w:w="720" w:type="dxa"/>
            <w:vAlign w:val="bottom"/>
            <w:tcBorders>
              <w:bottom w:val="single" w:sz="8" w:color="auto"/>
            </w:tcBorders>
            <w:gridSpan w:val="2"/>
            <w:shd w:val="clear" w:color="auto" w:fill="CCEEFF"/>
          </w:tcPr>
          <w:p>
            <w:pPr>
              <w:jc w:val="right"/>
              <w:ind w:right="280"/>
              <w:spacing w:after="0"/>
              <w:rPr>
                <w:sz w:val="20"/>
                <w:szCs w:val="20"/>
                <w:color w:val="auto"/>
              </w:rPr>
            </w:pPr>
            <w:r>
              <w:rPr>
                <w:rFonts w:ascii="Arial" w:cs="Arial" w:eastAsia="Arial" w:hAnsi="Arial"/>
                <w:sz w:val="13"/>
                <w:szCs w:val="13"/>
                <w:color w:val="auto"/>
              </w:rPr>
              <w:t>16</w:t>
            </w: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15</w:t>
            </w:r>
          </w:p>
        </w:tc>
        <w:tc>
          <w:tcPr>
            <w:tcW w:w="200" w:type="dxa"/>
            <w:vAlign w:val="bottom"/>
            <w:tcBorders>
              <w:bottom w:val="single" w:sz="8" w:color="auto"/>
            </w:tcBorders>
            <w:shd w:val="clear" w:color="auto" w:fill="CCEEFF"/>
          </w:tcPr>
          <w:p>
            <w:pPr>
              <w:spacing w:after="0"/>
              <w:rPr>
                <w:sz w:val="12"/>
                <w:szCs w:val="12"/>
                <w:color w:val="auto"/>
              </w:rPr>
            </w:pPr>
          </w:p>
        </w:tc>
        <w:tc>
          <w:tcPr>
            <w:tcW w:w="80" w:type="dxa"/>
            <w:vAlign w:val="bottom"/>
            <w:tcBorders>
              <w:bottom w:val="single" w:sz="8" w:color="auto"/>
            </w:tcBorders>
            <w:shd w:val="clear" w:color="auto" w:fill="CCEEFF"/>
          </w:tcPr>
          <w:p>
            <w:pPr>
              <w:spacing w:after="0"/>
              <w:rPr>
                <w:sz w:val="12"/>
                <w:szCs w:val="12"/>
                <w:color w:val="auto"/>
              </w:rPr>
            </w:pPr>
          </w:p>
        </w:tc>
        <w:tc>
          <w:tcPr>
            <w:tcW w:w="100" w:type="dxa"/>
            <w:vAlign w:val="bottom"/>
            <w:tcBorders>
              <w:bottom w:val="single" w:sz="8" w:color="auto"/>
            </w:tcBorders>
            <w:shd w:val="clear" w:color="auto" w:fill="CCEEFF"/>
          </w:tcPr>
          <w:p>
            <w:pPr>
              <w:spacing w:after="0"/>
              <w:rPr>
                <w:sz w:val="12"/>
                <w:szCs w:val="12"/>
                <w:color w:val="auto"/>
              </w:rPr>
            </w:pPr>
          </w:p>
        </w:tc>
        <w:tc>
          <w:tcPr>
            <w:tcW w:w="800" w:type="dxa"/>
            <w:vAlign w:val="bottom"/>
            <w:tcBorders>
              <w:bottom w:val="single" w:sz="8" w:color="auto"/>
            </w:tcBorders>
            <w:gridSpan w:val="2"/>
            <w:shd w:val="clear" w:color="auto" w:fill="CCEEFF"/>
          </w:tcPr>
          <w:p>
            <w:pPr>
              <w:jc w:val="right"/>
              <w:ind w:right="260"/>
              <w:spacing w:after="0"/>
              <w:rPr>
                <w:sz w:val="20"/>
                <w:szCs w:val="20"/>
                <w:color w:val="auto"/>
              </w:rPr>
            </w:pPr>
            <w:r>
              <w:rPr>
                <w:rFonts w:ascii="Arial" w:cs="Arial" w:eastAsia="Arial" w:hAnsi="Arial"/>
                <w:sz w:val="13"/>
                <w:szCs w:val="13"/>
                <w:color w:val="auto"/>
              </w:rPr>
              <w:t>16</w:t>
            </w:r>
          </w:p>
        </w:tc>
        <w:tc>
          <w:tcPr>
            <w:tcW w:w="120" w:type="dxa"/>
            <w:vAlign w:val="bottom"/>
            <w:tcBorders>
              <w:bottom w:val="single" w:sz="8" w:color="auto"/>
            </w:tcBorders>
            <w:shd w:val="clear" w:color="auto" w:fill="CCEEFF"/>
          </w:tcPr>
          <w:p>
            <w:pPr>
              <w:spacing w:after="0"/>
              <w:rPr>
                <w:sz w:val="12"/>
                <w:szCs w:val="12"/>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16</w:t>
            </w:r>
          </w:p>
        </w:tc>
        <w:tc>
          <w:tcPr>
            <w:tcW w:w="200" w:type="dxa"/>
            <w:vAlign w:val="bottom"/>
            <w:tcBorders>
              <w:bottom w:val="single" w:sz="8" w:color="auto"/>
            </w:tcBorders>
            <w:shd w:val="clear" w:color="auto" w:fill="CCEEFF"/>
          </w:tcPr>
          <w:p>
            <w:pPr>
              <w:spacing w:after="0"/>
              <w:rPr>
                <w:sz w:val="12"/>
                <w:szCs w:val="12"/>
                <w:color w:val="auto"/>
              </w:rPr>
            </w:pPr>
          </w:p>
        </w:tc>
        <w:tc>
          <w:tcPr>
            <w:tcW w:w="800" w:type="dxa"/>
            <w:vAlign w:val="bottom"/>
            <w:tcBorders>
              <w:bottom w:val="single" w:sz="8" w:color="auto"/>
            </w:tcBorders>
            <w:gridSpan w:val="3"/>
            <w:shd w:val="clear" w:color="auto" w:fill="CCEEFF"/>
          </w:tcPr>
          <w:p>
            <w:pPr>
              <w:jc w:val="right"/>
              <w:ind w:right="280"/>
              <w:spacing w:after="0"/>
              <w:rPr>
                <w:sz w:val="20"/>
                <w:szCs w:val="20"/>
                <w:color w:val="auto"/>
              </w:rPr>
            </w:pPr>
            <w:r>
              <w:rPr>
                <w:rFonts w:ascii="Arial" w:cs="Arial" w:eastAsia="Arial" w:hAnsi="Arial"/>
                <w:sz w:val="13"/>
                <w:szCs w:val="13"/>
                <w:color w:val="auto"/>
              </w:rPr>
              <w:t>15</w:t>
            </w: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15</w:t>
            </w:r>
          </w:p>
        </w:tc>
        <w:tc>
          <w:tcPr>
            <w:tcW w:w="200" w:type="dxa"/>
            <w:vAlign w:val="bottom"/>
            <w:tcBorders>
              <w:bottom w:val="single" w:sz="8" w:color="auto"/>
            </w:tcBorders>
            <w:shd w:val="clear" w:color="auto" w:fill="CCEEFF"/>
          </w:tcPr>
          <w:p>
            <w:pPr>
              <w:spacing w:after="0"/>
              <w:rPr>
                <w:sz w:val="12"/>
                <w:szCs w:val="12"/>
                <w:color w:val="auto"/>
              </w:rPr>
            </w:pPr>
          </w:p>
        </w:tc>
        <w:tc>
          <w:tcPr>
            <w:tcW w:w="80" w:type="dxa"/>
            <w:vAlign w:val="bottom"/>
            <w:tcBorders>
              <w:bottom w:val="single" w:sz="8" w:color="auto"/>
            </w:tcBorders>
            <w:shd w:val="clear" w:color="auto" w:fill="CCEEFF"/>
          </w:tcPr>
          <w:p>
            <w:pPr>
              <w:spacing w:after="0"/>
              <w:rPr>
                <w:sz w:val="12"/>
                <w:szCs w:val="12"/>
                <w:color w:val="auto"/>
              </w:rPr>
            </w:pPr>
          </w:p>
        </w:tc>
        <w:tc>
          <w:tcPr>
            <w:tcW w:w="100" w:type="dxa"/>
            <w:vAlign w:val="bottom"/>
            <w:tcBorders>
              <w:bottom w:val="single" w:sz="8" w:color="auto"/>
            </w:tcBorders>
            <w:shd w:val="clear" w:color="auto" w:fill="CCEEFF"/>
          </w:tcPr>
          <w:p>
            <w:pPr>
              <w:spacing w:after="0"/>
              <w:rPr>
                <w:sz w:val="12"/>
                <w:szCs w:val="12"/>
                <w:color w:val="auto"/>
              </w:rPr>
            </w:pPr>
          </w:p>
        </w:tc>
        <w:tc>
          <w:tcPr>
            <w:tcW w:w="800" w:type="dxa"/>
            <w:vAlign w:val="bottom"/>
            <w:tcBorders>
              <w:bottom w:val="single" w:sz="8" w:color="auto"/>
            </w:tcBorders>
            <w:gridSpan w:val="2"/>
            <w:shd w:val="clear" w:color="auto" w:fill="CCEEFF"/>
          </w:tcPr>
          <w:p>
            <w:pPr>
              <w:jc w:val="right"/>
              <w:ind w:right="280"/>
              <w:spacing w:after="0"/>
              <w:rPr>
                <w:sz w:val="20"/>
                <w:szCs w:val="20"/>
                <w:color w:val="auto"/>
              </w:rPr>
            </w:pPr>
            <w:r>
              <w:rPr>
                <w:rFonts w:ascii="Arial" w:cs="Arial" w:eastAsia="Arial" w:hAnsi="Arial"/>
                <w:sz w:val="13"/>
                <w:szCs w:val="13"/>
                <w:color w:val="auto"/>
              </w:rPr>
              <w:t>15</w:t>
            </w:r>
          </w:p>
        </w:tc>
        <w:tc>
          <w:tcPr>
            <w:tcW w:w="120" w:type="dxa"/>
            <w:vAlign w:val="bottom"/>
            <w:tcBorders>
              <w:bottom w:val="single" w:sz="8" w:color="auto"/>
            </w:tcBorders>
            <w:shd w:val="clear" w:color="auto" w:fill="CCEEFF"/>
          </w:tcPr>
          <w:p>
            <w:pPr>
              <w:spacing w:after="0"/>
              <w:rPr>
                <w:sz w:val="12"/>
                <w:szCs w:val="12"/>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13</w:t>
            </w:r>
          </w:p>
        </w:tc>
        <w:tc>
          <w:tcPr>
            <w:tcW w:w="260" w:type="dxa"/>
            <w:vAlign w:val="bottom"/>
            <w:shd w:val="clear" w:color="auto" w:fill="CCEEFF"/>
          </w:tcPr>
          <w:p>
            <w:pPr>
              <w:spacing w:after="0"/>
              <w:rPr>
                <w:sz w:val="12"/>
                <w:szCs w:val="12"/>
                <w:color w:val="auto"/>
              </w:rPr>
            </w:pPr>
          </w:p>
        </w:tc>
        <w:tc>
          <w:tcPr>
            <w:tcW w:w="120" w:type="dxa"/>
            <w:vAlign w:val="bottom"/>
            <w:tcBorders>
              <w:right w:val="single" w:sz="8" w:color="auto"/>
            </w:tcBorders>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640" w:type="dxa"/>
            <w:vAlign w:val="bottom"/>
            <w:tcBorders>
              <w:bottom w:val="single" w:sz="8" w:color="auto"/>
            </w:tcBorders>
            <w:gridSpan w:val="2"/>
            <w:shd w:val="clear" w:color="auto" w:fill="CCEEFF"/>
          </w:tcPr>
          <w:p>
            <w:pPr>
              <w:jc w:val="right"/>
              <w:ind w:right="260"/>
              <w:spacing w:after="0"/>
              <w:rPr>
                <w:sz w:val="20"/>
                <w:szCs w:val="20"/>
                <w:color w:val="auto"/>
              </w:rPr>
            </w:pPr>
            <w:r>
              <w:rPr>
                <w:rFonts w:ascii="Arial" w:cs="Arial" w:eastAsia="Arial" w:hAnsi="Arial"/>
                <w:sz w:val="13"/>
                <w:szCs w:val="13"/>
                <w:color w:val="auto"/>
              </w:rPr>
              <w:t>107</w:t>
            </w: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75</w:t>
            </w:r>
          </w:p>
        </w:tc>
        <w:tc>
          <w:tcPr>
            <w:tcW w:w="300" w:type="dxa"/>
            <w:vAlign w:val="bottom"/>
            <w:tcBorders>
              <w:bottom w:val="single" w:sz="8" w:color="auto"/>
            </w:tcBorders>
            <w:shd w:val="clear" w:color="auto" w:fill="CCEEFF"/>
          </w:tcPr>
          <w:p>
            <w:pPr>
              <w:spacing w:after="0"/>
              <w:rPr>
                <w:sz w:val="12"/>
                <w:szCs w:val="12"/>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74</w:t>
            </w: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2000" w:type="dxa"/>
            <w:vAlign w:val="bottom"/>
            <w:gridSpan w:val="2"/>
          </w:tcPr>
          <w:p>
            <w:pPr>
              <w:spacing w:after="0"/>
              <w:rPr>
                <w:sz w:val="20"/>
                <w:szCs w:val="20"/>
                <w:color w:val="auto"/>
              </w:rPr>
            </w:pPr>
            <w:r>
              <w:rPr>
                <w:rFonts w:ascii="Arial" w:cs="Arial" w:eastAsia="Arial" w:hAnsi="Arial"/>
                <w:sz w:val="13"/>
                <w:szCs w:val="13"/>
                <w:color w:val="auto"/>
              </w:rPr>
              <w:t>Adjusted Gross Profit</w:t>
            </w:r>
          </w:p>
        </w:tc>
        <w:tc>
          <w:tcPr>
            <w:tcW w:w="780" w:type="dxa"/>
            <w:vAlign w:val="bottom"/>
            <w:gridSpan w:val="3"/>
          </w:tcPr>
          <w:p>
            <w:pPr>
              <w:jc w:val="right"/>
              <w:ind w:right="280"/>
              <w:spacing w:after="0"/>
              <w:rPr>
                <w:sz w:val="20"/>
                <w:szCs w:val="20"/>
                <w:color w:val="auto"/>
              </w:rPr>
            </w:pPr>
            <w:r>
              <w:rPr>
                <w:rFonts w:ascii="Arial" w:cs="Arial" w:eastAsia="Arial" w:hAnsi="Arial"/>
                <w:sz w:val="13"/>
                <w:szCs w:val="13"/>
                <w:color w:val="auto"/>
              </w:rPr>
              <w:t>$35,010</w:t>
            </w:r>
          </w:p>
        </w:tc>
        <w:tc>
          <w:tcPr>
            <w:tcW w:w="460" w:type="dxa"/>
            <w:vAlign w:val="bottom"/>
          </w:tcPr>
          <w:p>
            <w:pPr>
              <w:jc w:val="right"/>
              <w:spacing w:after="0"/>
              <w:rPr>
                <w:sz w:val="20"/>
                <w:szCs w:val="20"/>
                <w:color w:val="auto"/>
              </w:rPr>
            </w:pPr>
            <w:r>
              <w:rPr>
                <w:rFonts w:ascii="Arial" w:cs="Arial" w:eastAsia="Arial" w:hAnsi="Arial"/>
                <w:sz w:val="13"/>
                <w:szCs w:val="13"/>
                <w:color w:val="auto"/>
                <w:w w:val="86"/>
              </w:rPr>
              <w:t>$ 32,501</w:t>
            </w:r>
          </w:p>
        </w:tc>
        <w:tc>
          <w:tcPr>
            <w:tcW w:w="200" w:type="dxa"/>
            <w:vAlign w:val="bottom"/>
          </w:tcPr>
          <w:p>
            <w:pPr>
              <w:spacing w:after="0"/>
              <w:rPr>
                <w:sz w:val="13"/>
                <w:szCs w:val="13"/>
                <w:color w:val="auto"/>
              </w:rPr>
            </w:pPr>
          </w:p>
        </w:tc>
        <w:tc>
          <w:tcPr>
            <w:tcW w:w="18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800" w:type="dxa"/>
            <w:vAlign w:val="bottom"/>
            <w:gridSpan w:val="2"/>
          </w:tcPr>
          <w:p>
            <w:pPr>
              <w:jc w:val="right"/>
              <w:ind w:right="260"/>
              <w:spacing w:after="0"/>
              <w:rPr>
                <w:sz w:val="20"/>
                <w:szCs w:val="20"/>
                <w:color w:val="auto"/>
              </w:rPr>
            </w:pPr>
            <w:r>
              <w:rPr>
                <w:rFonts w:ascii="Arial" w:cs="Arial" w:eastAsia="Arial" w:hAnsi="Arial"/>
                <w:sz w:val="13"/>
                <w:szCs w:val="13"/>
                <w:color w:val="auto"/>
              </w:rPr>
              <w:t>30,354</w:t>
            </w: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540" w:type="dxa"/>
            <w:vAlign w:val="bottom"/>
          </w:tcPr>
          <w:p>
            <w:pPr>
              <w:jc w:val="right"/>
              <w:spacing w:after="0"/>
              <w:rPr>
                <w:sz w:val="20"/>
                <w:szCs w:val="20"/>
                <w:color w:val="auto"/>
              </w:rPr>
            </w:pPr>
            <w:r>
              <w:rPr>
                <w:rFonts w:ascii="Arial" w:cs="Arial" w:eastAsia="Arial" w:hAnsi="Arial"/>
                <w:sz w:val="13"/>
                <w:szCs w:val="13"/>
                <w:color w:val="auto"/>
              </w:rPr>
              <w:t>27,435</w:t>
            </w:r>
          </w:p>
        </w:tc>
        <w:tc>
          <w:tcPr>
            <w:tcW w:w="200" w:type="dxa"/>
            <w:vAlign w:val="bottom"/>
          </w:tcPr>
          <w:p>
            <w:pPr>
              <w:spacing w:after="0"/>
              <w:rPr>
                <w:sz w:val="13"/>
                <w:szCs w:val="13"/>
                <w:color w:val="auto"/>
              </w:rPr>
            </w:pPr>
          </w:p>
        </w:tc>
        <w:tc>
          <w:tcPr>
            <w:tcW w:w="800" w:type="dxa"/>
            <w:vAlign w:val="bottom"/>
            <w:gridSpan w:val="3"/>
          </w:tcPr>
          <w:p>
            <w:pPr>
              <w:jc w:val="right"/>
              <w:ind w:right="280"/>
              <w:spacing w:after="0"/>
              <w:rPr>
                <w:sz w:val="20"/>
                <w:szCs w:val="20"/>
                <w:color w:val="auto"/>
              </w:rPr>
            </w:pPr>
            <w:r>
              <w:rPr>
                <w:rFonts w:ascii="Arial" w:cs="Arial" w:eastAsia="Arial" w:hAnsi="Arial"/>
                <w:sz w:val="13"/>
                <w:szCs w:val="13"/>
                <w:color w:val="auto"/>
              </w:rPr>
              <w:t>$25,662</w:t>
            </w:r>
          </w:p>
        </w:tc>
        <w:tc>
          <w:tcPr>
            <w:tcW w:w="460" w:type="dxa"/>
            <w:vAlign w:val="bottom"/>
          </w:tcPr>
          <w:p>
            <w:pPr>
              <w:jc w:val="right"/>
              <w:spacing w:after="0"/>
              <w:rPr>
                <w:sz w:val="20"/>
                <w:szCs w:val="20"/>
                <w:color w:val="auto"/>
              </w:rPr>
            </w:pPr>
            <w:r>
              <w:rPr>
                <w:rFonts w:ascii="Arial" w:cs="Arial" w:eastAsia="Arial" w:hAnsi="Arial"/>
                <w:sz w:val="13"/>
                <w:szCs w:val="13"/>
                <w:color w:val="auto"/>
                <w:w w:val="86"/>
              </w:rPr>
              <w:t>$ 23,629</w:t>
            </w:r>
          </w:p>
        </w:tc>
        <w:tc>
          <w:tcPr>
            <w:tcW w:w="200" w:type="dxa"/>
            <w:vAlign w:val="bottom"/>
          </w:tcPr>
          <w:p>
            <w:pPr>
              <w:spacing w:after="0"/>
              <w:rPr>
                <w:sz w:val="13"/>
                <w:szCs w:val="13"/>
                <w:color w:val="auto"/>
              </w:rPr>
            </w:pPr>
          </w:p>
        </w:tc>
        <w:tc>
          <w:tcPr>
            <w:tcW w:w="18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800" w:type="dxa"/>
            <w:vAlign w:val="bottom"/>
            <w:gridSpan w:val="2"/>
          </w:tcPr>
          <w:p>
            <w:pPr>
              <w:jc w:val="right"/>
              <w:ind w:right="280"/>
              <w:spacing w:after="0"/>
              <w:rPr>
                <w:sz w:val="20"/>
                <w:szCs w:val="20"/>
                <w:color w:val="auto"/>
              </w:rPr>
            </w:pPr>
            <w:r>
              <w:rPr>
                <w:rFonts w:ascii="Arial" w:cs="Arial" w:eastAsia="Arial" w:hAnsi="Arial"/>
                <w:sz w:val="13"/>
                <w:szCs w:val="13"/>
                <w:color w:val="auto"/>
              </w:rPr>
              <w:t>20,507</w:t>
            </w:r>
          </w:p>
        </w:tc>
        <w:tc>
          <w:tcPr>
            <w:tcW w:w="120" w:type="dxa"/>
            <w:vAlign w:val="bottom"/>
          </w:tcPr>
          <w:p>
            <w:pPr>
              <w:jc w:val="right"/>
              <w:ind w:right="8"/>
              <w:spacing w:after="0"/>
              <w:rPr>
                <w:sz w:val="20"/>
                <w:szCs w:val="20"/>
                <w:color w:val="auto"/>
              </w:rPr>
            </w:pPr>
            <w:r>
              <w:rPr>
                <w:rFonts w:ascii="Arial" w:cs="Arial" w:eastAsia="Arial" w:hAnsi="Arial"/>
                <w:sz w:val="10"/>
                <w:szCs w:val="10"/>
                <w:color w:val="auto"/>
                <w:w w:val="71"/>
              </w:rPr>
              <w:t>$</w:t>
            </w:r>
          </w:p>
        </w:tc>
        <w:tc>
          <w:tcPr>
            <w:tcW w:w="540" w:type="dxa"/>
            <w:vAlign w:val="bottom"/>
          </w:tcPr>
          <w:p>
            <w:pPr>
              <w:jc w:val="right"/>
              <w:spacing w:after="0"/>
              <w:rPr>
                <w:sz w:val="20"/>
                <w:szCs w:val="20"/>
                <w:color w:val="auto"/>
              </w:rPr>
            </w:pPr>
            <w:r>
              <w:rPr>
                <w:rFonts w:ascii="Arial" w:cs="Arial" w:eastAsia="Arial" w:hAnsi="Arial"/>
                <w:sz w:val="13"/>
                <w:szCs w:val="13"/>
                <w:color w:val="auto"/>
              </w:rPr>
              <w:t>14,886</w:t>
            </w:r>
          </w:p>
        </w:tc>
        <w:tc>
          <w:tcPr>
            <w:tcW w:w="260" w:type="dxa"/>
            <w:vAlign w:val="bottom"/>
          </w:tcPr>
          <w:p>
            <w:pPr>
              <w:spacing w:after="0"/>
              <w:rPr>
                <w:sz w:val="13"/>
                <w:szCs w:val="13"/>
                <w:color w:val="auto"/>
              </w:rPr>
            </w:pPr>
          </w:p>
        </w:tc>
        <w:tc>
          <w:tcPr>
            <w:tcW w:w="120" w:type="dxa"/>
            <w:vAlign w:val="bottom"/>
            <w:tcBorders>
              <w:right w:val="single" w:sz="8" w:color="auto"/>
            </w:tcBorders>
          </w:tcPr>
          <w:p>
            <w:pPr>
              <w:spacing w:after="0"/>
              <w:rPr>
                <w:sz w:val="13"/>
                <w:szCs w:val="13"/>
                <w:color w:val="auto"/>
              </w:rPr>
            </w:pPr>
          </w:p>
        </w:tc>
        <w:tc>
          <w:tcPr>
            <w:tcW w:w="900" w:type="dxa"/>
            <w:vAlign w:val="bottom"/>
            <w:gridSpan w:val="3"/>
          </w:tcPr>
          <w:p>
            <w:pPr>
              <w:jc w:val="right"/>
              <w:ind w:right="260"/>
              <w:spacing w:after="0"/>
              <w:rPr>
                <w:sz w:val="20"/>
                <w:szCs w:val="20"/>
                <w:color w:val="auto"/>
              </w:rPr>
            </w:pPr>
            <w:r>
              <w:rPr>
                <w:rFonts w:ascii="Arial" w:cs="Arial" w:eastAsia="Arial" w:hAnsi="Arial"/>
                <w:sz w:val="13"/>
                <w:szCs w:val="13"/>
                <w:color w:val="auto"/>
              </w:rPr>
              <w:t>$3,445</w:t>
            </w:r>
          </w:p>
        </w:tc>
        <w:tc>
          <w:tcPr>
            <w:tcW w:w="440" w:type="dxa"/>
            <w:vAlign w:val="bottom"/>
          </w:tcPr>
          <w:p>
            <w:pPr>
              <w:jc w:val="right"/>
              <w:spacing w:after="0"/>
              <w:rPr>
                <w:sz w:val="20"/>
                <w:szCs w:val="20"/>
                <w:color w:val="auto"/>
              </w:rPr>
            </w:pPr>
            <w:r>
              <w:rPr>
                <w:rFonts w:ascii="Arial" w:cs="Arial" w:eastAsia="Arial" w:hAnsi="Arial"/>
                <w:sz w:val="13"/>
                <w:szCs w:val="13"/>
                <w:color w:val="auto"/>
                <w:w w:val="89"/>
              </w:rPr>
              <w:t>$20,501</w:t>
            </w:r>
          </w:p>
        </w:tc>
        <w:tc>
          <w:tcPr>
            <w:tcW w:w="300" w:type="dxa"/>
            <w:vAlign w:val="bottom"/>
          </w:tcPr>
          <w:p>
            <w:pPr>
              <w:spacing w:after="0"/>
              <w:rPr>
                <w:sz w:val="13"/>
                <w:szCs w:val="13"/>
                <w:color w:val="auto"/>
              </w:rPr>
            </w:pPr>
          </w:p>
        </w:tc>
        <w:tc>
          <w:tcPr>
            <w:tcW w:w="460" w:type="dxa"/>
            <w:vAlign w:val="bottom"/>
          </w:tcPr>
          <w:p>
            <w:pPr>
              <w:jc w:val="right"/>
              <w:spacing w:after="0"/>
              <w:rPr>
                <w:sz w:val="20"/>
                <w:szCs w:val="20"/>
                <w:color w:val="auto"/>
              </w:rPr>
            </w:pPr>
            <w:r>
              <w:rPr>
                <w:rFonts w:ascii="Arial" w:cs="Arial" w:eastAsia="Arial" w:hAnsi="Arial"/>
                <w:sz w:val="13"/>
                <w:szCs w:val="13"/>
                <w:color w:val="auto"/>
                <w:w w:val="86"/>
              </w:rPr>
              <w:t>$ 16,938</w:t>
            </w:r>
          </w:p>
        </w:tc>
        <w:tc>
          <w:tcPr>
            <w:tcW w:w="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200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Revenue</w:t>
            </w:r>
          </w:p>
        </w:tc>
        <w:tc>
          <w:tcPr>
            <w:tcW w:w="780" w:type="dxa"/>
            <w:vAlign w:val="bottom"/>
            <w:gridSpan w:val="3"/>
            <w:shd w:val="clear" w:color="auto" w:fill="CCEEFF"/>
          </w:tcPr>
          <w:p>
            <w:pPr>
              <w:jc w:val="right"/>
              <w:ind w:right="280"/>
              <w:spacing w:after="0"/>
              <w:rPr>
                <w:sz w:val="20"/>
                <w:szCs w:val="20"/>
                <w:color w:val="auto"/>
              </w:rPr>
            </w:pPr>
            <w:r>
              <w:rPr>
                <w:rFonts w:ascii="Arial" w:cs="Arial" w:eastAsia="Arial" w:hAnsi="Arial"/>
                <w:sz w:val="13"/>
                <w:szCs w:val="13"/>
                <w:color w:val="auto"/>
              </w:rPr>
              <w:t>39,821</w:t>
            </w:r>
          </w:p>
        </w:tc>
        <w:tc>
          <w:tcPr>
            <w:tcW w:w="4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36,936</w:t>
            </w: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260"/>
              <w:spacing w:after="0"/>
              <w:rPr>
                <w:sz w:val="20"/>
                <w:szCs w:val="20"/>
                <w:color w:val="auto"/>
              </w:rPr>
            </w:pPr>
            <w:r>
              <w:rPr>
                <w:rFonts w:ascii="Arial" w:cs="Arial" w:eastAsia="Arial" w:hAnsi="Arial"/>
                <w:sz w:val="13"/>
                <w:szCs w:val="13"/>
                <w:color w:val="auto"/>
              </w:rPr>
              <w:t>33,658</w:t>
            </w:r>
          </w:p>
        </w:tc>
        <w:tc>
          <w:tcPr>
            <w:tcW w:w="12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30,073</w:t>
            </w:r>
          </w:p>
        </w:tc>
        <w:tc>
          <w:tcPr>
            <w:tcW w:w="200" w:type="dxa"/>
            <w:vAlign w:val="bottom"/>
            <w:shd w:val="clear" w:color="auto" w:fill="CCEEFF"/>
          </w:tcPr>
          <w:p>
            <w:pPr>
              <w:spacing w:after="0"/>
              <w:rPr>
                <w:sz w:val="12"/>
                <w:szCs w:val="12"/>
                <w:color w:val="auto"/>
              </w:rPr>
            </w:pPr>
          </w:p>
        </w:tc>
        <w:tc>
          <w:tcPr>
            <w:tcW w:w="800" w:type="dxa"/>
            <w:vAlign w:val="bottom"/>
            <w:gridSpan w:val="3"/>
            <w:shd w:val="clear" w:color="auto" w:fill="CCEEFF"/>
          </w:tcPr>
          <w:p>
            <w:pPr>
              <w:jc w:val="right"/>
              <w:ind w:right="280"/>
              <w:spacing w:after="0"/>
              <w:rPr>
                <w:sz w:val="20"/>
                <w:szCs w:val="20"/>
                <w:color w:val="auto"/>
              </w:rPr>
            </w:pPr>
            <w:r>
              <w:rPr>
                <w:rFonts w:ascii="Arial" w:cs="Arial" w:eastAsia="Arial" w:hAnsi="Arial"/>
                <w:sz w:val="13"/>
                <w:szCs w:val="13"/>
                <w:color w:val="auto"/>
              </w:rPr>
              <w:t>28,245</w:t>
            </w:r>
          </w:p>
        </w:tc>
        <w:tc>
          <w:tcPr>
            <w:tcW w:w="4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26,341</w:t>
            </w: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280"/>
              <w:spacing w:after="0"/>
              <w:rPr>
                <w:sz w:val="20"/>
                <w:szCs w:val="20"/>
                <w:color w:val="auto"/>
              </w:rPr>
            </w:pPr>
            <w:r>
              <w:rPr>
                <w:rFonts w:ascii="Arial" w:cs="Arial" w:eastAsia="Arial" w:hAnsi="Arial"/>
                <w:sz w:val="13"/>
                <w:szCs w:val="13"/>
                <w:color w:val="auto"/>
              </w:rPr>
              <w:t>23,233</w:t>
            </w:r>
          </w:p>
        </w:tc>
        <w:tc>
          <w:tcPr>
            <w:tcW w:w="12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16,812</w:t>
            </w:r>
          </w:p>
        </w:tc>
        <w:tc>
          <w:tcPr>
            <w:tcW w:w="260" w:type="dxa"/>
            <w:vAlign w:val="bottom"/>
            <w:shd w:val="clear" w:color="auto" w:fill="CCEEFF"/>
          </w:tcPr>
          <w:p>
            <w:pPr>
              <w:spacing w:after="0"/>
              <w:rPr>
                <w:sz w:val="12"/>
                <w:szCs w:val="12"/>
                <w:color w:val="auto"/>
              </w:rPr>
            </w:pPr>
          </w:p>
        </w:tc>
        <w:tc>
          <w:tcPr>
            <w:tcW w:w="120" w:type="dxa"/>
            <w:vAlign w:val="bottom"/>
            <w:tcBorders>
              <w:right w:val="single" w:sz="8" w:color="auto"/>
            </w:tcBorders>
            <w:shd w:val="clear" w:color="auto" w:fill="CCEEFF"/>
          </w:tcPr>
          <w:p>
            <w:pPr>
              <w:spacing w:after="0"/>
              <w:rPr>
                <w:sz w:val="12"/>
                <w:szCs w:val="12"/>
                <w:color w:val="auto"/>
              </w:rPr>
            </w:pPr>
          </w:p>
        </w:tc>
        <w:tc>
          <w:tcPr>
            <w:tcW w:w="900" w:type="dxa"/>
            <w:vAlign w:val="bottom"/>
            <w:gridSpan w:val="3"/>
            <w:shd w:val="clear" w:color="auto" w:fill="CCEEFF"/>
          </w:tcPr>
          <w:p>
            <w:pPr>
              <w:jc w:val="right"/>
              <w:ind w:right="260"/>
              <w:spacing w:after="0"/>
              <w:rPr>
                <w:sz w:val="20"/>
                <w:szCs w:val="20"/>
                <w:color w:val="auto"/>
              </w:rPr>
            </w:pPr>
            <w:r>
              <w:rPr>
                <w:rFonts w:ascii="Arial" w:cs="Arial" w:eastAsia="Arial" w:hAnsi="Arial"/>
                <w:sz w:val="13"/>
                <w:szCs w:val="13"/>
                <w:color w:val="auto"/>
              </w:rPr>
              <w:t>3,829</w:t>
            </w:r>
          </w:p>
        </w:tc>
        <w:tc>
          <w:tcPr>
            <w:tcW w:w="4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22,631</w:t>
            </w:r>
          </w:p>
        </w:tc>
        <w:tc>
          <w:tcPr>
            <w:tcW w:w="300" w:type="dxa"/>
            <w:vAlign w:val="bottom"/>
            <w:shd w:val="clear" w:color="auto" w:fill="CCEEFF"/>
          </w:tcPr>
          <w:p>
            <w:pPr>
              <w:spacing w:after="0"/>
              <w:rPr>
                <w:sz w:val="12"/>
                <w:szCs w:val="12"/>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18,998</w:t>
            </w: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00" w:type="dxa"/>
            <w:vAlign w:val="bottom"/>
            <w:gridSpan w:val="2"/>
          </w:tcPr>
          <w:p>
            <w:pPr>
              <w:spacing w:after="0"/>
              <w:rPr>
                <w:sz w:val="20"/>
                <w:szCs w:val="20"/>
                <w:color w:val="auto"/>
              </w:rPr>
            </w:pPr>
            <w:r>
              <w:rPr>
                <w:rFonts w:ascii="Arial" w:cs="Arial" w:eastAsia="Arial" w:hAnsi="Arial"/>
                <w:sz w:val="13"/>
                <w:szCs w:val="13"/>
                <w:color w:val="auto"/>
              </w:rPr>
              <w:t>Adjusted Gross Margin</w:t>
            </w:r>
          </w:p>
        </w:tc>
        <w:tc>
          <w:tcPr>
            <w:tcW w:w="60" w:type="dxa"/>
            <w:vAlign w:val="bottom"/>
          </w:tcPr>
          <w:p>
            <w:pPr>
              <w:spacing w:after="0"/>
              <w:rPr>
                <w:sz w:val="12"/>
                <w:szCs w:val="12"/>
                <w:color w:val="auto"/>
              </w:rPr>
            </w:pPr>
          </w:p>
        </w:tc>
        <w:tc>
          <w:tcPr>
            <w:tcW w:w="720" w:type="dxa"/>
            <w:vAlign w:val="bottom"/>
            <w:gridSpan w:val="2"/>
          </w:tcPr>
          <w:p>
            <w:pPr>
              <w:jc w:val="right"/>
              <w:ind w:right="160"/>
              <w:spacing w:after="0"/>
              <w:rPr>
                <w:sz w:val="20"/>
                <w:szCs w:val="20"/>
                <w:color w:val="auto"/>
              </w:rPr>
            </w:pPr>
            <w:r>
              <w:rPr>
                <w:rFonts w:ascii="Arial" w:cs="Arial" w:eastAsia="Arial" w:hAnsi="Arial"/>
                <w:sz w:val="13"/>
                <w:szCs w:val="13"/>
                <w:color w:val="auto"/>
              </w:rPr>
              <w:t>88%</w:t>
            </w:r>
          </w:p>
        </w:tc>
        <w:tc>
          <w:tcPr>
            <w:tcW w:w="660" w:type="dxa"/>
            <w:vAlign w:val="bottom"/>
            <w:gridSpan w:val="2"/>
          </w:tcPr>
          <w:p>
            <w:pPr>
              <w:jc w:val="right"/>
              <w:ind w:right="80"/>
              <w:spacing w:after="0"/>
              <w:rPr>
                <w:sz w:val="20"/>
                <w:szCs w:val="20"/>
                <w:color w:val="auto"/>
              </w:rPr>
            </w:pPr>
            <w:r>
              <w:rPr>
                <w:rFonts w:ascii="Arial" w:cs="Arial" w:eastAsia="Arial" w:hAnsi="Arial"/>
                <w:sz w:val="13"/>
                <w:szCs w:val="13"/>
                <w:color w:val="auto"/>
              </w:rPr>
              <w:t>88%</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3"/>
                <w:szCs w:val="13"/>
                <w:color w:val="auto"/>
              </w:rPr>
              <w:t>90%</w:t>
            </w:r>
          </w:p>
        </w:tc>
        <w:tc>
          <w:tcPr>
            <w:tcW w:w="120" w:type="dxa"/>
            <w:vAlign w:val="bottom"/>
          </w:tcPr>
          <w:p>
            <w:pPr>
              <w:spacing w:after="0"/>
              <w:rPr>
                <w:sz w:val="12"/>
                <w:szCs w:val="12"/>
                <w:color w:val="auto"/>
              </w:rPr>
            </w:pPr>
          </w:p>
        </w:tc>
        <w:tc>
          <w:tcPr>
            <w:tcW w:w="740" w:type="dxa"/>
            <w:vAlign w:val="bottom"/>
            <w:gridSpan w:val="2"/>
          </w:tcPr>
          <w:p>
            <w:pPr>
              <w:jc w:val="right"/>
              <w:ind w:right="80"/>
              <w:spacing w:after="0"/>
              <w:rPr>
                <w:sz w:val="20"/>
                <w:szCs w:val="20"/>
                <w:color w:val="auto"/>
              </w:rPr>
            </w:pPr>
            <w:r>
              <w:rPr>
                <w:rFonts w:ascii="Arial" w:cs="Arial" w:eastAsia="Arial" w:hAnsi="Arial"/>
                <w:sz w:val="13"/>
                <w:szCs w:val="13"/>
                <w:color w:val="auto"/>
              </w:rPr>
              <w:t>91%</w:t>
            </w:r>
          </w:p>
        </w:tc>
        <w:tc>
          <w:tcPr>
            <w:tcW w:w="800" w:type="dxa"/>
            <w:vAlign w:val="bottom"/>
            <w:gridSpan w:val="3"/>
          </w:tcPr>
          <w:p>
            <w:pPr>
              <w:jc w:val="right"/>
              <w:ind w:right="160"/>
              <w:spacing w:after="0"/>
              <w:rPr>
                <w:sz w:val="20"/>
                <w:szCs w:val="20"/>
                <w:color w:val="auto"/>
              </w:rPr>
            </w:pPr>
            <w:r>
              <w:rPr>
                <w:rFonts w:ascii="Arial" w:cs="Arial" w:eastAsia="Arial" w:hAnsi="Arial"/>
                <w:sz w:val="13"/>
                <w:szCs w:val="13"/>
                <w:color w:val="auto"/>
              </w:rPr>
              <w:t>91%</w:t>
            </w:r>
          </w:p>
        </w:tc>
        <w:tc>
          <w:tcPr>
            <w:tcW w:w="660" w:type="dxa"/>
            <w:vAlign w:val="bottom"/>
            <w:gridSpan w:val="2"/>
          </w:tcPr>
          <w:p>
            <w:pPr>
              <w:jc w:val="right"/>
              <w:ind w:right="80"/>
              <w:spacing w:after="0"/>
              <w:rPr>
                <w:sz w:val="20"/>
                <w:szCs w:val="20"/>
                <w:color w:val="auto"/>
              </w:rPr>
            </w:pPr>
            <w:r>
              <w:rPr>
                <w:rFonts w:ascii="Arial" w:cs="Arial" w:eastAsia="Arial" w:hAnsi="Arial"/>
                <w:sz w:val="13"/>
                <w:szCs w:val="13"/>
                <w:color w:val="auto"/>
              </w:rPr>
              <w:t>90%</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3"/>
                <w:szCs w:val="13"/>
                <w:color w:val="auto"/>
              </w:rPr>
              <w:t>88%</w:t>
            </w:r>
          </w:p>
        </w:tc>
        <w:tc>
          <w:tcPr>
            <w:tcW w:w="120" w:type="dxa"/>
            <w:vAlign w:val="bottom"/>
          </w:tcPr>
          <w:p>
            <w:pPr>
              <w:spacing w:after="0"/>
              <w:rPr>
                <w:sz w:val="12"/>
                <w:szCs w:val="12"/>
                <w:color w:val="auto"/>
              </w:rPr>
            </w:pPr>
          </w:p>
        </w:tc>
        <w:tc>
          <w:tcPr>
            <w:tcW w:w="800" w:type="dxa"/>
            <w:vAlign w:val="bottom"/>
            <w:gridSpan w:val="2"/>
          </w:tcPr>
          <w:p>
            <w:pPr>
              <w:jc w:val="right"/>
              <w:ind w:right="140"/>
              <w:spacing w:after="0"/>
              <w:rPr>
                <w:sz w:val="20"/>
                <w:szCs w:val="20"/>
                <w:color w:val="auto"/>
              </w:rPr>
            </w:pPr>
            <w:r>
              <w:rPr>
                <w:rFonts w:ascii="Arial" w:cs="Arial" w:eastAsia="Arial" w:hAnsi="Arial"/>
                <w:sz w:val="13"/>
                <w:szCs w:val="13"/>
                <w:color w:val="auto"/>
              </w:rPr>
              <w:t>89%</w:t>
            </w:r>
          </w:p>
        </w:tc>
        <w:tc>
          <w:tcPr>
            <w:tcW w:w="120" w:type="dxa"/>
            <w:vAlign w:val="bottom"/>
            <w:tcBorders>
              <w:right w:val="single" w:sz="8" w:color="auto"/>
            </w:tcBorders>
          </w:tcPr>
          <w:p>
            <w:pPr>
              <w:spacing w:after="0"/>
              <w:rPr>
                <w:sz w:val="12"/>
                <w:szCs w:val="12"/>
                <w:color w:val="auto"/>
              </w:rPr>
            </w:pPr>
          </w:p>
        </w:tc>
        <w:tc>
          <w:tcPr>
            <w:tcW w:w="900" w:type="dxa"/>
            <w:vAlign w:val="bottom"/>
            <w:gridSpan w:val="3"/>
          </w:tcPr>
          <w:p>
            <w:pPr>
              <w:jc w:val="right"/>
              <w:ind w:right="160"/>
              <w:spacing w:after="0"/>
              <w:rPr>
                <w:sz w:val="20"/>
                <w:szCs w:val="20"/>
                <w:color w:val="auto"/>
              </w:rPr>
            </w:pPr>
            <w:r>
              <w:rPr>
                <w:rFonts w:ascii="Arial" w:cs="Arial" w:eastAsia="Arial" w:hAnsi="Arial"/>
                <w:sz w:val="13"/>
                <w:szCs w:val="13"/>
                <w:color w:val="auto"/>
              </w:rPr>
              <w:t>90%</w:t>
            </w:r>
          </w:p>
        </w:tc>
        <w:tc>
          <w:tcPr>
            <w:tcW w:w="740" w:type="dxa"/>
            <w:vAlign w:val="bottom"/>
            <w:gridSpan w:val="2"/>
          </w:tcPr>
          <w:p>
            <w:pPr>
              <w:jc w:val="right"/>
              <w:ind w:right="180"/>
              <w:spacing w:after="0"/>
              <w:rPr>
                <w:sz w:val="20"/>
                <w:szCs w:val="20"/>
                <w:color w:val="auto"/>
              </w:rPr>
            </w:pPr>
            <w:r>
              <w:rPr>
                <w:rFonts w:ascii="Arial" w:cs="Arial" w:eastAsia="Arial" w:hAnsi="Arial"/>
                <w:sz w:val="13"/>
                <w:szCs w:val="13"/>
                <w:color w:val="auto"/>
              </w:rPr>
              <w:t>91%</w:t>
            </w:r>
          </w:p>
        </w:tc>
        <w:tc>
          <w:tcPr>
            <w:tcW w:w="620" w:type="dxa"/>
            <w:vAlign w:val="bottom"/>
            <w:gridSpan w:val="2"/>
          </w:tcPr>
          <w:p>
            <w:pPr>
              <w:jc w:val="right"/>
              <w:ind w:right="40"/>
              <w:spacing w:after="0"/>
              <w:rPr>
                <w:sz w:val="20"/>
                <w:szCs w:val="20"/>
                <w:color w:val="auto"/>
              </w:rPr>
            </w:pPr>
            <w:r>
              <w:rPr>
                <w:rFonts w:ascii="Arial" w:cs="Arial" w:eastAsia="Arial" w:hAnsi="Arial"/>
                <w:sz w:val="13"/>
                <w:szCs w:val="13"/>
                <w:color w:val="auto"/>
              </w:rPr>
              <w:t>89%</w:t>
            </w:r>
          </w:p>
        </w:tc>
        <w:tc>
          <w:tcPr>
            <w:tcW w:w="0" w:type="dxa"/>
            <w:vAlign w:val="bottom"/>
          </w:tcPr>
          <w:p>
            <w:pPr>
              <w:spacing w:after="0"/>
              <w:rPr>
                <w:sz w:val="1"/>
                <w:szCs w:val="1"/>
                <w:color w:val="auto"/>
              </w:rPr>
            </w:pPr>
          </w:p>
        </w:tc>
      </w:tr>
      <w:tr>
        <w:trPr>
          <w:trHeight w:val="27"/>
        </w:trPr>
        <w:tc>
          <w:tcPr>
            <w:tcW w:w="7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60" w:type="dxa"/>
            <w:vAlign w:val="bottom"/>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20" w:type="dxa"/>
            <w:vAlign w:val="bottom"/>
            <w:tcBorders>
              <w:right w:val="single" w:sz="8" w:color="auto"/>
            </w:tcBorders>
          </w:tcPr>
          <w:p>
            <w:pPr>
              <w:spacing w:after="0"/>
              <w:rPr>
                <w:sz w:val="2"/>
                <w:szCs w:val="2"/>
                <w:color w:val="auto"/>
              </w:rPr>
            </w:pPr>
          </w:p>
        </w:tc>
        <w:tc>
          <w:tcPr>
            <w:tcW w:w="260" w:type="dxa"/>
            <w:vAlign w:val="bottom"/>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5705475</wp:posOffset>
            </wp:positionH>
            <wp:positionV relativeFrom="paragraph">
              <wp:posOffset>-890905</wp:posOffset>
            </wp:positionV>
            <wp:extent cx="17145" cy="825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17145" cy="8255"/>
                    </a:xfrm>
                    <a:prstGeom prst="rect">
                      <a:avLst/>
                    </a:prstGeom>
                    <a:noFill/>
                  </pic:spPr>
                </pic:pic>
              </a:graphicData>
            </a:graphic>
          </wp:anchor>
        </w:drawing>
      </w:r>
    </w:p>
    <w:p>
      <w:pPr>
        <w:spacing w:after="0" w:line="290"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Adjusted Gross Margin</w:t>
      </w:r>
    </w:p>
    <w:p>
      <w:pPr>
        <w:spacing w:after="0" w:line="253" w:lineRule="exact"/>
        <w:rPr>
          <w:sz w:val="20"/>
          <w:szCs w:val="20"/>
          <w:color w:val="auto"/>
        </w:rPr>
      </w:pPr>
    </w:p>
    <w:tbl>
      <w:tblPr>
        <w:tblLayout w:type="fixed"/>
        <w:tblInd w:w="120" w:type="dxa"/>
        <w:tblCellMar>
          <w:top w:w="0" w:type="dxa"/>
          <w:left w:w="0" w:type="dxa"/>
          <w:bottom w:w="0" w:type="dxa"/>
          <w:right w:w="0" w:type="dxa"/>
        </w:tblCellMar>
      </w:tblPr>
      <w:tr>
        <w:trPr>
          <w:trHeight w:val="135"/>
        </w:trPr>
        <w:tc>
          <w:tcPr>
            <w:tcW w:w="740" w:type="dxa"/>
            <w:vAlign w:val="bottom"/>
          </w:tcPr>
          <w:p>
            <w:pPr>
              <w:spacing w:after="0"/>
              <w:rPr>
                <w:sz w:val="11"/>
                <w:szCs w:val="11"/>
                <w:color w:val="auto"/>
              </w:rPr>
            </w:pPr>
          </w:p>
        </w:tc>
        <w:tc>
          <w:tcPr>
            <w:tcW w:w="17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40" w:type="dxa"/>
            <w:vAlign w:val="bottom"/>
            <w:tcBorders>
              <w:bottom w:val="single" w:sz="8" w:color="auto"/>
            </w:tcBorders>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40" w:type="dxa"/>
            <w:vAlign w:val="bottom"/>
            <w:tcBorders>
              <w:bottom w:val="single" w:sz="8" w:color="auto"/>
            </w:tcBorders>
          </w:tcPr>
          <w:p>
            <w:pPr>
              <w:spacing w:after="0"/>
              <w:rPr>
                <w:sz w:val="11"/>
                <w:szCs w:val="11"/>
                <w:color w:val="auto"/>
              </w:rPr>
            </w:pPr>
          </w:p>
        </w:tc>
        <w:tc>
          <w:tcPr>
            <w:tcW w:w="480" w:type="dxa"/>
            <w:vAlign w:val="bottom"/>
            <w:tcBorders>
              <w:bottom w:val="single" w:sz="8" w:color="auto"/>
            </w:tcBorders>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20" w:type="dxa"/>
            <w:vAlign w:val="bottom"/>
            <w:tcBorders>
              <w:bottom w:val="single" w:sz="8" w:color="auto"/>
            </w:tcBorders>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1400" w:type="dxa"/>
            <w:vAlign w:val="bottom"/>
            <w:tcBorders>
              <w:bottom w:val="single" w:sz="8" w:color="auto"/>
            </w:tcBorders>
            <w:gridSpan w:val="5"/>
          </w:tcPr>
          <w:p>
            <w:pPr>
              <w:jc w:val="right"/>
              <w:ind w:right="500"/>
              <w:spacing w:after="0"/>
              <w:rPr>
                <w:sz w:val="20"/>
                <w:szCs w:val="20"/>
                <w:color w:val="auto"/>
              </w:rPr>
            </w:pPr>
            <w:r>
              <w:rPr>
                <w:rFonts w:ascii="Arial" w:cs="Arial" w:eastAsia="Arial" w:hAnsi="Arial"/>
                <w:sz w:val="11"/>
                <w:szCs w:val="11"/>
                <w:b w:val="1"/>
                <w:bCs w:val="1"/>
                <w:color w:val="auto"/>
              </w:rPr>
              <w:t>Successor</w:t>
            </w:r>
          </w:p>
        </w:tc>
        <w:tc>
          <w:tcPr>
            <w:tcW w:w="60" w:type="dxa"/>
            <w:vAlign w:val="bottom"/>
            <w:tcBorders>
              <w:bottom w:val="single" w:sz="8" w:color="auto"/>
            </w:tcBorders>
          </w:tcPr>
          <w:p>
            <w:pPr>
              <w:spacing w:after="0"/>
              <w:rPr>
                <w:sz w:val="11"/>
                <w:szCs w:val="11"/>
                <w:color w:val="auto"/>
              </w:rPr>
            </w:pPr>
          </w:p>
        </w:tc>
        <w:tc>
          <w:tcPr>
            <w:tcW w:w="480" w:type="dxa"/>
            <w:vAlign w:val="bottom"/>
            <w:tcBorders>
              <w:bottom w:val="single" w:sz="8" w:color="auto"/>
            </w:tcBorders>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40" w:type="dxa"/>
            <w:vAlign w:val="bottom"/>
            <w:tcBorders>
              <w:bottom w:val="single" w:sz="8" w:color="auto"/>
            </w:tcBorders>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500" w:type="dxa"/>
            <w:vAlign w:val="bottom"/>
            <w:tcBorders>
              <w:bottom w:val="single" w:sz="8" w:color="auto"/>
            </w:tcBorders>
          </w:tcPr>
          <w:p>
            <w:pPr>
              <w:spacing w:after="0"/>
              <w:rPr>
                <w:sz w:val="11"/>
                <w:szCs w:val="11"/>
                <w:color w:val="auto"/>
              </w:rPr>
            </w:pPr>
          </w:p>
        </w:tc>
        <w:tc>
          <w:tcPr>
            <w:tcW w:w="340" w:type="dxa"/>
            <w:vAlign w:val="bottom"/>
            <w:tcBorders>
              <w:right w:val="single" w:sz="8" w:color="auto"/>
            </w:tcBorders>
          </w:tcPr>
          <w:p>
            <w:pPr>
              <w:spacing w:after="0"/>
              <w:rPr>
                <w:sz w:val="11"/>
                <w:szCs w:val="11"/>
                <w:color w:val="auto"/>
              </w:rPr>
            </w:pPr>
          </w:p>
        </w:tc>
        <w:tc>
          <w:tcPr>
            <w:tcW w:w="160" w:type="dxa"/>
            <w:vAlign w:val="bottom"/>
          </w:tcPr>
          <w:p>
            <w:pPr>
              <w:spacing w:after="0"/>
              <w:rPr>
                <w:sz w:val="11"/>
                <w:szCs w:val="11"/>
                <w:color w:val="auto"/>
              </w:rPr>
            </w:pPr>
          </w:p>
        </w:tc>
        <w:tc>
          <w:tcPr>
            <w:tcW w:w="380" w:type="dxa"/>
            <w:vAlign w:val="bottom"/>
            <w:tcBorders>
              <w:bottom w:val="single" w:sz="8" w:color="auto"/>
            </w:tcBorders>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740" w:type="dxa"/>
            <w:vAlign w:val="bottom"/>
            <w:tcBorders>
              <w:bottom w:val="single" w:sz="8" w:color="auto"/>
            </w:tcBorders>
            <w:gridSpan w:val="3"/>
          </w:tcPr>
          <w:p>
            <w:pPr>
              <w:jc w:val="right"/>
              <w:ind w:right="140"/>
              <w:spacing w:after="0"/>
              <w:rPr>
                <w:sz w:val="20"/>
                <w:szCs w:val="20"/>
                <w:color w:val="auto"/>
              </w:rPr>
            </w:pPr>
            <w:r>
              <w:rPr>
                <w:rFonts w:ascii="Arial" w:cs="Arial" w:eastAsia="Arial" w:hAnsi="Arial"/>
                <w:sz w:val="11"/>
                <w:szCs w:val="11"/>
                <w:b w:val="1"/>
                <w:bCs w:val="1"/>
                <w:color w:val="auto"/>
                <w:w w:val="87"/>
              </w:rPr>
              <w:t>Predecessor</w:t>
            </w:r>
          </w:p>
        </w:tc>
        <w:tc>
          <w:tcPr>
            <w:tcW w:w="460" w:type="dxa"/>
            <w:vAlign w:val="bottom"/>
            <w:tcBorders>
              <w:bottom w:val="single" w:sz="8" w:color="auto"/>
            </w:tcBorders>
          </w:tcPr>
          <w:p>
            <w:pPr>
              <w:spacing w:after="0"/>
              <w:rPr>
                <w:sz w:val="11"/>
                <w:szCs w:val="11"/>
                <w:color w:val="auto"/>
              </w:rPr>
            </w:pPr>
          </w:p>
        </w:tc>
        <w:tc>
          <w:tcPr>
            <w:tcW w:w="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1"/>
        </w:trPr>
        <w:tc>
          <w:tcPr>
            <w:tcW w:w="740" w:type="dxa"/>
            <w:vAlign w:val="bottom"/>
          </w:tcPr>
          <w:p>
            <w:pPr>
              <w:spacing w:after="0"/>
              <w:rPr>
                <w:sz w:val="8"/>
                <w:szCs w:val="8"/>
                <w:color w:val="auto"/>
              </w:rPr>
            </w:pPr>
          </w:p>
        </w:tc>
        <w:tc>
          <w:tcPr>
            <w:tcW w:w="1720" w:type="dxa"/>
            <w:vAlign w:val="bottom"/>
          </w:tcPr>
          <w:p>
            <w:pPr>
              <w:spacing w:after="0"/>
              <w:rPr>
                <w:sz w:val="8"/>
                <w:szCs w:val="8"/>
                <w:color w:val="auto"/>
              </w:rPr>
            </w:pPr>
          </w:p>
        </w:tc>
        <w:tc>
          <w:tcPr>
            <w:tcW w:w="120" w:type="dxa"/>
            <w:vAlign w:val="bottom"/>
          </w:tcPr>
          <w:p>
            <w:pPr>
              <w:spacing w:after="0"/>
              <w:rPr>
                <w:sz w:val="8"/>
                <w:szCs w:val="8"/>
                <w:color w:val="auto"/>
              </w:rPr>
            </w:pPr>
          </w:p>
        </w:tc>
        <w:tc>
          <w:tcPr>
            <w:tcW w:w="440" w:type="dxa"/>
            <w:vAlign w:val="bottom"/>
          </w:tcPr>
          <w:p>
            <w:pPr>
              <w:spacing w:after="0"/>
              <w:rPr>
                <w:sz w:val="8"/>
                <w:szCs w:val="8"/>
                <w:color w:val="auto"/>
              </w:rPr>
            </w:pPr>
          </w:p>
        </w:tc>
        <w:tc>
          <w:tcPr>
            <w:tcW w:w="180" w:type="dxa"/>
            <w:vAlign w:val="bottom"/>
          </w:tcPr>
          <w:p>
            <w:pPr>
              <w:spacing w:after="0"/>
              <w:rPr>
                <w:sz w:val="8"/>
                <w:szCs w:val="8"/>
                <w:color w:val="auto"/>
              </w:rPr>
            </w:pPr>
          </w:p>
        </w:tc>
        <w:tc>
          <w:tcPr>
            <w:tcW w:w="40" w:type="dxa"/>
            <w:vAlign w:val="bottom"/>
          </w:tcPr>
          <w:p>
            <w:pPr>
              <w:spacing w:after="0"/>
              <w:rPr>
                <w:sz w:val="8"/>
                <w:szCs w:val="8"/>
                <w:color w:val="auto"/>
              </w:rPr>
            </w:pPr>
          </w:p>
        </w:tc>
        <w:tc>
          <w:tcPr>
            <w:tcW w:w="480" w:type="dxa"/>
            <w:vAlign w:val="bottom"/>
          </w:tcPr>
          <w:p>
            <w:pPr>
              <w:spacing w:after="0"/>
              <w:rPr>
                <w:sz w:val="8"/>
                <w:szCs w:val="8"/>
                <w:color w:val="auto"/>
              </w:rPr>
            </w:pPr>
          </w:p>
        </w:tc>
        <w:tc>
          <w:tcPr>
            <w:tcW w:w="180" w:type="dxa"/>
            <w:vAlign w:val="bottom"/>
          </w:tcPr>
          <w:p>
            <w:pPr>
              <w:spacing w:after="0"/>
              <w:rPr>
                <w:sz w:val="8"/>
                <w:szCs w:val="8"/>
                <w:color w:val="auto"/>
              </w:rPr>
            </w:pPr>
          </w:p>
        </w:tc>
        <w:tc>
          <w:tcPr>
            <w:tcW w:w="60" w:type="dxa"/>
            <w:vAlign w:val="bottom"/>
          </w:tcPr>
          <w:p>
            <w:pPr>
              <w:spacing w:after="0"/>
              <w:rPr>
                <w:sz w:val="8"/>
                <w:szCs w:val="8"/>
                <w:color w:val="auto"/>
              </w:rPr>
            </w:pPr>
          </w:p>
        </w:tc>
        <w:tc>
          <w:tcPr>
            <w:tcW w:w="100" w:type="dxa"/>
            <w:vAlign w:val="bottom"/>
          </w:tcPr>
          <w:p>
            <w:pPr>
              <w:spacing w:after="0"/>
              <w:rPr>
                <w:sz w:val="8"/>
                <w:szCs w:val="8"/>
                <w:color w:val="auto"/>
              </w:rPr>
            </w:pPr>
          </w:p>
        </w:tc>
        <w:tc>
          <w:tcPr>
            <w:tcW w:w="520" w:type="dxa"/>
            <w:vAlign w:val="bottom"/>
          </w:tcPr>
          <w:p>
            <w:pPr>
              <w:spacing w:after="0"/>
              <w:rPr>
                <w:sz w:val="8"/>
                <w:szCs w:val="8"/>
                <w:color w:val="auto"/>
              </w:rPr>
            </w:pPr>
          </w:p>
        </w:tc>
        <w:tc>
          <w:tcPr>
            <w:tcW w:w="180" w:type="dxa"/>
            <w:vAlign w:val="bottom"/>
          </w:tcPr>
          <w:p>
            <w:pPr>
              <w:spacing w:after="0"/>
              <w:rPr>
                <w:sz w:val="8"/>
                <w:szCs w:val="8"/>
                <w:color w:val="auto"/>
              </w:rPr>
            </w:pPr>
          </w:p>
        </w:tc>
        <w:tc>
          <w:tcPr>
            <w:tcW w:w="6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160" w:type="dxa"/>
            <w:vAlign w:val="bottom"/>
          </w:tcPr>
          <w:p>
            <w:pPr>
              <w:spacing w:after="0"/>
              <w:rPr>
                <w:sz w:val="8"/>
                <w:szCs w:val="8"/>
                <w:color w:val="auto"/>
              </w:rPr>
            </w:pPr>
          </w:p>
        </w:tc>
        <w:tc>
          <w:tcPr>
            <w:tcW w:w="60" w:type="dxa"/>
            <w:vAlign w:val="bottom"/>
          </w:tcPr>
          <w:p>
            <w:pPr>
              <w:spacing w:after="0"/>
              <w:rPr>
                <w:sz w:val="8"/>
                <w:szCs w:val="8"/>
                <w:color w:val="auto"/>
              </w:rPr>
            </w:pPr>
          </w:p>
        </w:tc>
        <w:tc>
          <w:tcPr>
            <w:tcW w:w="460" w:type="dxa"/>
            <w:vAlign w:val="bottom"/>
          </w:tcPr>
          <w:p>
            <w:pPr>
              <w:spacing w:after="0"/>
              <w:rPr>
                <w:sz w:val="8"/>
                <w:szCs w:val="8"/>
                <w:color w:val="auto"/>
              </w:rPr>
            </w:pPr>
          </w:p>
        </w:tc>
        <w:tc>
          <w:tcPr>
            <w:tcW w:w="160" w:type="dxa"/>
            <w:vAlign w:val="bottom"/>
          </w:tcPr>
          <w:p>
            <w:pPr>
              <w:spacing w:after="0"/>
              <w:rPr>
                <w:sz w:val="8"/>
                <w:szCs w:val="8"/>
                <w:color w:val="auto"/>
              </w:rPr>
            </w:pPr>
          </w:p>
        </w:tc>
        <w:tc>
          <w:tcPr>
            <w:tcW w:w="60" w:type="dxa"/>
            <w:vAlign w:val="bottom"/>
          </w:tcPr>
          <w:p>
            <w:pPr>
              <w:spacing w:after="0"/>
              <w:rPr>
                <w:sz w:val="8"/>
                <w:szCs w:val="8"/>
                <w:color w:val="auto"/>
              </w:rPr>
            </w:pPr>
          </w:p>
        </w:tc>
        <w:tc>
          <w:tcPr>
            <w:tcW w:w="480" w:type="dxa"/>
            <w:vAlign w:val="bottom"/>
          </w:tcPr>
          <w:p>
            <w:pPr>
              <w:spacing w:after="0"/>
              <w:rPr>
                <w:sz w:val="8"/>
                <w:szCs w:val="8"/>
                <w:color w:val="auto"/>
              </w:rPr>
            </w:pPr>
          </w:p>
        </w:tc>
        <w:tc>
          <w:tcPr>
            <w:tcW w:w="160" w:type="dxa"/>
            <w:vAlign w:val="bottom"/>
          </w:tcPr>
          <w:p>
            <w:pPr>
              <w:spacing w:after="0"/>
              <w:rPr>
                <w:sz w:val="8"/>
                <w:szCs w:val="8"/>
                <w:color w:val="auto"/>
              </w:rPr>
            </w:pPr>
          </w:p>
        </w:tc>
        <w:tc>
          <w:tcPr>
            <w:tcW w:w="60" w:type="dxa"/>
            <w:vAlign w:val="bottom"/>
          </w:tcPr>
          <w:p>
            <w:pPr>
              <w:spacing w:after="0"/>
              <w:rPr>
                <w:sz w:val="8"/>
                <w:szCs w:val="8"/>
                <w:color w:val="auto"/>
              </w:rPr>
            </w:pPr>
          </w:p>
        </w:tc>
        <w:tc>
          <w:tcPr>
            <w:tcW w:w="100" w:type="dxa"/>
            <w:vAlign w:val="bottom"/>
          </w:tcPr>
          <w:p>
            <w:pPr>
              <w:spacing w:after="0"/>
              <w:rPr>
                <w:sz w:val="8"/>
                <w:szCs w:val="8"/>
                <w:color w:val="auto"/>
              </w:rPr>
            </w:pPr>
          </w:p>
        </w:tc>
        <w:tc>
          <w:tcPr>
            <w:tcW w:w="540" w:type="dxa"/>
            <w:vAlign w:val="bottom"/>
          </w:tcPr>
          <w:p>
            <w:pPr>
              <w:spacing w:after="0"/>
              <w:rPr>
                <w:sz w:val="8"/>
                <w:szCs w:val="8"/>
                <w:color w:val="auto"/>
              </w:rPr>
            </w:pPr>
          </w:p>
        </w:tc>
        <w:tc>
          <w:tcPr>
            <w:tcW w:w="160" w:type="dxa"/>
            <w:vAlign w:val="bottom"/>
          </w:tcPr>
          <w:p>
            <w:pPr>
              <w:spacing w:after="0"/>
              <w:rPr>
                <w:sz w:val="8"/>
                <w:szCs w:val="8"/>
                <w:color w:val="auto"/>
              </w:rPr>
            </w:pPr>
          </w:p>
        </w:tc>
        <w:tc>
          <w:tcPr>
            <w:tcW w:w="60" w:type="dxa"/>
            <w:vAlign w:val="bottom"/>
          </w:tcPr>
          <w:p>
            <w:pPr>
              <w:spacing w:after="0"/>
              <w:rPr>
                <w:sz w:val="8"/>
                <w:szCs w:val="8"/>
                <w:color w:val="auto"/>
              </w:rPr>
            </w:pPr>
          </w:p>
        </w:tc>
        <w:tc>
          <w:tcPr>
            <w:tcW w:w="160" w:type="dxa"/>
            <w:vAlign w:val="bottom"/>
          </w:tcPr>
          <w:p>
            <w:pPr>
              <w:spacing w:after="0"/>
              <w:rPr>
                <w:sz w:val="8"/>
                <w:szCs w:val="8"/>
                <w:color w:val="auto"/>
              </w:rPr>
            </w:pPr>
          </w:p>
        </w:tc>
        <w:tc>
          <w:tcPr>
            <w:tcW w:w="500" w:type="dxa"/>
            <w:vAlign w:val="bottom"/>
          </w:tcPr>
          <w:p>
            <w:pPr>
              <w:spacing w:after="0"/>
              <w:rPr>
                <w:sz w:val="8"/>
                <w:szCs w:val="8"/>
                <w:color w:val="auto"/>
              </w:rPr>
            </w:pPr>
          </w:p>
        </w:tc>
        <w:tc>
          <w:tcPr>
            <w:tcW w:w="340" w:type="dxa"/>
            <w:vAlign w:val="bottom"/>
            <w:tcBorders>
              <w:right w:val="single" w:sz="8" w:color="auto"/>
            </w:tcBorders>
          </w:tcPr>
          <w:p>
            <w:pPr>
              <w:spacing w:after="0"/>
              <w:rPr>
                <w:sz w:val="8"/>
                <w:szCs w:val="8"/>
                <w:color w:val="auto"/>
              </w:rPr>
            </w:pPr>
          </w:p>
        </w:tc>
        <w:tc>
          <w:tcPr>
            <w:tcW w:w="160" w:type="dxa"/>
            <w:vAlign w:val="bottom"/>
          </w:tcPr>
          <w:p>
            <w:pPr>
              <w:spacing w:after="0"/>
              <w:rPr>
                <w:sz w:val="8"/>
                <w:szCs w:val="8"/>
                <w:color w:val="auto"/>
              </w:rPr>
            </w:pPr>
          </w:p>
        </w:tc>
        <w:tc>
          <w:tcPr>
            <w:tcW w:w="560" w:type="dxa"/>
            <w:vAlign w:val="bottom"/>
            <w:gridSpan w:val="2"/>
          </w:tcPr>
          <w:p>
            <w:pPr>
              <w:jc w:val="center"/>
              <w:ind w:right="160"/>
              <w:spacing w:after="0" w:line="102" w:lineRule="exact"/>
              <w:rPr>
                <w:sz w:val="20"/>
                <w:szCs w:val="20"/>
                <w:color w:val="auto"/>
              </w:rPr>
            </w:pPr>
            <w:r>
              <w:rPr>
                <w:rFonts w:ascii="Arial" w:cs="Arial" w:eastAsia="Arial" w:hAnsi="Arial"/>
                <w:sz w:val="11"/>
                <w:szCs w:val="11"/>
                <w:b w:val="1"/>
                <w:bCs w:val="1"/>
                <w:color w:val="auto"/>
                <w:w w:val="93"/>
              </w:rPr>
              <w:t>Period</w:t>
            </w:r>
          </w:p>
        </w:tc>
        <w:tc>
          <w:tcPr>
            <w:tcW w:w="60" w:type="dxa"/>
            <w:vAlign w:val="bottom"/>
          </w:tcPr>
          <w:p>
            <w:pPr>
              <w:spacing w:after="0"/>
              <w:rPr>
                <w:sz w:val="8"/>
                <w:szCs w:val="8"/>
                <w:color w:val="auto"/>
              </w:rPr>
            </w:pPr>
          </w:p>
        </w:tc>
        <w:tc>
          <w:tcPr>
            <w:tcW w:w="440" w:type="dxa"/>
            <w:vAlign w:val="bottom"/>
          </w:tcPr>
          <w:p>
            <w:pPr>
              <w:spacing w:after="0"/>
              <w:rPr>
                <w:sz w:val="8"/>
                <w:szCs w:val="8"/>
                <w:color w:val="auto"/>
              </w:rPr>
            </w:pPr>
          </w:p>
        </w:tc>
        <w:tc>
          <w:tcPr>
            <w:tcW w:w="240" w:type="dxa"/>
            <w:vAlign w:val="bottom"/>
          </w:tcPr>
          <w:p>
            <w:pPr>
              <w:spacing w:after="0"/>
              <w:rPr>
                <w:sz w:val="8"/>
                <w:szCs w:val="8"/>
                <w:color w:val="auto"/>
              </w:rPr>
            </w:pPr>
          </w:p>
        </w:tc>
        <w:tc>
          <w:tcPr>
            <w:tcW w:w="460" w:type="dxa"/>
            <w:vAlign w:val="bottom"/>
          </w:tcPr>
          <w:p>
            <w:pPr>
              <w:spacing w:after="0"/>
              <w:rPr>
                <w:sz w:val="8"/>
                <w:szCs w:val="8"/>
                <w:color w:val="auto"/>
              </w:rPr>
            </w:pPr>
          </w:p>
        </w:tc>
        <w:tc>
          <w:tcPr>
            <w:tcW w:w="1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22"/>
        </w:trPr>
        <w:tc>
          <w:tcPr>
            <w:tcW w:w="740" w:type="dxa"/>
            <w:vAlign w:val="bottom"/>
          </w:tcPr>
          <w:p>
            <w:pPr>
              <w:spacing w:after="0"/>
              <w:rPr>
                <w:sz w:val="10"/>
                <w:szCs w:val="10"/>
                <w:color w:val="auto"/>
              </w:rPr>
            </w:pPr>
          </w:p>
        </w:tc>
        <w:tc>
          <w:tcPr>
            <w:tcW w:w="17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20" w:type="dxa"/>
            <w:vAlign w:val="bottom"/>
            <w:gridSpan w:val="2"/>
          </w:tcPr>
          <w:p>
            <w:pPr>
              <w:jc w:val="center"/>
              <w:ind w:right="180"/>
              <w:spacing w:after="0" w:line="122" w:lineRule="exact"/>
              <w:rPr>
                <w:sz w:val="20"/>
                <w:szCs w:val="20"/>
                <w:color w:val="auto"/>
              </w:rPr>
            </w:pPr>
            <w:r>
              <w:rPr>
                <w:rFonts w:ascii="Arial" w:cs="Arial" w:eastAsia="Arial" w:hAnsi="Arial"/>
                <w:sz w:val="11"/>
                <w:szCs w:val="11"/>
                <w:b w:val="1"/>
                <w:bCs w:val="1"/>
                <w:color w:val="auto"/>
                <w:w w:val="93"/>
              </w:rPr>
              <w:t>Three</w:t>
            </w:r>
          </w:p>
        </w:tc>
        <w:tc>
          <w:tcPr>
            <w:tcW w:w="40" w:type="dxa"/>
            <w:vAlign w:val="bottom"/>
          </w:tcPr>
          <w:p>
            <w:pPr>
              <w:spacing w:after="0"/>
              <w:rPr>
                <w:sz w:val="10"/>
                <w:szCs w:val="10"/>
                <w:color w:val="auto"/>
              </w:rPr>
            </w:pPr>
          </w:p>
        </w:tc>
        <w:tc>
          <w:tcPr>
            <w:tcW w:w="660" w:type="dxa"/>
            <w:vAlign w:val="bottom"/>
            <w:gridSpan w:val="2"/>
          </w:tcPr>
          <w:p>
            <w:pPr>
              <w:jc w:val="center"/>
              <w:ind w:right="180"/>
              <w:spacing w:after="0" w:line="122" w:lineRule="exact"/>
              <w:rPr>
                <w:sz w:val="20"/>
                <w:szCs w:val="20"/>
                <w:color w:val="auto"/>
              </w:rPr>
            </w:pPr>
            <w:r>
              <w:rPr>
                <w:rFonts w:ascii="Arial" w:cs="Arial" w:eastAsia="Arial" w:hAnsi="Arial"/>
                <w:sz w:val="11"/>
                <w:szCs w:val="11"/>
                <w:b w:val="1"/>
                <w:bCs w:val="1"/>
                <w:color w:val="auto"/>
                <w:w w:val="93"/>
              </w:rPr>
              <w:t>Three</w:t>
            </w: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00" w:type="dxa"/>
            <w:vAlign w:val="bottom"/>
            <w:gridSpan w:val="2"/>
          </w:tcPr>
          <w:p>
            <w:pPr>
              <w:jc w:val="center"/>
              <w:ind w:right="280"/>
              <w:spacing w:after="0" w:line="122" w:lineRule="exact"/>
              <w:rPr>
                <w:sz w:val="20"/>
                <w:szCs w:val="20"/>
                <w:color w:val="auto"/>
              </w:rPr>
            </w:pPr>
            <w:r>
              <w:rPr>
                <w:rFonts w:ascii="Arial" w:cs="Arial" w:eastAsia="Arial" w:hAnsi="Arial"/>
                <w:sz w:val="11"/>
                <w:szCs w:val="11"/>
                <w:b w:val="1"/>
                <w:bCs w:val="1"/>
                <w:color w:val="auto"/>
                <w:w w:val="86"/>
              </w:rPr>
              <w:t>Three</w:t>
            </w: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20" w:type="dxa"/>
            <w:vAlign w:val="bottom"/>
            <w:gridSpan w:val="2"/>
          </w:tcPr>
          <w:p>
            <w:pPr>
              <w:jc w:val="center"/>
              <w:ind w:right="280"/>
              <w:spacing w:after="0" w:line="122" w:lineRule="exact"/>
              <w:rPr>
                <w:sz w:val="20"/>
                <w:szCs w:val="20"/>
                <w:color w:val="auto"/>
              </w:rPr>
            </w:pPr>
            <w:r>
              <w:rPr>
                <w:rFonts w:ascii="Arial" w:cs="Arial" w:eastAsia="Arial" w:hAnsi="Arial"/>
                <w:sz w:val="11"/>
                <w:szCs w:val="11"/>
                <w:b w:val="1"/>
                <w:bCs w:val="1"/>
                <w:color w:val="auto"/>
                <w:w w:val="93"/>
              </w:rPr>
              <w:t>Three</w:t>
            </w:r>
          </w:p>
        </w:tc>
        <w:tc>
          <w:tcPr>
            <w:tcW w:w="60" w:type="dxa"/>
            <w:vAlign w:val="bottom"/>
          </w:tcPr>
          <w:p>
            <w:pPr>
              <w:spacing w:after="0"/>
              <w:rPr>
                <w:sz w:val="10"/>
                <w:szCs w:val="10"/>
                <w:color w:val="auto"/>
              </w:rPr>
            </w:pPr>
          </w:p>
        </w:tc>
        <w:tc>
          <w:tcPr>
            <w:tcW w:w="620" w:type="dxa"/>
            <w:vAlign w:val="bottom"/>
            <w:gridSpan w:val="2"/>
          </w:tcPr>
          <w:p>
            <w:pPr>
              <w:jc w:val="center"/>
              <w:ind w:right="160"/>
              <w:spacing w:after="0" w:line="122" w:lineRule="exact"/>
              <w:rPr>
                <w:sz w:val="20"/>
                <w:szCs w:val="20"/>
                <w:color w:val="auto"/>
              </w:rPr>
            </w:pPr>
            <w:r>
              <w:rPr>
                <w:rFonts w:ascii="Arial" w:cs="Arial" w:eastAsia="Arial" w:hAnsi="Arial"/>
                <w:sz w:val="11"/>
                <w:szCs w:val="11"/>
                <w:b w:val="1"/>
                <w:bCs w:val="1"/>
                <w:color w:val="auto"/>
                <w:w w:val="86"/>
              </w:rPr>
              <w:t>Three</w:t>
            </w:r>
          </w:p>
        </w:tc>
        <w:tc>
          <w:tcPr>
            <w:tcW w:w="60" w:type="dxa"/>
            <w:vAlign w:val="bottom"/>
          </w:tcPr>
          <w:p>
            <w:pPr>
              <w:spacing w:after="0"/>
              <w:rPr>
                <w:sz w:val="10"/>
                <w:szCs w:val="10"/>
                <w:color w:val="auto"/>
              </w:rPr>
            </w:pPr>
          </w:p>
        </w:tc>
        <w:tc>
          <w:tcPr>
            <w:tcW w:w="640" w:type="dxa"/>
            <w:vAlign w:val="bottom"/>
            <w:gridSpan w:val="2"/>
          </w:tcPr>
          <w:p>
            <w:pPr>
              <w:jc w:val="center"/>
              <w:ind w:right="160"/>
              <w:spacing w:after="0" w:line="122" w:lineRule="exact"/>
              <w:rPr>
                <w:sz w:val="20"/>
                <w:szCs w:val="20"/>
                <w:color w:val="auto"/>
              </w:rPr>
            </w:pPr>
            <w:r>
              <w:rPr>
                <w:rFonts w:ascii="Arial" w:cs="Arial" w:eastAsia="Arial" w:hAnsi="Arial"/>
                <w:sz w:val="11"/>
                <w:szCs w:val="11"/>
                <w:b w:val="1"/>
                <w:bCs w:val="1"/>
                <w:color w:val="auto"/>
                <w:w w:val="93"/>
              </w:rPr>
              <w:t>Three</w:t>
            </w: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00" w:type="dxa"/>
            <w:vAlign w:val="bottom"/>
            <w:gridSpan w:val="2"/>
          </w:tcPr>
          <w:p>
            <w:pPr>
              <w:jc w:val="center"/>
              <w:ind w:right="260"/>
              <w:spacing w:after="0" w:line="122" w:lineRule="exact"/>
              <w:rPr>
                <w:sz w:val="20"/>
                <w:szCs w:val="20"/>
                <w:color w:val="auto"/>
              </w:rPr>
            </w:pPr>
            <w:r>
              <w:rPr>
                <w:rFonts w:ascii="Arial" w:cs="Arial" w:eastAsia="Arial" w:hAnsi="Arial"/>
                <w:sz w:val="11"/>
                <w:szCs w:val="11"/>
                <w:b w:val="1"/>
                <w:bCs w:val="1"/>
                <w:color w:val="auto"/>
                <w:w w:val="93"/>
              </w:rPr>
              <w:t>Three</w:t>
            </w:r>
          </w:p>
        </w:tc>
        <w:tc>
          <w:tcPr>
            <w:tcW w:w="60" w:type="dxa"/>
            <w:vAlign w:val="bottom"/>
          </w:tcPr>
          <w:p>
            <w:pPr>
              <w:spacing w:after="0"/>
              <w:rPr>
                <w:sz w:val="10"/>
                <w:szCs w:val="10"/>
                <w:color w:val="auto"/>
              </w:rPr>
            </w:pPr>
          </w:p>
        </w:tc>
        <w:tc>
          <w:tcPr>
            <w:tcW w:w="1000" w:type="dxa"/>
            <w:vAlign w:val="bottom"/>
            <w:tcBorders>
              <w:right w:val="single" w:sz="8" w:color="auto"/>
            </w:tcBorders>
            <w:gridSpan w:val="3"/>
          </w:tcPr>
          <w:p>
            <w:pPr>
              <w:jc w:val="center"/>
              <w:ind w:right="320"/>
              <w:spacing w:after="0" w:line="122" w:lineRule="exact"/>
              <w:rPr>
                <w:sz w:val="20"/>
                <w:szCs w:val="20"/>
                <w:color w:val="auto"/>
              </w:rPr>
            </w:pPr>
            <w:r>
              <w:rPr>
                <w:rFonts w:ascii="Arial" w:cs="Arial" w:eastAsia="Arial" w:hAnsi="Arial"/>
                <w:sz w:val="11"/>
                <w:szCs w:val="11"/>
                <w:b w:val="1"/>
                <w:bCs w:val="1"/>
                <w:color w:val="auto"/>
                <w:w w:val="90"/>
              </w:rPr>
              <w:t>Period from</w:t>
            </w:r>
          </w:p>
        </w:tc>
        <w:tc>
          <w:tcPr>
            <w:tcW w:w="160" w:type="dxa"/>
            <w:vAlign w:val="bottom"/>
          </w:tcPr>
          <w:p>
            <w:pPr>
              <w:spacing w:after="0"/>
              <w:rPr>
                <w:sz w:val="10"/>
                <w:szCs w:val="10"/>
                <w:color w:val="auto"/>
              </w:rPr>
            </w:pPr>
          </w:p>
        </w:tc>
        <w:tc>
          <w:tcPr>
            <w:tcW w:w="560" w:type="dxa"/>
            <w:vAlign w:val="bottom"/>
            <w:gridSpan w:val="2"/>
          </w:tcPr>
          <w:p>
            <w:pPr>
              <w:jc w:val="center"/>
              <w:ind w:right="160"/>
              <w:spacing w:after="0" w:line="122" w:lineRule="exact"/>
              <w:rPr>
                <w:sz w:val="20"/>
                <w:szCs w:val="20"/>
                <w:color w:val="auto"/>
              </w:rPr>
            </w:pPr>
            <w:r>
              <w:rPr>
                <w:rFonts w:ascii="Arial" w:cs="Arial" w:eastAsia="Arial" w:hAnsi="Arial"/>
                <w:sz w:val="11"/>
                <w:szCs w:val="11"/>
                <w:b w:val="1"/>
                <w:bCs w:val="1"/>
                <w:color w:val="auto"/>
                <w:w w:val="97"/>
              </w:rPr>
              <w:t>from</w:t>
            </w:r>
          </w:p>
        </w:tc>
        <w:tc>
          <w:tcPr>
            <w:tcW w:w="60" w:type="dxa"/>
            <w:vAlign w:val="bottom"/>
          </w:tcPr>
          <w:p>
            <w:pPr>
              <w:spacing w:after="0"/>
              <w:rPr>
                <w:sz w:val="10"/>
                <w:szCs w:val="10"/>
                <w:color w:val="auto"/>
              </w:rPr>
            </w:pPr>
          </w:p>
        </w:tc>
        <w:tc>
          <w:tcPr>
            <w:tcW w:w="680" w:type="dxa"/>
            <w:vAlign w:val="bottom"/>
            <w:gridSpan w:val="2"/>
          </w:tcPr>
          <w:p>
            <w:pPr>
              <w:jc w:val="center"/>
              <w:ind w:right="240"/>
              <w:spacing w:after="0" w:line="122" w:lineRule="exact"/>
              <w:rPr>
                <w:sz w:val="20"/>
                <w:szCs w:val="20"/>
                <w:color w:val="auto"/>
              </w:rPr>
            </w:pPr>
            <w:r>
              <w:rPr>
                <w:rFonts w:ascii="Arial" w:cs="Arial" w:eastAsia="Arial" w:hAnsi="Arial"/>
                <w:sz w:val="11"/>
                <w:szCs w:val="11"/>
                <w:b w:val="1"/>
                <w:bCs w:val="1"/>
                <w:color w:val="auto"/>
                <w:w w:val="93"/>
              </w:rPr>
              <w:t>Three</w:t>
            </w:r>
          </w:p>
        </w:tc>
        <w:tc>
          <w:tcPr>
            <w:tcW w:w="620" w:type="dxa"/>
            <w:vAlign w:val="bottom"/>
            <w:gridSpan w:val="2"/>
          </w:tcPr>
          <w:p>
            <w:pPr>
              <w:jc w:val="center"/>
              <w:ind w:right="160"/>
              <w:spacing w:after="0" w:line="122" w:lineRule="exact"/>
              <w:rPr>
                <w:sz w:val="20"/>
                <w:szCs w:val="20"/>
                <w:color w:val="auto"/>
              </w:rPr>
            </w:pPr>
            <w:r>
              <w:rPr>
                <w:rFonts w:ascii="Arial" w:cs="Arial" w:eastAsia="Arial" w:hAnsi="Arial"/>
                <w:sz w:val="11"/>
                <w:szCs w:val="11"/>
                <w:b w:val="1"/>
                <w:bCs w:val="1"/>
                <w:color w:val="auto"/>
                <w:w w:val="86"/>
              </w:rPr>
              <w:t>Three</w:t>
            </w:r>
          </w:p>
        </w:tc>
        <w:tc>
          <w:tcPr>
            <w:tcW w:w="0" w:type="dxa"/>
            <w:vAlign w:val="bottom"/>
          </w:tcPr>
          <w:p>
            <w:pPr>
              <w:spacing w:after="0"/>
              <w:rPr>
                <w:sz w:val="1"/>
                <w:szCs w:val="1"/>
                <w:color w:val="auto"/>
              </w:rPr>
            </w:pPr>
          </w:p>
        </w:tc>
      </w:tr>
      <w:tr>
        <w:trPr>
          <w:trHeight w:val="122"/>
        </w:trPr>
        <w:tc>
          <w:tcPr>
            <w:tcW w:w="740" w:type="dxa"/>
            <w:vAlign w:val="bottom"/>
          </w:tcPr>
          <w:p>
            <w:pPr>
              <w:spacing w:after="0"/>
              <w:rPr>
                <w:sz w:val="10"/>
                <w:szCs w:val="10"/>
                <w:color w:val="auto"/>
              </w:rPr>
            </w:pPr>
          </w:p>
        </w:tc>
        <w:tc>
          <w:tcPr>
            <w:tcW w:w="17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20" w:type="dxa"/>
            <w:vAlign w:val="bottom"/>
            <w:gridSpan w:val="2"/>
          </w:tcPr>
          <w:p>
            <w:pPr>
              <w:jc w:val="center"/>
              <w:ind w:right="180"/>
              <w:spacing w:after="0" w:line="122" w:lineRule="exact"/>
              <w:rPr>
                <w:sz w:val="20"/>
                <w:szCs w:val="20"/>
                <w:color w:val="auto"/>
              </w:rPr>
            </w:pPr>
            <w:r>
              <w:rPr>
                <w:rFonts w:ascii="Arial" w:cs="Arial" w:eastAsia="Arial" w:hAnsi="Arial"/>
                <w:sz w:val="11"/>
                <w:szCs w:val="11"/>
                <w:b w:val="1"/>
                <w:bCs w:val="1"/>
                <w:color w:val="auto"/>
                <w:w w:val="91"/>
              </w:rPr>
              <w:t>Months</w:t>
            </w:r>
          </w:p>
        </w:tc>
        <w:tc>
          <w:tcPr>
            <w:tcW w:w="40" w:type="dxa"/>
            <w:vAlign w:val="bottom"/>
          </w:tcPr>
          <w:p>
            <w:pPr>
              <w:spacing w:after="0"/>
              <w:rPr>
                <w:sz w:val="10"/>
                <w:szCs w:val="10"/>
                <w:color w:val="auto"/>
              </w:rPr>
            </w:pPr>
          </w:p>
        </w:tc>
        <w:tc>
          <w:tcPr>
            <w:tcW w:w="660" w:type="dxa"/>
            <w:vAlign w:val="bottom"/>
            <w:gridSpan w:val="2"/>
          </w:tcPr>
          <w:p>
            <w:pPr>
              <w:jc w:val="center"/>
              <w:ind w:right="180"/>
              <w:spacing w:after="0" w:line="122" w:lineRule="exact"/>
              <w:rPr>
                <w:sz w:val="20"/>
                <w:szCs w:val="20"/>
                <w:color w:val="auto"/>
              </w:rPr>
            </w:pPr>
            <w:r>
              <w:rPr>
                <w:rFonts w:ascii="Arial" w:cs="Arial" w:eastAsia="Arial" w:hAnsi="Arial"/>
                <w:sz w:val="11"/>
                <w:szCs w:val="11"/>
                <w:b w:val="1"/>
                <w:bCs w:val="1"/>
                <w:color w:val="auto"/>
                <w:w w:val="91"/>
              </w:rPr>
              <w:t>Months</w:t>
            </w: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00" w:type="dxa"/>
            <w:vAlign w:val="bottom"/>
            <w:gridSpan w:val="2"/>
          </w:tcPr>
          <w:p>
            <w:pPr>
              <w:jc w:val="center"/>
              <w:ind w:right="280"/>
              <w:spacing w:after="0" w:line="122" w:lineRule="exact"/>
              <w:rPr>
                <w:sz w:val="20"/>
                <w:szCs w:val="20"/>
                <w:color w:val="auto"/>
              </w:rPr>
            </w:pPr>
            <w:r>
              <w:rPr>
                <w:rFonts w:ascii="Arial" w:cs="Arial" w:eastAsia="Arial" w:hAnsi="Arial"/>
                <w:sz w:val="11"/>
                <w:szCs w:val="11"/>
                <w:b w:val="1"/>
                <w:bCs w:val="1"/>
                <w:color w:val="auto"/>
                <w:w w:val="86"/>
              </w:rPr>
              <w:t>Months</w:t>
            </w: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20" w:type="dxa"/>
            <w:vAlign w:val="bottom"/>
            <w:gridSpan w:val="2"/>
          </w:tcPr>
          <w:p>
            <w:pPr>
              <w:jc w:val="center"/>
              <w:ind w:right="280"/>
              <w:spacing w:after="0" w:line="122" w:lineRule="exact"/>
              <w:rPr>
                <w:sz w:val="20"/>
                <w:szCs w:val="20"/>
                <w:color w:val="auto"/>
              </w:rPr>
            </w:pPr>
            <w:r>
              <w:rPr>
                <w:rFonts w:ascii="Arial" w:cs="Arial" w:eastAsia="Arial" w:hAnsi="Arial"/>
                <w:sz w:val="11"/>
                <w:szCs w:val="11"/>
                <w:b w:val="1"/>
                <w:bCs w:val="1"/>
                <w:color w:val="auto"/>
                <w:w w:val="91"/>
              </w:rPr>
              <w:t>Months</w:t>
            </w:r>
          </w:p>
        </w:tc>
        <w:tc>
          <w:tcPr>
            <w:tcW w:w="60" w:type="dxa"/>
            <w:vAlign w:val="bottom"/>
          </w:tcPr>
          <w:p>
            <w:pPr>
              <w:spacing w:after="0"/>
              <w:rPr>
                <w:sz w:val="10"/>
                <w:szCs w:val="10"/>
                <w:color w:val="auto"/>
              </w:rPr>
            </w:pPr>
          </w:p>
        </w:tc>
        <w:tc>
          <w:tcPr>
            <w:tcW w:w="620" w:type="dxa"/>
            <w:vAlign w:val="bottom"/>
            <w:gridSpan w:val="2"/>
          </w:tcPr>
          <w:p>
            <w:pPr>
              <w:jc w:val="center"/>
              <w:ind w:right="160"/>
              <w:spacing w:after="0" w:line="122" w:lineRule="exact"/>
              <w:rPr>
                <w:sz w:val="20"/>
                <w:szCs w:val="20"/>
                <w:color w:val="auto"/>
              </w:rPr>
            </w:pPr>
            <w:r>
              <w:rPr>
                <w:rFonts w:ascii="Arial" w:cs="Arial" w:eastAsia="Arial" w:hAnsi="Arial"/>
                <w:sz w:val="11"/>
                <w:szCs w:val="11"/>
                <w:b w:val="1"/>
                <w:bCs w:val="1"/>
                <w:color w:val="auto"/>
                <w:w w:val="86"/>
              </w:rPr>
              <w:t>Months</w:t>
            </w:r>
          </w:p>
        </w:tc>
        <w:tc>
          <w:tcPr>
            <w:tcW w:w="60" w:type="dxa"/>
            <w:vAlign w:val="bottom"/>
          </w:tcPr>
          <w:p>
            <w:pPr>
              <w:spacing w:after="0"/>
              <w:rPr>
                <w:sz w:val="10"/>
                <w:szCs w:val="10"/>
                <w:color w:val="auto"/>
              </w:rPr>
            </w:pPr>
          </w:p>
        </w:tc>
        <w:tc>
          <w:tcPr>
            <w:tcW w:w="640" w:type="dxa"/>
            <w:vAlign w:val="bottom"/>
            <w:gridSpan w:val="2"/>
          </w:tcPr>
          <w:p>
            <w:pPr>
              <w:jc w:val="center"/>
              <w:ind w:right="160"/>
              <w:spacing w:after="0" w:line="122" w:lineRule="exact"/>
              <w:rPr>
                <w:sz w:val="20"/>
                <w:szCs w:val="20"/>
                <w:color w:val="auto"/>
              </w:rPr>
            </w:pPr>
            <w:r>
              <w:rPr>
                <w:rFonts w:ascii="Arial" w:cs="Arial" w:eastAsia="Arial" w:hAnsi="Arial"/>
                <w:sz w:val="11"/>
                <w:szCs w:val="11"/>
                <w:b w:val="1"/>
                <w:bCs w:val="1"/>
                <w:color w:val="auto"/>
                <w:w w:val="91"/>
              </w:rPr>
              <w:t>Months</w:t>
            </w: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00" w:type="dxa"/>
            <w:vAlign w:val="bottom"/>
            <w:gridSpan w:val="2"/>
          </w:tcPr>
          <w:p>
            <w:pPr>
              <w:jc w:val="center"/>
              <w:ind w:right="260"/>
              <w:spacing w:after="0" w:line="122" w:lineRule="exact"/>
              <w:rPr>
                <w:sz w:val="20"/>
                <w:szCs w:val="20"/>
                <w:color w:val="auto"/>
              </w:rPr>
            </w:pPr>
            <w:r>
              <w:rPr>
                <w:rFonts w:ascii="Arial" w:cs="Arial" w:eastAsia="Arial" w:hAnsi="Arial"/>
                <w:sz w:val="11"/>
                <w:szCs w:val="11"/>
                <w:b w:val="1"/>
                <w:bCs w:val="1"/>
                <w:color w:val="auto"/>
                <w:w w:val="91"/>
              </w:rPr>
              <w:t>Months</w:t>
            </w:r>
          </w:p>
        </w:tc>
        <w:tc>
          <w:tcPr>
            <w:tcW w:w="60" w:type="dxa"/>
            <w:vAlign w:val="bottom"/>
          </w:tcPr>
          <w:p>
            <w:pPr>
              <w:spacing w:after="0"/>
              <w:rPr>
                <w:sz w:val="10"/>
                <w:szCs w:val="10"/>
                <w:color w:val="auto"/>
              </w:rPr>
            </w:pPr>
          </w:p>
        </w:tc>
        <w:tc>
          <w:tcPr>
            <w:tcW w:w="1000" w:type="dxa"/>
            <w:vAlign w:val="bottom"/>
            <w:tcBorders>
              <w:right w:val="single" w:sz="8" w:color="auto"/>
            </w:tcBorders>
            <w:gridSpan w:val="3"/>
          </w:tcPr>
          <w:p>
            <w:pPr>
              <w:jc w:val="center"/>
              <w:ind w:right="320"/>
              <w:spacing w:after="0" w:line="122" w:lineRule="exact"/>
              <w:rPr>
                <w:sz w:val="20"/>
                <w:szCs w:val="20"/>
                <w:color w:val="auto"/>
              </w:rPr>
            </w:pPr>
            <w:r>
              <w:rPr>
                <w:rFonts w:ascii="Arial" w:cs="Arial" w:eastAsia="Arial" w:hAnsi="Arial"/>
                <w:sz w:val="11"/>
                <w:szCs w:val="11"/>
                <w:b w:val="1"/>
                <w:bCs w:val="1"/>
                <w:color w:val="auto"/>
                <w:w w:val="88"/>
              </w:rPr>
              <w:t>July 16, 2019</w:t>
            </w:r>
          </w:p>
        </w:tc>
        <w:tc>
          <w:tcPr>
            <w:tcW w:w="160" w:type="dxa"/>
            <w:vAlign w:val="bottom"/>
          </w:tcPr>
          <w:p>
            <w:pPr>
              <w:spacing w:after="0"/>
              <w:rPr>
                <w:sz w:val="10"/>
                <w:szCs w:val="10"/>
                <w:color w:val="auto"/>
              </w:rPr>
            </w:pPr>
          </w:p>
        </w:tc>
        <w:tc>
          <w:tcPr>
            <w:tcW w:w="560" w:type="dxa"/>
            <w:vAlign w:val="bottom"/>
            <w:gridSpan w:val="2"/>
          </w:tcPr>
          <w:p>
            <w:pPr>
              <w:jc w:val="center"/>
              <w:ind w:right="160"/>
              <w:spacing w:after="0" w:line="122" w:lineRule="exact"/>
              <w:rPr>
                <w:sz w:val="20"/>
                <w:szCs w:val="20"/>
                <w:color w:val="auto"/>
              </w:rPr>
            </w:pPr>
            <w:r>
              <w:rPr>
                <w:rFonts w:ascii="Arial" w:cs="Arial" w:eastAsia="Arial" w:hAnsi="Arial"/>
                <w:sz w:val="11"/>
                <w:szCs w:val="11"/>
                <w:b w:val="1"/>
                <w:bCs w:val="1"/>
                <w:color w:val="auto"/>
                <w:w w:val="93"/>
              </w:rPr>
              <w:t>July 1,</w:t>
            </w:r>
          </w:p>
        </w:tc>
        <w:tc>
          <w:tcPr>
            <w:tcW w:w="60" w:type="dxa"/>
            <w:vAlign w:val="bottom"/>
          </w:tcPr>
          <w:p>
            <w:pPr>
              <w:spacing w:after="0"/>
              <w:rPr>
                <w:sz w:val="10"/>
                <w:szCs w:val="10"/>
                <w:color w:val="auto"/>
              </w:rPr>
            </w:pPr>
          </w:p>
        </w:tc>
        <w:tc>
          <w:tcPr>
            <w:tcW w:w="680" w:type="dxa"/>
            <w:vAlign w:val="bottom"/>
            <w:gridSpan w:val="2"/>
          </w:tcPr>
          <w:p>
            <w:pPr>
              <w:jc w:val="center"/>
              <w:ind w:right="240"/>
              <w:spacing w:after="0" w:line="122" w:lineRule="exact"/>
              <w:rPr>
                <w:sz w:val="20"/>
                <w:szCs w:val="20"/>
                <w:color w:val="auto"/>
              </w:rPr>
            </w:pPr>
            <w:r>
              <w:rPr>
                <w:rFonts w:ascii="Arial" w:cs="Arial" w:eastAsia="Arial" w:hAnsi="Arial"/>
                <w:sz w:val="11"/>
                <w:szCs w:val="11"/>
                <w:b w:val="1"/>
                <w:bCs w:val="1"/>
                <w:color w:val="auto"/>
                <w:w w:val="91"/>
              </w:rPr>
              <w:t>Months</w:t>
            </w:r>
          </w:p>
        </w:tc>
        <w:tc>
          <w:tcPr>
            <w:tcW w:w="620" w:type="dxa"/>
            <w:vAlign w:val="bottom"/>
            <w:gridSpan w:val="2"/>
          </w:tcPr>
          <w:p>
            <w:pPr>
              <w:jc w:val="center"/>
              <w:ind w:right="160"/>
              <w:spacing w:after="0" w:line="122" w:lineRule="exact"/>
              <w:rPr>
                <w:sz w:val="20"/>
                <w:szCs w:val="20"/>
                <w:color w:val="auto"/>
              </w:rPr>
            </w:pPr>
            <w:r>
              <w:rPr>
                <w:rFonts w:ascii="Arial" w:cs="Arial" w:eastAsia="Arial" w:hAnsi="Arial"/>
                <w:sz w:val="11"/>
                <w:szCs w:val="11"/>
                <w:b w:val="1"/>
                <w:bCs w:val="1"/>
                <w:color w:val="auto"/>
                <w:w w:val="86"/>
              </w:rPr>
              <w:t>Months</w:t>
            </w:r>
          </w:p>
        </w:tc>
        <w:tc>
          <w:tcPr>
            <w:tcW w:w="0" w:type="dxa"/>
            <w:vAlign w:val="bottom"/>
          </w:tcPr>
          <w:p>
            <w:pPr>
              <w:spacing w:after="0"/>
              <w:rPr>
                <w:sz w:val="1"/>
                <w:szCs w:val="1"/>
                <w:color w:val="auto"/>
              </w:rPr>
            </w:pPr>
          </w:p>
        </w:tc>
      </w:tr>
      <w:tr>
        <w:trPr>
          <w:trHeight w:val="121"/>
        </w:trPr>
        <w:tc>
          <w:tcPr>
            <w:tcW w:w="740" w:type="dxa"/>
            <w:vAlign w:val="bottom"/>
          </w:tcPr>
          <w:p>
            <w:pPr>
              <w:spacing w:after="0"/>
              <w:rPr>
                <w:sz w:val="10"/>
                <w:szCs w:val="10"/>
                <w:color w:val="auto"/>
              </w:rPr>
            </w:pPr>
          </w:p>
        </w:tc>
        <w:tc>
          <w:tcPr>
            <w:tcW w:w="17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20" w:type="dxa"/>
            <w:vAlign w:val="bottom"/>
            <w:gridSpan w:val="2"/>
          </w:tcPr>
          <w:p>
            <w:pPr>
              <w:jc w:val="center"/>
              <w:ind w:right="200"/>
              <w:spacing w:after="0" w:line="122" w:lineRule="exact"/>
              <w:rPr>
                <w:sz w:val="20"/>
                <w:szCs w:val="20"/>
                <w:color w:val="auto"/>
              </w:rPr>
            </w:pPr>
            <w:r>
              <w:rPr>
                <w:rFonts w:ascii="Arial" w:cs="Arial" w:eastAsia="Arial" w:hAnsi="Arial"/>
                <w:sz w:val="11"/>
                <w:szCs w:val="11"/>
                <w:b w:val="1"/>
                <w:bCs w:val="1"/>
                <w:color w:val="auto"/>
                <w:w w:val="89"/>
              </w:rPr>
              <w:t>Ended</w:t>
            </w:r>
          </w:p>
        </w:tc>
        <w:tc>
          <w:tcPr>
            <w:tcW w:w="40" w:type="dxa"/>
            <w:vAlign w:val="bottom"/>
          </w:tcPr>
          <w:p>
            <w:pPr>
              <w:spacing w:after="0"/>
              <w:rPr>
                <w:sz w:val="10"/>
                <w:szCs w:val="10"/>
                <w:color w:val="auto"/>
              </w:rPr>
            </w:pPr>
          </w:p>
        </w:tc>
        <w:tc>
          <w:tcPr>
            <w:tcW w:w="660" w:type="dxa"/>
            <w:vAlign w:val="bottom"/>
            <w:gridSpan w:val="2"/>
          </w:tcPr>
          <w:p>
            <w:pPr>
              <w:jc w:val="center"/>
              <w:ind w:right="160"/>
              <w:spacing w:after="0" w:line="122" w:lineRule="exact"/>
              <w:rPr>
                <w:sz w:val="20"/>
                <w:szCs w:val="20"/>
                <w:color w:val="auto"/>
              </w:rPr>
            </w:pPr>
            <w:r>
              <w:rPr>
                <w:rFonts w:ascii="Arial" w:cs="Arial" w:eastAsia="Arial" w:hAnsi="Arial"/>
                <w:sz w:val="11"/>
                <w:szCs w:val="11"/>
                <w:b w:val="1"/>
                <w:bCs w:val="1"/>
                <w:color w:val="auto"/>
                <w:w w:val="89"/>
              </w:rPr>
              <w:t>Ended</w:t>
            </w: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00" w:type="dxa"/>
            <w:vAlign w:val="bottom"/>
            <w:gridSpan w:val="2"/>
          </w:tcPr>
          <w:p>
            <w:pPr>
              <w:jc w:val="center"/>
              <w:ind w:right="280"/>
              <w:spacing w:after="0" w:line="122" w:lineRule="exact"/>
              <w:rPr>
                <w:sz w:val="20"/>
                <w:szCs w:val="20"/>
                <w:color w:val="auto"/>
              </w:rPr>
            </w:pPr>
            <w:r>
              <w:rPr>
                <w:rFonts w:ascii="Arial" w:cs="Arial" w:eastAsia="Arial" w:hAnsi="Arial"/>
                <w:sz w:val="11"/>
                <w:szCs w:val="11"/>
                <w:b w:val="1"/>
                <w:bCs w:val="1"/>
                <w:color w:val="auto"/>
                <w:w w:val="89"/>
              </w:rPr>
              <w:t>Ended</w:t>
            </w: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20" w:type="dxa"/>
            <w:vAlign w:val="bottom"/>
            <w:gridSpan w:val="2"/>
          </w:tcPr>
          <w:p>
            <w:pPr>
              <w:jc w:val="center"/>
              <w:ind w:right="260"/>
              <w:spacing w:after="0" w:line="122" w:lineRule="exact"/>
              <w:rPr>
                <w:sz w:val="20"/>
                <w:szCs w:val="20"/>
                <w:color w:val="auto"/>
              </w:rPr>
            </w:pPr>
            <w:r>
              <w:rPr>
                <w:rFonts w:ascii="Arial" w:cs="Arial" w:eastAsia="Arial" w:hAnsi="Arial"/>
                <w:sz w:val="11"/>
                <w:szCs w:val="11"/>
                <w:b w:val="1"/>
                <w:bCs w:val="1"/>
                <w:color w:val="auto"/>
                <w:w w:val="89"/>
              </w:rPr>
              <w:t>Ended</w:t>
            </w:r>
          </w:p>
        </w:tc>
        <w:tc>
          <w:tcPr>
            <w:tcW w:w="60" w:type="dxa"/>
            <w:vAlign w:val="bottom"/>
          </w:tcPr>
          <w:p>
            <w:pPr>
              <w:spacing w:after="0"/>
              <w:rPr>
                <w:sz w:val="10"/>
                <w:szCs w:val="10"/>
                <w:color w:val="auto"/>
              </w:rPr>
            </w:pPr>
          </w:p>
        </w:tc>
        <w:tc>
          <w:tcPr>
            <w:tcW w:w="620" w:type="dxa"/>
            <w:vAlign w:val="bottom"/>
            <w:gridSpan w:val="2"/>
          </w:tcPr>
          <w:p>
            <w:pPr>
              <w:jc w:val="center"/>
              <w:ind w:right="160"/>
              <w:spacing w:after="0" w:line="122" w:lineRule="exact"/>
              <w:rPr>
                <w:sz w:val="20"/>
                <w:szCs w:val="20"/>
                <w:color w:val="auto"/>
              </w:rPr>
            </w:pPr>
            <w:r>
              <w:rPr>
                <w:rFonts w:ascii="Arial" w:cs="Arial" w:eastAsia="Arial" w:hAnsi="Arial"/>
                <w:sz w:val="11"/>
                <w:szCs w:val="11"/>
                <w:b w:val="1"/>
                <w:bCs w:val="1"/>
                <w:color w:val="auto"/>
                <w:w w:val="89"/>
              </w:rPr>
              <w:t>Ended</w:t>
            </w:r>
          </w:p>
        </w:tc>
        <w:tc>
          <w:tcPr>
            <w:tcW w:w="60" w:type="dxa"/>
            <w:vAlign w:val="bottom"/>
          </w:tcPr>
          <w:p>
            <w:pPr>
              <w:spacing w:after="0"/>
              <w:rPr>
                <w:sz w:val="10"/>
                <w:szCs w:val="10"/>
                <w:color w:val="auto"/>
              </w:rPr>
            </w:pPr>
          </w:p>
        </w:tc>
        <w:tc>
          <w:tcPr>
            <w:tcW w:w="640" w:type="dxa"/>
            <w:vAlign w:val="bottom"/>
            <w:gridSpan w:val="2"/>
          </w:tcPr>
          <w:p>
            <w:pPr>
              <w:jc w:val="center"/>
              <w:ind w:right="180"/>
              <w:spacing w:after="0" w:line="122" w:lineRule="exact"/>
              <w:rPr>
                <w:sz w:val="20"/>
                <w:szCs w:val="20"/>
                <w:color w:val="auto"/>
              </w:rPr>
            </w:pPr>
            <w:r>
              <w:rPr>
                <w:rFonts w:ascii="Arial" w:cs="Arial" w:eastAsia="Arial" w:hAnsi="Arial"/>
                <w:sz w:val="11"/>
                <w:szCs w:val="11"/>
                <w:b w:val="1"/>
                <w:bCs w:val="1"/>
                <w:color w:val="auto"/>
                <w:w w:val="89"/>
              </w:rPr>
              <w:t>Ended</w:t>
            </w: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00" w:type="dxa"/>
            <w:vAlign w:val="bottom"/>
            <w:gridSpan w:val="2"/>
          </w:tcPr>
          <w:p>
            <w:pPr>
              <w:jc w:val="center"/>
              <w:ind w:right="240"/>
              <w:spacing w:after="0" w:line="122" w:lineRule="exact"/>
              <w:rPr>
                <w:sz w:val="20"/>
                <w:szCs w:val="20"/>
                <w:color w:val="auto"/>
              </w:rPr>
            </w:pPr>
            <w:r>
              <w:rPr>
                <w:rFonts w:ascii="Arial" w:cs="Arial" w:eastAsia="Arial" w:hAnsi="Arial"/>
                <w:sz w:val="11"/>
                <w:szCs w:val="11"/>
                <w:b w:val="1"/>
                <w:bCs w:val="1"/>
                <w:color w:val="auto"/>
                <w:w w:val="89"/>
              </w:rPr>
              <w:t>Ended</w:t>
            </w:r>
          </w:p>
        </w:tc>
        <w:tc>
          <w:tcPr>
            <w:tcW w:w="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40" w:type="dxa"/>
            <w:vAlign w:val="bottom"/>
            <w:tcBorders>
              <w:right w:val="single" w:sz="8" w:color="auto"/>
            </w:tcBorders>
            <w:gridSpan w:val="2"/>
          </w:tcPr>
          <w:p>
            <w:pPr>
              <w:jc w:val="center"/>
              <w:ind w:right="480"/>
              <w:spacing w:after="0" w:line="122" w:lineRule="exact"/>
              <w:rPr>
                <w:sz w:val="20"/>
                <w:szCs w:val="20"/>
                <w:color w:val="auto"/>
              </w:rPr>
            </w:pPr>
            <w:r>
              <w:rPr>
                <w:rFonts w:ascii="Arial" w:cs="Arial" w:eastAsia="Arial" w:hAnsi="Arial"/>
                <w:sz w:val="11"/>
                <w:szCs w:val="11"/>
                <w:b w:val="1"/>
                <w:bCs w:val="1"/>
                <w:color w:val="auto"/>
                <w:w w:val="76"/>
              </w:rPr>
              <w:t>to</w:t>
            </w:r>
          </w:p>
        </w:tc>
        <w:tc>
          <w:tcPr>
            <w:tcW w:w="160" w:type="dxa"/>
            <w:vAlign w:val="bottom"/>
          </w:tcPr>
          <w:p>
            <w:pPr>
              <w:spacing w:after="0"/>
              <w:rPr>
                <w:sz w:val="10"/>
                <w:szCs w:val="10"/>
                <w:color w:val="auto"/>
              </w:rPr>
            </w:pPr>
          </w:p>
        </w:tc>
        <w:tc>
          <w:tcPr>
            <w:tcW w:w="560" w:type="dxa"/>
            <w:vAlign w:val="bottom"/>
            <w:gridSpan w:val="2"/>
          </w:tcPr>
          <w:p>
            <w:pPr>
              <w:jc w:val="center"/>
              <w:ind w:right="160"/>
              <w:spacing w:after="0" w:line="122" w:lineRule="exact"/>
              <w:rPr>
                <w:sz w:val="20"/>
                <w:szCs w:val="20"/>
                <w:color w:val="auto"/>
              </w:rPr>
            </w:pPr>
            <w:r>
              <w:rPr>
                <w:rFonts w:ascii="Arial" w:cs="Arial" w:eastAsia="Arial" w:hAnsi="Arial"/>
                <w:sz w:val="11"/>
                <w:szCs w:val="11"/>
                <w:b w:val="1"/>
                <w:bCs w:val="1"/>
                <w:color w:val="auto"/>
                <w:w w:val="84"/>
              </w:rPr>
              <w:t>2019 to</w:t>
            </w:r>
          </w:p>
        </w:tc>
        <w:tc>
          <w:tcPr>
            <w:tcW w:w="60" w:type="dxa"/>
            <w:vAlign w:val="bottom"/>
          </w:tcPr>
          <w:p>
            <w:pPr>
              <w:spacing w:after="0"/>
              <w:rPr>
                <w:sz w:val="10"/>
                <w:szCs w:val="10"/>
                <w:color w:val="auto"/>
              </w:rPr>
            </w:pPr>
          </w:p>
        </w:tc>
        <w:tc>
          <w:tcPr>
            <w:tcW w:w="680" w:type="dxa"/>
            <w:vAlign w:val="bottom"/>
            <w:gridSpan w:val="2"/>
          </w:tcPr>
          <w:p>
            <w:pPr>
              <w:jc w:val="center"/>
              <w:ind w:right="260"/>
              <w:spacing w:after="0" w:line="122" w:lineRule="exact"/>
              <w:rPr>
                <w:sz w:val="20"/>
                <w:szCs w:val="20"/>
                <w:color w:val="auto"/>
              </w:rPr>
            </w:pPr>
            <w:r>
              <w:rPr>
                <w:rFonts w:ascii="Arial" w:cs="Arial" w:eastAsia="Arial" w:hAnsi="Arial"/>
                <w:sz w:val="11"/>
                <w:szCs w:val="11"/>
                <w:b w:val="1"/>
                <w:bCs w:val="1"/>
                <w:color w:val="auto"/>
                <w:w w:val="89"/>
              </w:rPr>
              <w:t>Ended</w:t>
            </w:r>
          </w:p>
        </w:tc>
        <w:tc>
          <w:tcPr>
            <w:tcW w:w="620" w:type="dxa"/>
            <w:vAlign w:val="bottom"/>
            <w:gridSpan w:val="2"/>
          </w:tcPr>
          <w:p>
            <w:pPr>
              <w:jc w:val="center"/>
              <w:ind w:right="160"/>
              <w:spacing w:after="0" w:line="122" w:lineRule="exact"/>
              <w:rPr>
                <w:sz w:val="20"/>
                <w:szCs w:val="20"/>
                <w:color w:val="auto"/>
              </w:rPr>
            </w:pPr>
            <w:r>
              <w:rPr>
                <w:rFonts w:ascii="Arial" w:cs="Arial" w:eastAsia="Arial" w:hAnsi="Arial"/>
                <w:sz w:val="11"/>
                <w:szCs w:val="11"/>
                <w:b w:val="1"/>
                <w:bCs w:val="1"/>
                <w:color w:val="auto"/>
                <w:w w:val="89"/>
              </w:rPr>
              <w:t>Ended</w:t>
            </w:r>
          </w:p>
        </w:tc>
        <w:tc>
          <w:tcPr>
            <w:tcW w:w="0" w:type="dxa"/>
            <w:vAlign w:val="bottom"/>
          </w:tcPr>
          <w:p>
            <w:pPr>
              <w:spacing w:after="0"/>
              <w:rPr>
                <w:sz w:val="1"/>
                <w:szCs w:val="1"/>
                <w:color w:val="auto"/>
              </w:rPr>
            </w:pPr>
          </w:p>
        </w:tc>
      </w:tr>
      <w:tr>
        <w:trPr>
          <w:trHeight w:val="122"/>
        </w:trPr>
        <w:tc>
          <w:tcPr>
            <w:tcW w:w="740" w:type="dxa"/>
            <w:vAlign w:val="bottom"/>
            <w:vMerge w:val="restart"/>
          </w:tcPr>
          <w:p>
            <w:pPr>
              <w:spacing w:after="0"/>
              <w:rPr>
                <w:sz w:val="20"/>
                <w:szCs w:val="20"/>
                <w:color w:val="auto"/>
              </w:rPr>
            </w:pPr>
            <w:r>
              <w:rPr>
                <w:rFonts w:ascii="Arial" w:cs="Arial" w:eastAsia="Arial" w:hAnsi="Arial"/>
                <w:sz w:val="11"/>
                <w:szCs w:val="11"/>
                <w:b w:val="1"/>
                <w:bCs w:val="1"/>
                <w:u w:val="single" w:color="auto"/>
                <w:color w:val="auto"/>
                <w:w w:val="84"/>
              </w:rPr>
              <w:t>(</w:t>
            </w:r>
            <w:r>
              <w:rPr>
                <w:rFonts w:ascii="Arial" w:cs="Arial" w:eastAsia="Arial" w:hAnsi="Arial"/>
                <w:sz w:val="11"/>
                <w:szCs w:val="11"/>
                <w:b w:val="1"/>
                <w:bCs w:val="1"/>
                <w:color w:val="auto"/>
                <w:w w:val="84"/>
              </w:rPr>
              <w:t>$ in thousands)</w:t>
            </w:r>
          </w:p>
        </w:tc>
        <w:tc>
          <w:tcPr>
            <w:tcW w:w="1720" w:type="dxa"/>
            <w:vAlign w:val="bottom"/>
            <w:vMerge w:val="restart"/>
          </w:tcPr>
          <w:p>
            <w:pPr>
              <w:spacing w:after="0"/>
              <w:rPr>
                <w:sz w:val="10"/>
                <w:szCs w:val="10"/>
                <w:color w:val="auto"/>
              </w:rPr>
            </w:pPr>
          </w:p>
        </w:tc>
        <w:tc>
          <w:tcPr>
            <w:tcW w:w="120" w:type="dxa"/>
            <w:vAlign w:val="bottom"/>
          </w:tcPr>
          <w:p>
            <w:pPr>
              <w:spacing w:after="0"/>
              <w:rPr>
                <w:sz w:val="10"/>
                <w:szCs w:val="10"/>
                <w:color w:val="auto"/>
              </w:rPr>
            </w:pPr>
          </w:p>
        </w:tc>
        <w:tc>
          <w:tcPr>
            <w:tcW w:w="620" w:type="dxa"/>
            <w:vAlign w:val="bottom"/>
            <w:gridSpan w:val="2"/>
          </w:tcPr>
          <w:p>
            <w:pPr>
              <w:jc w:val="center"/>
              <w:ind w:right="200"/>
              <w:spacing w:after="0" w:line="122" w:lineRule="exact"/>
              <w:rPr>
                <w:sz w:val="20"/>
                <w:szCs w:val="20"/>
                <w:color w:val="auto"/>
              </w:rPr>
            </w:pPr>
            <w:r>
              <w:rPr>
                <w:rFonts w:ascii="Arial" w:cs="Arial" w:eastAsia="Arial" w:hAnsi="Arial"/>
                <w:sz w:val="11"/>
                <w:szCs w:val="11"/>
                <w:b w:val="1"/>
                <w:bCs w:val="1"/>
                <w:color w:val="auto"/>
                <w:w w:val="86"/>
              </w:rPr>
              <w:t>June 30,</w:t>
            </w:r>
          </w:p>
        </w:tc>
        <w:tc>
          <w:tcPr>
            <w:tcW w:w="40" w:type="dxa"/>
            <w:vAlign w:val="bottom"/>
          </w:tcPr>
          <w:p>
            <w:pPr>
              <w:spacing w:after="0"/>
              <w:rPr>
                <w:sz w:val="10"/>
                <w:szCs w:val="10"/>
                <w:color w:val="auto"/>
              </w:rPr>
            </w:pPr>
          </w:p>
        </w:tc>
        <w:tc>
          <w:tcPr>
            <w:tcW w:w="660" w:type="dxa"/>
            <w:vAlign w:val="bottom"/>
            <w:gridSpan w:val="2"/>
          </w:tcPr>
          <w:p>
            <w:pPr>
              <w:jc w:val="center"/>
              <w:ind w:right="180"/>
              <w:spacing w:after="0" w:line="122" w:lineRule="exact"/>
              <w:rPr>
                <w:sz w:val="20"/>
                <w:szCs w:val="20"/>
                <w:color w:val="auto"/>
              </w:rPr>
            </w:pPr>
            <w:r>
              <w:rPr>
                <w:rFonts w:ascii="Arial" w:cs="Arial" w:eastAsia="Arial" w:hAnsi="Arial"/>
                <w:sz w:val="11"/>
                <w:szCs w:val="11"/>
                <w:b w:val="1"/>
                <w:bCs w:val="1"/>
                <w:color w:val="auto"/>
                <w:w w:val="94"/>
              </w:rPr>
              <w:t>March 31,</w:t>
            </w:r>
          </w:p>
        </w:tc>
        <w:tc>
          <w:tcPr>
            <w:tcW w:w="60" w:type="dxa"/>
            <w:vAlign w:val="bottom"/>
          </w:tcPr>
          <w:p>
            <w:pPr>
              <w:spacing w:after="0"/>
              <w:rPr>
                <w:sz w:val="10"/>
                <w:szCs w:val="10"/>
                <w:color w:val="auto"/>
              </w:rPr>
            </w:pPr>
          </w:p>
        </w:tc>
        <w:tc>
          <w:tcPr>
            <w:tcW w:w="800" w:type="dxa"/>
            <w:vAlign w:val="bottom"/>
            <w:gridSpan w:val="3"/>
          </w:tcPr>
          <w:p>
            <w:pPr>
              <w:jc w:val="center"/>
              <w:ind w:right="180"/>
              <w:spacing w:after="0" w:line="122" w:lineRule="exact"/>
              <w:rPr>
                <w:sz w:val="20"/>
                <w:szCs w:val="20"/>
                <w:color w:val="auto"/>
              </w:rPr>
            </w:pPr>
            <w:r>
              <w:rPr>
                <w:rFonts w:ascii="Arial" w:cs="Arial" w:eastAsia="Arial" w:hAnsi="Arial"/>
                <w:sz w:val="11"/>
                <w:szCs w:val="11"/>
                <w:b w:val="1"/>
                <w:bCs w:val="1"/>
                <w:color w:val="auto"/>
                <w:w w:val="86"/>
              </w:rPr>
              <w:t>December 31,</w:t>
            </w:r>
          </w:p>
        </w:tc>
        <w:tc>
          <w:tcPr>
            <w:tcW w:w="60" w:type="dxa"/>
            <w:vAlign w:val="bottom"/>
          </w:tcPr>
          <w:p>
            <w:pPr>
              <w:spacing w:after="0"/>
              <w:rPr>
                <w:sz w:val="10"/>
                <w:szCs w:val="10"/>
                <w:color w:val="auto"/>
              </w:rPr>
            </w:pPr>
          </w:p>
        </w:tc>
        <w:tc>
          <w:tcPr>
            <w:tcW w:w="820" w:type="dxa"/>
            <w:vAlign w:val="bottom"/>
            <w:gridSpan w:val="3"/>
          </w:tcPr>
          <w:p>
            <w:pPr>
              <w:spacing w:after="0" w:line="122" w:lineRule="exact"/>
              <w:rPr>
                <w:sz w:val="20"/>
                <w:szCs w:val="20"/>
                <w:color w:val="auto"/>
              </w:rPr>
            </w:pPr>
            <w:r>
              <w:rPr>
                <w:rFonts w:ascii="Arial" w:cs="Arial" w:eastAsia="Arial" w:hAnsi="Arial"/>
                <w:sz w:val="11"/>
                <w:szCs w:val="11"/>
                <w:b w:val="1"/>
                <w:bCs w:val="1"/>
                <w:color w:val="auto"/>
              </w:rPr>
              <w:t>September 30,</w:t>
            </w:r>
          </w:p>
        </w:tc>
        <w:tc>
          <w:tcPr>
            <w:tcW w:w="60" w:type="dxa"/>
            <w:vAlign w:val="bottom"/>
          </w:tcPr>
          <w:p>
            <w:pPr>
              <w:spacing w:after="0"/>
              <w:rPr>
                <w:sz w:val="10"/>
                <w:szCs w:val="10"/>
                <w:color w:val="auto"/>
              </w:rPr>
            </w:pPr>
          </w:p>
        </w:tc>
        <w:tc>
          <w:tcPr>
            <w:tcW w:w="620" w:type="dxa"/>
            <w:vAlign w:val="bottom"/>
            <w:gridSpan w:val="2"/>
          </w:tcPr>
          <w:p>
            <w:pPr>
              <w:jc w:val="center"/>
              <w:ind w:right="160"/>
              <w:spacing w:after="0" w:line="122" w:lineRule="exact"/>
              <w:rPr>
                <w:sz w:val="20"/>
                <w:szCs w:val="20"/>
                <w:color w:val="auto"/>
              </w:rPr>
            </w:pPr>
            <w:r>
              <w:rPr>
                <w:rFonts w:ascii="Arial" w:cs="Arial" w:eastAsia="Arial" w:hAnsi="Arial"/>
                <w:sz w:val="11"/>
                <w:szCs w:val="11"/>
                <w:b w:val="1"/>
                <w:bCs w:val="1"/>
                <w:color w:val="auto"/>
                <w:w w:val="86"/>
              </w:rPr>
              <w:t>June 30,</w:t>
            </w:r>
          </w:p>
        </w:tc>
        <w:tc>
          <w:tcPr>
            <w:tcW w:w="60" w:type="dxa"/>
            <w:vAlign w:val="bottom"/>
          </w:tcPr>
          <w:p>
            <w:pPr>
              <w:spacing w:after="0"/>
              <w:rPr>
                <w:sz w:val="10"/>
                <w:szCs w:val="10"/>
                <w:color w:val="auto"/>
              </w:rPr>
            </w:pPr>
          </w:p>
        </w:tc>
        <w:tc>
          <w:tcPr>
            <w:tcW w:w="640" w:type="dxa"/>
            <w:vAlign w:val="bottom"/>
            <w:gridSpan w:val="2"/>
          </w:tcPr>
          <w:p>
            <w:pPr>
              <w:jc w:val="center"/>
              <w:ind w:right="160"/>
              <w:spacing w:after="0" w:line="122" w:lineRule="exact"/>
              <w:rPr>
                <w:sz w:val="20"/>
                <w:szCs w:val="20"/>
                <w:color w:val="auto"/>
              </w:rPr>
            </w:pPr>
            <w:r>
              <w:rPr>
                <w:rFonts w:ascii="Arial" w:cs="Arial" w:eastAsia="Arial" w:hAnsi="Arial"/>
                <w:sz w:val="11"/>
                <w:szCs w:val="11"/>
                <w:b w:val="1"/>
                <w:bCs w:val="1"/>
                <w:color w:val="auto"/>
                <w:w w:val="94"/>
              </w:rPr>
              <w:t>March 31,</w:t>
            </w:r>
          </w:p>
        </w:tc>
        <w:tc>
          <w:tcPr>
            <w:tcW w:w="60" w:type="dxa"/>
            <w:vAlign w:val="bottom"/>
          </w:tcPr>
          <w:p>
            <w:pPr>
              <w:spacing w:after="0"/>
              <w:rPr>
                <w:sz w:val="10"/>
                <w:szCs w:val="10"/>
                <w:color w:val="auto"/>
              </w:rPr>
            </w:pPr>
          </w:p>
        </w:tc>
        <w:tc>
          <w:tcPr>
            <w:tcW w:w="800" w:type="dxa"/>
            <w:vAlign w:val="bottom"/>
            <w:gridSpan w:val="3"/>
          </w:tcPr>
          <w:p>
            <w:pPr>
              <w:spacing w:after="0" w:line="122" w:lineRule="exact"/>
              <w:rPr>
                <w:sz w:val="20"/>
                <w:szCs w:val="20"/>
                <w:color w:val="auto"/>
              </w:rPr>
            </w:pPr>
            <w:r>
              <w:rPr>
                <w:rFonts w:ascii="Arial" w:cs="Arial" w:eastAsia="Arial" w:hAnsi="Arial"/>
                <w:sz w:val="11"/>
                <w:szCs w:val="11"/>
                <w:b w:val="1"/>
                <w:bCs w:val="1"/>
                <w:color w:val="auto"/>
              </w:rPr>
              <w:t>December 31,</w:t>
            </w:r>
          </w:p>
        </w:tc>
        <w:tc>
          <w:tcPr>
            <w:tcW w:w="60" w:type="dxa"/>
            <w:vAlign w:val="bottom"/>
          </w:tcPr>
          <w:p>
            <w:pPr>
              <w:spacing w:after="0"/>
              <w:rPr>
                <w:sz w:val="10"/>
                <w:szCs w:val="10"/>
                <w:color w:val="auto"/>
              </w:rPr>
            </w:pPr>
          </w:p>
        </w:tc>
        <w:tc>
          <w:tcPr>
            <w:tcW w:w="1000" w:type="dxa"/>
            <w:vAlign w:val="bottom"/>
            <w:tcBorders>
              <w:right w:val="single" w:sz="8" w:color="auto"/>
            </w:tcBorders>
            <w:gridSpan w:val="3"/>
          </w:tcPr>
          <w:p>
            <w:pPr>
              <w:spacing w:after="0" w:line="122" w:lineRule="exact"/>
              <w:rPr>
                <w:sz w:val="20"/>
                <w:szCs w:val="20"/>
                <w:color w:val="auto"/>
              </w:rPr>
            </w:pPr>
            <w:r>
              <w:rPr>
                <w:rFonts w:ascii="Arial" w:cs="Arial" w:eastAsia="Arial" w:hAnsi="Arial"/>
                <w:sz w:val="11"/>
                <w:szCs w:val="11"/>
                <w:b w:val="1"/>
                <w:bCs w:val="1"/>
                <w:color w:val="auto"/>
              </w:rPr>
              <w:t>September 30,</w:t>
            </w:r>
          </w:p>
        </w:tc>
        <w:tc>
          <w:tcPr>
            <w:tcW w:w="160" w:type="dxa"/>
            <w:vAlign w:val="bottom"/>
          </w:tcPr>
          <w:p>
            <w:pPr>
              <w:spacing w:after="0"/>
              <w:rPr>
                <w:sz w:val="10"/>
                <w:szCs w:val="10"/>
                <w:color w:val="auto"/>
              </w:rPr>
            </w:pPr>
          </w:p>
        </w:tc>
        <w:tc>
          <w:tcPr>
            <w:tcW w:w="560" w:type="dxa"/>
            <w:vAlign w:val="bottom"/>
            <w:gridSpan w:val="2"/>
          </w:tcPr>
          <w:p>
            <w:pPr>
              <w:jc w:val="center"/>
              <w:ind w:right="160"/>
              <w:spacing w:after="0" w:line="122" w:lineRule="exact"/>
              <w:rPr>
                <w:sz w:val="20"/>
                <w:szCs w:val="20"/>
                <w:color w:val="auto"/>
              </w:rPr>
            </w:pPr>
            <w:r>
              <w:rPr>
                <w:rFonts w:ascii="Arial" w:cs="Arial" w:eastAsia="Arial" w:hAnsi="Arial"/>
                <w:sz w:val="11"/>
                <w:szCs w:val="11"/>
                <w:b w:val="1"/>
                <w:bCs w:val="1"/>
                <w:color w:val="auto"/>
                <w:w w:val="89"/>
              </w:rPr>
              <w:t>July 15,</w:t>
            </w:r>
          </w:p>
        </w:tc>
        <w:tc>
          <w:tcPr>
            <w:tcW w:w="60" w:type="dxa"/>
            <w:vAlign w:val="bottom"/>
          </w:tcPr>
          <w:p>
            <w:pPr>
              <w:spacing w:after="0"/>
              <w:rPr>
                <w:sz w:val="10"/>
                <w:szCs w:val="10"/>
                <w:color w:val="auto"/>
              </w:rPr>
            </w:pPr>
          </w:p>
        </w:tc>
        <w:tc>
          <w:tcPr>
            <w:tcW w:w="680" w:type="dxa"/>
            <w:vAlign w:val="bottom"/>
            <w:gridSpan w:val="2"/>
          </w:tcPr>
          <w:p>
            <w:pPr>
              <w:jc w:val="center"/>
              <w:ind w:right="240"/>
              <w:spacing w:after="0" w:line="122" w:lineRule="exact"/>
              <w:rPr>
                <w:sz w:val="20"/>
                <w:szCs w:val="20"/>
                <w:color w:val="auto"/>
              </w:rPr>
            </w:pPr>
            <w:r>
              <w:rPr>
                <w:rFonts w:ascii="Arial" w:cs="Arial" w:eastAsia="Arial" w:hAnsi="Arial"/>
                <w:sz w:val="11"/>
                <w:szCs w:val="11"/>
                <w:b w:val="1"/>
                <w:bCs w:val="1"/>
                <w:color w:val="auto"/>
                <w:w w:val="90"/>
              </w:rPr>
              <w:t>June 30,</w:t>
            </w:r>
          </w:p>
        </w:tc>
        <w:tc>
          <w:tcPr>
            <w:tcW w:w="620" w:type="dxa"/>
            <w:vAlign w:val="bottom"/>
            <w:gridSpan w:val="2"/>
          </w:tcPr>
          <w:p>
            <w:pPr>
              <w:jc w:val="center"/>
              <w:ind w:right="160"/>
              <w:spacing w:after="0" w:line="122" w:lineRule="exact"/>
              <w:rPr>
                <w:sz w:val="20"/>
                <w:szCs w:val="20"/>
                <w:color w:val="auto"/>
              </w:rPr>
            </w:pPr>
            <w:r>
              <w:rPr>
                <w:rFonts w:ascii="Arial" w:cs="Arial" w:eastAsia="Arial" w:hAnsi="Arial"/>
                <w:sz w:val="11"/>
                <w:szCs w:val="11"/>
                <w:b w:val="1"/>
                <w:bCs w:val="1"/>
                <w:color w:val="auto"/>
                <w:w w:val="90"/>
              </w:rPr>
              <w:t>March 31,</w:t>
            </w:r>
          </w:p>
        </w:tc>
        <w:tc>
          <w:tcPr>
            <w:tcW w:w="0" w:type="dxa"/>
            <w:vAlign w:val="bottom"/>
          </w:tcPr>
          <w:p>
            <w:pPr>
              <w:spacing w:after="0"/>
              <w:rPr>
                <w:sz w:val="1"/>
                <w:szCs w:val="1"/>
                <w:color w:val="auto"/>
              </w:rPr>
            </w:pPr>
          </w:p>
        </w:tc>
      </w:tr>
      <w:tr>
        <w:trPr>
          <w:trHeight w:val="142"/>
        </w:trPr>
        <w:tc>
          <w:tcPr>
            <w:tcW w:w="740" w:type="dxa"/>
            <w:vAlign w:val="bottom"/>
            <w:tcBorders>
              <w:bottom w:val="single" w:sz="8" w:color="auto"/>
            </w:tcBorders>
            <w:vMerge w:val="continue"/>
          </w:tcPr>
          <w:p>
            <w:pPr>
              <w:spacing w:after="0"/>
              <w:rPr>
                <w:sz w:val="12"/>
                <w:szCs w:val="12"/>
                <w:color w:val="auto"/>
              </w:rPr>
            </w:pPr>
          </w:p>
        </w:tc>
        <w:tc>
          <w:tcPr>
            <w:tcW w:w="1720" w:type="dxa"/>
            <w:vAlign w:val="bottom"/>
            <w:vMerge w:val="continue"/>
          </w:tcPr>
          <w:p>
            <w:pPr>
              <w:spacing w:after="0"/>
              <w:rPr>
                <w:sz w:val="12"/>
                <w:szCs w:val="12"/>
                <w:color w:val="auto"/>
              </w:rPr>
            </w:pPr>
          </w:p>
        </w:tc>
        <w:tc>
          <w:tcPr>
            <w:tcW w:w="560" w:type="dxa"/>
            <w:vAlign w:val="bottom"/>
            <w:gridSpan w:val="2"/>
          </w:tcPr>
          <w:p>
            <w:pPr>
              <w:jc w:val="center"/>
              <w:ind w:left="34"/>
              <w:spacing w:after="0" w:line="122" w:lineRule="exact"/>
              <w:rPr>
                <w:sz w:val="20"/>
                <w:szCs w:val="20"/>
                <w:color w:val="auto"/>
              </w:rPr>
            </w:pPr>
            <w:r>
              <w:rPr>
                <w:rFonts w:ascii="Arial" w:cs="Arial" w:eastAsia="Arial" w:hAnsi="Arial"/>
                <w:sz w:val="11"/>
                <w:szCs w:val="11"/>
                <w:b w:val="1"/>
                <w:bCs w:val="1"/>
                <w:color w:val="auto"/>
                <w:w w:val="89"/>
              </w:rPr>
              <w:t>2021</w:t>
            </w:r>
          </w:p>
        </w:tc>
        <w:tc>
          <w:tcPr>
            <w:tcW w:w="180" w:type="dxa"/>
            <w:vAlign w:val="bottom"/>
          </w:tcPr>
          <w:p>
            <w:pPr>
              <w:spacing w:after="0"/>
              <w:rPr>
                <w:sz w:val="12"/>
                <w:szCs w:val="12"/>
                <w:color w:val="auto"/>
              </w:rPr>
            </w:pPr>
          </w:p>
        </w:tc>
        <w:tc>
          <w:tcPr>
            <w:tcW w:w="520" w:type="dxa"/>
            <w:vAlign w:val="bottom"/>
            <w:gridSpan w:val="2"/>
          </w:tcPr>
          <w:p>
            <w:pPr>
              <w:jc w:val="center"/>
              <w:spacing w:after="0" w:line="122" w:lineRule="exact"/>
              <w:rPr>
                <w:sz w:val="20"/>
                <w:szCs w:val="20"/>
                <w:color w:val="auto"/>
              </w:rPr>
            </w:pPr>
            <w:r>
              <w:rPr>
                <w:rFonts w:ascii="Arial" w:cs="Arial" w:eastAsia="Arial" w:hAnsi="Arial"/>
                <w:sz w:val="11"/>
                <w:szCs w:val="11"/>
                <w:b w:val="1"/>
                <w:bCs w:val="1"/>
                <w:color w:val="auto"/>
                <w:w w:val="89"/>
              </w:rPr>
              <w:t>2021</w:t>
            </w:r>
          </w:p>
        </w:tc>
        <w:tc>
          <w:tcPr>
            <w:tcW w:w="1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jc w:val="center"/>
              <w:ind w:right="36"/>
              <w:spacing w:after="0" w:line="122" w:lineRule="exact"/>
              <w:rPr>
                <w:sz w:val="20"/>
                <w:szCs w:val="20"/>
                <w:color w:val="auto"/>
              </w:rPr>
            </w:pPr>
            <w:r>
              <w:rPr>
                <w:rFonts w:ascii="Arial" w:cs="Arial" w:eastAsia="Arial" w:hAnsi="Arial"/>
                <w:sz w:val="11"/>
                <w:szCs w:val="11"/>
                <w:b w:val="1"/>
                <w:bCs w:val="1"/>
                <w:color w:val="auto"/>
                <w:w w:val="89"/>
              </w:rPr>
              <w:t>2020</w:t>
            </w:r>
          </w:p>
        </w:tc>
        <w:tc>
          <w:tcPr>
            <w:tcW w:w="1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jc w:val="center"/>
              <w:ind w:right="36"/>
              <w:spacing w:after="0" w:line="122" w:lineRule="exact"/>
              <w:rPr>
                <w:sz w:val="20"/>
                <w:szCs w:val="20"/>
                <w:color w:val="auto"/>
              </w:rPr>
            </w:pPr>
            <w:r>
              <w:rPr>
                <w:rFonts w:ascii="Arial" w:cs="Arial" w:eastAsia="Arial" w:hAnsi="Arial"/>
                <w:sz w:val="11"/>
                <w:szCs w:val="11"/>
                <w:b w:val="1"/>
                <w:bCs w:val="1"/>
                <w:color w:val="auto"/>
                <w:w w:val="89"/>
              </w:rPr>
              <w:t>2020</w:t>
            </w:r>
          </w:p>
        </w:tc>
        <w:tc>
          <w:tcPr>
            <w:tcW w:w="160" w:type="dxa"/>
            <w:vAlign w:val="bottom"/>
          </w:tcPr>
          <w:p>
            <w:pPr>
              <w:spacing w:after="0"/>
              <w:rPr>
                <w:sz w:val="12"/>
                <w:szCs w:val="12"/>
                <w:color w:val="auto"/>
              </w:rPr>
            </w:pPr>
          </w:p>
        </w:tc>
        <w:tc>
          <w:tcPr>
            <w:tcW w:w="520" w:type="dxa"/>
            <w:vAlign w:val="bottom"/>
            <w:gridSpan w:val="2"/>
          </w:tcPr>
          <w:p>
            <w:pPr>
              <w:jc w:val="center"/>
              <w:spacing w:after="0" w:line="122" w:lineRule="exact"/>
              <w:rPr>
                <w:sz w:val="20"/>
                <w:szCs w:val="20"/>
                <w:color w:val="auto"/>
              </w:rPr>
            </w:pPr>
            <w:r>
              <w:rPr>
                <w:rFonts w:ascii="Arial" w:cs="Arial" w:eastAsia="Arial" w:hAnsi="Arial"/>
                <w:sz w:val="11"/>
                <w:szCs w:val="11"/>
                <w:b w:val="1"/>
                <w:bCs w:val="1"/>
                <w:color w:val="auto"/>
                <w:w w:val="89"/>
              </w:rPr>
              <w:t>2020</w:t>
            </w:r>
          </w:p>
        </w:tc>
        <w:tc>
          <w:tcPr>
            <w:tcW w:w="160" w:type="dxa"/>
            <w:vAlign w:val="bottom"/>
          </w:tcPr>
          <w:p>
            <w:pPr>
              <w:spacing w:after="0"/>
              <w:rPr>
                <w:sz w:val="12"/>
                <w:szCs w:val="12"/>
                <w:color w:val="auto"/>
              </w:rPr>
            </w:pPr>
          </w:p>
        </w:tc>
        <w:tc>
          <w:tcPr>
            <w:tcW w:w="540" w:type="dxa"/>
            <w:vAlign w:val="bottom"/>
            <w:gridSpan w:val="2"/>
          </w:tcPr>
          <w:p>
            <w:pPr>
              <w:jc w:val="center"/>
              <w:spacing w:after="0" w:line="122" w:lineRule="exact"/>
              <w:rPr>
                <w:sz w:val="20"/>
                <w:szCs w:val="20"/>
                <w:color w:val="auto"/>
              </w:rPr>
            </w:pPr>
            <w:r>
              <w:rPr>
                <w:rFonts w:ascii="Arial" w:cs="Arial" w:eastAsia="Arial" w:hAnsi="Arial"/>
                <w:sz w:val="11"/>
                <w:szCs w:val="11"/>
                <w:b w:val="1"/>
                <w:bCs w:val="1"/>
                <w:color w:val="auto"/>
                <w:w w:val="89"/>
              </w:rPr>
              <w:t>2020</w:t>
            </w: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jc w:val="center"/>
              <w:ind w:right="36"/>
              <w:spacing w:after="0" w:line="122" w:lineRule="exact"/>
              <w:rPr>
                <w:sz w:val="20"/>
                <w:szCs w:val="20"/>
                <w:color w:val="auto"/>
              </w:rPr>
            </w:pPr>
            <w:r>
              <w:rPr>
                <w:rFonts w:ascii="Arial" w:cs="Arial" w:eastAsia="Arial" w:hAnsi="Arial"/>
                <w:sz w:val="11"/>
                <w:szCs w:val="11"/>
                <w:b w:val="1"/>
                <w:bCs w:val="1"/>
                <w:color w:val="auto"/>
                <w:w w:val="81"/>
              </w:rPr>
              <w:t>2019</w:t>
            </w: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00" w:type="dxa"/>
            <w:vAlign w:val="bottom"/>
          </w:tcPr>
          <w:p>
            <w:pPr>
              <w:jc w:val="center"/>
              <w:ind w:right="74"/>
              <w:spacing w:after="0" w:line="122" w:lineRule="exact"/>
              <w:rPr>
                <w:sz w:val="20"/>
                <w:szCs w:val="20"/>
                <w:color w:val="auto"/>
              </w:rPr>
            </w:pPr>
            <w:r>
              <w:rPr>
                <w:rFonts w:ascii="Arial" w:cs="Arial" w:eastAsia="Arial" w:hAnsi="Arial"/>
                <w:sz w:val="11"/>
                <w:szCs w:val="11"/>
                <w:b w:val="1"/>
                <w:bCs w:val="1"/>
                <w:color w:val="auto"/>
                <w:w w:val="81"/>
              </w:rPr>
              <w:t>2019</w:t>
            </w:r>
          </w:p>
        </w:tc>
        <w:tc>
          <w:tcPr>
            <w:tcW w:w="340" w:type="dxa"/>
            <w:vAlign w:val="bottom"/>
            <w:tcBorders>
              <w:right w:val="single" w:sz="8" w:color="auto"/>
            </w:tcBorders>
          </w:tcPr>
          <w:p>
            <w:pPr>
              <w:spacing w:after="0"/>
              <w:rPr>
                <w:sz w:val="12"/>
                <w:szCs w:val="12"/>
                <w:color w:val="auto"/>
              </w:rPr>
            </w:pPr>
          </w:p>
        </w:tc>
        <w:tc>
          <w:tcPr>
            <w:tcW w:w="540" w:type="dxa"/>
            <w:vAlign w:val="bottom"/>
            <w:gridSpan w:val="2"/>
          </w:tcPr>
          <w:p>
            <w:pPr>
              <w:jc w:val="center"/>
              <w:ind w:left="94"/>
              <w:spacing w:after="0" w:line="122" w:lineRule="exact"/>
              <w:rPr>
                <w:sz w:val="20"/>
                <w:szCs w:val="20"/>
                <w:color w:val="auto"/>
              </w:rPr>
            </w:pPr>
            <w:r>
              <w:rPr>
                <w:rFonts w:ascii="Arial" w:cs="Arial" w:eastAsia="Arial" w:hAnsi="Arial"/>
                <w:sz w:val="11"/>
                <w:szCs w:val="11"/>
                <w:b w:val="1"/>
                <w:bCs w:val="1"/>
                <w:color w:val="auto"/>
                <w:w w:val="89"/>
              </w:rPr>
              <w:t>2019</w:t>
            </w:r>
          </w:p>
        </w:tc>
        <w:tc>
          <w:tcPr>
            <w:tcW w:w="180" w:type="dxa"/>
            <w:vAlign w:val="bottom"/>
          </w:tcPr>
          <w:p>
            <w:pPr>
              <w:spacing w:after="0"/>
              <w:rPr>
                <w:sz w:val="12"/>
                <w:szCs w:val="12"/>
                <w:color w:val="auto"/>
              </w:rPr>
            </w:pPr>
          </w:p>
        </w:tc>
        <w:tc>
          <w:tcPr>
            <w:tcW w:w="500" w:type="dxa"/>
            <w:vAlign w:val="bottom"/>
            <w:gridSpan w:val="2"/>
          </w:tcPr>
          <w:p>
            <w:pPr>
              <w:jc w:val="center"/>
              <w:spacing w:after="0" w:line="122" w:lineRule="exact"/>
              <w:rPr>
                <w:sz w:val="20"/>
                <w:szCs w:val="20"/>
                <w:color w:val="auto"/>
              </w:rPr>
            </w:pPr>
            <w:r>
              <w:rPr>
                <w:rFonts w:ascii="Arial" w:cs="Arial" w:eastAsia="Arial" w:hAnsi="Arial"/>
                <w:sz w:val="11"/>
                <w:szCs w:val="11"/>
                <w:b w:val="1"/>
                <w:bCs w:val="1"/>
                <w:color w:val="auto"/>
                <w:w w:val="81"/>
              </w:rPr>
              <w:t>2019</w:t>
            </w:r>
          </w:p>
        </w:tc>
        <w:tc>
          <w:tcPr>
            <w:tcW w:w="240" w:type="dxa"/>
            <w:vAlign w:val="bottom"/>
          </w:tcPr>
          <w:p>
            <w:pPr>
              <w:spacing w:after="0"/>
              <w:rPr>
                <w:sz w:val="12"/>
                <w:szCs w:val="12"/>
                <w:color w:val="auto"/>
              </w:rPr>
            </w:pPr>
          </w:p>
        </w:tc>
        <w:tc>
          <w:tcPr>
            <w:tcW w:w="460" w:type="dxa"/>
            <w:vAlign w:val="bottom"/>
          </w:tcPr>
          <w:p>
            <w:pPr>
              <w:jc w:val="center"/>
              <w:spacing w:after="0" w:line="122" w:lineRule="exact"/>
              <w:rPr>
                <w:sz w:val="20"/>
                <w:szCs w:val="20"/>
                <w:color w:val="auto"/>
              </w:rPr>
            </w:pPr>
            <w:r>
              <w:rPr>
                <w:rFonts w:ascii="Arial" w:cs="Arial" w:eastAsia="Arial" w:hAnsi="Arial"/>
                <w:sz w:val="11"/>
                <w:szCs w:val="11"/>
                <w:b w:val="1"/>
                <w:bCs w:val="1"/>
                <w:color w:val="auto"/>
                <w:w w:val="89"/>
              </w:rPr>
              <w:t>2019</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6"/>
        </w:trPr>
        <w:tc>
          <w:tcPr>
            <w:tcW w:w="2460" w:type="dxa"/>
            <w:vAlign w:val="bottom"/>
            <w:tcBorders>
              <w:top w:val="single" w:sz="8" w:color="CCEEFF"/>
            </w:tcBorders>
            <w:gridSpan w:val="2"/>
            <w:shd w:val="clear" w:color="auto" w:fill="CCEEFF"/>
          </w:tcPr>
          <w:p>
            <w:pPr>
              <w:spacing w:after="0" w:line="136" w:lineRule="exact"/>
              <w:rPr>
                <w:sz w:val="20"/>
                <w:szCs w:val="20"/>
                <w:color w:val="auto"/>
              </w:rPr>
            </w:pPr>
            <w:r>
              <w:rPr>
                <w:rFonts w:ascii="Arial" w:cs="Arial" w:eastAsia="Arial" w:hAnsi="Arial"/>
                <w:sz w:val="13"/>
                <w:szCs w:val="13"/>
                <w:color w:val="auto"/>
              </w:rPr>
              <w:t>Revenue</w:t>
            </w:r>
          </w:p>
        </w:tc>
        <w:tc>
          <w:tcPr>
            <w:tcW w:w="120" w:type="dxa"/>
            <w:vAlign w:val="bottom"/>
            <w:tcBorders>
              <w:top w:val="single" w:sz="8" w:color="CCEEFF"/>
            </w:tcBorders>
            <w:shd w:val="clear" w:color="auto" w:fill="CCEEFF"/>
          </w:tcPr>
          <w:p>
            <w:pPr>
              <w:spacing w:after="0"/>
              <w:rPr>
                <w:sz w:val="11"/>
                <w:szCs w:val="11"/>
                <w:color w:val="auto"/>
              </w:rPr>
            </w:pPr>
          </w:p>
        </w:tc>
        <w:tc>
          <w:tcPr>
            <w:tcW w:w="440" w:type="dxa"/>
            <w:vAlign w:val="bottom"/>
            <w:tcBorders>
              <w:top w:val="single" w:sz="8" w:color="auto"/>
            </w:tcBorders>
            <w:shd w:val="clear" w:color="auto" w:fill="CCEEFF"/>
          </w:tcPr>
          <w:p>
            <w:pPr>
              <w:jc w:val="right"/>
              <w:spacing w:after="0" w:line="136" w:lineRule="exact"/>
              <w:rPr>
                <w:sz w:val="20"/>
                <w:szCs w:val="20"/>
                <w:color w:val="auto"/>
              </w:rPr>
            </w:pPr>
            <w:r>
              <w:rPr>
                <w:rFonts w:ascii="Arial" w:cs="Arial" w:eastAsia="Arial" w:hAnsi="Arial"/>
                <w:sz w:val="13"/>
                <w:szCs w:val="13"/>
                <w:color w:val="auto"/>
                <w:w w:val="89"/>
              </w:rPr>
              <w:t>$39,821</w:t>
            </w:r>
          </w:p>
        </w:tc>
        <w:tc>
          <w:tcPr>
            <w:tcW w:w="180" w:type="dxa"/>
            <w:vAlign w:val="bottom"/>
            <w:tcBorders>
              <w:top w:val="single" w:sz="8" w:color="CCEEFF"/>
            </w:tcBorders>
            <w:shd w:val="clear" w:color="auto" w:fill="CCEEFF"/>
          </w:tcPr>
          <w:p>
            <w:pPr>
              <w:spacing w:after="0"/>
              <w:rPr>
                <w:sz w:val="11"/>
                <w:szCs w:val="11"/>
                <w:color w:val="auto"/>
              </w:rPr>
            </w:pPr>
          </w:p>
        </w:tc>
        <w:tc>
          <w:tcPr>
            <w:tcW w:w="40" w:type="dxa"/>
            <w:vAlign w:val="bottom"/>
            <w:tcBorders>
              <w:top w:val="single" w:sz="8" w:color="CCEEFF"/>
            </w:tcBorders>
            <w:shd w:val="clear" w:color="auto" w:fill="CCEEFF"/>
          </w:tcPr>
          <w:p>
            <w:pPr>
              <w:spacing w:after="0"/>
              <w:rPr>
                <w:sz w:val="11"/>
                <w:szCs w:val="11"/>
                <w:color w:val="auto"/>
              </w:rPr>
            </w:pPr>
          </w:p>
        </w:tc>
        <w:tc>
          <w:tcPr>
            <w:tcW w:w="480" w:type="dxa"/>
            <w:vAlign w:val="bottom"/>
            <w:tcBorders>
              <w:top w:val="single" w:sz="8" w:color="auto"/>
            </w:tcBorders>
            <w:shd w:val="clear" w:color="auto" w:fill="CCEEFF"/>
          </w:tcPr>
          <w:p>
            <w:pPr>
              <w:jc w:val="right"/>
              <w:spacing w:after="0" w:line="136" w:lineRule="exact"/>
              <w:rPr>
                <w:sz w:val="20"/>
                <w:szCs w:val="20"/>
                <w:color w:val="auto"/>
              </w:rPr>
            </w:pPr>
            <w:r>
              <w:rPr>
                <w:rFonts w:ascii="Arial" w:cs="Arial" w:eastAsia="Arial" w:hAnsi="Arial"/>
                <w:sz w:val="13"/>
                <w:szCs w:val="13"/>
                <w:color w:val="auto"/>
                <w:w w:val="90"/>
              </w:rPr>
              <w:t>$ 36,936</w:t>
            </w:r>
          </w:p>
        </w:tc>
        <w:tc>
          <w:tcPr>
            <w:tcW w:w="180" w:type="dxa"/>
            <w:vAlign w:val="bottom"/>
            <w:tcBorders>
              <w:top w:val="single" w:sz="8" w:color="CCEEFF"/>
            </w:tcBorders>
            <w:shd w:val="clear" w:color="auto" w:fill="CCEEFF"/>
          </w:tcPr>
          <w:p>
            <w:pPr>
              <w:spacing w:after="0"/>
              <w:rPr>
                <w:sz w:val="11"/>
                <w:szCs w:val="11"/>
                <w:color w:val="auto"/>
              </w:rPr>
            </w:pPr>
          </w:p>
        </w:tc>
        <w:tc>
          <w:tcPr>
            <w:tcW w:w="6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520" w:type="dxa"/>
            <w:vAlign w:val="bottom"/>
            <w:tcBorders>
              <w:top w:val="single" w:sz="8" w:color="auto"/>
            </w:tcBorders>
            <w:shd w:val="clear" w:color="auto" w:fill="CCEEFF"/>
          </w:tcPr>
          <w:p>
            <w:pPr>
              <w:jc w:val="right"/>
              <w:spacing w:after="0" w:line="136" w:lineRule="exact"/>
              <w:rPr>
                <w:sz w:val="20"/>
                <w:szCs w:val="20"/>
                <w:color w:val="auto"/>
              </w:rPr>
            </w:pPr>
            <w:r>
              <w:rPr>
                <w:rFonts w:ascii="Arial" w:cs="Arial" w:eastAsia="Arial" w:hAnsi="Arial"/>
                <w:sz w:val="13"/>
                <w:szCs w:val="13"/>
                <w:color w:val="auto"/>
              </w:rPr>
              <w:t>33,658</w:t>
            </w:r>
          </w:p>
        </w:tc>
        <w:tc>
          <w:tcPr>
            <w:tcW w:w="180" w:type="dxa"/>
            <w:vAlign w:val="bottom"/>
            <w:tcBorders>
              <w:top w:val="single" w:sz="8" w:color="CCEEFF"/>
            </w:tcBorders>
            <w:shd w:val="clear" w:color="auto" w:fill="CCEEFF"/>
          </w:tcPr>
          <w:p>
            <w:pPr>
              <w:spacing w:after="0"/>
              <w:rPr>
                <w:sz w:val="11"/>
                <w:szCs w:val="11"/>
                <w:color w:val="auto"/>
              </w:rPr>
            </w:pPr>
          </w:p>
        </w:tc>
        <w:tc>
          <w:tcPr>
            <w:tcW w:w="6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auto"/>
            </w:tcBorders>
            <w:shd w:val="clear" w:color="auto" w:fill="CCEEFF"/>
          </w:tcPr>
          <w:p>
            <w:pPr>
              <w:spacing w:after="0" w:line="136" w:lineRule="exact"/>
              <w:rPr>
                <w:sz w:val="20"/>
                <w:szCs w:val="20"/>
                <w:color w:val="auto"/>
              </w:rPr>
            </w:pPr>
            <w:r>
              <w:rPr>
                <w:rFonts w:ascii="Arial" w:cs="Arial" w:eastAsia="Arial" w:hAnsi="Arial"/>
                <w:sz w:val="13"/>
                <w:szCs w:val="13"/>
                <w:color w:val="auto"/>
              </w:rPr>
              <w:t>$</w:t>
            </w:r>
          </w:p>
        </w:tc>
        <w:tc>
          <w:tcPr>
            <w:tcW w:w="560" w:type="dxa"/>
            <w:vAlign w:val="bottom"/>
            <w:tcBorders>
              <w:top w:val="single" w:sz="8" w:color="auto"/>
            </w:tcBorders>
            <w:shd w:val="clear" w:color="auto" w:fill="CCEEFF"/>
          </w:tcPr>
          <w:p>
            <w:pPr>
              <w:jc w:val="right"/>
              <w:spacing w:after="0" w:line="136" w:lineRule="exact"/>
              <w:rPr>
                <w:sz w:val="20"/>
                <w:szCs w:val="20"/>
                <w:color w:val="auto"/>
              </w:rPr>
            </w:pPr>
            <w:r>
              <w:rPr>
                <w:rFonts w:ascii="Arial" w:cs="Arial" w:eastAsia="Arial" w:hAnsi="Arial"/>
                <w:sz w:val="13"/>
                <w:szCs w:val="13"/>
                <w:color w:val="auto"/>
              </w:rPr>
              <w:t>30,073</w:t>
            </w:r>
          </w:p>
        </w:tc>
        <w:tc>
          <w:tcPr>
            <w:tcW w:w="160" w:type="dxa"/>
            <w:vAlign w:val="bottom"/>
            <w:tcBorders>
              <w:top w:val="single" w:sz="8" w:color="CCEEFF"/>
            </w:tcBorders>
            <w:shd w:val="clear" w:color="auto" w:fill="CCEEFF"/>
          </w:tcPr>
          <w:p>
            <w:pPr>
              <w:spacing w:after="0"/>
              <w:rPr>
                <w:sz w:val="11"/>
                <w:szCs w:val="11"/>
                <w:color w:val="auto"/>
              </w:rPr>
            </w:pPr>
          </w:p>
        </w:tc>
        <w:tc>
          <w:tcPr>
            <w:tcW w:w="60" w:type="dxa"/>
            <w:vAlign w:val="bottom"/>
            <w:tcBorders>
              <w:top w:val="single" w:sz="8" w:color="CCEEFF"/>
            </w:tcBorders>
            <w:shd w:val="clear" w:color="auto" w:fill="CCEEFF"/>
          </w:tcPr>
          <w:p>
            <w:pPr>
              <w:spacing w:after="0"/>
              <w:rPr>
                <w:sz w:val="11"/>
                <w:szCs w:val="11"/>
                <w:color w:val="auto"/>
              </w:rPr>
            </w:pPr>
          </w:p>
        </w:tc>
        <w:tc>
          <w:tcPr>
            <w:tcW w:w="460" w:type="dxa"/>
            <w:vAlign w:val="bottom"/>
            <w:tcBorders>
              <w:top w:val="single" w:sz="8" w:color="auto"/>
            </w:tcBorders>
            <w:shd w:val="clear" w:color="auto" w:fill="CCEEFF"/>
          </w:tcPr>
          <w:p>
            <w:pPr>
              <w:jc w:val="right"/>
              <w:spacing w:after="0" w:line="136" w:lineRule="exact"/>
              <w:rPr>
                <w:sz w:val="20"/>
                <w:szCs w:val="20"/>
                <w:color w:val="auto"/>
              </w:rPr>
            </w:pPr>
            <w:r>
              <w:rPr>
                <w:rFonts w:ascii="Arial" w:cs="Arial" w:eastAsia="Arial" w:hAnsi="Arial"/>
                <w:sz w:val="13"/>
                <w:szCs w:val="13"/>
                <w:color w:val="auto"/>
                <w:w w:val="93"/>
              </w:rPr>
              <w:t>$28,245</w:t>
            </w:r>
          </w:p>
        </w:tc>
        <w:tc>
          <w:tcPr>
            <w:tcW w:w="160" w:type="dxa"/>
            <w:vAlign w:val="bottom"/>
            <w:tcBorders>
              <w:top w:val="single" w:sz="8" w:color="CCEEFF"/>
            </w:tcBorders>
            <w:shd w:val="clear" w:color="auto" w:fill="CCEEFF"/>
          </w:tcPr>
          <w:p>
            <w:pPr>
              <w:spacing w:after="0"/>
              <w:rPr>
                <w:sz w:val="11"/>
                <w:szCs w:val="11"/>
                <w:color w:val="auto"/>
              </w:rPr>
            </w:pPr>
          </w:p>
        </w:tc>
        <w:tc>
          <w:tcPr>
            <w:tcW w:w="60" w:type="dxa"/>
            <w:vAlign w:val="bottom"/>
            <w:tcBorders>
              <w:top w:val="single" w:sz="8" w:color="CCEEFF"/>
            </w:tcBorders>
            <w:shd w:val="clear" w:color="auto" w:fill="CCEEFF"/>
          </w:tcPr>
          <w:p>
            <w:pPr>
              <w:spacing w:after="0"/>
              <w:rPr>
                <w:sz w:val="11"/>
                <w:szCs w:val="11"/>
                <w:color w:val="auto"/>
              </w:rPr>
            </w:pPr>
          </w:p>
        </w:tc>
        <w:tc>
          <w:tcPr>
            <w:tcW w:w="480" w:type="dxa"/>
            <w:vAlign w:val="bottom"/>
            <w:tcBorders>
              <w:top w:val="single" w:sz="8" w:color="auto"/>
            </w:tcBorders>
            <w:shd w:val="clear" w:color="auto" w:fill="CCEEFF"/>
          </w:tcPr>
          <w:p>
            <w:pPr>
              <w:jc w:val="right"/>
              <w:spacing w:after="0" w:line="136" w:lineRule="exact"/>
              <w:rPr>
                <w:sz w:val="20"/>
                <w:szCs w:val="20"/>
                <w:color w:val="auto"/>
              </w:rPr>
            </w:pPr>
            <w:r>
              <w:rPr>
                <w:rFonts w:ascii="Arial" w:cs="Arial" w:eastAsia="Arial" w:hAnsi="Arial"/>
                <w:sz w:val="13"/>
                <w:szCs w:val="13"/>
                <w:color w:val="auto"/>
                <w:w w:val="90"/>
              </w:rPr>
              <w:t>$ 26,341</w:t>
            </w:r>
          </w:p>
        </w:tc>
        <w:tc>
          <w:tcPr>
            <w:tcW w:w="160" w:type="dxa"/>
            <w:vAlign w:val="bottom"/>
            <w:tcBorders>
              <w:top w:val="single" w:sz="8" w:color="CCEEFF"/>
            </w:tcBorders>
            <w:shd w:val="clear" w:color="auto" w:fill="CCEEFF"/>
          </w:tcPr>
          <w:p>
            <w:pPr>
              <w:spacing w:after="0"/>
              <w:rPr>
                <w:sz w:val="11"/>
                <w:szCs w:val="11"/>
                <w:color w:val="auto"/>
              </w:rPr>
            </w:pPr>
          </w:p>
        </w:tc>
        <w:tc>
          <w:tcPr>
            <w:tcW w:w="6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auto"/>
            </w:tcBorders>
            <w:shd w:val="clear" w:color="auto" w:fill="CCEEFF"/>
          </w:tcPr>
          <w:p>
            <w:pPr>
              <w:spacing w:after="0" w:line="136" w:lineRule="exact"/>
              <w:rPr>
                <w:sz w:val="20"/>
                <w:szCs w:val="20"/>
                <w:color w:val="auto"/>
              </w:rPr>
            </w:pPr>
            <w:r>
              <w:rPr>
                <w:rFonts w:ascii="Arial" w:cs="Arial" w:eastAsia="Arial" w:hAnsi="Arial"/>
                <w:sz w:val="13"/>
                <w:szCs w:val="13"/>
                <w:color w:val="auto"/>
              </w:rPr>
              <w:t>$</w:t>
            </w:r>
          </w:p>
        </w:tc>
        <w:tc>
          <w:tcPr>
            <w:tcW w:w="540" w:type="dxa"/>
            <w:vAlign w:val="bottom"/>
            <w:tcBorders>
              <w:top w:val="single" w:sz="8" w:color="auto"/>
            </w:tcBorders>
            <w:shd w:val="clear" w:color="auto" w:fill="CCEEFF"/>
          </w:tcPr>
          <w:p>
            <w:pPr>
              <w:jc w:val="right"/>
              <w:spacing w:after="0" w:line="136" w:lineRule="exact"/>
              <w:rPr>
                <w:sz w:val="20"/>
                <w:szCs w:val="20"/>
                <w:color w:val="auto"/>
              </w:rPr>
            </w:pPr>
            <w:r>
              <w:rPr>
                <w:rFonts w:ascii="Arial" w:cs="Arial" w:eastAsia="Arial" w:hAnsi="Arial"/>
                <w:sz w:val="13"/>
                <w:szCs w:val="13"/>
                <w:color w:val="auto"/>
              </w:rPr>
              <w:t>23,233</w:t>
            </w:r>
          </w:p>
        </w:tc>
        <w:tc>
          <w:tcPr>
            <w:tcW w:w="160" w:type="dxa"/>
            <w:vAlign w:val="bottom"/>
            <w:tcBorders>
              <w:top w:val="single" w:sz="8" w:color="CCEEFF"/>
            </w:tcBorders>
            <w:shd w:val="clear" w:color="auto" w:fill="CCEEFF"/>
          </w:tcPr>
          <w:p>
            <w:pPr>
              <w:spacing w:after="0"/>
              <w:rPr>
                <w:sz w:val="11"/>
                <w:szCs w:val="11"/>
                <w:color w:val="auto"/>
              </w:rPr>
            </w:pPr>
          </w:p>
        </w:tc>
        <w:tc>
          <w:tcPr>
            <w:tcW w:w="60" w:type="dxa"/>
            <w:vAlign w:val="bottom"/>
            <w:tcBorders>
              <w:top w:val="single" w:sz="8" w:color="CCEEFF"/>
            </w:tcBorders>
            <w:shd w:val="clear" w:color="auto" w:fill="CCEEFF"/>
          </w:tcPr>
          <w:p>
            <w:pPr>
              <w:spacing w:after="0"/>
              <w:rPr>
                <w:sz w:val="11"/>
                <w:szCs w:val="11"/>
                <w:color w:val="auto"/>
              </w:rPr>
            </w:pPr>
          </w:p>
        </w:tc>
        <w:tc>
          <w:tcPr>
            <w:tcW w:w="160" w:type="dxa"/>
            <w:vAlign w:val="bottom"/>
            <w:tcBorders>
              <w:top w:val="single" w:sz="8" w:color="auto"/>
            </w:tcBorders>
            <w:shd w:val="clear" w:color="auto" w:fill="CCEEFF"/>
          </w:tcPr>
          <w:p>
            <w:pPr>
              <w:spacing w:after="0" w:line="136" w:lineRule="exact"/>
              <w:rPr>
                <w:sz w:val="20"/>
                <w:szCs w:val="20"/>
                <w:color w:val="auto"/>
              </w:rPr>
            </w:pPr>
            <w:r>
              <w:rPr>
                <w:rFonts w:ascii="Arial" w:cs="Arial" w:eastAsia="Arial" w:hAnsi="Arial"/>
                <w:sz w:val="13"/>
                <w:szCs w:val="13"/>
                <w:color w:val="auto"/>
              </w:rPr>
              <w:t>$</w:t>
            </w:r>
          </w:p>
        </w:tc>
        <w:tc>
          <w:tcPr>
            <w:tcW w:w="500" w:type="dxa"/>
            <w:vAlign w:val="bottom"/>
            <w:tcBorders>
              <w:top w:val="single" w:sz="8" w:color="auto"/>
            </w:tcBorders>
            <w:shd w:val="clear" w:color="auto" w:fill="CCEEFF"/>
          </w:tcPr>
          <w:p>
            <w:pPr>
              <w:jc w:val="right"/>
              <w:spacing w:after="0" w:line="136" w:lineRule="exact"/>
              <w:rPr>
                <w:sz w:val="20"/>
                <w:szCs w:val="20"/>
                <w:color w:val="auto"/>
              </w:rPr>
            </w:pPr>
            <w:r>
              <w:rPr>
                <w:rFonts w:ascii="Arial" w:cs="Arial" w:eastAsia="Arial" w:hAnsi="Arial"/>
                <w:sz w:val="13"/>
                <w:szCs w:val="13"/>
                <w:color w:val="auto"/>
              </w:rPr>
              <w:t>16,812</w:t>
            </w:r>
          </w:p>
        </w:tc>
        <w:tc>
          <w:tcPr>
            <w:tcW w:w="340" w:type="dxa"/>
            <w:vAlign w:val="bottom"/>
            <w:tcBorders>
              <w:top w:val="single" w:sz="8" w:color="CCEEFF"/>
              <w:right w:val="single" w:sz="8" w:color="auto"/>
            </w:tcBorders>
            <w:shd w:val="clear" w:color="auto" w:fill="CCEEFF"/>
          </w:tcPr>
          <w:p>
            <w:pPr>
              <w:spacing w:after="0"/>
              <w:rPr>
                <w:sz w:val="11"/>
                <w:szCs w:val="11"/>
                <w:color w:val="auto"/>
              </w:rPr>
            </w:pPr>
          </w:p>
        </w:tc>
        <w:tc>
          <w:tcPr>
            <w:tcW w:w="160" w:type="dxa"/>
            <w:vAlign w:val="bottom"/>
            <w:tcBorders>
              <w:top w:val="single" w:sz="8" w:color="CCEEFF"/>
            </w:tcBorders>
            <w:shd w:val="clear" w:color="auto" w:fill="CCEEFF"/>
          </w:tcPr>
          <w:p>
            <w:pPr>
              <w:spacing w:after="0"/>
              <w:rPr>
                <w:sz w:val="11"/>
                <w:szCs w:val="11"/>
                <w:color w:val="auto"/>
              </w:rPr>
            </w:pPr>
          </w:p>
        </w:tc>
        <w:tc>
          <w:tcPr>
            <w:tcW w:w="380" w:type="dxa"/>
            <w:vAlign w:val="bottom"/>
            <w:tcBorders>
              <w:top w:val="single" w:sz="8" w:color="auto"/>
            </w:tcBorders>
            <w:shd w:val="clear" w:color="auto" w:fill="CCEEFF"/>
          </w:tcPr>
          <w:p>
            <w:pPr>
              <w:jc w:val="right"/>
              <w:spacing w:after="0" w:line="136" w:lineRule="exact"/>
              <w:rPr>
                <w:sz w:val="20"/>
                <w:szCs w:val="20"/>
                <w:color w:val="auto"/>
              </w:rPr>
            </w:pPr>
            <w:r>
              <w:rPr>
                <w:rFonts w:ascii="Arial" w:cs="Arial" w:eastAsia="Arial" w:hAnsi="Arial"/>
                <w:sz w:val="13"/>
                <w:szCs w:val="13"/>
                <w:color w:val="auto"/>
                <w:w w:val="90"/>
              </w:rPr>
              <w:t>$3,829</w:t>
            </w:r>
          </w:p>
        </w:tc>
        <w:tc>
          <w:tcPr>
            <w:tcW w:w="180" w:type="dxa"/>
            <w:vAlign w:val="bottom"/>
            <w:tcBorders>
              <w:top w:val="single" w:sz="8" w:color="CCEEFF"/>
            </w:tcBorders>
            <w:shd w:val="clear" w:color="auto" w:fill="CCEEFF"/>
          </w:tcPr>
          <w:p>
            <w:pPr>
              <w:spacing w:after="0"/>
              <w:rPr>
                <w:sz w:val="11"/>
                <w:szCs w:val="11"/>
                <w:color w:val="auto"/>
              </w:rPr>
            </w:pPr>
          </w:p>
        </w:tc>
        <w:tc>
          <w:tcPr>
            <w:tcW w:w="60" w:type="dxa"/>
            <w:vAlign w:val="bottom"/>
            <w:tcBorders>
              <w:top w:val="single" w:sz="8" w:color="CCEEFF"/>
            </w:tcBorders>
            <w:shd w:val="clear" w:color="auto" w:fill="CCEEFF"/>
          </w:tcPr>
          <w:p>
            <w:pPr>
              <w:spacing w:after="0"/>
              <w:rPr>
                <w:sz w:val="11"/>
                <w:szCs w:val="11"/>
                <w:color w:val="auto"/>
              </w:rPr>
            </w:pPr>
          </w:p>
        </w:tc>
        <w:tc>
          <w:tcPr>
            <w:tcW w:w="440" w:type="dxa"/>
            <w:vAlign w:val="bottom"/>
            <w:tcBorders>
              <w:top w:val="single" w:sz="8" w:color="auto"/>
            </w:tcBorders>
            <w:shd w:val="clear" w:color="auto" w:fill="CCEEFF"/>
          </w:tcPr>
          <w:p>
            <w:pPr>
              <w:jc w:val="right"/>
              <w:spacing w:after="0" w:line="136" w:lineRule="exact"/>
              <w:rPr>
                <w:sz w:val="20"/>
                <w:szCs w:val="20"/>
                <w:color w:val="auto"/>
              </w:rPr>
            </w:pPr>
            <w:r>
              <w:rPr>
                <w:rFonts w:ascii="Arial" w:cs="Arial" w:eastAsia="Arial" w:hAnsi="Arial"/>
                <w:sz w:val="13"/>
                <w:szCs w:val="13"/>
                <w:color w:val="auto"/>
                <w:w w:val="89"/>
              </w:rPr>
              <w:t>$22,631</w:t>
            </w:r>
          </w:p>
        </w:tc>
        <w:tc>
          <w:tcPr>
            <w:tcW w:w="240" w:type="dxa"/>
            <w:vAlign w:val="bottom"/>
            <w:tcBorders>
              <w:top w:val="single" w:sz="8" w:color="CCEEFF"/>
            </w:tcBorders>
            <w:shd w:val="clear" w:color="auto" w:fill="CCEEFF"/>
          </w:tcPr>
          <w:p>
            <w:pPr>
              <w:spacing w:after="0"/>
              <w:rPr>
                <w:sz w:val="11"/>
                <w:szCs w:val="11"/>
                <w:color w:val="auto"/>
              </w:rPr>
            </w:pPr>
          </w:p>
        </w:tc>
        <w:tc>
          <w:tcPr>
            <w:tcW w:w="460" w:type="dxa"/>
            <w:vAlign w:val="bottom"/>
            <w:tcBorders>
              <w:top w:val="single" w:sz="8" w:color="auto"/>
            </w:tcBorders>
            <w:shd w:val="clear" w:color="auto" w:fill="CCEEFF"/>
          </w:tcPr>
          <w:p>
            <w:pPr>
              <w:jc w:val="right"/>
              <w:spacing w:after="0" w:line="136" w:lineRule="exact"/>
              <w:rPr>
                <w:sz w:val="20"/>
                <w:szCs w:val="20"/>
                <w:color w:val="auto"/>
              </w:rPr>
            </w:pPr>
            <w:r>
              <w:rPr>
                <w:rFonts w:ascii="Arial" w:cs="Arial" w:eastAsia="Arial" w:hAnsi="Arial"/>
                <w:sz w:val="13"/>
                <w:szCs w:val="13"/>
                <w:color w:val="auto"/>
                <w:w w:val="86"/>
              </w:rPr>
              <w:t>$ 18,998</w:t>
            </w:r>
          </w:p>
        </w:tc>
        <w:tc>
          <w:tcPr>
            <w:tcW w:w="160" w:type="dxa"/>
            <w:vAlign w:val="bottom"/>
            <w:tcBorders>
              <w:top w:val="single" w:sz="8" w:color="CCEEFF"/>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2460" w:type="dxa"/>
            <w:vAlign w:val="bottom"/>
            <w:gridSpan w:val="2"/>
          </w:tcPr>
          <w:p>
            <w:pPr>
              <w:spacing w:after="0"/>
              <w:rPr>
                <w:sz w:val="20"/>
                <w:szCs w:val="20"/>
                <w:color w:val="auto"/>
              </w:rPr>
            </w:pPr>
            <w:r>
              <w:rPr>
                <w:rFonts w:ascii="Arial" w:cs="Arial" w:eastAsia="Arial" w:hAnsi="Arial"/>
                <w:sz w:val="13"/>
                <w:szCs w:val="13"/>
                <w:color w:val="auto"/>
              </w:rPr>
              <w:t>Total cost of revenue</w:t>
            </w:r>
          </w:p>
        </w:tc>
        <w:tc>
          <w:tcPr>
            <w:tcW w:w="120" w:type="dxa"/>
            <w:vAlign w:val="bottom"/>
          </w:tcPr>
          <w:p>
            <w:pPr>
              <w:spacing w:after="0"/>
              <w:rPr>
                <w:sz w:val="12"/>
                <w:szCs w:val="12"/>
                <w:color w:val="auto"/>
              </w:rPr>
            </w:pPr>
          </w:p>
        </w:tc>
        <w:tc>
          <w:tcPr>
            <w:tcW w:w="620" w:type="dxa"/>
            <w:vAlign w:val="bottom"/>
            <w:gridSpan w:val="2"/>
          </w:tcPr>
          <w:p>
            <w:pPr>
              <w:jc w:val="right"/>
              <w:ind w:right="180"/>
              <w:spacing w:after="0"/>
              <w:rPr>
                <w:sz w:val="20"/>
                <w:szCs w:val="20"/>
                <w:color w:val="auto"/>
              </w:rPr>
            </w:pPr>
            <w:r>
              <w:rPr>
                <w:rFonts w:ascii="Arial" w:cs="Arial" w:eastAsia="Arial" w:hAnsi="Arial"/>
                <w:sz w:val="13"/>
                <w:szCs w:val="13"/>
                <w:color w:val="auto"/>
              </w:rPr>
              <w:t>9,869</w:t>
            </w:r>
          </w:p>
        </w:tc>
        <w:tc>
          <w:tcPr>
            <w:tcW w:w="700" w:type="dxa"/>
            <w:vAlign w:val="bottom"/>
            <w:gridSpan w:val="3"/>
          </w:tcPr>
          <w:p>
            <w:pPr>
              <w:jc w:val="right"/>
              <w:ind w:right="180"/>
              <w:spacing w:after="0"/>
              <w:rPr>
                <w:sz w:val="20"/>
                <w:szCs w:val="20"/>
                <w:color w:val="auto"/>
              </w:rPr>
            </w:pPr>
            <w:r>
              <w:rPr>
                <w:rFonts w:ascii="Arial" w:cs="Arial" w:eastAsia="Arial" w:hAnsi="Arial"/>
                <w:sz w:val="13"/>
                <w:szCs w:val="13"/>
                <w:color w:val="auto"/>
              </w:rPr>
              <w:t>9,437</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gridSpan w:val="2"/>
          </w:tcPr>
          <w:p>
            <w:pPr>
              <w:jc w:val="right"/>
              <w:ind w:right="180"/>
              <w:spacing w:after="0"/>
              <w:rPr>
                <w:sz w:val="20"/>
                <w:szCs w:val="20"/>
                <w:color w:val="auto"/>
              </w:rPr>
            </w:pPr>
            <w:r>
              <w:rPr>
                <w:rFonts w:ascii="Arial" w:cs="Arial" w:eastAsia="Arial" w:hAnsi="Arial"/>
                <w:sz w:val="13"/>
                <w:szCs w:val="13"/>
                <w:color w:val="auto"/>
              </w:rPr>
              <w:t>8,314</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gridSpan w:val="2"/>
          </w:tcPr>
          <w:p>
            <w:pPr>
              <w:jc w:val="right"/>
              <w:ind w:right="160"/>
              <w:spacing w:after="0"/>
              <w:rPr>
                <w:sz w:val="20"/>
                <w:szCs w:val="20"/>
                <w:color w:val="auto"/>
              </w:rPr>
            </w:pPr>
            <w:r>
              <w:rPr>
                <w:rFonts w:ascii="Arial" w:cs="Arial" w:eastAsia="Arial" w:hAnsi="Arial"/>
                <w:sz w:val="13"/>
                <w:szCs w:val="13"/>
                <w:color w:val="auto"/>
              </w:rPr>
              <w:t>7,413</w:t>
            </w:r>
          </w:p>
        </w:tc>
        <w:tc>
          <w:tcPr>
            <w:tcW w:w="680" w:type="dxa"/>
            <w:vAlign w:val="bottom"/>
            <w:gridSpan w:val="3"/>
          </w:tcPr>
          <w:p>
            <w:pPr>
              <w:jc w:val="right"/>
              <w:ind w:right="160"/>
              <w:spacing w:after="0"/>
              <w:rPr>
                <w:sz w:val="20"/>
                <w:szCs w:val="20"/>
                <w:color w:val="auto"/>
              </w:rPr>
            </w:pPr>
            <w:r>
              <w:rPr>
                <w:rFonts w:ascii="Arial" w:cs="Arial" w:eastAsia="Arial" w:hAnsi="Arial"/>
                <w:sz w:val="13"/>
                <w:szCs w:val="13"/>
                <w:color w:val="auto"/>
              </w:rPr>
              <w:t>7,306</w:t>
            </w:r>
          </w:p>
        </w:tc>
        <w:tc>
          <w:tcPr>
            <w:tcW w:w="700" w:type="dxa"/>
            <w:vAlign w:val="bottom"/>
            <w:gridSpan w:val="3"/>
          </w:tcPr>
          <w:p>
            <w:pPr>
              <w:jc w:val="right"/>
              <w:ind w:right="160"/>
              <w:spacing w:after="0"/>
              <w:rPr>
                <w:sz w:val="20"/>
                <w:szCs w:val="20"/>
                <w:color w:val="auto"/>
              </w:rPr>
            </w:pPr>
            <w:r>
              <w:rPr>
                <w:rFonts w:ascii="Arial" w:cs="Arial" w:eastAsia="Arial" w:hAnsi="Arial"/>
                <w:sz w:val="13"/>
                <w:szCs w:val="13"/>
                <w:color w:val="auto"/>
              </w:rPr>
              <w:t>7,435</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gridSpan w:val="2"/>
          </w:tcPr>
          <w:p>
            <w:pPr>
              <w:jc w:val="right"/>
              <w:ind w:right="160"/>
              <w:spacing w:after="0"/>
              <w:rPr>
                <w:sz w:val="20"/>
                <w:szCs w:val="20"/>
                <w:color w:val="auto"/>
              </w:rPr>
            </w:pPr>
            <w:r>
              <w:rPr>
                <w:rFonts w:ascii="Arial" w:cs="Arial" w:eastAsia="Arial" w:hAnsi="Arial"/>
                <w:sz w:val="13"/>
                <w:szCs w:val="13"/>
                <w:color w:val="auto"/>
              </w:rPr>
              <w:t>7,437</w:t>
            </w: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40" w:type="dxa"/>
            <w:vAlign w:val="bottom"/>
            <w:tcBorders>
              <w:right w:val="single" w:sz="8" w:color="auto"/>
            </w:tcBorders>
            <w:gridSpan w:val="2"/>
          </w:tcPr>
          <w:p>
            <w:pPr>
              <w:jc w:val="right"/>
              <w:ind w:right="340"/>
              <w:spacing w:after="0"/>
              <w:rPr>
                <w:sz w:val="20"/>
                <w:szCs w:val="20"/>
                <w:color w:val="auto"/>
              </w:rPr>
            </w:pPr>
            <w:r>
              <w:rPr>
                <w:rFonts w:ascii="Arial" w:cs="Arial" w:eastAsia="Arial" w:hAnsi="Arial"/>
                <w:sz w:val="13"/>
                <w:szCs w:val="13"/>
                <w:color w:val="auto"/>
              </w:rPr>
              <w:t>5,845</w:t>
            </w:r>
          </w:p>
        </w:tc>
        <w:tc>
          <w:tcPr>
            <w:tcW w:w="540" w:type="dxa"/>
            <w:vAlign w:val="bottom"/>
            <w:gridSpan w:val="2"/>
          </w:tcPr>
          <w:p>
            <w:pPr>
              <w:jc w:val="right"/>
              <w:spacing w:after="0"/>
              <w:rPr>
                <w:sz w:val="20"/>
                <w:szCs w:val="20"/>
                <w:color w:val="auto"/>
              </w:rPr>
            </w:pPr>
            <w:r>
              <w:rPr>
                <w:rFonts w:ascii="Arial" w:cs="Arial" w:eastAsia="Arial" w:hAnsi="Arial"/>
                <w:sz w:val="13"/>
                <w:szCs w:val="13"/>
                <w:color w:val="auto"/>
              </w:rPr>
              <w:t>532</w:t>
            </w:r>
          </w:p>
        </w:tc>
        <w:tc>
          <w:tcPr>
            <w:tcW w:w="180" w:type="dxa"/>
            <w:vAlign w:val="bottom"/>
          </w:tcPr>
          <w:p>
            <w:pPr>
              <w:spacing w:after="0"/>
              <w:rPr>
                <w:sz w:val="12"/>
                <w:szCs w:val="12"/>
                <w:color w:val="auto"/>
              </w:rPr>
            </w:pPr>
          </w:p>
        </w:tc>
        <w:tc>
          <w:tcPr>
            <w:tcW w:w="500" w:type="dxa"/>
            <w:vAlign w:val="bottom"/>
            <w:gridSpan w:val="2"/>
          </w:tcPr>
          <w:p>
            <w:pPr>
              <w:jc w:val="right"/>
              <w:spacing w:after="0"/>
              <w:rPr>
                <w:sz w:val="20"/>
                <w:szCs w:val="20"/>
                <w:color w:val="auto"/>
              </w:rPr>
            </w:pPr>
            <w:r>
              <w:rPr>
                <w:rFonts w:ascii="Arial" w:cs="Arial" w:eastAsia="Arial" w:hAnsi="Arial"/>
                <w:sz w:val="13"/>
                <w:szCs w:val="13"/>
                <w:color w:val="auto"/>
              </w:rPr>
              <w:t>2,454</w:t>
            </w:r>
          </w:p>
        </w:tc>
        <w:tc>
          <w:tcPr>
            <w:tcW w:w="240" w:type="dxa"/>
            <w:vAlign w:val="bottom"/>
          </w:tcPr>
          <w:p>
            <w:pPr>
              <w:spacing w:after="0"/>
              <w:rPr>
                <w:sz w:val="12"/>
                <w:szCs w:val="12"/>
                <w:color w:val="auto"/>
              </w:rPr>
            </w:pPr>
          </w:p>
        </w:tc>
        <w:tc>
          <w:tcPr>
            <w:tcW w:w="460" w:type="dxa"/>
            <w:vAlign w:val="bottom"/>
          </w:tcPr>
          <w:p>
            <w:pPr>
              <w:jc w:val="right"/>
              <w:spacing w:after="0"/>
              <w:rPr>
                <w:sz w:val="20"/>
                <w:szCs w:val="20"/>
                <w:color w:val="auto"/>
              </w:rPr>
            </w:pPr>
            <w:r>
              <w:rPr>
                <w:rFonts w:ascii="Arial" w:cs="Arial" w:eastAsia="Arial" w:hAnsi="Arial"/>
                <w:sz w:val="13"/>
                <w:szCs w:val="13"/>
                <w:color w:val="auto"/>
              </w:rPr>
              <w:t>2,342</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7"/>
        </w:trPr>
        <w:tc>
          <w:tcPr>
            <w:tcW w:w="740" w:type="dxa"/>
            <w:vAlign w:val="bottom"/>
          </w:tcPr>
          <w:p>
            <w:pPr>
              <w:spacing w:after="0"/>
              <w:rPr>
                <w:sz w:val="2"/>
                <w:szCs w:val="2"/>
                <w:color w:val="auto"/>
              </w:rPr>
            </w:pPr>
          </w:p>
        </w:tc>
        <w:tc>
          <w:tcPr>
            <w:tcW w:w="1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4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340" w:type="dxa"/>
            <w:vAlign w:val="bottom"/>
            <w:tcBorders>
              <w:right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8"/>
        </w:trPr>
        <w:tc>
          <w:tcPr>
            <w:tcW w:w="246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Reported gross profit</w:t>
            </w:r>
          </w:p>
        </w:tc>
        <w:tc>
          <w:tcPr>
            <w:tcW w:w="740" w:type="dxa"/>
            <w:vAlign w:val="bottom"/>
            <w:gridSpan w:val="3"/>
            <w:shd w:val="clear" w:color="auto" w:fill="CCEEFF"/>
          </w:tcPr>
          <w:p>
            <w:pPr>
              <w:jc w:val="right"/>
              <w:ind w:right="180"/>
              <w:spacing w:after="0"/>
              <w:rPr>
                <w:sz w:val="20"/>
                <w:szCs w:val="20"/>
                <w:color w:val="auto"/>
              </w:rPr>
            </w:pPr>
            <w:r>
              <w:rPr>
                <w:rFonts w:ascii="Arial" w:cs="Arial" w:eastAsia="Arial" w:hAnsi="Arial"/>
                <w:sz w:val="13"/>
                <w:szCs w:val="13"/>
                <w:color w:val="auto"/>
              </w:rPr>
              <w:t>$29,952</w:t>
            </w:r>
          </w:p>
        </w:tc>
        <w:tc>
          <w:tcPr>
            <w:tcW w:w="700" w:type="dxa"/>
            <w:vAlign w:val="bottom"/>
            <w:gridSpan w:val="3"/>
            <w:shd w:val="clear" w:color="auto" w:fill="CCEEFF"/>
          </w:tcPr>
          <w:p>
            <w:pPr>
              <w:jc w:val="right"/>
              <w:ind w:right="180"/>
              <w:spacing w:after="0"/>
              <w:rPr>
                <w:sz w:val="20"/>
                <w:szCs w:val="20"/>
                <w:color w:val="auto"/>
              </w:rPr>
            </w:pPr>
            <w:r>
              <w:rPr>
                <w:rFonts w:ascii="Arial" w:cs="Arial" w:eastAsia="Arial" w:hAnsi="Arial"/>
                <w:sz w:val="13"/>
                <w:szCs w:val="13"/>
                <w:color w:val="auto"/>
                <w:w w:val="98"/>
              </w:rPr>
              <w:t>$ 27,499</w:t>
            </w: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70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25,344</w:t>
            </w:r>
          </w:p>
        </w:tc>
        <w:tc>
          <w:tcPr>
            <w:tcW w:w="160" w:type="dxa"/>
            <w:vAlign w:val="bottom"/>
            <w:gridSpan w:val="2"/>
            <w:shd w:val="clear" w:color="auto" w:fill="CCEEFF"/>
          </w:tcPr>
          <w:p>
            <w:pPr>
              <w:ind w:left="60"/>
              <w:spacing w:after="0"/>
              <w:rPr>
                <w:sz w:val="20"/>
                <w:szCs w:val="20"/>
                <w:color w:val="auto"/>
              </w:rPr>
            </w:pPr>
            <w:r>
              <w:rPr>
                <w:rFonts w:ascii="Arial" w:cs="Arial" w:eastAsia="Arial" w:hAnsi="Arial"/>
                <w:sz w:val="13"/>
                <w:szCs w:val="13"/>
                <w:color w:val="auto"/>
              </w:rPr>
              <w:t>$</w:t>
            </w: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22,660</w:t>
            </w:r>
          </w:p>
        </w:tc>
        <w:tc>
          <w:tcPr>
            <w:tcW w:w="680" w:type="dxa"/>
            <w:vAlign w:val="bottom"/>
            <w:gridSpan w:val="3"/>
            <w:shd w:val="clear" w:color="auto" w:fill="CCEEFF"/>
          </w:tcPr>
          <w:p>
            <w:pPr>
              <w:jc w:val="right"/>
              <w:ind w:right="160"/>
              <w:spacing w:after="0"/>
              <w:rPr>
                <w:sz w:val="20"/>
                <w:szCs w:val="20"/>
                <w:color w:val="auto"/>
              </w:rPr>
            </w:pPr>
            <w:r>
              <w:rPr>
                <w:rFonts w:ascii="Arial" w:cs="Arial" w:eastAsia="Arial" w:hAnsi="Arial"/>
                <w:sz w:val="13"/>
                <w:szCs w:val="13"/>
                <w:color w:val="auto"/>
              </w:rPr>
              <w:t>$20,939</w:t>
            </w:r>
          </w:p>
        </w:tc>
        <w:tc>
          <w:tcPr>
            <w:tcW w:w="700" w:type="dxa"/>
            <w:vAlign w:val="bottom"/>
            <w:gridSpan w:val="3"/>
            <w:shd w:val="clear" w:color="auto" w:fill="CCEEFF"/>
          </w:tcPr>
          <w:p>
            <w:pPr>
              <w:jc w:val="right"/>
              <w:ind w:right="160"/>
              <w:spacing w:after="0"/>
              <w:rPr>
                <w:sz w:val="20"/>
                <w:szCs w:val="20"/>
                <w:color w:val="auto"/>
              </w:rPr>
            </w:pPr>
            <w:r>
              <w:rPr>
                <w:rFonts w:ascii="Arial" w:cs="Arial" w:eastAsia="Arial" w:hAnsi="Arial"/>
                <w:sz w:val="13"/>
                <w:szCs w:val="13"/>
                <w:color w:val="auto"/>
              </w:rPr>
              <w:t>$ 18,906</w:t>
            </w:r>
          </w:p>
        </w:tc>
        <w:tc>
          <w:tcPr>
            <w:tcW w:w="160" w:type="dxa"/>
            <w:vAlign w:val="bottom"/>
            <w:gridSpan w:val="2"/>
            <w:shd w:val="clear" w:color="auto" w:fill="CCEEFF"/>
          </w:tcPr>
          <w:p>
            <w:pPr>
              <w:ind w:left="60"/>
              <w:spacing w:after="0"/>
              <w:rPr>
                <w:sz w:val="20"/>
                <w:szCs w:val="20"/>
                <w:color w:val="auto"/>
              </w:rPr>
            </w:pPr>
            <w:r>
              <w:rPr>
                <w:rFonts w:ascii="Arial" w:cs="Arial" w:eastAsia="Arial" w:hAnsi="Arial"/>
                <w:sz w:val="13"/>
                <w:szCs w:val="13"/>
                <w:color w:val="auto"/>
              </w:rPr>
              <w:t>$</w:t>
            </w: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15,796</w:t>
            </w:r>
          </w:p>
        </w:tc>
        <w:tc>
          <w:tcPr>
            <w:tcW w:w="220" w:type="dxa"/>
            <w:vAlign w:val="bottom"/>
            <w:gridSpan w:val="2"/>
            <w:shd w:val="clear" w:color="auto" w:fill="CCEEFF"/>
          </w:tcPr>
          <w:p>
            <w:pPr>
              <w:ind w:left="60"/>
              <w:spacing w:after="0"/>
              <w:rPr>
                <w:sz w:val="20"/>
                <w:szCs w:val="20"/>
                <w:color w:val="auto"/>
              </w:rPr>
            </w:pPr>
            <w:r>
              <w:rPr>
                <w:rFonts w:ascii="Arial" w:cs="Arial" w:eastAsia="Arial" w:hAnsi="Arial"/>
                <w:sz w:val="13"/>
                <w:szCs w:val="13"/>
                <w:color w:val="auto"/>
              </w:rPr>
              <w:t>$</w:t>
            </w:r>
          </w:p>
        </w:tc>
        <w:tc>
          <w:tcPr>
            <w:tcW w:w="840" w:type="dxa"/>
            <w:vAlign w:val="bottom"/>
            <w:tcBorders>
              <w:right w:val="single" w:sz="8" w:color="auto"/>
            </w:tcBorders>
            <w:gridSpan w:val="2"/>
            <w:shd w:val="clear" w:color="auto" w:fill="CCEEFF"/>
          </w:tcPr>
          <w:p>
            <w:pPr>
              <w:jc w:val="right"/>
              <w:ind w:right="340"/>
              <w:spacing w:after="0"/>
              <w:rPr>
                <w:sz w:val="20"/>
                <w:szCs w:val="20"/>
                <w:color w:val="auto"/>
              </w:rPr>
            </w:pPr>
            <w:r>
              <w:rPr>
                <w:rFonts w:ascii="Arial" w:cs="Arial" w:eastAsia="Arial" w:hAnsi="Arial"/>
                <w:sz w:val="13"/>
                <w:szCs w:val="13"/>
                <w:color w:val="auto"/>
              </w:rPr>
              <w:t>10,967</w:t>
            </w:r>
          </w:p>
        </w:tc>
        <w:tc>
          <w:tcPr>
            <w:tcW w:w="54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$3,297</w:t>
            </w:r>
          </w:p>
        </w:tc>
        <w:tc>
          <w:tcPr>
            <w:tcW w:w="180" w:type="dxa"/>
            <w:vAlign w:val="bottom"/>
            <w:shd w:val="clear" w:color="auto" w:fill="CCEEFF"/>
          </w:tcPr>
          <w:p>
            <w:pPr>
              <w:spacing w:after="0"/>
              <w:rPr>
                <w:sz w:val="12"/>
                <w:szCs w:val="12"/>
                <w:color w:val="auto"/>
              </w:rPr>
            </w:pP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$20,177</w:t>
            </w:r>
          </w:p>
        </w:tc>
        <w:tc>
          <w:tcPr>
            <w:tcW w:w="240" w:type="dxa"/>
            <w:vAlign w:val="bottom"/>
            <w:shd w:val="clear" w:color="auto" w:fill="CCEEFF"/>
          </w:tcPr>
          <w:p>
            <w:pPr>
              <w:spacing w:after="0"/>
              <w:rPr>
                <w:sz w:val="12"/>
                <w:szCs w:val="12"/>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6"/>
              </w:rPr>
              <w:t>$ 16,656</w:t>
            </w: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460" w:type="dxa"/>
            <w:vAlign w:val="bottom"/>
            <w:gridSpan w:val="2"/>
          </w:tcPr>
          <w:p>
            <w:pPr>
              <w:spacing w:after="0"/>
              <w:rPr>
                <w:sz w:val="20"/>
                <w:szCs w:val="20"/>
                <w:color w:val="auto"/>
              </w:rPr>
            </w:pPr>
            <w:r>
              <w:rPr>
                <w:rFonts w:ascii="Arial" w:cs="Arial" w:eastAsia="Arial" w:hAnsi="Arial"/>
                <w:sz w:val="13"/>
                <w:szCs w:val="13"/>
                <w:b w:val="1"/>
                <w:bCs w:val="1"/>
                <w:color w:val="auto"/>
              </w:rPr>
              <w:t>Gross margin</w:t>
            </w:r>
          </w:p>
        </w:tc>
        <w:tc>
          <w:tcPr>
            <w:tcW w:w="740" w:type="dxa"/>
            <w:vAlign w:val="bottom"/>
            <w:gridSpan w:val="3"/>
          </w:tcPr>
          <w:p>
            <w:pPr>
              <w:jc w:val="right"/>
              <w:ind w:right="60"/>
              <w:spacing w:after="0"/>
              <w:rPr>
                <w:sz w:val="20"/>
                <w:szCs w:val="20"/>
                <w:color w:val="auto"/>
              </w:rPr>
            </w:pPr>
            <w:r>
              <w:rPr>
                <w:rFonts w:ascii="Arial" w:cs="Arial" w:eastAsia="Arial" w:hAnsi="Arial"/>
                <w:sz w:val="13"/>
                <w:szCs w:val="13"/>
                <w:color w:val="auto"/>
              </w:rPr>
              <w:t>75%</w:t>
            </w:r>
          </w:p>
        </w:tc>
        <w:tc>
          <w:tcPr>
            <w:tcW w:w="700" w:type="dxa"/>
            <w:vAlign w:val="bottom"/>
            <w:gridSpan w:val="3"/>
          </w:tcPr>
          <w:p>
            <w:pPr>
              <w:jc w:val="right"/>
              <w:ind w:right="60"/>
              <w:spacing w:after="0"/>
              <w:rPr>
                <w:sz w:val="20"/>
                <w:szCs w:val="20"/>
                <w:color w:val="auto"/>
              </w:rPr>
            </w:pPr>
            <w:r>
              <w:rPr>
                <w:rFonts w:ascii="Arial" w:cs="Arial" w:eastAsia="Arial" w:hAnsi="Arial"/>
                <w:sz w:val="13"/>
                <w:szCs w:val="13"/>
                <w:color w:val="auto"/>
              </w:rPr>
              <w:t>74%</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gridSpan w:val="2"/>
          </w:tcPr>
          <w:p>
            <w:pPr>
              <w:jc w:val="right"/>
              <w:ind w:right="60"/>
              <w:spacing w:after="0"/>
              <w:rPr>
                <w:sz w:val="20"/>
                <w:szCs w:val="20"/>
                <w:color w:val="auto"/>
              </w:rPr>
            </w:pPr>
            <w:r>
              <w:rPr>
                <w:rFonts w:ascii="Arial" w:cs="Arial" w:eastAsia="Arial" w:hAnsi="Arial"/>
                <w:sz w:val="13"/>
                <w:szCs w:val="13"/>
                <w:color w:val="auto"/>
              </w:rPr>
              <w:t>75%</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gridSpan w:val="2"/>
          </w:tcPr>
          <w:p>
            <w:pPr>
              <w:jc w:val="right"/>
              <w:ind w:right="60"/>
              <w:spacing w:after="0"/>
              <w:rPr>
                <w:sz w:val="20"/>
                <w:szCs w:val="20"/>
                <w:color w:val="auto"/>
              </w:rPr>
            </w:pPr>
            <w:r>
              <w:rPr>
                <w:rFonts w:ascii="Arial" w:cs="Arial" w:eastAsia="Arial" w:hAnsi="Arial"/>
                <w:sz w:val="13"/>
                <w:szCs w:val="13"/>
                <w:color w:val="auto"/>
              </w:rPr>
              <w:t>75%</w:t>
            </w:r>
          </w:p>
        </w:tc>
        <w:tc>
          <w:tcPr>
            <w:tcW w:w="680" w:type="dxa"/>
            <w:vAlign w:val="bottom"/>
            <w:gridSpan w:val="3"/>
          </w:tcPr>
          <w:p>
            <w:pPr>
              <w:jc w:val="right"/>
              <w:ind w:right="60"/>
              <w:spacing w:after="0"/>
              <w:rPr>
                <w:sz w:val="20"/>
                <w:szCs w:val="20"/>
                <w:color w:val="auto"/>
              </w:rPr>
            </w:pPr>
            <w:r>
              <w:rPr>
                <w:rFonts w:ascii="Arial" w:cs="Arial" w:eastAsia="Arial" w:hAnsi="Arial"/>
                <w:sz w:val="13"/>
                <w:szCs w:val="13"/>
                <w:color w:val="auto"/>
              </w:rPr>
              <w:t>74%</w:t>
            </w:r>
          </w:p>
        </w:tc>
        <w:tc>
          <w:tcPr>
            <w:tcW w:w="700" w:type="dxa"/>
            <w:vAlign w:val="bottom"/>
            <w:gridSpan w:val="3"/>
          </w:tcPr>
          <w:p>
            <w:pPr>
              <w:jc w:val="right"/>
              <w:ind w:right="60"/>
              <w:spacing w:after="0"/>
              <w:rPr>
                <w:sz w:val="20"/>
                <w:szCs w:val="20"/>
                <w:color w:val="auto"/>
              </w:rPr>
            </w:pPr>
            <w:r>
              <w:rPr>
                <w:rFonts w:ascii="Arial" w:cs="Arial" w:eastAsia="Arial" w:hAnsi="Arial"/>
                <w:sz w:val="13"/>
                <w:szCs w:val="13"/>
                <w:color w:val="auto"/>
              </w:rPr>
              <w:t>72%</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gridSpan w:val="2"/>
          </w:tcPr>
          <w:p>
            <w:pPr>
              <w:jc w:val="right"/>
              <w:ind w:right="40"/>
              <w:spacing w:after="0"/>
              <w:rPr>
                <w:sz w:val="20"/>
                <w:szCs w:val="20"/>
                <w:color w:val="auto"/>
              </w:rPr>
            </w:pPr>
            <w:r>
              <w:rPr>
                <w:rFonts w:ascii="Arial" w:cs="Arial" w:eastAsia="Arial" w:hAnsi="Arial"/>
                <w:sz w:val="13"/>
                <w:szCs w:val="13"/>
                <w:color w:val="auto"/>
              </w:rPr>
              <w:t>68%</w:t>
            </w: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40" w:type="dxa"/>
            <w:vAlign w:val="bottom"/>
            <w:tcBorders>
              <w:right w:val="single" w:sz="8" w:color="auto"/>
            </w:tcBorders>
            <w:gridSpan w:val="2"/>
          </w:tcPr>
          <w:p>
            <w:pPr>
              <w:jc w:val="right"/>
              <w:ind w:right="220"/>
              <w:spacing w:after="0"/>
              <w:rPr>
                <w:sz w:val="20"/>
                <w:szCs w:val="20"/>
                <w:color w:val="auto"/>
              </w:rPr>
            </w:pPr>
            <w:r>
              <w:rPr>
                <w:rFonts w:ascii="Arial" w:cs="Arial" w:eastAsia="Arial" w:hAnsi="Arial"/>
                <w:sz w:val="13"/>
                <w:szCs w:val="13"/>
                <w:color w:val="auto"/>
              </w:rPr>
              <w:t>65%</w:t>
            </w:r>
          </w:p>
        </w:tc>
        <w:tc>
          <w:tcPr>
            <w:tcW w:w="720" w:type="dxa"/>
            <w:vAlign w:val="bottom"/>
            <w:gridSpan w:val="3"/>
          </w:tcPr>
          <w:p>
            <w:pPr>
              <w:jc w:val="right"/>
              <w:ind w:right="60"/>
              <w:spacing w:after="0"/>
              <w:rPr>
                <w:sz w:val="20"/>
                <w:szCs w:val="20"/>
                <w:color w:val="auto"/>
              </w:rPr>
            </w:pPr>
            <w:r>
              <w:rPr>
                <w:rFonts w:ascii="Arial" w:cs="Arial" w:eastAsia="Arial" w:hAnsi="Arial"/>
                <w:sz w:val="13"/>
                <w:szCs w:val="13"/>
                <w:color w:val="auto"/>
              </w:rPr>
              <w:t>86%</w:t>
            </w:r>
          </w:p>
        </w:tc>
        <w:tc>
          <w:tcPr>
            <w:tcW w:w="740" w:type="dxa"/>
            <w:vAlign w:val="bottom"/>
            <w:gridSpan w:val="3"/>
          </w:tcPr>
          <w:p>
            <w:pPr>
              <w:jc w:val="right"/>
              <w:ind w:right="120"/>
              <w:spacing w:after="0"/>
              <w:rPr>
                <w:sz w:val="20"/>
                <w:szCs w:val="20"/>
                <w:color w:val="auto"/>
              </w:rPr>
            </w:pPr>
            <w:r>
              <w:rPr>
                <w:rFonts w:ascii="Arial" w:cs="Arial" w:eastAsia="Arial" w:hAnsi="Arial"/>
                <w:sz w:val="13"/>
                <w:szCs w:val="13"/>
                <w:color w:val="auto"/>
              </w:rPr>
              <w:t>89%</w:t>
            </w:r>
          </w:p>
        </w:tc>
        <w:tc>
          <w:tcPr>
            <w:tcW w:w="620" w:type="dxa"/>
            <w:vAlign w:val="bottom"/>
            <w:gridSpan w:val="2"/>
          </w:tcPr>
          <w:p>
            <w:pPr>
              <w:jc w:val="right"/>
              <w:ind w:right="40"/>
              <w:spacing w:after="0"/>
              <w:rPr>
                <w:sz w:val="20"/>
                <w:szCs w:val="20"/>
                <w:color w:val="auto"/>
              </w:rPr>
            </w:pPr>
            <w:r>
              <w:rPr>
                <w:rFonts w:ascii="Arial" w:cs="Arial" w:eastAsia="Arial" w:hAnsi="Arial"/>
                <w:sz w:val="13"/>
                <w:szCs w:val="13"/>
                <w:color w:val="auto"/>
              </w:rPr>
              <w:t>88%</w:t>
            </w:r>
          </w:p>
        </w:tc>
        <w:tc>
          <w:tcPr>
            <w:tcW w:w="0" w:type="dxa"/>
            <w:vAlign w:val="bottom"/>
          </w:tcPr>
          <w:p>
            <w:pPr>
              <w:spacing w:after="0"/>
              <w:rPr>
                <w:sz w:val="1"/>
                <w:szCs w:val="1"/>
                <w:color w:val="auto"/>
              </w:rPr>
            </w:pPr>
          </w:p>
        </w:tc>
      </w:tr>
      <w:tr>
        <w:trPr>
          <w:trHeight w:val="148"/>
        </w:trPr>
        <w:tc>
          <w:tcPr>
            <w:tcW w:w="246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Revenue</w:t>
            </w:r>
          </w:p>
        </w:tc>
        <w:tc>
          <w:tcPr>
            <w:tcW w:w="740" w:type="dxa"/>
            <w:vAlign w:val="bottom"/>
            <w:gridSpan w:val="3"/>
            <w:shd w:val="clear" w:color="auto" w:fill="CCEEFF"/>
          </w:tcPr>
          <w:p>
            <w:pPr>
              <w:jc w:val="right"/>
              <w:ind w:right="180"/>
              <w:spacing w:after="0"/>
              <w:rPr>
                <w:sz w:val="20"/>
                <w:szCs w:val="20"/>
                <w:color w:val="auto"/>
              </w:rPr>
            </w:pPr>
            <w:r>
              <w:rPr>
                <w:rFonts w:ascii="Arial" w:cs="Arial" w:eastAsia="Arial" w:hAnsi="Arial"/>
                <w:sz w:val="13"/>
                <w:szCs w:val="13"/>
                <w:color w:val="auto"/>
              </w:rPr>
              <w:t>$39,821</w:t>
            </w:r>
          </w:p>
        </w:tc>
        <w:tc>
          <w:tcPr>
            <w:tcW w:w="700" w:type="dxa"/>
            <w:vAlign w:val="bottom"/>
            <w:gridSpan w:val="3"/>
            <w:shd w:val="clear" w:color="auto" w:fill="CCEEFF"/>
          </w:tcPr>
          <w:p>
            <w:pPr>
              <w:jc w:val="right"/>
              <w:ind w:right="180"/>
              <w:spacing w:after="0"/>
              <w:rPr>
                <w:sz w:val="20"/>
                <w:szCs w:val="20"/>
                <w:color w:val="auto"/>
              </w:rPr>
            </w:pPr>
            <w:r>
              <w:rPr>
                <w:rFonts w:ascii="Arial" w:cs="Arial" w:eastAsia="Arial" w:hAnsi="Arial"/>
                <w:sz w:val="13"/>
                <w:szCs w:val="13"/>
                <w:color w:val="auto"/>
                <w:w w:val="98"/>
              </w:rPr>
              <w:t>$ 36,936</w:t>
            </w: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70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33,658</w:t>
            </w:r>
          </w:p>
        </w:tc>
        <w:tc>
          <w:tcPr>
            <w:tcW w:w="160" w:type="dxa"/>
            <w:vAlign w:val="bottom"/>
            <w:gridSpan w:val="2"/>
            <w:shd w:val="clear" w:color="auto" w:fill="CCEEFF"/>
          </w:tcPr>
          <w:p>
            <w:pPr>
              <w:ind w:left="60"/>
              <w:spacing w:after="0"/>
              <w:rPr>
                <w:sz w:val="20"/>
                <w:szCs w:val="20"/>
                <w:color w:val="auto"/>
              </w:rPr>
            </w:pPr>
            <w:r>
              <w:rPr>
                <w:rFonts w:ascii="Arial" w:cs="Arial" w:eastAsia="Arial" w:hAnsi="Arial"/>
                <w:sz w:val="13"/>
                <w:szCs w:val="13"/>
                <w:color w:val="auto"/>
              </w:rPr>
              <w:t>$</w:t>
            </w: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30,073</w:t>
            </w:r>
          </w:p>
        </w:tc>
        <w:tc>
          <w:tcPr>
            <w:tcW w:w="680" w:type="dxa"/>
            <w:vAlign w:val="bottom"/>
            <w:gridSpan w:val="3"/>
            <w:shd w:val="clear" w:color="auto" w:fill="CCEEFF"/>
          </w:tcPr>
          <w:p>
            <w:pPr>
              <w:jc w:val="right"/>
              <w:ind w:right="160"/>
              <w:spacing w:after="0"/>
              <w:rPr>
                <w:sz w:val="20"/>
                <w:szCs w:val="20"/>
                <w:color w:val="auto"/>
              </w:rPr>
            </w:pPr>
            <w:r>
              <w:rPr>
                <w:rFonts w:ascii="Arial" w:cs="Arial" w:eastAsia="Arial" w:hAnsi="Arial"/>
                <w:sz w:val="13"/>
                <w:szCs w:val="13"/>
                <w:color w:val="auto"/>
              </w:rPr>
              <w:t>$28,245</w:t>
            </w:r>
          </w:p>
        </w:tc>
        <w:tc>
          <w:tcPr>
            <w:tcW w:w="700" w:type="dxa"/>
            <w:vAlign w:val="bottom"/>
            <w:gridSpan w:val="3"/>
            <w:shd w:val="clear" w:color="auto" w:fill="CCEEFF"/>
          </w:tcPr>
          <w:p>
            <w:pPr>
              <w:jc w:val="right"/>
              <w:ind w:right="160"/>
              <w:spacing w:after="0"/>
              <w:rPr>
                <w:sz w:val="20"/>
                <w:szCs w:val="20"/>
                <w:color w:val="auto"/>
              </w:rPr>
            </w:pPr>
            <w:r>
              <w:rPr>
                <w:rFonts w:ascii="Arial" w:cs="Arial" w:eastAsia="Arial" w:hAnsi="Arial"/>
                <w:sz w:val="13"/>
                <w:szCs w:val="13"/>
                <w:color w:val="auto"/>
              </w:rPr>
              <w:t>$ 26,341</w:t>
            </w:r>
          </w:p>
        </w:tc>
        <w:tc>
          <w:tcPr>
            <w:tcW w:w="160" w:type="dxa"/>
            <w:vAlign w:val="bottom"/>
            <w:gridSpan w:val="2"/>
            <w:shd w:val="clear" w:color="auto" w:fill="CCEEFF"/>
          </w:tcPr>
          <w:p>
            <w:pPr>
              <w:ind w:left="60"/>
              <w:spacing w:after="0"/>
              <w:rPr>
                <w:sz w:val="20"/>
                <w:szCs w:val="20"/>
                <w:color w:val="auto"/>
              </w:rPr>
            </w:pPr>
            <w:r>
              <w:rPr>
                <w:rFonts w:ascii="Arial" w:cs="Arial" w:eastAsia="Arial" w:hAnsi="Arial"/>
                <w:sz w:val="13"/>
                <w:szCs w:val="13"/>
                <w:color w:val="auto"/>
              </w:rPr>
              <w:t>$</w:t>
            </w: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23,233</w:t>
            </w:r>
          </w:p>
        </w:tc>
        <w:tc>
          <w:tcPr>
            <w:tcW w:w="220" w:type="dxa"/>
            <w:vAlign w:val="bottom"/>
            <w:gridSpan w:val="2"/>
            <w:shd w:val="clear" w:color="auto" w:fill="CCEEFF"/>
          </w:tcPr>
          <w:p>
            <w:pPr>
              <w:ind w:left="60"/>
              <w:spacing w:after="0"/>
              <w:rPr>
                <w:sz w:val="20"/>
                <w:szCs w:val="20"/>
                <w:color w:val="auto"/>
              </w:rPr>
            </w:pPr>
            <w:r>
              <w:rPr>
                <w:rFonts w:ascii="Arial" w:cs="Arial" w:eastAsia="Arial" w:hAnsi="Arial"/>
                <w:sz w:val="13"/>
                <w:szCs w:val="13"/>
                <w:color w:val="auto"/>
              </w:rPr>
              <w:t>$</w:t>
            </w:r>
          </w:p>
        </w:tc>
        <w:tc>
          <w:tcPr>
            <w:tcW w:w="840" w:type="dxa"/>
            <w:vAlign w:val="bottom"/>
            <w:tcBorders>
              <w:right w:val="single" w:sz="8" w:color="auto"/>
            </w:tcBorders>
            <w:gridSpan w:val="2"/>
            <w:shd w:val="clear" w:color="auto" w:fill="CCEEFF"/>
          </w:tcPr>
          <w:p>
            <w:pPr>
              <w:jc w:val="right"/>
              <w:ind w:right="340"/>
              <w:spacing w:after="0"/>
              <w:rPr>
                <w:sz w:val="20"/>
                <w:szCs w:val="20"/>
                <w:color w:val="auto"/>
              </w:rPr>
            </w:pPr>
            <w:r>
              <w:rPr>
                <w:rFonts w:ascii="Arial" w:cs="Arial" w:eastAsia="Arial" w:hAnsi="Arial"/>
                <w:sz w:val="13"/>
                <w:szCs w:val="13"/>
                <w:color w:val="auto"/>
              </w:rPr>
              <w:t>16,812</w:t>
            </w:r>
          </w:p>
        </w:tc>
        <w:tc>
          <w:tcPr>
            <w:tcW w:w="54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$3,829</w:t>
            </w:r>
          </w:p>
        </w:tc>
        <w:tc>
          <w:tcPr>
            <w:tcW w:w="180" w:type="dxa"/>
            <w:vAlign w:val="bottom"/>
            <w:shd w:val="clear" w:color="auto" w:fill="CCEEFF"/>
          </w:tcPr>
          <w:p>
            <w:pPr>
              <w:spacing w:after="0"/>
              <w:rPr>
                <w:sz w:val="12"/>
                <w:szCs w:val="12"/>
                <w:color w:val="auto"/>
              </w:rPr>
            </w:pP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$22,631</w:t>
            </w:r>
          </w:p>
        </w:tc>
        <w:tc>
          <w:tcPr>
            <w:tcW w:w="240" w:type="dxa"/>
            <w:vAlign w:val="bottom"/>
            <w:shd w:val="clear" w:color="auto" w:fill="CCEEFF"/>
          </w:tcPr>
          <w:p>
            <w:pPr>
              <w:spacing w:after="0"/>
              <w:rPr>
                <w:sz w:val="12"/>
                <w:szCs w:val="12"/>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6"/>
              </w:rPr>
              <w:t>$ 18,998</w:t>
            </w: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460" w:type="dxa"/>
            <w:vAlign w:val="bottom"/>
            <w:gridSpan w:val="2"/>
          </w:tcPr>
          <w:p>
            <w:pPr>
              <w:spacing w:after="0"/>
              <w:rPr>
                <w:sz w:val="20"/>
                <w:szCs w:val="20"/>
                <w:color w:val="auto"/>
              </w:rPr>
            </w:pPr>
            <w:r>
              <w:rPr>
                <w:rFonts w:ascii="Arial" w:cs="Arial" w:eastAsia="Arial" w:hAnsi="Arial"/>
                <w:sz w:val="13"/>
                <w:szCs w:val="13"/>
                <w:color w:val="auto"/>
              </w:rPr>
              <w:t>Total cost of revenue</w:t>
            </w:r>
          </w:p>
        </w:tc>
        <w:tc>
          <w:tcPr>
            <w:tcW w:w="740" w:type="dxa"/>
            <w:vAlign w:val="bottom"/>
            <w:gridSpan w:val="3"/>
          </w:tcPr>
          <w:p>
            <w:pPr>
              <w:jc w:val="right"/>
              <w:ind w:right="180"/>
              <w:spacing w:after="0"/>
              <w:rPr>
                <w:sz w:val="20"/>
                <w:szCs w:val="20"/>
                <w:color w:val="auto"/>
              </w:rPr>
            </w:pPr>
            <w:r>
              <w:rPr>
                <w:rFonts w:ascii="Arial" w:cs="Arial" w:eastAsia="Arial" w:hAnsi="Arial"/>
                <w:sz w:val="13"/>
                <w:szCs w:val="13"/>
                <w:color w:val="auto"/>
              </w:rPr>
              <w:t>9,869</w:t>
            </w:r>
          </w:p>
        </w:tc>
        <w:tc>
          <w:tcPr>
            <w:tcW w:w="700" w:type="dxa"/>
            <w:vAlign w:val="bottom"/>
            <w:gridSpan w:val="3"/>
          </w:tcPr>
          <w:p>
            <w:pPr>
              <w:jc w:val="right"/>
              <w:ind w:right="180"/>
              <w:spacing w:after="0"/>
              <w:rPr>
                <w:sz w:val="20"/>
                <w:szCs w:val="20"/>
                <w:color w:val="auto"/>
              </w:rPr>
            </w:pPr>
            <w:r>
              <w:rPr>
                <w:rFonts w:ascii="Arial" w:cs="Arial" w:eastAsia="Arial" w:hAnsi="Arial"/>
                <w:sz w:val="13"/>
                <w:szCs w:val="13"/>
                <w:color w:val="auto"/>
              </w:rPr>
              <w:t>9,437</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gridSpan w:val="2"/>
          </w:tcPr>
          <w:p>
            <w:pPr>
              <w:jc w:val="right"/>
              <w:ind w:right="180"/>
              <w:spacing w:after="0"/>
              <w:rPr>
                <w:sz w:val="20"/>
                <w:szCs w:val="20"/>
                <w:color w:val="auto"/>
              </w:rPr>
            </w:pPr>
            <w:r>
              <w:rPr>
                <w:rFonts w:ascii="Arial" w:cs="Arial" w:eastAsia="Arial" w:hAnsi="Arial"/>
                <w:sz w:val="13"/>
                <w:szCs w:val="13"/>
                <w:color w:val="auto"/>
              </w:rPr>
              <w:t>8,314</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gridSpan w:val="2"/>
          </w:tcPr>
          <w:p>
            <w:pPr>
              <w:jc w:val="right"/>
              <w:ind w:right="160"/>
              <w:spacing w:after="0"/>
              <w:rPr>
                <w:sz w:val="20"/>
                <w:szCs w:val="20"/>
                <w:color w:val="auto"/>
              </w:rPr>
            </w:pPr>
            <w:r>
              <w:rPr>
                <w:rFonts w:ascii="Arial" w:cs="Arial" w:eastAsia="Arial" w:hAnsi="Arial"/>
                <w:sz w:val="13"/>
                <w:szCs w:val="13"/>
                <w:color w:val="auto"/>
              </w:rPr>
              <w:t>7,413</w:t>
            </w:r>
          </w:p>
        </w:tc>
        <w:tc>
          <w:tcPr>
            <w:tcW w:w="680" w:type="dxa"/>
            <w:vAlign w:val="bottom"/>
            <w:gridSpan w:val="3"/>
          </w:tcPr>
          <w:p>
            <w:pPr>
              <w:jc w:val="right"/>
              <w:ind w:right="160"/>
              <w:spacing w:after="0"/>
              <w:rPr>
                <w:sz w:val="20"/>
                <w:szCs w:val="20"/>
                <w:color w:val="auto"/>
              </w:rPr>
            </w:pPr>
            <w:r>
              <w:rPr>
                <w:rFonts w:ascii="Arial" w:cs="Arial" w:eastAsia="Arial" w:hAnsi="Arial"/>
                <w:sz w:val="13"/>
                <w:szCs w:val="13"/>
                <w:color w:val="auto"/>
              </w:rPr>
              <w:t>7,306</w:t>
            </w:r>
          </w:p>
        </w:tc>
        <w:tc>
          <w:tcPr>
            <w:tcW w:w="700" w:type="dxa"/>
            <w:vAlign w:val="bottom"/>
            <w:gridSpan w:val="3"/>
          </w:tcPr>
          <w:p>
            <w:pPr>
              <w:jc w:val="right"/>
              <w:ind w:right="160"/>
              <w:spacing w:after="0"/>
              <w:rPr>
                <w:sz w:val="20"/>
                <w:szCs w:val="20"/>
                <w:color w:val="auto"/>
              </w:rPr>
            </w:pPr>
            <w:r>
              <w:rPr>
                <w:rFonts w:ascii="Arial" w:cs="Arial" w:eastAsia="Arial" w:hAnsi="Arial"/>
                <w:sz w:val="13"/>
                <w:szCs w:val="13"/>
                <w:color w:val="auto"/>
              </w:rPr>
              <w:t>7,435</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gridSpan w:val="2"/>
          </w:tcPr>
          <w:p>
            <w:pPr>
              <w:jc w:val="right"/>
              <w:ind w:right="160"/>
              <w:spacing w:after="0"/>
              <w:rPr>
                <w:sz w:val="20"/>
                <w:szCs w:val="20"/>
                <w:color w:val="auto"/>
              </w:rPr>
            </w:pPr>
            <w:r>
              <w:rPr>
                <w:rFonts w:ascii="Arial" w:cs="Arial" w:eastAsia="Arial" w:hAnsi="Arial"/>
                <w:sz w:val="13"/>
                <w:szCs w:val="13"/>
                <w:color w:val="auto"/>
              </w:rPr>
              <w:t>7,437</w:t>
            </w: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40" w:type="dxa"/>
            <w:vAlign w:val="bottom"/>
            <w:tcBorders>
              <w:right w:val="single" w:sz="8" w:color="auto"/>
            </w:tcBorders>
            <w:gridSpan w:val="2"/>
          </w:tcPr>
          <w:p>
            <w:pPr>
              <w:jc w:val="right"/>
              <w:ind w:right="340"/>
              <w:spacing w:after="0"/>
              <w:rPr>
                <w:sz w:val="20"/>
                <w:szCs w:val="20"/>
                <w:color w:val="auto"/>
              </w:rPr>
            </w:pPr>
            <w:r>
              <w:rPr>
                <w:rFonts w:ascii="Arial" w:cs="Arial" w:eastAsia="Arial" w:hAnsi="Arial"/>
                <w:sz w:val="13"/>
                <w:szCs w:val="13"/>
                <w:color w:val="auto"/>
              </w:rPr>
              <w:t>5,845</w:t>
            </w:r>
          </w:p>
        </w:tc>
        <w:tc>
          <w:tcPr>
            <w:tcW w:w="540" w:type="dxa"/>
            <w:vAlign w:val="bottom"/>
            <w:gridSpan w:val="2"/>
          </w:tcPr>
          <w:p>
            <w:pPr>
              <w:jc w:val="right"/>
              <w:spacing w:after="0"/>
              <w:rPr>
                <w:sz w:val="20"/>
                <w:szCs w:val="20"/>
                <w:color w:val="auto"/>
              </w:rPr>
            </w:pPr>
            <w:r>
              <w:rPr>
                <w:rFonts w:ascii="Arial" w:cs="Arial" w:eastAsia="Arial" w:hAnsi="Arial"/>
                <w:sz w:val="13"/>
                <w:szCs w:val="13"/>
                <w:color w:val="auto"/>
              </w:rPr>
              <w:t>532</w:t>
            </w:r>
          </w:p>
        </w:tc>
        <w:tc>
          <w:tcPr>
            <w:tcW w:w="180" w:type="dxa"/>
            <w:vAlign w:val="bottom"/>
          </w:tcPr>
          <w:p>
            <w:pPr>
              <w:spacing w:after="0"/>
              <w:rPr>
                <w:sz w:val="12"/>
                <w:szCs w:val="12"/>
                <w:color w:val="auto"/>
              </w:rPr>
            </w:pPr>
          </w:p>
        </w:tc>
        <w:tc>
          <w:tcPr>
            <w:tcW w:w="500" w:type="dxa"/>
            <w:vAlign w:val="bottom"/>
            <w:gridSpan w:val="2"/>
          </w:tcPr>
          <w:p>
            <w:pPr>
              <w:jc w:val="right"/>
              <w:spacing w:after="0"/>
              <w:rPr>
                <w:sz w:val="20"/>
                <w:szCs w:val="20"/>
                <w:color w:val="auto"/>
              </w:rPr>
            </w:pPr>
            <w:r>
              <w:rPr>
                <w:rFonts w:ascii="Arial" w:cs="Arial" w:eastAsia="Arial" w:hAnsi="Arial"/>
                <w:sz w:val="13"/>
                <w:szCs w:val="13"/>
                <w:color w:val="auto"/>
              </w:rPr>
              <w:t>2,454</w:t>
            </w:r>
          </w:p>
        </w:tc>
        <w:tc>
          <w:tcPr>
            <w:tcW w:w="240" w:type="dxa"/>
            <w:vAlign w:val="bottom"/>
          </w:tcPr>
          <w:p>
            <w:pPr>
              <w:spacing w:after="0"/>
              <w:rPr>
                <w:sz w:val="12"/>
                <w:szCs w:val="12"/>
                <w:color w:val="auto"/>
              </w:rPr>
            </w:pPr>
          </w:p>
        </w:tc>
        <w:tc>
          <w:tcPr>
            <w:tcW w:w="460" w:type="dxa"/>
            <w:vAlign w:val="bottom"/>
          </w:tcPr>
          <w:p>
            <w:pPr>
              <w:jc w:val="right"/>
              <w:spacing w:after="0"/>
              <w:rPr>
                <w:sz w:val="20"/>
                <w:szCs w:val="20"/>
                <w:color w:val="auto"/>
              </w:rPr>
            </w:pPr>
            <w:r>
              <w:rPr>
                <w:rFonts w:ascii="Arial" w:cs="Arial" w:eastAsia="Arial" w:hAnsi="Arial"/>
                <w:sz w:val="13"/>
                <w:szCs w:val="13"/>
                <w:color w:val="auto"/>
              </w:rPr>
              <w:t>2,342</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46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Reported gross profit</w:t>
            </w:r>
          </w:p>
        </w:tc>
        <w:tc>
          <w:tcPr>
            <w:tcW w:w="740" w:type="dxa"/>
            <w:vAlign w:val="bottom"/>
            <w:gridSpan w:val="3"/>
            <w:shd w:val="clear" w:color="auto" w:fill="CCEEFF"/>
          </w:tcPr>
          <w:p>
            <w:pPr>
              <w:jc w:val="right"/>
              <w:ind w:right="180"/>
              <w:spacing w:after="0"/>
              <w:rPr>
                <w:sz w:val="20"/>
                <w:szCs w:val="20"/>
                <w:color w:val="auto"/>
              </w:rPr>
            </w:pPr>
            <w:r>
              <w:rPr>
                <w:rFonts w:ascii="Arial" w:cs="Arial" w:eastAsia="Arial" w:hAnsi="Arial"/>
                <w:sz w:val="13"/>
                <w:szCs w:val="13"/>
                <w:color w:val="auto"/>
              </w:rPr>
              <w:t>$29,952</w:t>
            </w:r>
          </w:p>
        </w:tc>
        <w:tc>
          <w:tcPr>
            <w:tcW w:w="700" w:type="dxa"/>
            <w:vAlign w:val="bottom"/>
            <w:gridSpan w:val="3"/>
            <w:shd w:val="clear" w:color="auto" w:fill="CCEEFF"/>
          </w:tcPr>
          <w:p>
            <w:pPr>
              <w:jc w:val="right"/>
              <w:ind w:right="180"/>
              <w:spacing w:after="0"/>
              <w:rPr>
                <w:sz w:val="20"/>
                <w:szCs w:val="20"/>
                <w:color w:val="auto"/>
              </w:rPr>
            </w:pPr>
            <w:r>
              <w:rPr>
                <w:rFonts w:ascii="Arial" w:cs="Arial" w:eastAsia="Arial" w:hAnsi="Arial"/>
                <w:sz w:val="13"/>
                <w:szCs w:val="13"/>
                <w:color w:val="auto"/>
                <w:w w:val="98"/>
              </w:rPr>
              <w:t>$ 27,499</w:t>
            </w: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70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25,344</w:t>
            </w:r>
          </w:p>
        </w:tc>
        <w:tc>
          <w:tcPr>
            <w:tcW w:w="160" w:type="dxa"/>
            <w:vAlign w:val="bottom"/>
            <w:gridSpan w:val="2"/>
            <w:shd w:val="clear" w:color="auto" w:fill="CCEEFF"/>
          </w:tcPr>
          <w:p>
            <w:pPr>
              <w:ind w:left="60"/>
              <w:spacing w:after="0"/>
              <w:rPr>
                <w:sz w:val="20"/>
                <w:szCs w:val="20"/>
                <w:color w:val="auto"/>
              </w:rPr>
            </w:pPr>
            <w:r>
              <w:rPr>
                <w:rFonts w:ascii="Arial" w:cs="Arial" w:eastAsia="Arial" w:hAnsi="Arial"/>
                <w:sz w:val="13"/>
                <w:szCs w:val="13"/>
                <w:color w:val="auto"/>
              </w:rPr>
              <w:t>$</w:t>
            </w: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22,660</w:t>
            </w:r>
          </w:p>
        </w:tc>
        <w:tc>
          <w:tcPr>
            <w:tcW w:w="680" w:type="dxa"/>
            <w:vAlign w:val="bottom"/>
            <w:gridSpan w:val="3"/>
            <w:shd w:val="clear" w:color="auto" w:fill="CCEEFF"/>
          </w:tcPr>
          <w:p>
            <w:pPr>
              <w:jc w:val="right"/>
              <w:ind w:right="160"/>
              <w:spacing w:after="0"/>
              <w:rPr>
                <w:sz w:val="20"/>
                <w:szCs w:val="20"/>
                <w:color w:val="auto"/>
              </w:rPr>
            </w:pPr>
            <w:r>
              <w:rPr>
                <w:rFonts w:ascii="Arial" w:cs="Arial" w:eastAsia="Arial" w:hAnsi="Arial"/>
                <w:sz w:val="13"/>
                <w:szCs w:val="13"/>
                <w:color w:val="auto"/>
              </w:rPr>
              <w:t>$20,939</w:t>
            </w:r>
          </w:p>
        </w:tc>
        <w:tc>
          <w:tcPr>
            <w:tcW w:w="700" w:type="dxa"/>
            <w:vAlign w:val="bottom"/>
            <w:gridSpan w:val="3"/>
            <w:shd w:val="clear" w:color="auto" w:fill="CCEEFF"/>
          </w:tcPr>
          <w:p>
            <w:pPr>
              <w:jc w:val="right"/>
              <w:ind w:right="160"/>
              <w:spacing w:after="0"/>
              <w:rPr>
                <w:sz w:val="20"/>
                <w:szCs w:val="20"/>
                <w:color w:val="auto"/>
              </w:rPr>
            </w:pPr>
            <w:r>
              <w:rPr>
                <w:rFonts w:ascii="Arial" w:cs="Arial" w:eastAsia="Arial" w:hAnsi="Arial"/>
                <w:sz w:val="13"/>
                <w:szCs w:val="13"/>
                <w:color w:val="auto"/>
              </w:rPr>
              <w:t>$ 18,906</w:t>
            </w:r>
          </w:p>
        </w:tc>
        <w:tc>
          <w:tcPr>
            <w:tcW w:w="160" w:type="dxa"/>
            <w:vAlign w:val="bottom"/>
            <w:gridSpan w:val="2"/>
            <w:shd w:val="clear" w:color="auto" w:fill="CCEEFF"/>
          </w:tcPr>
          <w:p>
            <w:pPr>
              <w:ind w:left="60"/>
              <w:spacing w:after="0"/>
              <w:rPr>
                <w:sz w:val="20"/>
                <w:szCs w:val="20"/>
                <w:color w:val="auto"/>
              </w:rPr>
            </w:pPr>
            <w:r>
              <w:rPr>
                <w:rFonts w:ascii="Arial" w:cs="Arial" w:eastAsia="Arial" w:hAnsi="Arial"/>
                <w:sz w:val="13"/>
                <w:szCs w:val="13"/>
                <w:color w:val="auto"/>
              </w:rPr>
              <w:t>$</w:t>
            </w: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15,796</w:t>
            </w:r>
          </w:p>
        </w:tc>
        <w:tc>
          <w:tcPr>
            <w:tcW w:w="220" w:type="dxa"/>
            <w:vAlign w:val="bottom"/>
            <w:gridSpan w:val="2"/>
            <w:shd w:val="clear" w:color="auto" w:fill="CCEEFF"/>
          </w:tcPr>
          <w:p>
            <w:pPr>
              <w:ind w:left="60"/>
              <w:spacing w:after="0"/>
              <w:rPr>
                <w:sz w:val="20"/>
                <w:szCs w:val="20"/>
                <w:color w:val="auto"/>
              </w:rPr>
            </w:pPr>
            <w:r>
              <w:rPr>
                <w:rFonts w:ascii="Arial" w:cs="Arial" w:eastAsia="Arial" w:hAnsi="Arial"/>
                <w:sz w:val="13"/>
                <w:szCs w:val="13"/>
                <w:color w:val="auto"/>
              </w:rPr>
              <w:t>$</w:t>
            </w:r>
          </w:p>
        </w:tc>
        <w:tc>
          <w:tcPr>
            <w:tcW w:w="840" w:type="dxa"/>
            <w:vAlign w:val="bottom"/>
            <w:tcBorders>
              <w:right w:val="single" w:sz="8" w:color="auto"/>
            </w:tcBorders>
            <w:gridSpan w:val="2"/>
            <w:shd w:val="clear" w:color="auto" w:fill="CCEEFF"/>
          </w:tcPr>
          <w:p>
            <w:pPr>
              <w:jc w:val="right"/>
              <w:ind w:right="340"/>
              <w:spacing w:after="0"/>
              <w:rPr>
                <w:sz w:val="20"/>
                <w:szCs w:val="20"/>
                <w:color w:val="auto"/>
              </w:rPr>
            </w:pPr>
            <w:r>
              <w:rPr>
                <w:rFonts w:ascii="Arial" w:cs="Arial" w:eastAsia="Arial" w:hAnsi="Arial"/>
                <w:sz w:val="13"/>
                <w:szCs w:val="13"/>
                <w:color w:val="auto"/>
              </w:rPr>
              <w:t>10,967</w:t>
            </w:r>
          </w:p>
        </w:tc>
        <w:tc>
          <w:tcPr>
            <w:tcW w:w="54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$3,297</w:t>
            </w:r>
          </w:p>
        </w:tc>
        <w:tc>
          <w:tcPr>
            <w:tcW w:w="180" w:type="dxa"/>
            <w:vAlign w:val="bottom"/>
            <w:shd w:val="clear" w:color="auto" w:fill="CCEEFF"/>
          </w:tcPr>
          <w:p>
            <w:pPr>
              <w:spacing w:after="0"/>
              <w:rPr>
                <w:sz w:val="12"/>
                <w:szCs w:val="12"/>
                <w:color w:val="auto"/>
              </w:rPr>
            </w:pP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$20,177</w:t>
            </w:r>
          </w:p>
        </w:tc>
        <w:tc>
          <w:tcPr>
            <w:tcW w:w="240" w:type="dxa"/>
            <w:vAlign w:val="bottom"/>
            <w:shd w:val="clear" w:color="auto" w:fill="CCEEFF"/>
          </w:tcPr>
          <w:p>
            <w:pPr>
              <w:spacing w:after="0"/>
              <w:rPr>
                <w:sz w:val="12"/>
                <w:szCs w:val="12"/>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6"/>
              </w:rPr>
              <w:t>$ 16,656</w:t>
            </w: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2460" w:type="dxa"/>
            <w:vAlign w:val="bottom"/>
            <w:gridSpan w:val="2"/>
          </w:tcPr>
          <w:p>
            <w:pPr>
              <w:spacing w:after="0" w:line="138" w:lineRule="exact"/>
              <w:rPr>
                <w:sz w:val="20"/>
                <w:szCs w:val="20"/>
                <w:color w:val="auto"/>
              </w:rPr>
            </w:pPr>
            <w:r>
              <w:rPr>
                <w:rFonts w:ascii="Arial" w:cs="Arial" w:eastAsia="Arial" w:hAnsi="Arial"/>
                <w:sz w:val="13"/>
                <w:szCs w:val="13"/>
                <w:color w:val="auto"/>
              </w:rPr>
              <w:t>Amortization of intangible assets, resulting</w:t>
            </w:r>
          </w:p>
        </w:tc>
        <w:tc>
          <w:tcPr>
            <w:tcW w:w="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40" w:type="dxa"/>
            <w:vAlign w:val="bottom"/>
            <w:tcBorders>
              <w:right w:val="single" w:sz="8" w:color="auto"/>
            </w:tcBorders>
          </w:tcPr>
          <w:p>
            <w:pPr>
              <w:spacing w:after="0"/>
              <w:rPr>
                <w:sz w:val="11"/>
                <w:szCs w:val="11"/>
                <w:color w:val="auto"/>
              </w:rPr>
            </w:pPr>
          </w:p>
        </w:tc>
        <w:tc>
          <w:tcPr>
            <w:tcW w:w="1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460" w:type="dxa"/>
            <w:vAlign w:val="bottom"/>
            <w:gridSpan w:val="2"/>
          </w:tcPr>
          <w:p>
            <w:pPr>
              <w:ind w:left="140"/>
              <w:spacing w:after="0"/>
              <w:rPr>
                <w:sz w:val="20"/>
                <w:szCs w:val="20"/>
                <w:color w:val="auto"/>
              </w:rPr>
            </w:pPr>
            <w:r>
              <w:rPr>
                <w:rFonts w:ascii="Arial" w:cs="Arial" w:eastAsia="Arial" w:hAnsi="Arial"/>
                <w:sz w:val="13"/>
                <w:szCs w:val="13"/>
                <w:color w:val="auto"/>
                <w:w w:val="97"/>
              </w:rPr>
              <w:t>from purchase accounting adjustments</w:t>
            </w:r>
            <w:r>
              <w:rPr>
                <w:rFonts w:ascii="Arial" w:cs="Arial" w:eastAsia="Arial" w:hAnsi="Arial"/>
                <w:sz w:val="11"/>
                <w:szCs w:val="11"/>
                <w:color w:val="auto"/>
                <w:w w:val="97"/>
              </w:rPr>
              <w:t>(1)</w:t>
            </w:r>
          </w:p>
        </w:tc>
        <w:tc>
          <w:tcPr>
            <w:tcW w:w="740" w:type="dxa"/>
            <w:vAlign w:val="bottom"/>
            <w:gridSpan w:val="3"/>
          </w:tcPr>
          <w:p>
            <w:pPr>
              <w:jc w:val="right"/>
              <w:ind w:right="180"/>
              <w:spacing w:after="0"/>
              <w:rPr>
                <w:sz w:val="20"/>
                <w:szCs w:val="20"/>
                <w:color w:val="auto"/>
              </w:rPr>
            </w:pPr>
            <w:r>
              <w:rPr>
                <w:rFonts w:ascii="Arial" w:cs="Arial" w:eastAsia="Arial" w:hAnsi="Arial"/>
                <w:sz w:val="13"/>
                <w:szCs w:val="13"/>
                <w:color w:val="auto"/>
              </w:rPr>
              <w:t>5,042</w:t>
            </w:r>
          </w:p>
        </w:tc>
        <w:tc>
          <w:tcPr>
            <w:tcW w:w="700" w:type="dxa"/>
            <w:vAlign w:val="bottom"/>
            <w:gridSpan w:val="3"/>
          </w:tcPr>
          <w:p>
            <w:pPr>
              <w:jc w:val="right"/>
              <w:ind w:right="180"/>
              <w:spacing w:after="0"/>
              <w:rPr>
                <w:sz w:val="20"/>
                <w:szCs w:val="20"/>
                <w:color w:val="auto"/>
              </w:rPr>
            </w:pPr>
            <w:r>
              <w:rPr>
                <w:rFonts w:ascii="Arial" w:cs="Arial" w:eastAsia="Arial" w:hAnsi="Arial"/>
                <w:sz w:val="13"/>
                <w:szCs w:val="13"/>
                <w:color w:val="auto"/>
              </w:rPr>
              <w:t>4,987</w:t>
            </w: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00" w:type="dxa"/>
            <w:vAlign w:val="bottom"/>
            <w:gridSpan w:val="2"/>
          </w:tcPr>
          <w:p>
            <w:pPr>
              <w:jc w:val="right"/>
              <w:ind w:right="180"/>
              <w:spacing w:after="0"/>
              <w:rPr>
                <w:sz w:val="20"/>
                <w:szCs w:val="20"/>
                <w:color w:val="auto"/>
              </w:rPr>
            </w:pPr>
            <w:r>
              <w:rPr>
                <w:rFonts w:ascii="Arial" w:cs="Arial" w:eastAsia="Arial" w:hAnsi="Arial"/>
                <w:sz w:val="13"/>
                <w:szCs w:val="13"/>
                <w:color w:val="auto"/>
              </w:rPr>
              <w:t>4,994</w:t>
            </w: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20" w:type="dxa"/>
            <w:vAlign w:val="bottom"/>
            <w:gridSpan w:val="2"/>
          </w:tcPr>
          <w:p>
            <w:pPr>
              <w:jc w:val="right"/>
              <w:ind w:right="160"/>
              <w:spacing w:after="0"/>
              <w:rPr>
                <w:sz w:val="20"/>
                <w:szCs w:val="20"/>
                <w:color w:val="auto"/>
              </w:rPr>
            </w:pPr>
            <w:r>
              <w:rPr>
                <w:rFonts w:ascii="Arial" w:cs="Arial" w:eastAsia="Arial" w:hAnsi="Arial"/>
                <w:sz w:val="13"/>
                <w:szCs w:val="13"/>
                <w:color w:val="auto"/>
              </w:rPr>
              <w:t>4,759</w:t>
            </w:r>
          </w:p>
        </w:tc>
        <w:tc>
          <w:tcPr>
            <w:tcW w:w="680" w:type="dxa"/>
            <w:vAlign w:val="bottom"/>
            <w:gridSpan w:val="3"/>
          </w:tcPr>
          <w:p>
            <w:pPr>
              <w:jc w:val="right"/>
              <w:ind w:right="160"/>
              <w:spacing w:after="0"/>
              <w:rPr>
                <w:sz w:val="20"/>
                <w:szCs w:val="20"/>
                <w:color w:val="auto"/>
              </w:rPr>
            </w:pPr>
            <w:r>
              <w:rPr>
                <w:rFonts w:ascii="Arial" w:cs="Arial" w:eastAsia="Arial" w:hAnsi="Arial"/>
                <w:sz w:val="13"/>
                <w:szCs w:val="13"/>
                <w:color w:val="auto"/>
              </w:rPr>
              <w:t>4,708</w:t>
            </w:r>
          </w:p>
        </w:tc>
        <w:tc>
          <w:tcPr>
            <w:tcW w:w="700" w:type="dxa"/>
            <w:vAlign w:val="bottom"/>
            <w:gridSpan w:val="3"/>
          </w:tcPr>
          <w:p>
            <w:pPr>
              <w:jc w:val="right"/>
              <w:ind w:right="160"/>
              <w:spacing w:after="0"/>
              <w:rPr>
                <w:sz w:val="20"/>
                <w:szCs w:val="20"/>
                <w:color w:val="auto"/>
              </w:rPr>
            </w:pPr>
            <w:r>
              <w:rPr>
                <w:rFonts w:ascii="Arial" w:cs="Arial" w:eastAsia="Arial" w:hAnsi="Arial"/>
                <w:sz w:val="13"/>
                <w:szCs w:val="13"/>
                <w:color w:val="auto"/>
              </w:rPr>
              <w:t>4,708</w:t>
            </w: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00" w:type="dxa"/>
            <w:vAlign w:val="bottom"/>
            <w:gridSpan w:val="2"/>
          </w:tcPr>
          <w:p>
            <w:pPr>
              <w:jc w:val="right"/>
              <w:ind w:right="160"/>
              <w:spacing w:after="0"/>
              <w:rPr>
                <w:sz w:val="20"/>
                <w:szCs w:val="20"/>
                <w:color w:val="auto"/>
              </w:rPr>
            </w:pPr>
            <w:r>
              <w:rPr>
                <w:rFonts w:ascii="Arial" w:cs="Arial" w:eastAsia="Arial" w:hAnsi="Arial"/>
                <w:sz w:val="13"/>
                <w:szCs w:val="13"/>
                <w:color w:val="auto"/>
              </w:rPr>
              <w:t>4,696</w:t>
            </w:r>
          </w:p>
        </w:tc>
        <w:tc>
          <w:tcPr>
            <w:tcW w:w="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40" w:type="dxa"/>
            <w:vAlign w:val="bottom"/>
            <w:tcBorders>
              <w:right w:val="single" w:sz="8" w:color="auto"/>
            </w:tcBorders>
            <w:gridSpan w:val="2"/>
          </w:tcPr>
          <w:p>
            <w:pPr>
              <w:jc w:val="right"/>
              <w:ind w:right="340"/>
              <w:spacing w:after="0"/>
              <w:rPr>
                <w:sz w:val="20"/>
                <w:szCs w:val="20"/>
                <w:color w:val="auto"/>
              </w:rPr>
            </w:pPr>
            <w:r>
              <w:rPr>
                <w:rFonts w:ascii="Arial" w:cs="Arial" w:eastAsia="Arial" w:hAnsi="Arial"/>
                <w:sz w:val="13"/>
                <w:szCs w:val="13"/>
                <w:color w:val="auto"/>
              </w:rPr>
              <w:t>3,906</w:t>
            </w:r>
          </w:p>
        </w:tc>
        <w:tc>
          <w:tcPr>
            <w:tcW w:w="540" w:type="dxa"/>
            <w:vAlign w:val="bottom"/>
            <w:gridSpan w:val="2"/>
          </w:tcPr>
          <w:p>
            <w:pPr>
              <w:jc w:val="right"/>
              <w:spacing w:after="0"/>
              <w:rPr>
                <w:sz w:val="20"/>
                <w:szCs w:val="20"/>
                <w:color w:val="auto"/>
              </w:rPr>
            </w:pPr>
            <w:r>
              <w:rPr>
                <w:rFonts w:ascii="Arial" w:cs="Arial" w:eastAsia="Arial" w:hAnsi="Arial"/>
                <w:sz w:val="13"/>
                <w:szCs w:val="13"/>
                <w:color w:val="auto"/>
              </w:rPr>
              <w:t>41</w:t>
            </w:r>
          </w:p>
        </w:tc>
        <w:tc>
          <w:tcPr>
            <w:tcW w:w="180" w:type="dxa"/>
            <w:vAlign w:val="bottom"/>
          </w:tcPr>
          <w:p>
            <w:pPr>
              <w:spacing w:after="0"/>
              <w:rPr>
                <w:sz w:val="13"/>
                <w:szCs w:val="13"/>
                <w:color w:val="auto"/>
              </w:rPr>
            </w:pPr>
          </w:p>
        </w:tc>
        <w:tc>
          <w:tcPr>
            <w:tcW w:w="500" w:type="dxa"/>
            <w:vAlign w:val="bottom"/>
            <w:gridSpan w:val="2"/>
          </w:tcPr>
          <w:p>
            <w:pPr>
              <w:jc w:val="right"/>
              <w:spacing w:after="0"/>
              <w:rPr>
                <w:sz w:val="20"/>
                <w:szCs w:val="20"/>
                <w:color w:val="auto"/>
              </w:rPr>
            </w:pPr>
            <w:r>
              <w:rPr>
                <w:rFonts w:ascii="Arial" w:cs="Arial" w:eastAsia="Arial" w:hAnsi="Arial"/>
                <w:sz w:val="13"/>
                <w:szCs w:val="13"/>
                <w:color w:val="auto"/>
              </w:rPr>
              <w:t>249</w:t>
            </w:r>
          </w:p>
        </w:tc>
        <w:tc>
          <w:tcPr>
            <w:tcW w:w="240" w:type="dxa"/>
            <w:vAlign w:val="bottom"/>
          </w:tcPr>
          <w:p>
            <w:pPr>
              <w:spacing w:after="0"/>
              <w:rPr>
                <w:sz w:val="13"/>
                <w:szCs w:val="13"/>
                <w:color w:val="auto"/>
              </w:rPr>
            </w:pPr>
          </w:p>
        </w:tc>
        <w:tc>
          <w:tcPr>
            <w:tcW w:w="460" w:type="dxa"/>
            <w:vAlign w:val="bottom"/>
          </w:tcPr>
          <w:p>
            <w:pPr>
              <w:jc w:val="right"/>
              <w:spacing w:after="0"/>
              <w:rPr>
                <w:sz w:val="20"/>
                <w:szCs w:val="20"/>
                <w:color w:val="auto"/>
              </w:rPr>
            </w:pPr>
            <w:r>
              <w:rPr>
                <w:rFonts w:ascii="Arial" w:cs="Arial" w:eastAsia="Arial" w:hAnsi="Arial"/>
                <w:sz w:val="13"/>
                <w:szCs w:val="13"/>
                <w:color w:val="auto"/>
              </w:rPr>
              <w:t>208</w:t>
            </w:r>
          </w:p>
        </w:tc>
        <w:tc>
          <w:tcPr>
            <w:tcW w:w="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246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Equity compensation costs</w:t>
            </w:r>
          </w:p>
        </w:tc>
        <w:tc>
          <w:tcPr>
            <w:tcW w:w="12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16</w:t>
            </w:r>
          </w:p>
        </w:tc>
        <w:tc>
          <w:tcPr>
            <w:tcW w:w="700" w:type="dxa"/>
            <w:vAlign w:val="bottom"/>
            <w:gridSpan w:val="3"/>
            <w:shd w:val="clear" w:color="auto" w:fill="CCEEFF"/>
          </w:tcPr>
          <w:p>
            <w:pPr>
              <w:jc w:val="right"/>
              <w:ind w:right="180"/>
              <w:spacing w:after="0"/>
              <w:rPr>
                <w:sz w:val="20"/>
                <w:szCs w:val="20"/>
                <w:color w:val="auto"/>
              </w:rPr>
            </w:pPr>
            <w:r>
              <w:rPr>
                <w:rFonts w:ascii="Arial" w:cs="Arial" w:eastAsia="Arial" w:hAnsi="Arial"/>
                <w:sz w:val="13"/>
                <w:szCs w:val="13"/>
                <w:color w:val="auto"/>
              </w:rPr>
              <w:t>15</w:t>
            </w: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16</w:t>
            </w: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16</w:t>
            </w:r>
          </w:p>
        </w:tc>
        <w:tc>
          <w:tcPr>
            <w:tcW w:w="680" w:type="dxa"/>
            <w:vAlign w:val="bottom"/>
            <w:gridSpan w:val="3"/>
            <w:shd w:val="clear" w:color="auto" w:fill="CCEEFF"/>
          </w:tcPr>
          <w:p>
            <w:pPr>
              <w:jc w:val="right"/>
              <w:ind w:right="160"/>
              <w:spacing w:after="0"/>
              <w:rPr>
                <w:sz w:val="20"/>
                <w:szCs w:val="20"/>
                <w:color w:val="auto"/>
              </w:rPr>
            </w:pPr>
            <w:r>
              <w:rPr>
                <w:rFonts w:ascii="Arial" w:cs="Arial" w:eastAsia="Arial" w:hAnsi="Arial"/>
                <w:sz w:val="13"/>
                <w:szCs w:val="13"/>
                <w:color w:val="auto"/>
              </w:rPr>
              <w:t>15</w:t>
            </w:r>
          </w:p>
        </w:tc>
        <w:tc>
          <w:tcPr>
            <w:tcW w:w="700" w:type="dxa"/>
            <w:vAlign w:val="bottom"/>
            <w:gridSpan w:val="3"/>
            <w:shd w:val="clear" w:color="auto" w:fill="CCEEFF"/>
          </w:tcPr>
          <w:p>
            <w:pPr>
              <w:jc w:val="right"/>
              <w:ind w:right="160"/>
              <w:spacing w:after="0"/>
              <w:rPr>
                <w:sz w:val="20"/>
                <w:szCs w:val="20"/>
                <w:color w:val="auto"/>
              </w:rPr>
            </w:pPr>
            <w:r>
              <w:rPr>
                <w:rFonts w:ascii="Arial" w:cs="Arial" w:eastAsia="Arial" w:hAnsi="Arial"/>
                <w:sz w:val="13"/>
                <w:szCs w:val="13"/>
                <w:color w:val="auto"/>
              </w:rPr>
              <w:t>15</w:t>
            </w: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15</w:t>
            </w:r>
          </w:p>
        </w:tc>
        <w:tc>
          <w:tcPr>
            <w:tcW w:w="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40" w:type="dxa"/>
            <w:vAlign w:val="bottom"/>
            <w:tcBorders>
              <w:right w:val="single" w:sz="8" w:color="auto"/>
            </w:tcBorders>
            <w:gridSpan w:val="2"/>
            <w:shd w:val="clear" w:color="auto" w:fill="CCEEFF"/>
          </w:tcPr>
          <w:p>
            <w:pPr>
              <w:jc w:val="right"/>
              <w:ind w:right="340"/>
              <w:spacing w:after="0"/>
              <w:rPr>
                <w:sz w:val="20"/>
                <w:szCs w:val="20"/>
                <w:color w:val="auto"/>
              </w:rPr>
            </w:pPr>
            <w:r>
              <w:rPr>
                <w:rFonts w:ascii="Arial" w:cs="Arial" w:eastAsia="Arial" w:hAnsi="Arial"/>
                <w:sz w:val="13"/>
                <w:szCs w:val="13"/>
                <w:color w:val="auto"/>
              </w:rPr>
              <w:t>13</w:t>
            </w:r>
          </w:p>
        </w:tc>
        <w:tc>
          <w:tcPr>
            <w:tcW w:w="54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107</w:t>
            </w:r>
          </w:p>
        </w:tc>
        <w:tc>
          <w:tcPr>
            <w:tcW w:w="180" w:type="dxa"/>
            <w:vAlign w:val="bottom"/>
            <w:shd w:val="clear" w:color="auto" w:fill="CCEEFF"/>
          </w:tcPr>
          <w:p>
            <w:pPr>
              <w:spacing w:after="0"/>
              <w:rPr>
                <w:sz w:val="12"/>
                <w:szCs w:val="12"/>
                <w:color w:val="auto"/>
              </w:rPr>
            </w:pP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75</w:t>
            </w:r>
          </w:p>
        </w:tc>
        <w:tc>
          <w:tcPr>
            <w:tcW w:w="240" w:type="dxa"/>
            <w:vAlign w:val="bottom"/>
            <w:shd w:val="clear" w:color="auto" w:fill="CCEEFF"/>
          </w:tcPr>
          <w:p>
            <w:pPr>
              <w:spacing w:after="0"/>
              <w:rPr>
                <w:sz w:val="12"/>
                <w:szCs w:val="12"/>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74</w:t>
            </w: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460" w:type="dxa"/>
            <w:vAlign w:val="bottom"/>
            <w:gridSpan w:val="2"/>
            <w:vMerge w:val="restart"/>
          </w:tcPr>
          <w:p>
            <w:pPr>
              <w:spacing w:after="0"/>
              <w:rPr>
                <w:sz w:val="20"/>
                <w:szCs w:val="20"/>
                <w:color w:val="auto"/>
              </w:rPr>
            </w:pPr>
            <w:r>
              <w:rPr>
                <w:rFonts w:ascii="Arial" w:cs="Arial" w:eastAsia="Arial" w:hAnsi="Arial"/>
                <w:sz w:val="13"/>
                <w:szCs w:val="13"/>
                <w:color w:val="auto"/>
              </w:rPr>
              <w:t>Adjusted Gross Profit</w:t>
            </w:r>
          </w:p>
        </w:tc>
        <w:tc>
          <w:tcPr>
            <w:tcW w:w="12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340" w:type="dxa"/>
            <w:vAlign w:val="bottom"/>
            <w:tcBorders>
              <w:right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5"/>
        </w:trPr>
        <w:tc>
          <w:tcPr>
            <w:tcW w:w="2460" w:type="dxa"/>
            <w:vAlign w:val="bottom"/>
            <w:gridSpan w:val="2"/>
            <w:vMerge w:val="continue"/>
          </w:tcPr>
          <w:p>
            <w:pPr>
              <w:spacing w:after="0"/>
              <w:rPr>
                <w:sz w:val="13"/>
                <w:szCs w:val="13"/>
                <w:color w:val="auto"/>
              </w:rPr>
            </w:pPr>
          </w:p>
        </w:tc>
        <w:tc>
          <w:tcPr>
            <w:tcW w:w="740" w:type="dxa"/>
            <w:vAlign w:val="bottom"/>
            <w:gridSpan w:val="3"/>
          </w:tcPr>
          <w:p>
            <w:pPr>
              <w:jc w:val="right"/>
              <w:ind w:right="180"/>
              <w:spacing w:after="0"/>
              <w:rPr>
                <w:sz w:val="20"/>
                <w:szCs w:val="20"/>
                <w:color w:val="auto"/>
              </w:rPr>
            </w:pPr>
            <w:r>
              <w:rPr>
                <w:rFonts w:ascii="Arial" w:cs="Arial" w:eastAsia="Arial" w:hAnsi="Arial"/>
                <w:sz w:val="13"/>
                <w:szCs w:val="13"/>
                <w:color w:val="auto"/>
              </w:rPr>
              <w:t>$35,010</w:t>
            </w:r>
          </w:p>
        </w:tc>
        <w:tc>
          <w:tcPr>
            <w:tcW w:w="700" w:type="dxa"/>
            <w:vAlign w:val="bottom"/>
            <w:gridSpan w:val="3"/>
          </w:tcPr>
          <w:p>
            <w:pPr>
              <w:jc w:val="right"/>
              <w:ind w:right="180"/>
              <w:spacing w:after="0"/>
              <w:rPr>
                <w:sz w:val="20"/>
                <w:szCs w:val="20"/>
                <w:color w:val="auto"/>
              </w:rPr>
            </w:pPr>
            <w:r>
              <w:rPr>
                <w:rFonts w:ascii="Arial" w:cs="Arial" w:eastAsia="Arial" w:hAnsi="Arial"/>
                <w:sz w:val="13"/>
                <w:szCs w:val="13"/>
                <w:color w:val="auto"/>
                <w:w w:val="98"/>
              </w:rPr>
              <w:t>$ 32,501</w:t>
            </w:r>
          </w:p>
        </w:tc>
        <w:tc>
          <w:tcPr>
            <w:tcW w:w="16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700" w:type="dxa"/>
            <w:vAlign w:val="bottom"/>
            <w:gridSpan w:val="2"/>
          </w:tcPr>
          <w:p>
            <w:pPr>
              <w:jc w:val="right"/>
              <w:ind w:right="180"/>
              <w:spacing w:after="0"/>
              <w:rPr>
                <w:sz w:val="20"/>
                <w:szCs w:val="20"/>
                <w:color w:val="auto"/>
              </w:rPr>
            </w:pPr>
            <w:r>
              <w:rPr>
                <w:rFonts w:ascii="Arial" w:cs="Arial" w:eastAsia="Arial" w:hAnsi="Arial"/>
                <w:sz w:val="13"/>
                <w:szCs w:val="13"/>
                <w:color w:val="auto"/>
              </w:rPr>
              <w:t>30,354</w:t>
            </w:r>
          </w:p>
        </w:tc>
        <w:tc>
          <w:tcPr>
            <w:tcW w:w="160" w:type="dxa"/>
            <w:vAlign w:val="bottom"/>
            <w:gridSpan w:val="2"/>
          </w:tcPr>
          <w:p>
            <w:pPr>
              <w:ind w:left="60"/>
              <w:spacing w:after="0"/>
              <w:rPr>
                <w:sz w:val="20"/>
                <w:szCs w:val="20"/>
                <w:color w:val="auto"/>
              </w:rPr>
            </w:pPr>
            <w:r>
              <w:rPr>
                <w:rFonts w:ascii="Arial" w:cs="Arial" w:eastAsia="Arial" w:hAnsi="Arial"/>
                <w:sz w:val="13"/>
                <w:szCs w:val="13"/>
                <w:color w:val="auto"/>
              </w:rPr>
              <w:t>$</w:t>
            </w:r>
          </w:p>
        </w:tc>
        <w:tc>
          <w:tcPr>
            <w:tcW w:w="720" w:type="dxa"/>
            <w:vAlign w:val="bottom"/>
            <w:gridSpan w:val="2"/>
          </w:tcPr>
          <w:p>
            <w:pPr>
              <w:jc w:val="right"/>
              <w:ind w:right="160"/>
              <w:spacing w:after="0"/>
              <w:rPr>
                <w:sz w:val="20"/>
                <w:szCs w:val="20"/>
                <w:color w:val="auto"/>
              </w:rPr>
            </w:pPr>
            <w:r>
              <w:rPr>
                <w:rFonts w:ascii="Arial" w:cs="Arial" w:eastAsia="Arial" w:hAnsi="Arial"/>
                <w:sz w:val="13"/>
                <w:szCs w:val="13"/>
                <w:color w:val="auto"/>
              </w:rPr>
              <w:t>27,435</w:t>
            </w:r>
          </w:p>
        </w:tc>
        <w:tc>
          <w:tcPr>
            <w:tcW w:w="680" w:type="dxa"/>
            <w:vAlign w:val="bottom"/>
            <w:gridSpan w:val="3"/>
          </w:tcPr>
          <w:p>
            <w:pPr>
              <w:jc w:val="right"/>
              <w:ind w:right="160"/>
              <w:spacing w:after="0"/>
              <w:rPr>
                <w:sz w:val="20"/>
                <w:szCs w:val="20"/>
                <w:color w:val="auto"/>
              </w:rPr>
            </w:pPr>
            <w:r>
              <w:rPr>
                <w:rFonts w:ascii="Arial" w:cs="Arial" w:eastAsia="Arial" w:hAnsi="Arial"/>
                <w:sz w:val="13"/>
                <w:szCs w:val="13"/>
                <w:color w:val="auto"/>
              </w:rPr>
              <w:t>$25,662</w:t>
            </w:r>
          </w:p>
        </w:tc>
        <w:tc>
          <w:tcPr>
            <w:tcW w:w="700" w:type="dxa"/>
            <w:vAlign w:val="bottom"/>
            <w:gridSpan w:val="3"/>
          </w:tcPr>
          <w:p>
            <w:pPr>
              <w:jc w:val="right"/>
              <w:ind w:right="160"/>
              <w:spacing w:after="0"/>
              <w:rPr>
                <w:sz w:val="20"/>
                <w:szCs w:val="20"/>
                <w:color w:val="auto"/>
              </w:rPr>
            </w:pPr>
            <w:r>
              <w:rPr>
                <w:rFonts w:ascii="Arial" w:cs="Arial" w:eastAsia="Arial" w:hAnsi="Arial"/>
                <w:sz w:val="13"/>
                <w:szCs w:val="13"/>
                <w:color w:val="auto"/>
              </w:rPr>
              <w:t>$ 23,629</w:t>
            </w:r>
          </w:p>
        </w:tc>
        <w:tc>
          <w:tcPr>
            <w:tcW w:w="160" w:type="dxa"/>
            <w:vAlign w:val="bottom"/>
            <w:gridSpan w:val="2"/>
          </w:tcPr>
          <w:p>
            <w:pPr>
              <w:ind w:left="60"/>
              <w:spacing w:after="0"/>
              <w:rPr>
                <w:sz w:val="20"/>
                <w:szCs w:val="20"/>
                <w:color w:val="auto"/>
              </w:rPr>
            </w:pPr>
            <w:r>
              <w:rPr>
                <w:rFonts w:ascii="Arial" w:cs="Arial" w:eastAsia="Arial" w:hAnsi="Arial"/>
                <w:sz w:val="13"/>
                <w:szCs w:val="13"/>
                <w:color w:val="auto"/>
              </w:rPr>
              <w:t>$</w:t>
            </w:r>
          </w:p>
        </w:tc>
        <w:tc>
          <w:tcPr>
            <w:tcW w:w="700" w:type="dxa"/>
            <w:vAlign w:val="bottom"/>
            <w:gridSpan w:val="2"/>
          </w:tcPr>
          <w:p>
            <w:pPr>
              <w:jc w:val="right"/>
              <w:ind w:right="160"/>
              <w:spacing w:after="0"/>
              <w:rPr>
                <w:sz w:val="20"/>
                <w:szCs w:val="20"/>
                <w:color w:val="auto"/>
              </w:rPr>
            </w:pPr>
            <w:r>
              <w:rPr>
                <w:rFonts w:ascii="Arial" w:cs="Arial" w:eastAsia="Arial" w:hAnsi="Arial"/>
                <w:sz w:val="13"/>
                <w:szCs w:val="13"/>
                <w:color w:val="auto"/>
              </w:rPr>
              <w:t>20,507</w:t>
            </w:r>
          </w:p>
        </w:tc>
        <w:tc>
          <w:tcPr>
            <w:tcW w:w="220" w:type="dxa"/>
            <w:vAlign w:val="bottom"/>
            <w:gridSpan w:val="2"/>
          </w:tcPr>
          <w:p>
            <w:pPr>
              <w:ind w:left="60"/>
              <w:spacing w:after="0"/>
              <w:rPr>
                <w:sz w:val="20"/>
                <w:szCs w:val="20"/>
                <w:color w:val="auto"/>
              </w:rPr>
            </w:pPr>
            <w:r>
              <w:rPr>
                <w:rFonts w:ascii="Arial" w:cs="Arial" w:eastAsia="Arial" w:hAnsi="Arial"/>
                <w:sz w:val="13"/>
                <w:szCs w:val="13"/>
                <w:color w:val="auto"/>
              </w:rPr>
              <w:t>$</w:t>
            </w:r>
          </w:p>
        </w:tc>
        <w:tc>
          <w:tcPr>
            <w:tcW w:w="840" w:type="dxa"/>
            <w:vAlign w:val="bottom"/>
            <w:tcBorders>
              <w:right w:val="single" w:sz="8" w:color="auto"/>
            </w:tcBorders>
            <w:gridSpan w:val="2"/>
          </w:tcPr>
          <w:p>
            <w:pPr>
              <w:jc w:val="right"/>
              <w:ind w:right="340"/>
              <w:spacing w:after="0"/>
              <w:rPr>
                <w:sz w:val="20"/>
                <w:szCs w:val="20"/>
                <w:color w:val="auto"/>
              </w:rPr>
            </w:pPr>
            <w:r>
              <w:rPr>
                <w:rFonts w:ascii="Arial" w:cs="Arial" w:eastAsia="Arial" w:hAnsi="Arial"/>
                <w:sz w:val="13"/>
                <w:szCs w:val="13"/>
                <w:color w:val="auto"/>
              </w:rPr>
              <w:t>14,886</w:t>
            </w:r>
          </w:p>
        </w:tc>
        <w:tc>
          <w:tcPr>
            <w:tcW w:w="540" w:type="dxa"/>
            <w:vAlign w:val="bottom"/>
            <w:gridSpan w:val="2"/>
          </w:tcPr>
          <w:p>
            <w:pPr>
              <w:jc w:val="right"/>
              <w:spacing w:after="0"/>
              <w:rPr>
                <w:sz w:val="20"/>
                <w:szCs w:val="20"/>
                <w:color w:val="auto"/>
              </w:rPr>
            </w:pPr>
            <w:r>
              <w:rPr>
                <w:rFonts w:ascii="Arial" w:cs="Arial" w:eastAsia="Arial" w:hAnsi="Arial"/>
                <w:sz w:val="13"/>
                <w:szCs w:val="13"/>
                <w:color w:val="auto"/>
              </w:rPr>
              <w:t>$3,445</w:t>
            </w:r>
          </w:p>
        </w:tc>
        <w:tc>
          <w:tcPr>
            <w:tcW w:w="180" w:type="dxa"/>
            <w:vAlign w:val="bottom"/>
          </w:tcPr>
          <w:p>
            <w:pPr>
              <w:spacing w:after="0"/>
              <w:rPr>
                <w:sz w:val="13"/>
                <w:szCs w:val="13"/>
                <w:color w:val="auto"/>
              </w:rPr>
            </w:pPr>
          </w:p>
        </w:tc>
        <w:tc>
          <w:tcPr>
            <w:tcW w:w="500" w:type="dxa"/>
            <w:vAlign w:val="bottom"/>
            <w:gridSpan w:val="2"/>
          </w:tcPr>
          <w:p>
            <w:pPr>
              <w:jc w:val="right"/>
              <w:spacing w:after="0"/>
              <w:rPr>
                <w:sz w:val="20"/>
                <w:szCs w:val="20"/>
                <w:color w:val="auto"/>
              </w:rPr>
            </w:pPr>
            <w:r>
              <w:rPr>
                <w:rFonts w:ascii="Arial" w:cs="Arial" w:eastAsia="Arial" w:hAnsi="Arial"/>
                <w:sz w:val="13"/>
                <w:szCs w:val="13"/>
                <w:color w:val="auto"/>
              </w:rPr>
              <w:t>$20,501</w:t>
            </w:r>
          </w:p>
        </w:tc>
        <w:tc>
          <w:tcPr>
            <w:tcW w:w="240" w:type="dxa"/>
            <w:vAlign w:val="bottom"/>
          </w:tcPr>
          <w:p>
            <w:pPr>
              <w:spacing w:after="0"/>
              <w:rPr>
                <w:sz w:val="13"/>
                <w:szCs w:val="13"/>
                <w:color w:val="auto"/>
              </w:rPr>
            </w:pPr>
          </w:p>
        </w:tc>
        <w:tc>
          <w:tcPr>
            <w:tcW w:w="460" w:type="dxa"/>
            <w:vAlign w:val="bottom"/>
          </w:tcPr>
          <w:p>
            <w:pPr>
              <w:jc w:val="right"/>
              <w:spacing w:after="0"/>
              <w:rPr>
                <w:sz w:val="20"/>
                <w:szCs w:val="20"/>
                <w:color w:val="auto"/>
              </w:rPr>
            </w:pPr>
            <w:r>
              <w:rPr>
                <w:rFonts w:ascii="Arial" w:cs="Arial" w:eastAsia="Arial" w:hAnsi="Arial"/>
                <w:sz w:val="13"/>
                <w:szCs w:val="13"/>
                <w:color w:val="auto"/>
                <w:w w:val="86"/>
              </w:rPr>
              <w:t>$ 16,938</w:t>
            </w:r>
          </w:p>
        </w:tc>
        <w:tc>
          <w:tcPr>
            <w:tcW w:w="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46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Revenue</w:t>
            </w:r>
          </w:p>
        </w:tc>
        <w:tc>
          <w:tcPr>
            <w:tcW w:w="740" w:type="dxa"/>
            <w:vAlign w:val="bottom"/>
            <w:gridSpan w:val="3"/>
            <w:shd w:val="clear" w:color="auto" w:fill="CCEEFF"/>
          </w:tcPr>
          <w:p>
            <w:pPr>
              <w:jc w:val="right"/>
              <w:ind w:right="180"/>
              <w:spacing w:after="0"/>
              <w:rPr>
                <w:sz w:val="20"/>
                <w:szCs w:val="20"/>
                <w:color w:val="auto"/>
              </w:rPr>
            </w:pPr>
            <w:r>
              <w:rPr>
                <w:rFonts w:ascii="Arial" w:cs="Arial" w:eastAsia="Arial" w:hAnsi="Arial"/>
                <w:sz w:val="13"/>
                <w:szCs w:val="13"/>
                <w:color w:val="auto"/>
              </w:rPr>
              <w:t>$39,821</w:t>
            </w:r>
          </w:p>
        </w:tc>
        <w:tc>
          <w:tcPr>
            <w:tcW w:w="700" w:type="dxa"/>
            <w:vAlign w:val="bottom"/>
            <w:gridSpan w:val="3"/>
            <w:shd w:val="clear" w:color="auto" w:fill="CCEEFF"/>
          </w:tcPr>
          <w:p>
            <w:pPr>
              <w:jc w:val="right"/>
              <w:ind w:right="180"/>
              <w:spacing w:after="0"/>
              <w:rPr>
                <w:sz w:val="20"/>
                <w:szCs w:val="20"/>
                <w:color w:val="auto"/>
              </w:rPr>
            </w:pPr>
            <w:r>
              <w:rPr>
                <w:rFonts w:ascii="Arial" w:cs="Arial" w:eastAsia="Arial" w:hAnsi="Arial"/>
                <w:sz w:val="13"/>
                <w:szCs w:val="13"/>
                <w:color w:val="auto"/>
                <w:w w:val="98"/>
              </w:rPr>
              <w:t>$ 36,936</w:t>
            </w: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70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33,658</w:t>
            </w:r>
          </w:p>
        </w:tc>
        <w:tc>
          <w:tcPr>
            <w:tcW w:w="160" w:type="dxa"/>
            <w:vAlign w:val="bottom"/>
            <w:gridSpan w:val="2"/>
            <w:shd w:val="clear" w:color="auto" w:fill="CCEEFF"/>
          </w:tcPr>
          <w:p>
            <w:pPr>
              <w:ind w:left="60"/>
              <w:spacing w:after="0"/>
              <w:rPr>
                <w:sz w:val="20"/>
                <w:szCs w:val="20"/>
                <w:color w:val="auto"/>
              </w:rPr>
            </w:pPr>
            <w:r>
              <w:rPr>
                <w:rFonts w:ascii="Arial" w:cs="Arial" w:eastAsia="Arial" w:hAnsi="Arial"/>
                <w:sz w:val="13"/>
                <w:szCs w:val="13"/>
                <w:color w:val="auto"/>
              </w:rPr>
              <w:t>$</w:t>
            </w: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30,073</w:t>
            </w:r>
          </w:p>
        </w:tc>
        <w:tc>
          <w:tcPr>
            <w:tcW w:w="680" w:type="dxa"/>
            <w:vAlign w:val="bottom"/>
            <w:gridSpan w:val="3"/>
            <w:shd w:val="clear" w:color="auto" w:fill="CCEEFF"/>
          </w:tcPr>
          <w:p>
            <w:pPr>
              <w:jc w:val="right"/>
              <w:ind w:right="160"/>
              <w:spacing w:after="0"/>
              <w:rPr>
                <w:sz w:val="20"/>
                <w:szCs w:val="20"/>
                <w:color w:val="auto"/>
              </w:rPr>
            </w:pPr>
            <w:r>
              <w:rPr>
                <w:rFonts w:ascii="Arial" w:cs="Arial" w:eastAsia="Arial" w:hAnsi="Arial"/>
                <w:sz w:val="13"/>
                <w:szCs w:val="13"/>
                <w:color w:val="auto"/>
              </w:rPr>
              <w:t>$28,245</w:t>
            </w:r>
          </w:p>
        </w:tc>
        <w:tc>
          <w:tcPr>
            <w:tcW w:w="700" w:type="dxa"/>
            <w:vAlign w:val="bottom"/>
            <w:gridSpan w:val="3"/>
            <w:shd w:val="clear" w:color="auto" w:fill="CCEEFF"/>
          </w:tcPr>
          <w:p>
            <w:pPr>
              <w:jc w:val="right"/>
              <w:ind w:right="160"/>
              <w:spacing w:after="0"/>
              <w:rPr>
                <w:sz w:val="20"/>
                <w:szCs w:val="20"/>
                <w:color w:val="auto"/>
              </w:rPr>
            </w:pPr>
            <w:r>
              <w:rPr>
                <w:rFonts w:ascii="Arial" w:cs="Arial" w:eastAsia="Arial" w:hAnsi="Arial"/>
                <w:sz w:val="13"/>
                <w:szCs w:val="13"/>
                <w:color w:val="auto"/>
              </w:rPr>
              <w:t>$ 26,341</w:t>
            </w:r>
          </w:p>
        </w:tc>
        <w:tc>
          <w:tcPr>
            <w:tcW w:w="160" w:type="dxa"/>
            <w:vAlign w:val="bottom"/>
            <w:gridSpan w:val="2"/>
            <w:shd w:val="clear" w:color="auto" w:fill="CCEEFF"/>
          </w:tcPr>
          <w:p>
            <w:pPr>
              <w:ind w:left="60"/>
              <w:spacing w:after="0"/>
              <w:rPr>
                <w:sz w:val="20"/>
                <w:szCs w:val="20"/>
                <w:color w:val="auto"/>
              </w:rPr>
            </w:pPr>
            <w:r>
              <w:rPr>
                <w:rFonts w:ascii="Arial" w:cs="Arial" w:eastAsia="Arial" w:hAnsi="Arial"/>
                <w:sz w:val="13"/>
                <w:szCs w:val="13"/>
                <w:color w:val="auto"/>
              </w:rPr>
              <w:t>$</w:t>
            </w: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23,233</w:t>
            </w:r>
          </w:p>
        </w:tc>
        <w:tc>
          <w:tcPr>
            <w:tcW w:w="220" w:type="dxa"/>
            <w:vAlign w:val="bottom"/>
            <w:gridSpan w:val="2"/>
            <w:shd w:val="clear" w:color="auto" w:fill="CCEEFF"/>
          </w:tcPr>
          <w:p>
            <w:pPr>
              <w:ind w:left="60"/>
              <w:spacing w:after="0"/>
              <w:rPr>
                <w:sz w:val="20"/>
                <w:szCs w:val="20"/>
                <w:color w:val="auto"/>
              </w:rPr>
            </w:pPr>
            <w:r>
              <w:rPr>
                <w:rFonts w:ascii="Arial" w:cs="Arial" w:eastAsia="Arial" w:hAnsi="Arial"/>
                <w:sz w:val="13"/>
                <w:szCs w:val="13"/>
                <w:color w:val="auto"/>
              </w:rPr>
              <w:t>$</w:t>
            </w:r>
          </w:p>
        </w:tc>
        <w:tc>
          <w:tcPr>
            <w:tcW w:w="840" w:type="dxa"/>
            <w:vAlign w:val="bottom"/>
            <w:tcBorders>
              <w:right w:val="single" w:sz="8" w:color="auto"/>
            </w:tcBorders>
            <w:gridSpan w:val="2"/>
            <w:shd w:val="clear" w:color="auto" w:fill="CCEEFF"/>
          </w:tcPr>
          <w:p>
            <w:pPr>
              <w:jc w:val="right"/>
              <w:ind w:right="340"/>
              <w:spacing w:after="0"/>
              <w:rPr>
                <w:sz w:val="20"/>
                <w:szCs w:val="20"/>
                <w:color w:val="auto"/>
              </w:rPr>
            </w:pPr>
            <w:r>
              <w:rPr>
                <w:rFonts w:ascii="Arial" w:cs="Arial" w:eastAsia="Arial" w:hAnsi="Arial"/>
                <w:sz w:val="13"/>
                <w:szCs w:val="13"/>
                <w:color w:val="auto"/>
              </w:rPr>
              <w:t>16,812</w:t>
            </w:r>
          </w:p>
        </w:tc>
        <w:tc>
          <w:tcPr>
            <w:tcW w:w="54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$3,829</w:t>
            </w:r>
          </w:p>
        </w:tc>
        <w:tc>
          <w:tcPr>
            <w:tcW w:w="180" w:type="dxa"/>
            <w:vAlign w:val="bottom"/>
            <w:shd w:val="clear" w:color="auto" w:fill="CCEEFF"/>
          </w:tcPr>
          <w:p>
            <w:pPr>
              <w:spacing w:after="0"/>
              <w:rPr>
                <w:sz w:val="12"/>
                <w:szCs w:val="12"/>
                <w:color w:val="auto"/>
              </w:rPr>
            </w:pP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$22,631</w:t>
            </w:r>
          </w:p>
        </w:tc>
        <w:tc>
          <w:tcPr>
            <w:tcW w:w="240" w:type="dxa"/>
            <w:vAlign w:val="bottom"/>
            <w:shd w:val="clear" w:color="auto" w:fill="CCEEFF"/>
          </w:tcPr>
          <w:p>
            <w:pPr>
              <w:spacing w:after="0"/>
              <w:rPr>
                <w:sz w:val="12"/>
                <w:szCs w:val="12"/>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6"/>
              </w:rPr>
              <w:t>$ 18,998</w:t>
            </w: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460" w:type="dxa"/>
            <w:vAlign w:val="bottom"/>
            <w:gridSpan w:val="2"/>
          </w:tcPr>
          <w:p>
            <w:pPr>
              <w:spacing w:after="0"/>
              <w:rPr>
                <w:sz w:val="20"/>
                <w:szCs w:val="20"/>
                <w:color w:val="auto"/>
              </w:rPr>
            </w:pPr>
            <w:r>
              <w:rPr>
                <w:rFonts w:ascii="Arial" w:cs="Arial" w:eastAsia="Arial" w:hAnsi="Arial"/>
                <w:sz w:val="13"/>
                <w:szCs w:val="13"/>
                <w:color w:val="auto"/>
              </w:rPr>
              <w:t>Adjusted Gross Margin</w:t>
            </w:r>
          </w:p>
        </w:tc>
        <w:tc>
          <w:tcPr>
            <w:tcW w:w="740" w:type="dxa"/>
            <w:vAlign w:val="bottom"/>
            <w:gridSpan w:val="3"/>
          </w:tcPr>
          <w:p>
            <w:pPr>
              <w:jc w:val="right"/>
              <w:ind w:right="60"/>
              <w:spacing w:after="0"/>
              <w:rPr>
                <w:sz w:val="20"/>
                <w:szCs w:val="20"/>
                <w:color w:val="auto"/>
              </w:rPr>
            </w:pPr>
            <w:r>
              <w:rPr>
                <w:rFonts w:ascii="Arial" w:cs="Arial" w:eastAsia="Arial" w:hAnsi="Arial"/>
                <w:sz w:val="13"/>
                <w:szCs w:val="13"/>
                <w:color w:val="auto"/>
              </w:rPr>
              <w:t>88%</w:t>
            </w:r>
          </w:p>
        </w:tc>
        <w:tc>
          <w:tcPr>
            <w:tcW w:w="700" w:type="dxa"/>
            <w:vAlign w:val="bottom"/>
            <w:gridSpan w:val="3"/>
          </w:tcPr>
          <w:p>
            <w:pPr>
              <w:jc w:val="right"/>
              <w:ind w:right="60"/>
              <w:spacing w:after="0"/>
              <w:rPr>
                <w:sz w:val="20"/>
                <w:szCs w:val="20"/>
                <w:color w:val="auto"/>
              </w:rPr>
            </w:pPr>
            <w:r>
              <w:rPr>
                <w:rFonts w:ascii="Arial" w:cs="Arial" w:eastAsia="Arial" w:hAnsi="Arial"/>
                <w:sz w:val="13"/>
                <w:szCs w:val="13"/>
                <w:color w:val="auto"/>
              </w:rPr>
              <w:t>88%</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gridSpan w:val="2"/>
          </w:tcPr>
          <w:p>
            <w:pPr>
              <w:jc w:val="right"/>
              <w:ind w:right="60"/>
              <w:spacing w:after="0"/>
              <w:rPr>
                <w:sz w:val="20"/>
                <w:szCs w:val="20"/>
                <w:color w:val="auto"/>
              </w:rPr>
            </w:pPr>
            <w:r>
              <w:rPr>
                <w:rFonts w:ascii="Arial" w:cs="Arial" w:eastAsia="Arial" w:hAnsi="Arial"/>
                <w:sz w:val="13"/>
                <w:szCs w:val="13"/>
                <w:color w:val="auto"/>
              </w:rPr>
              <w:t>90%</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gridSpan w:val="2"/>
          </w:tcPr>
          <w:p>
            <w:pPr>
              <w:jc w:val="right"/>
              <w:ind w:right="60"/>
              <w:spacing w:after="0"/>
              <w:rPr>
                <w:sz w:val="20"/>
                <w:szCs w:val="20"/>
                <w:color w:val="auto"/>
              </w:rPr>
            </w:pPr>
            <w:r>
              <w:rPr>
                <w:rFonts w:ascii="Arial" w:cs="Arial" w:eastAsia="Arial" w:hAnsi="Arial"/>
                <w:sz w:val="13"/>
                <w:szCs w:val="13"/>
                <w:color w:val="auto"/>
              </w:rPr>
              <w:t>91%</w:t>
            </w:r>
          </w:p>
        </w:tc>
        <w:tc>
          <w:tcPr>
            <w:tcW w:w="680" w:type="dxa"/>
            <w:vAlign w:val="bottom"/>
            <w:gridSpan w:val="3"/>
          </w:tcPr>
          <w:p>
            <w:pPr>
              <w:jc w:val="right"/>
              <w:ind w:right="60"/>
              <w:spacing w:after="0"/>
              <w:rPr>
                <w:sz w:val="20"/>
                <w:szCs w:val="20"/>
                <w:color w:val="auto"/>
              </w:rPr>
            </w:pPr>
            <w:r>
              <w:rPr>
                <w:rFonts w:ascii="Arial" w:cs="Arial" w:eastAsia="Arial" w:hAnsi="Arial"/>
                <w:sz w:val="13"/>
                <w:szCs w:val="13"/>
                <w:color w:val="auto"/>
              </w:rPr>
              <w:t>91%</w:t>
            </w:r>
          </w:p>
        </w:tc>
        <w:tc>
          <w:tcPr>
            <w:tcW w:w="700" w:type="dxa"/>
            <w:vAlign w:val="bottom"/>
            <w:gridSpan w:val="3"/>
          </w:tcPr>
          <w:p>
            <w:pPr>
              <w:jc w:val="right"/>
              <w:ind w:right="60"/>
              <w:spacing w:after="0"/>
              <w:rPr>
                <w:sz w:val="20"/>
                <w:szCs w:val="20"/>
                <w:color w:val="auto"/>
              </w:rPr>
            </w:pPr>
            <w:r>
              <w:rPr>
                <w:rFonts w:ascii="Arial" w:cs="Arial" w:eastAsia="Arial" w:hAnsi="Arial"/>
                <w:sz w:val="13"/>
                <w:szCs w:val="13"/>
                <w:color w:val="auto"/>
              </w:rPr>
              <w:t>90%</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gridSpan w:val="2"/>
          </w:tcPr>
          <w:p>
            <w:pPr>
              <w:jc w:val="right"/>
              <w:ind w:right="40"/>
              <w:spacing w:after="0"/>
              <w:rPr>
                <w:sz w:val="20"/>
                <w:szCs w:val="20"/>
                <w:color w:val="auto"/>
              </w:rPr>
            </w:pPr>
            <w:r>
              <w:rPr>
                <w:rFonts w:ascii="Arial" w:cs="Arial" w:eastAsia="Arial" w:hAnsi="Arial"/>
                <w:sz w:val="13"/>
                <w:szCs w:val="13"/>
                <w:color w:val="auto"/>
              </w:rPr>
              <w:t>88%</w:t>
            </w: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40" w:type="dxa"/>
            <w:vAlign w:val="bottom"/>
            <w:tcBorders>
              <w:right w:val="single" w:sz="8" w:color="auto"/>
            </w:tcBorders>
            <w:gridSpan w:val="2"/>
          </w:tcPr>
          <w:p>
            <w:pPr>
              <w:jc w:val="right"/>
              <w:ind w:right="220"/>
              <w:spacing w:after="0"/>
              <w:rPr>
                <w:sz w:val="20"/>
                <w:szCs w:val="20"/>
                <w:color w:val="auto"/>
              </w:rPr>
            </w:pPr>
            <w:r>
              <w:rPr>
                <w:rFonts w:ascii="Arial" w:cs="Arial" w:eastAsia="Arial" w:hAnsi="Arial"/>
                <w:sz w:val="13"/>
                <w:szCs w:val="13"/>
                <w:color w:val="auto"/>
              </w:rPr>
              <w:t>89%</w:t>
            </w:r>
          </w:p>
        </w:tc>
        <w:tc>
          <w:tcPr>
            <w:tcW w:w="720" w:type="dxa"/>
            <w:vAlign w:val="bottom"/>
            <w:gridSpan w:val="3"/>
          </w:tcPr>
          <w:p>
            <w:pPr>
              <w:jc w:val="right"/>
              <w:ind w:right="60"/>
              <w:spacing w:after="0"/>
              <w:rPr>
                <w:sz w:val="20"/>
                <w:szCs w:val="20"/>
                <w:color w:val="auto"/>
              </w:rPr>
            </w:pPr>
            <w:r>
              <w:rPr>
                <w:rFonts w:ascii="Arial" w:cs="Arial" w:eastAsia="Arial" w:hAnsi="Arial"/>
                <w:sz w:val="13"/>
                <w:szCs w:val="13"/>
                <w:color w:val="auto"/>
              </w:rPr>
              <w:t>90%</w:t>
            </w:r>
          </w:p>
        </w:tc>
        <w:tc>
          <w:tcPr>
            <w:tcW w:w="740" w:type="dxa"/>
            <w:vAlign w:val="bottom"/>
            <w:gridSpan w:val="3"/>
          </w:tcPr>
          <w:p>
            <w:pPr>
              <w:jc w:val="right"/>
              <w:ind w:right="120"/>
              <w:spacing w:after="0"/>
              <w:rPr>
                <w:sz w:val="20"/>
                <w:szCs w:val="20"/>
                <w:color w:val="auto"/>
              </w:rPr>
            </w:pPr>
            <w:r>
              <w:rPr>
                <w:rFonts w:ascii="Arial" w:cs="Arial" w:eastAsia="Arial" w:hAnsi="Arial"/>
                <w:sz w:val="13"/>
                <w:szCs w:val="13"/>
                <w:color w:val="auto"/>
              </w:rPr>
              <w:t>91%</w:t>
            </w:r>
          </w:p>
        </w:tc>
        <w:tc>
          <w:tcPr>
            <w:tcW w:w="620" w:type="dxa"/>
            <w:vAlign w:val="bottom"/>
            <w:gridSpan w:val="2"/>
          </w:tcPr>
          <w:p>
            <w:pPr>
              <w:jc w:val="right"/>
              <w:ind w:right="40"/>
              <w:spacing w:after="0"/>
              <w:rPr>
                <w:sz w:val="20"/>
                <w:szCs w:val="20"/>
                <w:color w:val="auto"/>
              </w:rPr>
            </w:pPr>
            <w:r>
              <w:rPr>
                <w:rFonts w:ascii="Arial" w:cs="Arial" w:eastAsia="Arial" w:hAnsi="Arial"/>
                <w:sz w:val="13"/>
                <w:szCs w:val="13"/>
                <w:color w:val="auto"/>
              </w:rPr>
              <w:t>89%</w:t>
            </w:r>
          </w:p>
        </w:tc>
        <w:tc>
          <w:tcPr>
            <w:tcW w:w="0" w:type="dxa"/>
            <w:vAlign w:val="bottom"/>
          </w:tcPr>
          <w:p>
            <w:pPr>
              <w:spacing w:after="0"/>
              <w:rPr>
                <w:sz w:val="1"/>
                <w:szCs w:val="1"/>
                <w:color w:val="auto"/>
              </w:rPr>
            </w:pPr>
          </w:p>
        </w:tc>
      </w:tr>
    </w:tbl>
    <w:p>
      <w:pPr>
        <w:spacing w:after="0" w:line="134"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93</w:t>
      </w:r>
    </w:p>
    <w:p>
      <w:pPr>
        <w:sectPr>
          <w:pgSz w:w="11900" w:h="16838" w:orient="portrait"/>
          <w:cols w:equalWidth="0" w:num="1">
            <w:col w:w="11140"/>
          </w:cols>
          <w:pgMar w:left="320" w:top="459" w:right="439" w:bottom="1440" w:gutter="0" w:footer="0" w:header="0"/>
        </w:sectPr>
      </w:pPr>
    </w:p>
    <w:bookmarkStart w:id="100" w:name="page101"/>
    <w:bookmarkEnd w:id="10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Confidential Treatment Requested by Definitive Healthcare Corp.</w:t>
      </w:r>
    </w:p>
    <w:p>
      <w:pPr>
        <w:spacing w:after="0" w:line="27"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Pursuant to 17 C.F.R. Section 200.83</w:t>
      </w:r>
    </w:p>
    <w:p>
      <w:pPr>
        <w:spacing w:after="0" w:line="143"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Adjusted EBITDA and Adjusted EBITDA Margin</w:t>
      </w:r>
    </w:p>
    <w:p>
      <w:pPr>
        <w:spacing w:after="0" w:line="253" w:lineRule="exact"/>
        <w:rPr>
          <w:sz w:val="20"/>
          <w:szCs w:val="20"/>
          <w:color w:val="auto"/>
        </w:rPr>
      </w:pPr>
    </w:p>
    <w:tbl>
      <w:tblPr>
        <w:tblLayout w:type="fixed"/>
        <w:tblInd w:w="120" w:type="dxa"/>
        <w:tblCellMar>
          <w:top w:w="0" w:type="dxa"/>
          <w:left w:w="0" w:type="dxa"/>
          <w:bottom w:w="0" w:type="dxa"/>
          <w:right w:w="0" w:type="dxa"/>
        </w:tblCellMar>
      </w:tblPr>
      <w:tr>
        <w:trPr>
          <w:trHeight w:val="135"/>
        </w:trPr>
        <w:tc>
          <w:tcPr>
            <w:tcW w:w="740" w:type="dxa"/>
            <w:vAlign w:val="bottom"/>
          </w:tcPr>
          <w:p>
            <w:pPr>
              <w:spacing w:after="0"/>
              <w:rPr>
                <w:sz w:val="11"/>
                <w:szCs w:val="11"/>
                <w:color w:val="auto"/>
              </w:rPr>
            </w:pPr>
          </w:p>
        </w:tc>
        <w:tc>
          <w:tcPr>
            <w:tcW w:w="1640" w:type="dxa"/>
            <w:vAlign w:val="bottom"/>
          </w:tcPr>
          <w:p>
            <w:pPr>
              <w:spacing w:after="0"/>
              <w:rPr>
                <w:sz w:val="11"/>
                <w:szCs w:val="11"/>
                <w:color w:val="auto"/>
              </w:rPr>
            </w:pPr>
          </w:p>
        </w:tc>
        <w:tc>
          <w:tcPr>
            <w:tcW w:w="460" w:type="dxa"/>
            <w:vAlign w:val="bottom"/>
            <w:tcBorders>
              <w:bottom w:val="single" w:sz="8" w:color="auto"/>
            </w:tcBorders>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4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400" w:type="dxa"/>
            <w:vAlign w:val="bottom"/>
            <w:tcBorders>
              <w:bottom w:val="single" w:sz="8" w:color="auto"/>
            </w:tcBorders>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40" w:type="dxa"/>
            <w:vAlign w:val="bottom"/>
            <w:tcBorders>
              <w:bottom w:val="single" w:sz="8" w:color="auto"/>
            </w:tcBorders>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4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1520" w:type="dxa"/>
            <w:vAlign w:val="bottom"/>
            <w:tcBorders>
              <w:bottom w:val="single" w:sz="8" w:color="auto"/>
            </w:tcBorders>
            <w:gridSpan w:val="5"/>
          </w:tcPr>
          <w:p>
            <w:pPr>
              <w:jc w:val="right"/>
              <w:ind w:right="620"/>
              <w:spacing w:after="0"/>
              <w:rPr>
                <w:sz w:val="20"/>
                <w:szCs w:val="20"/>
                <w:color w:val="auto"/>
              </w:rPr>
            </w:pPr>
            <w:r>
              <w:rPr>
                <w:rFonts w:ascii="Arial" w:cs="Arial" w:eastAsia="Arial" w:hAnsi="Arial"/>
                <w:sz w:val="11"/>
                <w:szCs w:val="11"/>
                <w:b w:val="1"/>
                <w:bCs w:val="1"/>
                <w:color w:val="auto"/>
              </w:rPr>
              <w:t>Successor</w:t>
            </w:r>
          </w:p>
        </w:tc>
        <w:tc>
          <w:tcPr>
            <w:tcW w:w="80" w:type="dxa"/>
            <w:vAlign w:val="bottom"/>
            <w:tcBorders>
              <w:bottom w:val="single" w:sz="8" w:color="auto"/>
            </w:tcBorders>
          </w:tcPr>
          <w:p>
            <w:pPr>
              <w:spacing w:after="0"/>
              <w:rPr>
                <w:sz w:val="11"/>
                <w:szCs w:val="11"/>
                <w:color w:val="auto"/>
              </w:rPr>
            </w:pPr>
          </w:p>
        </w:tc>
        <w:tc>
          <w:tcPr>
            <w:tcW w:w="400" w:type="dxa"/>
            <w:vAlign w:val="bottom"/>
            <w:tcBorders>
              <w:bottom w:val="single" w:sz="8" w:color="auto"/>
            </w:tcBorders>
          </w:tcPr>
          <w:p>
            <w:pPr>
              <w:spacing w:after="0"/>
              <w:rPr>
                <w:sz w:val="11"/>
                <w:szCs w:val="11"/>
                <w:color w:val="auto"/>
              </w:rPr>
            </w:pPr>
          </w:p>
        </w:tc>
        <w:tc>
          <w:tcPr>
            <w:tcW w:w="24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520" w:type="dxa"/>
            <w:vAlign w:val="bottom"/>
            <w:tcBorders>
              <w:bottom w:val="single" w:sz="8" w:color="auto"/>
            </w:tcBorders>
          </w:tcPr>
          <w:p>
            <w:pPr>
              <w:spacing w:after="0"/>
              <w:rPr>
                <w:sz w:val="11"/>
                <w:szCs w:val="11"/>
                <w:color w:val="auto"/>
              </w:rPr>
            </w:pPr>
          </w:p>
        </w:tc>
        <w:tc>
          <w:tcPr>
            <w:tcW w:w="26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60" w:type="dxa"/>
            <w:vAlign w:val="bottom"/>
            <w:tcBorders>
              <w:bottom w:val="single" w:sz="8" w:color="auto"/>
            </w:tcBorders>
          </w:tcPr>
          <w:p>
            <w:pPr>
              <w:spacing w:after="0"/>
              <w:rPr>
                <w:sz w:val="11"/>
                <w:szCs w:val="11"/>
                <w:color w:val="auto"/>
              </w:rPr>
            </w:pPr>
          </w:p>
        </w:tc>
        <w:tc>
          <w:tcPr>
            <w:tcW w:w="360" w:type="dxa"/>
            <w:vAlign w:val="bottom"/>
            <w:tcBorders>
              <w:right w:val="single" w:sz="8" w:color="auto"/>
            </w:tcBorders>
          </w:tcPr>
          <w:p>
            <w:pPr>
              <w:spacing w:after="0"/>
              <w:rPr>
                <w:sz w:val="11"/>
                <w:szCs w:val="11"/>
                <w:color w:val="auto"/>
              </w:rPr>
            </w:pPr>
          </w:p>
        </w:tc>
        <w:tc>
          <w:tcPr>
            <w:tcW w:w="160" w:type="dxa"/>
            <w:vAlign w:val="bottom"/>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300" w:type="dxa"/>
            <w:vAlign w:val="bottom"/>
            <w:tcBorders>
              <w:bottom w:val="single" w:sz="8" w:color="auto"/>
            </w:tcBorders>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720" w:type="dxa"/>
            <w:vAlign w:val="bottom"/>
            <w:tcBorders>
              <w:bottom w:val="single" w:sz="8" w:color="auto"/>
            </w:tcBorders>
            <w:gridSpan w:val="4"/>
          </w:tcPr>
          <w:p>
            <w:pPr>
              <w:jc w:val="right"/>
              <w:ind w:right="120"/>
              <w:spacing w:after="0"/>
              <w:rPr>
                <w:sz w:val="20"/>
                <w:szCs w:val="20"/>
                <w:color w:val="auto"/>
              </w:rPr>
            </w:pPr>
            <w:r>
              <w:rPr>
                <w:rFonts w:ascii="Arial" w:cs="Arial" w:eastAsia="Arial" w:hAnsi="Arial"/>
                <w:sz w:val="11"/>
                <w:szCs w:val="11"/>
                <w:b w:val="1"/>
                <w:bCs w:val="1"/>
                <w:color w:val="auto"/>
                <w:w w:val="87"/>
              </w:rPr>
              <w:t>Predecessor</w:t>
            </w:r>
          </w:p>
        </w:tc>
        <w:tc>
          <w:tcPr>
            <w:tcW w:w="60" w:type="dxa"/>
            <w:vAlign w:val="bottom"/>
            <w:tcBorders>
              <w:bottom w:val="single" w:sz="8" w:color="auto"/>
            </w:tcBorders>
          </w:tcPr>
          <w:p>
            <w:pPr>
              <w:spacing w:after="0"/>
              <w:rPr>
                <w:sz w:val="11"/>
                <w:szCs w:val="11"/>
                <w:color w:val="auto"/>
              </w:rPr>
            </w:pPr>
          </w:p>
        </w:tc>
        <w:tc>
          <w:tcPr>
            <w:tcW w:w="400" w:type="dxa"/>
            <w:vAlign w:val="bottom"/>
            <w:tcBorders>
              <w:bottom w:val="single" w:sz="8" w:color="auto"/>
            </w:tcBorders>
          </w:tcPr>
          <w:p>
            <w:pPr>
              <w:spacing w:after="0"/>
              <w:rPr>
                <w:sz w:val="11"/>
                <w:szCs w:val="11"/>
                <w:color w:val="auto"/>
              </w:rPr>
            </w:pPr>
          </w:p>
        </w:tc>
        <w:tc>
          <w:tcPr>
            <w:tcW w:w="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1"/>
        </w:trPr>
        <w:tc>
          <w:tcPr>
            <w:tcW w:w="740" w:type="dxa"/>
            <w:vAlign w:val="bottom"/>
          </w:tcPr>
          <w:p>
            <w:pPr>
              <w:spacing w:after="0"/>
              <w:rPr>
                <w:sz w:val="8"/>
                <w:szCs w:val="8"/>
                <w:color w:val="auto"/>
              </w:rPr>
            </w:pPr>
          </w:p>
        </w:tc>
        <w:tc>
          <w:tcPr>
            <w:tcW w:w="1640" w:type="dxa"/>
            <w:vAlign w:val="bottom"/>
          </w:tcPr>
          <w:p>
            <w:pPr>
              <w:spacing w:after="0"/>
              <w:rPr>
                <w:sz w:val="8"/>
                <w:szCs w:val="8"/>
                <w:color w:val="auto"/>
              </w:rPr>
            </w:pPr>
          </w:p>
        </w:tc>
        <w:tc>
          <w:tcPr>
            <w:tcW w:w="460" w:type="dxa"/>
            <w:vAlign w:val="bottom"/>
          </w:tcPr>
          <w:p>
            <w:pPr>
              <w:spacing w:after="0"/>
              <w:rPr>
                <w:sz w:val="8"/>
                <w:szCs w:val="8"/>
                <w:color w:val="auto"/>
              </w:rPr>
            </w:pPr>
          </w:p>
        </w:tc>
        <w:tc>
          <w:tcPr>
            <w:tcW w:w="200" w:type="dxa"/>
            <w:vAlign w:val="bottom"/>
          </w:tcPr>
          <w:p>
            <w:pPr>
              <w:spacing w:after="0"/>
              <w:rPr>
                <w:sz w:val="8"/>
                <w:szCs w:val="8"/>
                <w:color w:val="auto"/>
              </w:rPr>
            </w:pPr>
          </w:p>
        </w:tc>
        <w:tc>
          <w:tcPr>
            <w:tcW w:w="40" w:type="dxa"/>
            <w:vAlign w:val="bottom"/>
          </w:tcPr>
          <w:p>
            <w:pPr>
              <w:spacing w:after="0"/>
              <w:rPr>
                <w:sz w:val="8"/>
                <w:szCs w:val="8"/>
                <w:color w:val="auto"/>
              </w:rPr>
            </w:pPr>
          </w:p>
        </w:tc>
        <w:tc>
          <w:tcPr>
            <w:tcW w:w="80" w:type="dxa"/>
            <w:vAlign w:val="bottom"/>
          </w:tcPr>
          <w:p>
            <w:pPr>
              <w:spacing w:after="0"/>
              <w:rPr>
                <w:sz w:val="8"/>
                <w:szCs w:val="8"/>
                <w:color w:val="auto"/>
              </w:rPr>
            </w:pPr>
          </w:p>
        </w:tc>
        <w:tc>
          <w:tcPr>
            <w:tcW w:w="400" w:type="dxa"/>
            <w:vAlign w:val="bottom"/>
          </w:tcPr>
          <w:p>
            <w:pPr>
              <w:spacing w:after="0"/>
              <w:rPr>
                <w:sz w:val="8"/>
                <w:szCs w:val="8"/>
                <w:color w:val="auto"/>
              </w:rPr>
            </w:pPr>
          </w:p>
        </w:tc>
        <w:tc>
          <w:tcPr>
            <w:tcW w:w="200" w:type="dxa"/>
            <w:vAlign w:val="bottom"/>
          </w:tcPr>
          <w:p>
            <w:pPr>
              <w:spacing w:after="0"/>
              <w:rPr>
                <w:sz w:val="8"/>
                <w:szCs w:val="8"/>
                <w:color w:val="auto"/>
              </w:rPr>
            </w:pPr>
          </w:p>
        </w:tc>
        <w:tc>
          <w:tcPr>
            <w:tcW w:w="60" w:type="dxa"/>
            <w:vAlign w:val="bottom"/>
          </w:tcPr>
          <w:p>
            <w:pPr>
              <w:spacing w:after="0"/>
              <w:rPr>
                <w:sz w:val="8"/>
                <w:szCs w:val="8"/>
                <w:color w:val="auto"/>
              </w:rPr>
            </w:pPr>
          </w:p>
        </w:tc>
        <w:tc>
          <w:tcPr>
            <w:tcW w:w="100" w:type="dxa"/>
            <w:vAlign w:val="bottom"/>
          </w:tcPr>
          <w:p>
            <w:pPr>
              <w:spacing w:after="0"/>
              <w:rPr>
                <w:sz w:val="8"/>
                <w:szCs w:val="8"/>
                <w:color w:val="auto"/>
              </w:rPr>
            </w:pPr>
          </w:p>
        </w:tc>
        <w:tc>
          <w:tcPr>
            <w:tcW w:w="540" w:type="dxa"/>
            <w:vAlign w:val="bottom"/>
          </w:tcPr>
          <w:p>
            <w:pPr>
              <w:spacing w:after="0"/>
              <w:rPr>
                <w:sz w:val="8"/>
                <w:szCs w:val="8"/>
                <w:color w:val="auto"/>
              </w:rPr>
            </w:pPr>
          </w:p>
        </w:tc>
        <w:tc>
          <w:tcPr>
            <w:tcW w:w="200" w:type="dxa"/>
            <w:vAlign w:val="bottom"/>
          </w:tcPr>
          <w:p>
            <w:pPr>
              <w:spacing w:after="0"/>
              <w:rPr>
                <w:sz w:val="8"/>
                <w:szCs w:val="8"/>
                <w:color w:val="auto"/>
              </w:rPr>
            </w:pPr>
          </w:p>
        </w:tc>
        <w:tc>
          <w:tcPr>
            <w:tcW w:w="40" w:type="dxa"/>
            <w:vAlign w:val="bottom"/>
          </w:tcPr>
          <w:p>
            <w:pPr>
              <w:spacing w:after="0"/>
              <w:rPr>
                <w:sz w:val="8"/>
                <w:szCs w:val="8"/>
                <w:color w:val="auto"/>
              </w:rPr>
            </w:pPr>
          </w:p>
        </w:tc>
        <w:tc>
          <w:tcPr>
            <w:tcW w:w="120" w:type="dxa"/>
            <w:vAlign w:val="bottom"/>
          </w:tcPr>
          <w:p>
            <w:pPr>
              <w:spacing w:after="0"/>
              <w:rPr>
                <w:sz w:val="8"/>
                <w:szCs w:val="8"/>
                <w:color w:val="auto"/>
              </w:rPr>
            </w:pPr>
          </w:p>
        </w:tc>
        <w:tc>
          <w:tcPr>
            <w:tcW w:w="540" w:type="dxa"/>
            <w:vAlign w:val="bottom"/>
          </w:tcPr>
          <w:p>
            <w:pPr>
              <w:spacing w:after="0"/>
              <w:rPr>
                <w:sz w:val="8"/>
                <w:szCs w:val="8"/>
                <w:color w:val="auto"/>
              </w:rPr>
            </w:pPr>
          </w:p>
        </w:tc>
        <w:tc>
          <w:tcPr>
            <w:tcW w:w="220" w:type="dxa"/>
            <w:vAlign w:val="bottom"/>
          </w:tcPr>
          <w:p>
            <w:pPr>
              <w:spacing w:after="0"/>
              <w:rPr>
                <w:sz w:val="8"/>
                <w:szCs w:val="8"/>
                <w:color w:val="auto"/>
              </w:rPr>
            </w:pPr>
          </w:p>
        </w:tc>
        <w:tc>
          <w:tcPr>
            <w:tcW w:w="40" w:type="dxa"/>
            <w:vAlign w:val="bottom"/>
          </w:tcPr>
          <w:p>
            <w:pPr>
              <w:spacing w:after="0"/>
              <w:rPr>
                <w:sz w:val="8"/>
                <w:szCs w:val="8"/>
                <w:color w:val="auto"/>
              </w:rPr>
            </w:pPr>
          </w:p>
        </w:tc>
        <w:tc>
          <w:tcPr>
            <w:tcW w:w="460" w:type="dxa"/>
            <w:vAlign w:val="bottom"/>
          </w:tcPr>
          <w:p>
            <w:pPr>
              <w:spacing w:after="0"/>
              <w:rPr>
                <w:sz w:val="8"/>
                <w:szCs w:val="8"/>
                <w:color w:val="auto"/>
              </w:rPr>
            </w:pPr>
          </w:p>
        </w:tc>
        <w:tc>
          <w:tcPr>
            <w:tcW w:w="260" w:type="dxa"/>
            <w:vAlign w:val="bottom"/>
          </w:tcPr>
          <w:p>
            <w:pPr>
              <w:spacing w:after="0"/>
              <w:rPr>
                <w:sz w:val="8"/>
                <w:szCs w:val="8"/>
                <w:color w:val="auto"/>
              </w:rPr>
            </w:pPr>
          </w:p>
        </w:tc>
        <w:tc>
          <w:tcPr>
            <w:tcW w:w="80" w:type="dxa"/>
            <w:vAlign w:val="bottom"/>
          </w:tcPr>
          <w:p>
            <w:pPr>
              <w:spacing w:after="0"/>
              <w:rPr>
                <w:sz w:val="8"/>
                <w:szCs w:val="8"/>
                <w:color w:val="auto"/>
              </w:rPr>
            </w:pPr>
          </w:p>
        </w:tc>
        <w:tc>
          <w:tcPr>
            <w:tcW w:w="400" w:type="dxa"/>
            <w:vAlign w:val="bottom"/>
          </w:tcPr>
          <w:p>
            <w:pPr>
              <w:spacing w:after="0"/>
              <w:rPr>
                <w:sz w:val="8"/>
                <w:szCs w:val="8"/>
                <w:color w:val="auto"/>
              </w:rPr>
            </w:pPr>
          </w:p>
        </w:tc>
        <w:tc>
          <w:tcPr>
            <w:tcW w:w="240" w:type="dxa"/>
            <w:vAlign w:val="bottom"/>
          </w:tcPr>
          <w:p>
            <w:pPr>
              <w:spacing w:after="0"/>
              <w:rPr>
                <w:sz w:val="8"/>
                <w:szCs w:val="8"/>
                <w:color w:val="auto"/>
              </w:rPr>
            </w:pPr>
          </w:p>
        </w:tc>
        <w:tc>
          <w:tcPr>
            <w:tcW w:w="120" w:type="dxa"/>
            <w:vAlign w:val="bottom"/>
          </w:tcPr>
          <w:p>
            <w:pPr>
              <w:spacing w:after="0"/>
              <w:rPr>
                <w:sz w:val="8"/>
                <w:szCs w:val="8"/>
                <w:color w:val="auto"/>
              </w:rPr>
            </w:pPr>
          </w:p>
        </w:tc>
        <w:tc>
          <w:tcPr>
            <w:tcW w:w="520" w:type="dxa"/>
            <w:vAlign w:val="bottom"/>
          </w:tcPr>
          <w:p>
            <w:pPr>
              <w:spacing w:after="0"/>
              <w:rPr>
                <w:sz w:val="8"/>
                <w:szCs w:val="8"/>
                <w:color w:val="auto"/>
              </w:rPr>
            </w:pPr>
          </w:p>
        </w:tc>
        <w:tc>
          <w:tcPr>
            <w:tcW w:w="26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360" w:type="dxa"/>
            <w:vAlign w:val="bottom"/>
            <w:tcBorders>
              <w:right w:val="single" w:sz="8" w:color="auto"/>
            </w:tcBorders>
          </w:tcPr>
          <w:p>
            <w:pPr>
              <w:spacing w:after="0"/>
              <w:rPr>
                <w:sz w:val="8"/>
                <w:szCs w:val="8"/>
                <w:color w:val="auto"/>
              </w:rPr>
            </w:pPr>
          </w:p>
        </w:tc>
        <w:tc>
          <w:tcPr>
            <w:tcW w:w="160" w:type="dxa"/>
            <w:vAlign w:val="bottom"/>
          </w:tcPr>
          <w:p>
            <w:pPr>
              <w:spacing w:after="0"/>
              <w:rPr>
                <w:sz w:val="8"/>
                <w:szCs w:val="8"/>
                <w:color w:val="auto"/>
              </w:rPr>
            </w:pPr>
          </w:p>
        </w:tc>
        <w:tc>
          <w:tcPr>
            <w:tcW w:w="540" w:type="dxa"/>
            <w:vAlign w:val="bottom"/>
            <w:gridSpan w:val="3"/>
          </w:tcPr>
          <w:p>
            <w:pPr>
              <w:jc w:val="center"/>
              <w:ind w:right="180"/>
              <w:spacing w:after="0" w:line="102" w:lineRule="exact"/>
              <w:rPr>
                <w:sz w:val="20"/>
                <w:szCs w:val="20"/>
                <w:color w:val="auto"/>
              </w:rPr>
            </w:pPr>
            <w:r>
              <w:rPr>
                <w:rFonts w:ascii="Arial" w:cs="Arial" w:eastAsia="Arial" w:hAnsi="Arial"/>
                <w:sz w:val="11"/>
                <w:szCs w:val="11"/>
                <w:b w:val="1"/>
                <w:bCs w:val="1"/>
                <w:color w:val="auto"/>
                <w:w w:val="93"/>
              </w:rPr>
              <w:t>Period</w:t>
            </w:r>
          </w:p>
        </w:tc>
        <w:tc>
          <w:tcPr>
            <w:tcW w:w="80" w:type="dxa"/>
            <w:vAlign w:val="bottom"/>
          </w:tcPr>
          <w:p>
            <w:pPr>
              <w:spacing w:after="0"/>
              <w:rPr>
                <w:sz w:val="8"/>
                <w:szCs w:val="8"/>
                <w:color w:val="auto"/>
              </w:rPr>
            </w:pPr>
          </w:p>
        </w:tc>
        <w:tc>
          <w:tcPr>
            <w:tcW w:w="60" w:type="dxa"/>
            <w:vAlign w:val="bottom"/>
          </w:tcPr>
          <w:p>
            <w:pPr>
              <w:spacing w:after="0"/>
              <w:rPr>
                <w:sz w:val="8"/>
                <w:szCs w:val="8"/>
                <w:color w:val="auto"/>
              </w:rPr>
            </w:pPr>
          </w:p>
        </w:tc>
        <w:tc>
          <w:tcPr>
            <w:tcW w:w="360" w:type="dxa"/>
            <w:vAlign w:val="bottom"/>
          </w:tcPr>
          <w:p>
            <w:pPr>
              <w:spacing w:after="0"/>
              <w:rPr>
                <w:sz w:val="8"/>
                <w:szCs w:val="8"/>
                <w:color w:val="auto"/>
              </w:rPr>
            </w:pPr>
          </w:p>
        </w:tc>
        <w:tc>
          <w:tcPr>
            <w:tcW w:w="220" w:type="dxa"/>
            <w:vAlign w:val="bottom"/>
          </w:tcPr>
          <w:p>
            <w:pPr>
              <w:spacing w:after="0"/>
              <w:rPr>
                <w:sz w:val="8"/>
                <w:szCs w:val="8"/>
                <w:color w:val="auto"/>
              </w:rPr>
            </w:pPr>
          </w:p>
        </w:tc>
        <w:tc>
          <w:tcPr>
            <w:tcW w:w="60" w:type="dxa"/>
            <w:vAlign w:val="bottom"/>
          </w:tcPr>
          <w:p>
            <w:pPr>
              <w:spacing w:after="0"/>
              <w:rPr>
                <w:sz w:val="8"/>
                <w:szCs w:val="8"/>
                <w:color w:val="auto"/>
              </w:rPr>
            </w:pPr>
          </w:p>
        </w:tc>
        <w:tc>
          <w:tcPr>
            <w:tcW w:w="400" w:type="dxa"/>
            <w:vAlign w:val="bottom"/>
          </w:tcPr>
          <w:p>
            <w:pPr>
              <w:spacing w:after="0"/>
              <w:rPr>
                <w:sz w:val="8"/>
                <w:szCs w:val="8"/>
                <w:color w:val="auto"/>
              </w:rPr>
            </w:pPr>
          </w:p>
        </w:tc>
        <w:tc>
          <w:tcPr>
            <w:tcW w:w="1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22"/>
        </w:trPr>
        <w:tc>
          <w:tcPr>
            <w:tcW w:w="740" w:type="dxa"/>
            <w:vAlign w:val="bottom"/>
          </w:tcPr>
          <w:p>
            <w:pPr>
              <w:spacing w:after="0"/>
              <w:rPr>
                <w:sz w:val="10"/>
                <w:szCs w:val="10"/>
                <w:color w:val="auto"/>
              </w:rPr>
            </w:pPr>
          </w:p>
        </w:tc>
        <w:tc>
          <w:tcPr>
            <w:tcW w:w="164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360" w:type="dxa"/>
            <w:vAlign w:val="bottom"/>
            <w:tcBorders>
              <w:right w:val="single" w:sz="8" w:color="auto"/>
            </w:tcBorders>
          </w:tcPr>
          <w:p>
            <w:pPr>
              <w:spacing w:after="0"/>
              <w:rPr>
                <w:sz w:val="10"/>
                <w:szCs w:val="10"/>
                <w:color w:val="auto"/>
              </w:rPr>
            </w:pPr>
          </w:p>
        </w:tc>
        <w:tc>
          <w:tcPr>
            <w:tcW w:w="1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80" w:type="dxa"/>
            <w:vAlign w:val="bottom"/>
            <w:gridSpan w:val="2"/>
          </w:tcPr>
          <w:p>
            <w:pPr>
              <w:jc w:val="center"/>
              <w:ind w:right="240"/>
              <w:spacing w:after="0" w:line="122" w:lineRule="exact"/>
              <w:rPr>
                <w:sz w:val="20"/>
                <w:szCs w:val="20"/>
                <w:color w:val="auto"/>
              </w:rPr>
            </w:pPr>
            <w:r>
              <w:rPr>
                <w:rFonts w:ascii="Arial" w:cs="Arial" w:eastAsia="Arial" w:hAnsi="Arial"/>
                <w:sz w:val="11"/>
                <w:szCs w:val="11"/>
                <w:b w:val="1"/>
                <w:bCs w:val="1"/>
                <w:color w:val="auto"/>
                <w:w w:val="97"/>
              </w:rPr>
              <w:t>from</w:t>
            </w: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740" w:type="dxa"/>
            <w:vAlign w:val="bottom"/>
          </w:tcPr>
          <w:p>
            <w:pPr>
              <w:spacing w:after="0"/>
              <w:rPr>
                <w:sz w:val="10"/>
                <w:szCs w:val="10"/>
                <w:color w:val="auto"/>
              </w:rPr>
            </w:pPr>
          </w:p>
        </w:tc>
        <w:tc>
          <w:tcPr>
            <w:tcW w:w="1640" w:type="dxa"/>
            <w:vAlign w:val="bottom"/>
          </w:tcPr>
          <w:p>
            <w:pPr>
              <w:spacing w:after="0"/>
              <w:rPr>
                <w:sz w:val="10"/>
                <w:szCs w:val="10"/>
                <w:color w:val="auto"/>
              </w:rPr>
            </w:pPr>
          </w:p>
        </w:tc>
        <w:tc>
          <w:tcPr>
            <w:tcW w:w="660" w:type="dxa"/>
            <w:vAlign w:val="bottom"/>
            <w:gridSpan w:val="2"/>
          </w:tcPr>
          <w:p>
            <w:pPr>
              <w:jc w:val="center"/>
              <w:ind w:right="220"/>
              <w:spacing w:after="0" w:line="122" w:lineRule="exact"/>
              <w:rPr>
                <w:sz w:val="20"/>
                <w:szCs w:val="20"/>
                <w:color w:val="auto"/>
              </w:rPr>
            </w:pPr>
            <w:r>
              <w:rPr>
                <w:rFonts w:ascii="Arial" w:cs="Arial" w:eastAsia="Arial" w:hAnsi="Arial"/>
                <w:sz w:val="11"/>
                <w:szCs w:val="11"/>
                <w:b w:val="1"/>
                <w:bCs w:val="1"/>
                <w:color w:val="auto"/>
                <w:w w:val="93"/>
              </w:rPr>
              <w:t>Three</w:t>
            </w: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gridSpan w:val="2"/>
          </w:tcPr>
          <w:p>
            <w:pPr>
              <w:jc w:val="center"/>
              <w:ind w:right="280"/>
              <w:spacing w:after="0" w:line="122" w:lineRule="exact"/>
              <w:rPr>
                <w:sz w:val="20"/>
                <w:szCs w:val="20"/>
                <w:color w:val="auto"/>
              </w:rPr>
            </w:pPr>
            <w:r>
              <w:rPr>
                <w:rFonts w:ascii="Arial" w:cs="Arial" w:eastAsia="Arial" w:hAnsi="Arial"/>
                <w:sz w:val="11"/>
                <w:szCs w:val="11"/>
                <w:b w:val="1"/>
                <w:bCs w:val="1"/>
                <w:color w:val="auto"/>
                <w:w w:val="93"/>
              </w:rPr>
              <w:t>Three</w:t>
            </w: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40" w:type="dxa"/>
            <w:vAlign w:val="bottom"/>
            <w:gridSpan w:val="2"/>
          </w:tcPr>
          <w:p>
            <w:pPr>
              <w:jc w:val="center"/>
              <w:ind w:right="300"/>
              <w:spacing w:after="0" w:line="122" w:lineRule="exact"/>
              <w:rPr>
                <w:sz w:val="20"/>
                <w:szCs w:val="20"/>
                <w:color w:val="auto"/>
              </w:rPr>
            </w:pPr>
            <w:r>
              <w:rPr>
                <w:rFonts w:ascii="Arial" w:cs="Arial" w:eastAsia="Arial" w:hAnsi="Arial"/>
                <w:sz w:val="11"/>
                <w:szCs w:val="11"/>
                <w:b w:val="1"/>
                <w:bCs w:val="1"/>
                <w:color w:val="auto"/>
                <w:w w:val="93"/>
              </w:rPr>
              <w:t>Three</w:t>
            </w: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60" w:type="dxa"/>
            <w:vAlign w:val="bottom"/>
            <w:gridSpan w:val="2"/>
          </w:tcPr>
          <w:p>
            <w:pPr>
              <w:jc w:val="center"/>
              <w:ind w:right="320"/>
              <w:spacing w:after="0" w:line="122" w:lineRule="exact"/>
              <w:rPr>
                <w:sz w:val="20"/>
                <w:szCs w:val="20"/>
                <w:color w:val="auto"/>
              </w:rPr>
            </w:pPr>
            <w:r>
              <w:rPr>
                <w:rFonts w:ascii="Arial" w:cs="Arial" w:eastAsia="Arial" w:hAnsi="Arial"/>
                <w:sz w:val="11"/>
                <w:szCs w:val="11"/>
                <w:b w:val="1"/>
                <w:bCs w:val="1"/>
                <w:color w:val="auto"/>
                <w:w w:val="93"/>
              </w:rPr>
              <w:t>Three</w:t>
            </w:r>
          </w:p>
        </w:tc>
        <w:tc>
          <w:tcPr>
            <w:tcW w:w="40" w:type="dxa"/>
            <w:vAlign w:val="bottom"/>
          </w:tcPr>
          <w:p>
            <w:pPr>
              <w:spacing w:after="0"/>
              <w:rPr>
                <w:sz w:val="10"/>
                <w:szCs w:val="10"/>
                <w:color w:val="auto"/>
              </w:rPr>
            </w:pPr>
          </w:p>
        </w:tc>
        <w:tc>
          <w:tcPr>
            <w:tcW w:w="720" w:type="dxa"/>
            <w:vAlign w:val="bottom"/>
            <w:gridSpan w:val="2"/>
          </w:tcPr>
          <w:p>
            <w:pPr>
              <w:jc w:val="center"/>
              <w:ind w:right="240"/>
              <w:spacing w:after="0" w:line="122" w:lineRule="exact"/>
              <w:rPr>
                <w:sz w:val="20"/>
                <w:szCs w:val="20"/>
                <w:color w:val="auto"/>
              </w:rPr>
            </w:pPr>
            <w:r>
              <w:rPr>
                <w:rFonts w:ascii="Arial" w:cs="Arial" w:eastAsia="Arial" w:hAnsi="Arial"/>
                <w:sz w:val="11"/>
                <w:szCs w:val="11"/>
                <w:b w:val="1"/>
                <w:bCs w:val="1"/>
                <w:color w:val="auto"/>
                <w:w w:val="93"/>
              </w:rPr>
              <w:t>Three</w:t>
            </w:r>
          </w:p>
        </w:tc>
        <w:tc>
          <w:tcPr>
            <w:tcW w:w="80" w:type="dxa"/>
            <w:vAlign w:val="bottom"/>
          </w:tcPr>
          <w:p>
            <w:pPr>
              <w:spacing w:after="0"/>
              <w:rPr>
                <w:sz w:val="10"/>
                <w:szCs w:val="10"/>
                <w:color w:val="auto"/>
              </w:rPr>
            </w:pPr>
          </w:p>
        </w:tc>
        <w:tc>
          <w:tcPr>
            <w:tcW w:w="640" w:type="dxa"/>
            <w:vAlign w:val="bottom"/>
            <w:gridSpan w:val="2"/>
          </w:tcPr>
          <w:p>
            <w:pPr>
              <w:jc w:val="center"/>
              <w:ind w:right="320"/>
              <w:spacing w:after="0" w:line="122" w:lineRule="exact"/>
              <w:rPr>
                <w:sz w:val="20"/>
                <w:szCs w:val="20"/>
                <w:color w:val="auto"/>
              </w:rPr>
            </w:pPr>
            <w:r>
              <w:rPr>
                <w:rFonts w:ascii="Arial" w:cs="Arial" w:eastAsia="Arial" w:hAnsi="Arial"/>
                <w:sz w:val="11"/>
                <w:szCs w:val="11"/>
                <w:b w:val="1"/>
                <w:bCs w:val="1"/>
                <w:color w:val="auto"/>
                <w:w w:val="93"/>
              </w:rPr>
              <w:t>Three</w:t>
            </w:r>
          </w:p>
        </w:tc>
        <w:tc>
          <w:tcPr>
            <w:tcW w:w="120" w:type="dxa"/>
            <w:vAlign w:val="bottom"/>
          </w:tcPr>
          <w:p>
            <w:pPr>
              <w:spacing w:after="0"/>
              <w:rPr>
                <w:sz w:val="10"/>
                <w:szCs w:val="10"/>
                <w:color w:val="auto"/>
              </w:rPr>
            </w:pPr>
          </w:p>
        </w:tc>
        <w:tc>
          <w:tcPr>
            <w:tcW w:w="780" w:type="dxa"/>
            <w:vAlign w:val="bottom"/>
            <w:gridSpan w:val="2"/>
          </w:tcPr>
          <w:p>
            <w:pPr>
              <w:jc w:val="center"/>
              <w:ind w:right="360"/>
              <w:spacing w:after="0" w:line="122" w:lineRule="exact"/>
              <w:rPr>
                <w:sz w:val="20"/>
                <w:szCs w:val="20"/>
                <w:color w:val="auto"/>
              </w:rPr>
            </w:pPr>
            <w:r>
              <w:rPr>
                <w:rFonts w:ascii="Arial" w:cs="Arial" w:eastAsia="Arial" w:hAnsi="Arial"/>
                <w:sz w:val="11"/>
                <w:szCs w:val="11"/>
                <w:b w:val="1"/>
                <w:bCs w:val="1"/>
                <w:color w:val="auto"/>
                <w:w w:val="86"/>
              </w:rPr>
              <w:t>Three</w:t>
            </w:r>
          </w:p>
        </w:tc>
        <w:tc>
          <w:tcPr>
            <w:tcW w:w="1020" w:type="dxa"/>
            <w:vAlign w:val="bottom"/>
            <w:tcBorders>
              <w:right w:val="single" w:sz="8" w:color="auto"/>
            </w:tcBorders>
            <w:gridSpan w:val="3"/>
          </w:tcPr>
          <w:p>
            <w:pPr>
              <w:jc w:val="center"/>
              <w:ind w:right="340"/>
              <w:spacing w:after="0" w:line="122" w:lineRule="exact"/>
              <w:rPr>
                <w:sz w:val="20"/>
                <w:szCs w:val="20"/>
                <w:color w:val="auto"/>
              </w:rPr>
            </w:pPr>
            <w:r>
              <w:rPr>
                <w:rFonts w:ascii="Arial" w:cs="Arial" w:eastAsia="Arial" w:hAnsi="Arial"/>
                <w:sz w:val="11"/>
                <w:szCs w:val="11"/>
                <w:b w:val="1"/>
                <w:bCs w:val="1"/>
                <w:color w:val="auto"/>
                <w:w w:val="90"/>
              </w:rPr>
              <w:t>Period from</w:t>
            </w:r>
          </w:p>
        </w:tc>
        <w:tc>
          <w:tcPr>
            <w:tcW w:w="160" w:type="dxa"/>
            <w:vAlign w:val="bottom"/>
          </w:tcPr>
          <w:p>
            <w:pPr>
              <w:spacing w:after="0"/>
              <w:rPr>
                <w:sz w:val="10"/>
                <w:szCs w:val="10"/>
                <w:color w:val="auto"/>
              </w:rPr>
            </w:pPr>
          </w:p>
        </w:tc>
        <w:tc>
          <w:tcPr>
            <w:tcW w:w="540" w:type="dxa"/>
            <w:vAlign w:val="bottom"/>
            <w:gridSpan w:val="3"/>
          </w:tcPr>
          <w:p>
            <w:pPr>
              <w:jc w:val="center"/>
              <w:ind w:right="180"/>
              <w:spacing w:after="0" w:line="122" w:lineRule="exact"/>
              <w:rPr>
                <w:sz w:val="20"/>
                <w:szCs w:val="20"/>
                <w:color w:val="auto"/>
              </w:rPr>
            </w:pPr>
            <w:r>
              <w:rPr>
                <w:rFonts w:ascii="Arial" w:cs="Arial" w:eastAsia="Arial" w:hAnsi="Arial"/>
                <w:sz w:val="11"/>
                <w:szCs w:val="11"/>
                <w:b w:val="1"/>
                <w:bCs w:val="1"/>
                <w:color w:val="auto"/>
                <w:w w:val="93"/>
              </w:rPr>
              <w:t>July 1,</w:t>
            </w: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80" w:type="dxa"/>
            <w:vAlign w:val="bottom"/>
            <w:gridSpan w:val="2"/>
          </w:tcPr>
          <w:p>
            <w:pPr>
              <w:jc w:val="center"/>
              <w:ind w:right="300"/>
              <w:spacing w:after="0" w:line="122" w:lineRule="exact"/>
              <w:rPr>
                <w:sz w:val="20"/>
                <w:szCs w:val="20"/>
                <w:color w:val="auto"/>
              </w:rPr>
            </w:pPr>
            <w:r>
              <w:rPr>
                <w:rFonts w:ascii="Arial" w:cs="Arial" w:eastAsia="Arial" w:hAnsi="Arial"/>
                <w:sz w:val="11"/>
                <w:szCs w:val="11"/>
                <w:b w:val="1"/>
                <w:bCs w:val="1"/>
                <w:color w:val="auto"/>
                <w:w w:val="93"/>
              </w:rPr>
              <w:t>Three</w:t>
            </w:r>
          </w:p>
        </w:tc>
        <w:tc>
          <w:tcPr>
            <w:tcW w:w="60" w:type="dxa"/>
            <w:vAlign w:val="bottom"/>
          </w:tcPr>
          <w:p>
            <w:pPr>
              <w:spacing w:after="0"/>
              <w:rPr>
                <w:sz w:val="10"/>
                <w:szCs w:val="10"/>
                <w:color w:val="auto"/>
              </w:rPr>
            </w:pPr>
          </w:p>
        </w:tc>
        <w:tc>
          <w:tcPr>
            <w:tcW w:w="560" w:type="dxa"/>
            <w:vAlign w:val="bottom"/>
            <w:gridSpan w:val="2"/>
          </w:tcPr>
          <w:p>
            <w:pPr>
              <w:jc w:val="center"/>
              <w:ind w:right="220"/>
              <w:spacing w:after="0" w:line="122" w:lineRule="exact"/>
              <w:rPr>
                <w:sz w:val="20"/>
                <w:szCs w:val="20"/>
                <w:color w:val="auto"/>
              </w:rPr>
            </w:pPr>
            <w:r>
              <w:rPr>
                <w:rFonts w:ascii="Arial" w:cs="Arial" w:eastAsia="Arial" w:hAnsi="Arial"/>
                <w:sz w:val="11"/>
                <w:szCs w:val="11"/>
                <w:b w:val="1"/>
                <w:bCs w:val="1"/>
                <w:color w:val="auto"/>
                <w:w w:val="86"/>
              </w:rPr>
              <w:t>Three</w:t>
            </w:r>
          </w:p>
        </w:tc>
        <w:tc>
          <w:tcPr>
            <w:tcW w:w="0" w:type="dxa"/>
            <w:vAlign w:val="bottom"/>
          </w:tcPr>
          <w:p>
            <w:pPr>
              <w:spacing w:after="0"/>
              <w:rPr>
                <w:sz w:val="1"/>
                <w:szCs w:val="1"/>
                <w:color w:val="auto"/>
              </w:rPr>
            </w:pPr>
          </w:p>
        </w:tc>
      </w:tr>
      <w:tr>
        <w:trPr>
          <w:trHeight w:val="122"/>
        </w:trPr>
        <w:tc>
          <w:tcPr>
            <w:tcW w:w="740" w:type="dxa"/>
            <w:vAlign w:val="bottom"/>
          </w:tcPr>
          <w:p>
            <w:pPr>
              <w:spacing w:after="0"/>
              <w:rPr>
                <w:sz w:val="10"/>
                <w:szCs w:val="10"/>
                <w:color w:val="auto"/>
              </w:rPr>
            </w:pPr>
          </w:p>
        </w:tc>
        <w:tc>
          <w:tcPr>
            <w:tcW w:w="1640" w:type="dxa"/>
            <w:vAlign w:val="bottom"/>
          </w:tcPr>
          <w:p>
            <w:pPr>
              <w:spacing w:after="0"/>
              <w:rPr>
                <w:sz w:val="10"/>
                <w:szCs w:val="10"/>
                <w:color w:val="auto"/>
              </w:rPr>
            </w:pPr>
          </w:p>
        </w:tc>
        <w:tc>
          <w:tcPr>
            <w:tcW w:w="660" w:type="dxa"/>
            <w:vAlign w:val="bottom"/>
            <w:gridSpan w:val="2"/>
          </w:tcPr>
          <w:p>
            <w:pPr>
              <w:jc w:val="center"/>
              <w:ind w:right="220"/>
              <w:spacing w:after="0" w:line="122" w:lineRule="exact"/>
              <w:rPr>
                <w:sz w:val="20"/>
                <w:szCs w:val="20"/>
                <w:color w:val="auto"/>
              </w:rPr>
            </w:pPr>
            <w:r>
              <w:rPr>
                <w:rFonts w:ascii="Arial" w:cs="Arial" w:eastAsia="Arial" w:hAnsi="Arial"/>
                <w:sz w:val="11"/>
                <w:szCs w:val="11"/>
                <w:b w:val="1"/>
                <w:bCs w:val="1"/>
                <w:color w:val="auto"/>
                <w:w w:val="91"/>
              </w:rPr>
              <w:t>Months</w:t>
            </w:r>
          </w:p>
        </w:tc>
        <w:tc>
          <w:tcPr>
            <w:tcW w:w="40" w:type="dxa"/>
            <w:vAlign w:val="bottom"/>
          </w:tcPr>
          <w:p>
            <w:pPr>
              <w:spacing w:after="0"/>
              <w:rPr>
                <w:sz w:val="10"/>
                <w:szCs w:val="10"/>
                <w:color w:val="auto"/>
              </w:rPr>
            </w:pPr>
          </w:p>
        </w:tc>
        <w:tc>
          <w:tcPr>
            <w:tcW w:w="680" w:type="dxa"/>
            <w:vAlign w:val="bottom"/>
            <w:gridSpan w:val="3"/>
          </w:tcPr>
          <w:p>
            <w:pPr>
              <w:jc w:val="center"/>
              <w:ind w:right="200"/>
              <w:spacing w:after="0" w:line="122" w:lineRule="exact"/>
              <w:rPr>
                <w:sz w:val="20"/>
                <w:szCs w:val="20"/>
                <w:color w:val="auto"/>
              </w:rPr>
            </w:pPr>
            <w:r>
              <w:rPr>
                <w:rFonts w:ascii="Arial" w:cs="Arial" w:eastAsia="Arial" w:hAnsi="Arial"/>
                <w:sz w:val="11"/>
                <w:szCs w:val="11"/>
                <w:b w:val="1"/>
                <w:bCs w:val="1"/>
                <w:color w:val="auto"/>
                <w:w w:val="91"/>
              </w:rPr>
              <w:t>Months</w:t>
            </w: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40" w:type="dxa"/>
            <w:vAlign w:val="bottom"/>
            <w:gridSpan w:val="2"/>
          </w:tcPr>
          <w:p>
            <w:pPr>
              <w:jc w:val="center"/>
              <w:ind w:right="300"/>
              <w:spacing w:after="0" w:line="122" w:lineRule="exact"/>
              <w:rPr>
                <w:sz w:val="20"/>
                <w:szCs w:val="20"/>
                <w:color w:val="auto"/>
              </w:rPr>
            </w:pPr>
            <w:r>
              <w:rPr>
                <w:rFonts w:ascii="Arial" w:cs="Arial" w:eastAsia="Arial" w:hAnsi="Arial"/>
                <w:sz w:val="11"/>
                <w:szCs w:val="11"/>
                <w:b w:val="1"/>
                <w:bCs w:val="1"/>
                <w:color w:val="auto"/>
                <w:w w:val="91"/>
              </w:rPr>
              <w:t>Months</w:t>
            </w: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60" w:type="dxa"/>
            <w:vAlign w:val="bottom"/>
            <w:gridSpan w:val="2"/>
          </w:tcPr>
          <w:p>
            <w:pPr>
              <w:jc w:val="center"/>
              <w:ind w:right="320"/>
              <w:spacing w:after="0" w:line="122" w:lineRule="exact"/>
              <w:rPr>
                <w:sz w:val="20"/>
                <w:szCs w:val="20"/>
                <w:color w:val="auto"/>
              </w:rPr>
            </w:pPr>
            <w:r>
              <w:rPr>
                <w:rFonts w:ascii="Arial" w:cs="Arial" w:eastAsia="Arial" w:hAnsi="Arial"/>
                <w:sz w:val="11"/>
                <w:szCs w:val="11"/>
                <w:b w:val="1"/>
                <w:bCs w:val="1"/>
                <w:color w:val="auto"/>
                <w:w w:val="91"/>
              </w:rPr>
              <w:t>Months</w:t>
            </w:r>
          </w:p>
        </w:tc>
        <w:tc>
          <w:tcPr>
            <w:tcW w:w="40" w:type="dxa"/>
            <w:vAlign w:val="bottom"/>
          </w:tcPr>
          <w:p>
            <w:pPr>
              <w:spacing w:after="0"/>
              <w:rPr>
                <w:sz w:val="10"/>
                <w:szCs w:val="10"/>
                <w:color w:val="auto"/>
              </w:rPr>
            </w:pPr>
          </w:p>
        </w:tc>
        <w:tc>
          <w:tcPr>
            <w:tcW w:w="720" w:type="dxa"/>
            <w:vAlign w:val="bottom"/>
            <w:gridSpan w:val="2"/>
          </w:tcPr>
          <w:p>
            <w:pPr>
              <w:jc w:val="center"/>
              <w:ind w:right="240"/>
              <w:spacing w:after="0" w:line="122" w:lineRule="exact"/>
              <w:rPr>
                <w:sz w:val="20"/>
                <w:szCs w:val="20"/>
                <w:color w:val="auto"/>
              </w:rPr>
            </w:pPr>
            <w:r>
              <w:rPr>
                <w:rFonts w:ascii="Arial" w:cs="Arial" w:eastAsia="Arial" w:hAnsi="Arial"/>
                <w:sz w:val="11"/>
                <w:szCs w:val="11"/>
                <w:b w:val="1"/>
                <w:bCs w:val="1"/>
                <w:color w:val="auto"/>
                <w:w w:val="91"/>
              </w:rPr>
              <w:t>Months</w:t>
            </w:r>
          </w:p>
        </w:tc>
        <w:tc>
          <w:tcPr>
            <w:tcW w:w="720" w:type="dxa"/>
            <w:vAlign w:val="bottom"/>
            <w:gridSpan w:val="3"/>
          </w:tcPr>
          <w:p>
            <w:pPr>
              <w:jc w:val="center"/>
              <w:ind w:right="240"/>
              <w:spacing w:after="0" w:line="122" w:lineRule="exact"/>
              <w:rPr>
                <w:sz w:val="20"/>
                <w:szCs w:val="20"/>
                <w:color w:val="auto"/>
              </w:rPr>
            </w:pPr>
            <w:r>
              <w:rPr>
                <w:rFonts w:ascii="Arial" w:cs="Arial" w:eastAsia="Arial" w:hAnsi="Arial"/>
                <w:sz w:val="11"/>
                <w:szCs w:val="11"/>
                <w:b w:val="1"/>
                <w:bCs w:val="1"/>
                <w:color w:val="auto"/>
                <w:w w:val="91"/>
              </w:rPr>
              <w:t>Months</w:t>
            </w:r>
          </w:p>
        </w:tc>
        <w:tc>
          <w:tcPr>
            <w:tcW w:w="120" w:type="dxa"/>
            <w:vAlign w:val="bottom"/>
          </w:tcPr>
          <w:p>
            <w:pPr>
              <w:spacing w:after="0"/>
              <w:rPr>
                <w:sz w:val="10"/>
                <w:szCs w:val="10"/>
                <w:color w:val="auto"/>
              </w:rPr>
            </w:pPr>
          </w:p>
        </w:tc>
        <w:tc>
          <w:tcPr>
            <w:tcW w:w="780" w:type="dxa"/>
            <w:vAlign w:val="bottom"/>
            <w:gridSpan w:val="2"/>
          </w:tcPr>
          <w:p>
            <w:pPr>
              <w:jc w:val="center"/>
              <w:ind w:right="360"/>
              <w:spacing w:after="0" w:line="122" w:lineRule="exact"/>
              <w:rPr>
                <w:sz w:val="20"/>
                <w:szCs w:val="20"/>
                <w:color w:val="auto"/>
              </w:rPr>
            </w:pPr>
            <w:r>
              <w:rPr>
                <w:rFonts w:ascii="Arial" w:cs="Arial" w:eastAsia="Arial" w:hAnsi="Arial"/>
                <w:sz w:val="11"/>
                <w:szCs w:val="11"/>
                <w:b w:val="1"/>
                <w:bCs w:val="1"/>
                <w:color w:val="auto"/>
                <w:w w:val="86"/>
              </w:rPr>
              <w:t>Months</w:t>
            </w:r>
          </w:p>
        </w:tc>
        <w:tc>
          <w:tcPr>
            <w:tcW w:w="100" w:type="dxa"/>
            <w:vAlign w:val="bottom"/>
          </w:tcPr>
          <w:p>
            <w:pPr>
              <w:spacing w:after="0"/>
              <w:rPr>
                <w:sz w:val="10"/>
                <w:szCs w:val="10"/>
                <w:color w:val="auto"/>
              </w:rPr>
            </w:pPr>
          </w:p>
        </w:tc>
        <w:tc>
          <w:tcPr>
            <w:tcW w:w="920" w:type="dxa"/>
            <w:vAlign w:val="bottom"/>
            <w:tcBorders>
              <w:right w:val="single" w:sz="8" w:color="auto"/>
            </w:tcBorders>
            <w:gridSpan w:val="2"/>
          </w:tcPr>
          <w:p>
            <w:pPr>
              <w:jc w:val="center"/>
              <w:ind w:right="440"/>
              <w:spacing w:after="0" w:line="122" w:lineRule="exact"/>
              <w:rPr>
                <w:sz w:val="20"/>
                <w:szCs w:val="20"/>
                <w:color w:val="auto"/>
              </w:rPr>
            </w:pPr>
            <w:r>
              <w:rPr>
                <w:rFonts w:ascii="Arial" w:cs="Arial" w:eastAsia="Arial" w:hAnsi="Arial"/>
                <w:sz w:val="11"/>
                <w:szCs w:val="11"/>
                <w:b w:val="1"/>
                <w:bCs w:val="1"/>
                <w:color w:val="auto"/>
                <w:w w:val="89"/>
              </w:rPr>
              <w:t>July 16,</w:t>
            </w:r>
          </w:p>
        </w:tc>
        <w:tc>
          <w:tcPr>
            <w:tcW w:w="1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00" w:type="dxa"/>
            <w:vAlign w:val="bottom"/>
          </w:tcPr>
          <w:p>
            <w:pPr>
              <w:jc w:val="center"/>
              <w:ind w:right="19"/>
              <w:spacing w:after="0" w:line="122" w:lineRule="exact"/>
              <w:rPr>
                <w:sz w:val="20"/>
                <w:szCs w:val="20"/>
                <w:color w:val="auto"/>
              </w:rPr>
            </w:pPr>
            <w:r>
              <w:rPr>
                <w:rFonts w:ascii="Arial" w:cs="Arial" w:eastAsia="Arial" w:hAnsi="Arial"/>
                <w:sz w:val="11"/>
                <w:szCs w:val="11"/>
                <w:b w:val="1"/>
                <w:bCs w:val="1"/>
                <w:color w:val="auto"/>
                <w:w w:val="89"/>
              </w:rPr>
              <w:t>2019</w:t>
            </w:r>
          </w:p>
        </w:tc>
        <w:tc>
          <w:tcPr>
            <w:tcW w:w="1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gridSpan w:val="3"/>
          </w:tcPr>
          <w:p>
            <w:pPr>
              <w:jc w:val="center"/>
              <w:ind w:right="240"/>
              <w:spacing w:after="0" w:line="122" w:lineRule="exact"/>
              <w:rPr>
                <w:sz w:val="20"/>
                <w:szCs w:val="20"/>
                <w:color w:val="auto"/>
              </w:rPr>
            </w:pPr>
            <w:r>
              <w:rPr>
                <w:rFonts w:ascii="Arial" w:cs="Arial" w:eastAsia="Arial" w:hAnsi="Arial"/>
                <w:sz w:val="11"/>
                <w:szCs w:val="11"/>
                <w:b w:val="1"/>
                <w:bCs w:val="1"/>
                <w:color w:val="auto"/>
                <w:w w:val="91"/>
              </w:rPr>
              <w:t>Months</w:t>
            </w:r>
          </w:p>
        </w:tc>
        <w:tc>
          <w:tcPr>
            <w:tcW w:w="620" w:type="dxa"/>
            <w:vAlign w:val="bottom"/>
            <w:gridSpan w:val="3"/>
          </w:tcPr>
          <w:p>
            <w:pPr>
              <w:jc w:val="center"/>
              <w:ind w:right="160"/>
              <w:spacing w:after="0" w:line="122" w:lineRule="exact"/>
              <w:rPr>
                <w:sz w:val="20"/>
                <w:szCs w:val="20"/>
                <w:color w:val="auto"/>
              </w:rPr>
            </w:pPr>
            <w:r>
              <w:rPr>
                <w:rFonts w:ascii="Arial" w:cs="Arial" w:eastAsia="Arial" w:hAnsi="Arial"/>
                <w:sz w:val="11"/>
                <w:szCs w:val="11"/>
                <w:b w:val="1"/>
                <w:bCs w:val="1"/>
                <w:color w:val="auto"/>
                <w:w w:val="86"/>
              </w:rPr>
              <w:t>Months</w:t>
            </w:r>
          </w:p>
        </w:tc>
        <w:tc>
          <w:tcPr>
            <w:tcW w:w="0" w:type="dxa"/>
            <w:vAlign w:val="bottom"/>
          </w:tcPr>
          <w:p>
            <w:pPr>
              <w:spacing w:after="0"/>
              <w:rPr>
                <w:sz w:val="1"/>
                <w:szCs w:val="1"/>
                <w:color w:val="auto"/>
              </w:rPr>
            </w:pPr>
          </w:p>
        </w:tc>
      </w:tr>
      <w:tr>
        <w:trPr>
          <w:trHeight w:val="121"/>
        </w:trPr>
        <w:tc>
          <w:tcPr>
            <w:tcW w:w="740" w:type="dxa"/>
            <w:vAlign w:val="bottom"/>
          </w:tcPr>
          <w:p>
            <w:pPr>
              <w:spacing w:after="0"/>
              <w:rPr>
                <w:sz w:val="10"/>
                <w:szCs w:val="10"/>
                <w:color w:val="auto"/>
              </w:rPr>
            </w:pPr>
          </w:p>
        </w:tc>
        <w:tc>
          <w:tcPr>
            <w:tcW w:w="1640" w:type="dxa"/>
            <w:vAlign w:val="bottom"/>
          </w:tcPr>
          <w:p>
            <w:pPr>
              <w:spacing w:after="0"/>
              <w:rPr>
                <w:sz w:val="10"/>
                <w:szCs w:val="10"/>
                <w:color w:val="auto"/>
              </w:rPr>
            </w:pPr>
          </w:p>
        </w:tc>
        <w:tc>
          <w:tcPr>
            <w:tcW w:w="660" w:type="dxa"/>
            <w:vAlign w:val="bottom"/>
            <w:gridSpan w:val="2"/>
          </w:tcPr>
          <w:p>
            <w:pPr>
              <w:jc w:val="center"/>
              <w:ind w:right="200"/>
              <w:spacing w:after="0" w:line="122" w:lineRule="exact"/>
              <w:rPr>
                <w:sz w:val="20"/>
                <w:szCs w:val="20"/>
                <w:color w:val="auto"/>
              </w:rPr>
            </w:pPr>
            <w:r>
              <w:rPr>
                <w:rFonts w:ascii="Arial" w:cs="Arial" w:eastAsia="Arial" w:hAnsi="Arial"/>
                <w:sz w:val="11"/>
                <w:szCs w:val="11"/>
                <w:b w:val="1"/>
                <w:bCs w:val="1"/>
                <w:color w:val="auto"/>
                <w:w w:val="89"/>
              </w:rPr>
              <w:t>Ended</w:t>
            </w: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gridSpan w:val="2"/>
          </w:tcPr>
          <w:p>
            <w:pPr>
              <w:jc w:val="center"/>
              <w:ind w:right="260"/>
              <w:spacing w:after="0" w:line="122" w:lineRule="exact"/>
              <w:rPr>
                <w:sz w:val="20"/>
                <w:szCs w:val="20"/>
                <w:color w:val="auto"/>
              </w:rPr>
            </w:pPr>
            <w:r>
              <w:rPr>
                <w:rFonts w:ascii="Arial" w:cs="Arial" w:eastAsia="Arial" w:hAnsi="Arial"/>
                <w:sz w:val="11"/>
                <w:szCs w:val="11"/>
                <w:b w:val="1"/>
                <w:bCs w:val="1"/>
                <w:color w:val="auto"/>
                <w:w w:val="89"/>
              </w:rPr>
              <w:t>Ended</w:t>
            </w: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40" w:type="dxa"/>
            <w:vAlign w:val="bottom"/>
            <w:gridSpan w:val="2"/>
          </w:tcPr>
          <w:p>
            <w:pPr>
              <w:jc w:val="center"/>
              <w:ind w:right="320"/>
              <w:spacing w:after="0" w:line="122" w:lineRule="exact"/>
              <w:rPr>
                <w:sz w:val="20"/>
                <w:szCs w:val="20"/>
                <w:color w:val="auto"/>
              </w:rPr>
            </w:pPr>
            <w:r>
              <w:rPr>
                <w:rFonts w:ascii="Arial" w:cs="Arial" w:eastAsia="Arial" w:hAnsi="Arial"/>
                <w:sz w:val="11"/>
                <w:szCs w:val="11"/>
                <w:b w:val="1"/>
                <w:bCs w:val="1"/>
                <w:color w:val="auto"/>
                <w:w w:val="89"/>
              </w:rPr>
              <w:t>Ended</w:t>
            </w: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60" w:type="dxa"/>
            <w:vAlign w:val="bottom"/>
            <w:gridSpan w:val="2"/>
          </w:tcPr>
          <w:p>
            <w:pPr>
              <w:jc w:val="center"/>
              <w:ind w:right="340"/>
              <w:spacing w:after="0" w:line="122" w:lineRule="exact"/>
              <w:rPr>
                <w:sz w:val="20"/>
                <w:szCs w:val="20"/>
                <w:color w:val="auto"/>
              </w:rPr>
            </w:pPr>
            <w:r>
              <w:rPr>
                <w:rFonts w:ascii="Arial" w:cs="Arial" w:eastAsia="Arial" w:hAnsi="Arial"/>
                <w:sz w:val="11"/>
                <w:szCs w:val="11"/>
                <w:b w:val="1"/>
                <w:bCs w:val="1"/>
                <w:color w:val="auto"/>
                <w:w w:val="89"/>
              </w:rPr>
              <w:t>Ended</w:t>
            </w:r>
          </w:p>
        </w:tc>
        <w:tc>
          <w:tcPr>
            <w:tcW w:w="40" w:type="dxa"/>
            <w:vAlign w:val="bottom"/>
          </w:tcPr>
          <w:p>
            <w:pPr>
              <w:spacing w:after="0"/>
              <w:rPr>
                <w:sz w:val="10"/>
                <w:szCs w:val="10"/>
                <w:color w:val="auto"/>
              </w:rPr>
            </w:pPr>
          </w:p>
        </w:tc>
        <w:tc>
          <w:tcPr>
            <w:tcW w:w="720" w:type="dxa"/>
            <w:vAlign w:val="bottom"/>
            <w:gridSpan w:val="2"/>
          </w:tcPr>
          <w:p>
            <w:pPr>
              <w:jc w:val="center"/>
              <w:ind w:right="260"/>
              <w:spacing w:after="0" w:line="122" w:lineRule="exact"/>
              <w:rPr>
                <w:sz w:val="20"/>
                <w:szCs w:val="20"/>
                <w:color w:val="auto"/>
              </w:rPr>
            </w:pPr>
            <w:r>
              <w:rPr>
                <w:rFonts w:ascii="Arial" w:cs="Arial" w:eastAsia="Arial" w:hAnsi="Arial"/>
                <w:sz w:val="11"/>
                <w:szCs w:val="11"/>
                <w:b w:val="1"/>
                <w:bCs w:val="1"/>
                <w:color w:val="auto"/>
                <w:w w:val="89"/>
              </w:rPr>
              <w:t>Ended</w:t>
            </w:r>
          </w:p>
        </w:tc>
        <w:tc>
          <w:tcPr>
            <w:tcW w:w="80" w:type="dxa"/>
            <w:vAlign w:val="bottom"/>
          </w:tcPr>
          <w:p>
            <w:pPr>
              <w:spacing w:after="0"/>
              <w:rPr>
                <w:sz w:val="10"/>
                <w:szCs w:val="10"/>
                <w:color w:val="auto"/>
              </w:rPr>
            </w:pPr>
          </w:p>
        </w:tc>
        <w:tc>
          <w:tcPr>
            <w:tcW w:w="640" w:type="dxa"/>
            <w:vAlign w:val="bottom"/>
            <w:gridSpan w:val="2"/>
          </w:tcPr>
          <w:p>
            <w:pPr>
              <w:jc w:val="center"/>
              <w:ind w:right="340"/>
              <w:spacing w:after="0" w:line="122" w:lineRule="exact"/>
              <w:rPr>
                <w:sz w:val="20"/>
                <w:szCs w:val="20"/>
                <w:color w:val="auto"/>
              </w:rPr>
            </w:pPr>
            <w:r>
              <w:rPr>
                <w:rFonts w:ascii="Arial" w:cs="Arial" w:eastAsia="Arial" w:hAnsi="Arial"/>
                <w:sz w:val="11"/>
                <w:szCs w:val="11"/>
                <w:b w:val="1"/>
                <w:bCs w:val="1"/>
                <w:color w:val="auto"/>
                <w:w w:val="89"/>
              </w:rPr>
              <w:t>Ended</w:t>
            </w:r>
          </w:p>
        </w:tc>
        <w:tc>
          <w:tcPr>
            <w:tcW w:w="120" w:type="dxa"/>
            <w:vAlign w:val="bottom"/>
          </w:tcPr>
          <w:p>
            <w:pPr>
              <w:spacing w:after="0"/>
              <w:rPr>
                <w:sz w:val="10"/>
                <w:szCs w:val="10"/>
                <w:color w:val="auto"/>
              </w:rPr>
            </w:pPr>
          </w:p>
        </w:tc>
        <w:tc>
          <w:tcPr>
            <w:tcW w:w="780" w:type="dxa"/>
            <w:vAlign w:val="bottom"/>
            <w:gridSpan w:val="2"/>
          </w:tcPr>
          <w:p>
            <w:pPr>
              <w:jc w:val="center"/>
              <w:ind w:right="360"/>
              <w:spacing w:after="0" w:line="122" w:lineRule="exact"/>
              <w:rPr>
                <w:sz w:val="20"/>
                <w:szCs w:val="20"/>
                <w:color w:val="auto"/>
              </w:rPr>
            </w:pPr>
            <w:r>
              <w:rPr>
                <w:rFonts w:ascii="Arial" w:cs="Arial" w:eastAsia="Arial" w:hAnsi="Arial"/>
                <w:sz w:val="11"/>
                <w:szCs w:val="11"/>
                <w:b w:val="1"/>
                <w:bCs w:val="1"/>
                <w:color w:val="auto"/>
                <w:w w:val="89"/>
              </w:rPr>
              <w:t>Ended</w:t>
            </w:r>
          </w:p>
        </w:tc>
        <w:tc>
          <w:tcPr>
            <w:tcW w:w="100" w:type="dxa"/>
            <w:vAlign w:val="bottom"/>
          </w:tcPr>
          <w:p>
            <w:pPr>
              <w:spacing w:after="0"/>
              <w:rPr>
                <w:sz w:val="10"/>
                <w:szCs w:val="10"/>
                <w:color w:val="auto"/>
              </w:rPr>
            </w:pPr>
          </w:p>
        </w:tc>
        <w:tc>
          <w:tcPr>
            <w:tcW w:w="920" w:type="dxa"/>
            <w:vAlign w:val="bottom"/>
            <w:tcBorders>
              <w:right w:val="single" w:sz="8" w:color="auto"/>
            </w:tcBorders>
            <w:gridSpan w:val="2"/>
          </w:tcPr>
          <w:p>
            <w:pPr>
              <w:jc w:val="center"/>
              <w:ind w:right="460"/>
              <w:spacing w:after="0" w:line="122" w:lineRule="exact"/>
              <w:rPr>
                <w:sz w:val="20"/>
                <w:szCs w:val="20"/>
                <w:color w:val="auto"/>
              </w:rPr>
            </w:pPr>
            <w:r>
              <w:rPr>
                <w:rFonts w:ascii="Arial" w:cs="Arial" w:eastAsia="Arial" w:hAnsi="Arial"/>
                <w:sz w:val="11"/>
                <w:szCs w:val="11"/>
                <w:b w:val="1"/>
                <w:bCs w:val="1"/>
                <w:color w:val="auto"/>
                <w:w w:val="89"/>
              </w:rPr>
              <w:t>2019 to</w:t>
            </w:r>
          </w:p>
        </w:tc>
        <w:tc>
          <w:tcPr>
            <w:tcW w:w="1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80" w:type="dxa"/>
            <w:vAlign w:val="bottom"/>
            <w:gridSpan w:val="2"/>
          </w:tcPr>
          <w:p>
            <w:pPr>
              <w:jc w:val="center"/>
              <w:ind w:right="240"/>
              <w:spacing w:after="0" w:line="122" w:lineRule="exact"/>
              <w:rPr>
                <w:sz w:val="20"/>
                <w:szCs w:val="20"/>
                <w:color w:val="auto"/>
              </w:rPr>
            </w:pPr>
            <w:r>
              <w:rPr>
                <w:rFonts w:ascii="Arial" w:cs="Arial" w:eastAsia="Arial" w:hAnsi="Arial"/>
                <w:sz w:val="11"/>
                <w:szCs w:val="11"/>
                <w:b w:val="1"/>
                <w:bCs w:val="1"/>
                <w:color w:val="auto"/>
                <w:w w:val="76"/>
              </w:rPr>
              <w:t>to</w:t>
            </w:r>
          </w:p>
        </w:tc>
        <w:tc>
          <w:tcPr>
            <w:tcW w:w="80" w:type="dxa"/>
            <w:vAlign w:val="bottom"/>
          </w:tcPr>
          <w:p>
            <w:pPr>
              <w:spacing w:after="0"/>
              <w:rPr>
                <w:sz w:val="10"/>
                <w:szCs w:val="10"/>
                <w:color w:val="auto"/>
              </w:rPr>
            </w:pPr>
          </w:p>
        </w:tc>
        <w:tc>
          <w:tcPr>
            <w:tcW w:w="640" w:type="dxa"/>
            <w:vAlign w:val="bottom"/>
            <w:gridSpan w:val="3"/>
          </w:tcPr>
          <w:p>
            <w:pPr>
              <w:jc w:val="center"/>
              <w:ind w:right="220"/>
              <w:spacing w:after="0" w:line="122" w:lineRule="exact"/>
              <w:rPr>
                <w:sz w:val="20"/>
                <w:szCs w:val="20"/>
                <w:color w:val="auto"/>
              </w:rPr>
            </w:pPr>
            <w:r>
              <w:rPr>
                <w:rFonts w:ascii="Arial" w:cs="Arial" w:eastAsia="Arial" w:hAnsi="Arial"/>
                <w:sz w:val="11"/>
                <w:szCs w:val="11"/>
                <w:b w:val="1"/>
                <w:bCs w:val="1"/>
                <w:color w:val="auto"/>
                <w:w w:val="89"/>
              </w:rPr>
              <w:t>Ended</w:t>
            </w:r>
          </w:p>
        </w:tc>
        <w:tc>
          <w:tcPr>
            <w:tcW w:w="60" w:type="dxa"/>
            <w:vAlign w:val="bottom"/>
          </w:tcPr>
          <w:p>
            <w:pPr>
              <w:spacing w:after="0"/>
              <w:rPr>
                <w:sz w:val="10"/>
                <w:szCs w:val="10"/>
                <w:color w:val="auto"/>
              </w:rPr>
            </w:pPr>
          </w:p>
        </w:tc>
        <w:tc>
          <w:tcPr>
            <w:tcW w:w="560" w:type="dxa"/>
            <w:vAlign w:val="bottom"/>
            <w:gridSpan w:val="2"/>
          </w:tcPr>
          <w:p>
            <w:pPr>
              <w:jc w:val="center"/>
              <w:ind w:right="220"/>
              <w:spacing w:after="0" w:line="122" w:lineRule="exact"/>
              <w:rPr>
                <w:sz w:val="20"/>
                <w:szCs w:val="20"/>
                <w:color w:val="auto"/>
              </w:rPr>
            </w:pPr>
            <w:r>
              <w:rPr>
                <w:rFonts w:ascii="Arial" w:cs="Arial" w:eastAsia="Arial" w:hAnsi="Arial"/>
                <w:sz w:val="11"/>
                <w:szCs w:val="11"/>
                <w:b w:val="1"/>
                <w:bCs w:val="1"/>
                <w:color w:val="auto"/>
                <w:w w:val="89"/>
              </w:rPr>
              <w:t>Ended</w:t>
            </w:r>
          </w:p>
        </w:tc>
        <w:tc>
          <w:tcPr>
            <w:tcW w:w="0" w:type="dxa"/>
            <w:vAlign w:val="bottom"/>
          </w:tcPr>
          <w:p>
            <w:pPr>
              <w:spacing w:after="0"/>
              <w:rPr>
                <w:sz w:val="1"/>
                <w:szCs w:val="1"/>
                <w:color w:val="auto"/>
              </w:rPr>
            </w:pPr>
          </w:p>
        </w:tc>
      </w:tr>
      <w:tr>
        <w:trPr>
          <w:trHeight w:val="122"/>
        </w:trPr>
        <w:tc>
          <w:tcPr>
            <w:tcW w:w="740" w:type="dxa"/>
            <w:vAlign w:val="bottom"/>
            <w:vMerge w:val="restart"/>
          </w:tcPr>
          <w:p>
            <w:pPr>
              <w:spacing w:after="0"/>
              <w:rPr>
                <w:sz w:val="20"/>
                <w:szCs w:val="20"/>
                <w:color w:val="auto"/>
              </w:rPr>
            </w:pPr>
            <w:r>
              <w:rPr>
                <w:rFonts w:ascii="Arial" w:cs="Arial" w:eastAsia="Arial" w:hAnsi="Arial"/>
                <w:sz w:val="11"/>
                <w:szCs w:val="11"/>
                <w:b w:val="1"/>
                <w:bCs w:val="1"/>
                <w:u w:val="single" w:color="auto"/>
                <w:color w:val="auto"/>
                <w:w w:val="84"/>
              </w:rPr>
              <w:t>(</w:t>
            </w:r>
            <w:r>
              <w:rPr>
                <w:rFonts w:ascii="Arial" w:cs="Arial" w:eastAsia="Arial" w:hAnsi="Arial"/>
                <w:sz w:val="11"/>
                <w:szCs w:val="11"/>
                <w:b w:val="1"/>
                <w:bCs w:val="1"/>
                <w:color w:val="auto"/>
                <w:w w:val="84"/>
              </w:rPr>
              <w:t>$ in thousands)</w:t>
            </w:r>
          </w:p>
        </w:tc>
        <w:tc>
          <w:tcPr>
            <w:tcW w:w="1640" w:type="dxa"/>
            <w:vAlign w:val="bottom"/>
            <w:vMerge w:val="restart"/>
          </w:tcPr>
          <w:p>
            <w:pPr>
              <w:spacing w:after="0"/>
              <w:rPr>
                <w:sz w:val="10"/>
                <w:szCs w:val="10"/>
                <w:color w:val="auto"/>
              </w:rPr>
            </w:pPr>
          </w:p>
        </w:tc>
        <w:tc>
          <w:tcPr>
            <w:tcW w:w="660" w:type="dxa"/>
            <w:vAlign w:val="bottom"/>
            <w:gridSpan w:val="2"/>
          </w:tcPr>
          <w:p>
            <w:pPr>
              <w:jc w:val="center"/>
              <w:ind w:right="220"/>
              <w:spacing w:after="0" w:line="122" w:lineRule="exact"/>
              <w:rPr>
                <w:sz w:val="20"/>
                <w:szCs w:val="20"/>
                <w:color w:val="auto"/>
              </w:rPr>
            </w:pPr>
            <w:r>
              <w:rPr>
                <w:rFonts w:ascii="Arial" w:cs="Arial" w:eastAsia="Arial" w:hAnsi="Arial"/>
                <w:sz w:val="11"/>
                <w:szCs w:val="11"/>
                <w:b w:val="1"/>
                <w:bCs w:val="1"/>
                <w:color w:val="auto"/>
                <w:w w:val="90"/>
              </w:rPr>
              <w:t>June 30,</w:t>
            </w:r>
          </w:p>
        </w:tc>
        <w:tc>
          <w:tcPr>
            <w:tcW w:w="40" w:type="dxa"/>
            <w:vAlign w:val="bottom"/>
          </w:tcPr>
          <w:p>
            <w:pPr>
              <w:spacing w:after="0"/>
              <w:rPr>
                <w:sz w:val="10"/>
                <w:szCs w:val="10"/>
                <w:color w:val="auto"/>
              </w:rPr>
            </w:pPr>
          </w:p>
        </w:tc>
        <w:tc>
          <w:tcPr>
            <w:tcW w:w="680" w:type="dxa"/>
            <w:vAlign w:val="bottom"/>
            <w:gridSpan w:val="3"/>
          </w:tcPr>
          <w:p>
            <w:pPr>
              <w:jc w:val="center"/>
              <w:ind w:right="200"/>
              <w:spacing w:after="0" w:line="122" w:lineRule="exact"/>
              <w:rPr>
                <w:sz w:val="20"/>
                <w:szCs w:val="20"/>
                <w:color w:val="auto"/>
              </w:rPr>
            </w:pPr>
            <w:r>
              <w:rPr>
                <w:rFonts w:ascii="Arial" w:cs="Arial" w:eastAsia="Arial" w:hAnsi="Arial"/>
                <w:sz w:val="11"/>
                <w:szCs w:val="11"/>
                <w:b w:val="1"/>
                <w:bCs w:val="1"/>
                <w:color w:val="auto"/>
                <w:w w:val="94"/>
              </w:rPr>
              <w:t>March 31,</w:t>
            </w:r>
          </w:p>
        </w:tc>
        <w:tc>
          <w:tcPr>
            <w:tcW w:w="60" w:type="dxa"/>
            <w:vAlign w:val="bottom"/>
          </w:tcPr>
          <w:p>
            <w:pPr>
              <w:spacing w:after="0"/>
              <w:rPr>
                <w:sz w:val="10"/>
                <w:szCs w:val="10"/>
                <w:color w:val="auto"/>
              </w:rPr>
            </w:pPr>
          </w:p>
        </w:tc>
        <w:tc>
          <w:tcPr>
            <w:tcW w:w="840" w:type="dxa"/>
            <w:vAlign w:val="bottom"/>
            <w:gridSpan w:val="3"/>
          </w:tcPr>
          <w:p>
            <w:pPr>
              <w:jc w:val="center"/>
              <w:ind w:right="220"/>
              <w:spacing w:after="0" w:line="122" w:lineRule="exact"/>
              <w:rPr>
                <w:sz w:val="20"/>
                <w:szCs w:val="20"/>
                <w:color w:val="auto"/>
              </w:rPr>
            </w:pPr>
            <w:r>
              <w:rPr>
                <w:rFonts w:ascii="Arial" w:cs="Arial" w:eastAsia="Arial" w:hAnsi="Arial"/>
                <w:sz w:val="11"/>
                <w:szCs w:val="11"/>
                <w:b w:val="1"/>
                <w:bCs w:val="1"/>
                <w:color w:val="auto"/>
                <w:w w:val="86"/>
              </w:rPr>
              <w:t>December 31,</w:t>
            </w:r>
          </w:p>
        </w:tc>
        <w:tc>
          <w:tcPr>
            <w:tcW w:w="40" w:type="dxa"/>
            <w:vAlign w:val="bottom"/>
          </w:tcPr>
          <w:p>
            <w:pPr>
              <w:spacing w:after="0"/>
              <w:rPr>
                <w:sz w:val="10"/>
                <w:szCs w:val="10"/>
                <w:color w:val="auto"/>
              </w:rPr>
            </w:pPr>
          </w:p>
        </w:tc>
        <w:tc>
          <w:tcPr>
            <w:tcW w:w="880" w:type="dxa"/>
            <w:vAlign w:val="bottom"/>
            <w:gridSpan w:val="3"/>
          </w:tcPr>
          <w:p>
            <w:pPr>
              <w:jc w:val="center"/>
              <w:ind w:right="220"/>
              <w:spacing w:after="0" w:line="122" w:lineRule="exact"/>
              <w:rPr>
                <w:sz w:val="20"/>
                <w:szCs w:val="20"/>
                <w:color w:val="auto"/>
              </w:rPr>
            </w:pPr>
            <w:r>
              <w:rPr>
                <w:rFonts w:ascii="Arial" w:cs="Arial" w:eastAsia="Arial" w:hAnsi="Arial"/>
                <w:sz w:val="11"/>
                <w:szCs w:val="11"/>
                <w:b w:val="1"/>
                <w:bCs w:val="1"/>
                <w:color w:val="auto"/>
                <w:w w:val="87"/>
              </w:rPr>
              <w:t>September 30,</w:t>
            </w:r>
          </w:p>
        </w:tc>
        <w:tc>
          <w:tcPr>
            <w:tcW w:w="40" w:type="dxa"/>
            <w:vAlign w:val="bottom"/>
          </w:tcPr>
          <w:p>
            <w:pPr>
              <w:spacing w:after="0"/>
              <w:rPr>
                <w:sz w:val="10"/>
                <w:szCs w:val="10"/>
                <w:color w:val="auto"/>
              </w:rPr>
            </w:pPr>
          </w:p>
        </w:tc>
        <w:tc>
          <w:tcPr>
            <w:tcW w:w="720" w:type="dxa"/>
            <w:vAlign w:val="bottom"/>
            <w:gridSpan w:val="2"/>
          </w:tcPr>
          <w:p>
            <w:pPr>
              <w:jc w:val="center"/>
              <w:ind w:right="260"/>
              <w:spacing w:after="0" w:line="122" w:lineRule="exact"/>
              <w:rPr>
                <w:sz w:val="20"/>
                <w:szCs w:val="20"/>
                <w:color w:val="auto"/>
              </w:rPr>
            </w:pPr>
            <w:r>
              <w:rPr>
                <w:rFonts w:ascii="Arial" w:cs="Arial" w:eastAsia="Arial" w:hAnsi="Arial"/>
                <w:sz w:val="11"/>
                <w:szCs w:val="11"/>
                <w:b w:val="1"/>
                <w:bCs w:val="1"/>
                <w:color w:val="auto"/>
                <w:w w:val="86"/>
              </w:rPr>
              <w:t>June 30,</w:t>
            </w:r>
          </w:p>
        </w:tc>
        <w:tc>
          <w:tcPr>
            <w:tcW w:w="720" w:type="dxa"/>
            <w:vAlign w:val="bottom"/>
            <w:gridSpan w:val="3"/>
          </w:tcPr>
          <w:p>
            <w:pPr>
              <w:jc w:val="center"/>
              <w:ind w:right="240"/>
              <w:spacing w:after="0" w:line="122" w:lineRule="exact"/>
              <w:rPr>
                <w:sz w:val="20"/>
                <w:szCs w:val="20"/>
                <w:color w:val="auto"/>
              </w:rPr>
            </w:pPr>
            <w:r>
              <w:rPr>
                <w:rFonts w:ascii="Arial" w:cs="Arial" w:eastAsia="Arial" w:hAnsi="Arial"/>
                <w:sz w:val="11"/>
                <w:szCs w:val="11"/>
                <w:b w:val="1"/>
                <w:bCs w:val="1"/>
                <w:color w:val="auto"/>
                <w:w w:val="94"/>
              </w:rPr>
              <w:t>March 31,</w:t>
            </w:r>
          </w:p>
        </w:tc>
        <w:tc>
          <w:tcPr>
            <w:tcW w:w="900" w:type="dxa"/>
            <w:vAlign w:val="bottom"/>
            <w:gridSpan w:val="3"/>
          </w:tcPr>
          <w:p>
            <w:pPr>
              <w:jc w:val="center"/>
              <w:ind w:right="240"/>
              <w:spacing w:after="0" w:line="122" w:lineRule="exact"/>
              <w:rPr>
                <w:sz w:val="20"/>
                <w:szCs w:val="20"/>
                <w:color w:val="auto"/>
              </w:rPr>
            </w:pPr>
            <w:r>
              <w:rPr>
                <w:rFonts w:ascii="Arial" w:cs="Arial" w:eastAsia="Arial" w:hAnsi="Arial"/>
                <w:sz w:val="11"/>
                <w:szCs w:val="11"/>
                <w:b w:val="1"/>
                <w:bCs w:val="1"/>
                <w:color w:val="auto"/>
                <w:w w:val="86"/>
              </w:rPr>
              <w:t>December 31,</w:t>
            </w:r>
          </w:p>
        </w:tc>
        <w:tc>
          <w:tcPr>
            <w:tcW w:w="1020" w:type="dxa"/>
            <w:vAlign w:val="bottom"/>
            <w:tcBorders>
              <w:right w:val="single" w:sz="8" w:color="auto"/>
            </w:tcBorders>
            <w:gridSpan w:val="3"/>
          </w:tcPr>
          <w:p>
            <w:pPr>
              <w:jc w:val="center"/>
              <w:ind w:right="360"/>
              <w:spacing w:after="0" w:line="122" w:lineRule="exact"/>
              <w:rPr>
                <w:sz w:val="20"/>
                <w:szCs w:val="20"/>
                <w:color w:val="auto"/>
              </w:rPr>
            </w:pPr>
            <w:r>
              <w:rPr>
                <w:rFonts w:ascii="Arial" w:cs="Arial" w:eastAsia="Arial" w:hAnsi="Arial"/>
                <w:sz w:val="11"/>
                <w:szCs w:val="11"/>
                <w:b w:val="1"/>
                <w:bCs w:val="1"/>
                <w:color w:val="auto"/>
                <w:w w:val="87"/>
              </w:rPr>
              <w:t>September 30,</w:t>
            </w:r>
          </w:p>
        </w:tc>
        <w:tc>
          <w:tcPr>
            <w:tcW w:w="160" w:type="dxa"/>
            <w:vAlign w:val="bottom"/>
          </w:tcPr>
          <w:p>
            <w:pPr>
              <w:spacing w:after="0"/>
              <w:rPr>
                <w:sz w:val="10"/>
                <w:szCs w:val="10"/>
                <w:color w:val="auto"/>
              </w:rPr>
            </w:pPr>
          </w:p>
        </w:tc>
        <w:tc>
          <w:tcPr>
            <w:tcW w:w="540" w:type="dxa"/>
            <w:vAlign w:val="bottom"/>
            <w:gridSpan w:val="3"/>
          </w:tcPr>
          <w:p>
            <w:pPr>
              <w:jc w:val="center"/>
              <w:ind w:right="180"/>
              <w:spacing w:after="0" w:line="122" w:lineRule="exact"/>
              <w:rPr>
                <w:sz w:val="20"/>
                <w:szCs w:val="20"/>
                <w:color w:val="auto"/>
              </w:rPr>
            </w:pPr>
            <w:r>
              <w:rPr>
                <w:rFonts w:ascii="Arial" w:cs="Arial" w:eastAsia="Arial" w:hAnsi="Arial"/>
                <w:sz w:val="11"/>
                <w:szCs w:val="11"/>
                <w:b w:val="1"/>
                <w:bCs w:val="1"/>
                <w:color w:val="auto"/>
                <w:w w:val="89"/>
              </w:rPr>
              <w:t>July 15,</w:t>
            </w:r>
          </w:p>
        </w:tc>
        <w:tc>
          <w:tcPr>
            <w:tcW w:w="80" w:type="dxa"/>
            <w:vAlign w:val="bottom"/>
          </w:tcPr>
          <w:p>
            <w:pPr>
              <w:spacing w:after="0"/>
              <w:rPr>
                <w:sz w:val="10"/>
                <w:szCs w:val="10"/>
                <w:color w:val="auto"/>
              </w:rPr>
            </w:pPr>
          </w:p>
        </w:tc>
        <w:tc>
          <w:tcPr>
            <w:tcW w:w="640" w:type="dxa"/>
            <w:vAlign w:val="bottom"/>
            <w:gridSpan w:val="3"/>
          </w:tcPr>
          <w:p>
            <w:pPr>
              <w:jc w:val="center"/>
              <w:ind w:right="220"/>
              <w:spacing w:after="0" w:line="122" w:lineRule="exact"/>
              <w:rPr>
                <w:sz w:val="20"/>
                <w:szCs w:val="20"/>
                <w:color w:val="auto"/>
              </w:rPr>
            </w:pPr>
            <w:r>
              <w:rPr>
                <w:rFonts w:ascii="Arial" w:cs="Arial" w:eastAsia="Arial" w:hAnsi="Arial"/>
                <w:sz w:val="11"/>
                <w:szCs w:val="11"/>
                <w:b w:val="1"/>
                <w:bCs w:val="1"/>
                <w:color w:val="auto"/>
                <w:w w:val="86"/>
              </w:rPr>
              <w:t>June 30,</w:t>
            </w:r>
          </w:p>
        </w:tc>
        <w:tc>
          <w:tcPr>
            <w:tcW w:w="620" w:type="dxa"/>
            <w:vAlign w:val="bottom"/>
            <w:gridSpan w:val="3"/>
          </w:tcPr>
          <w:p>
            <w:pPr>
              <w:jc w:val="center"/>
              <w:ind w:right="160"/>
              <w:spacing w:after="0" w:line="122" w:lineRule="exact"/>
              <w:rPr>
                <w:sz w:val="20"/>
                <w:szCs w:val="20"/>
                <w:color w:val="auto"/>
              </w:rPr>
            </w:pPr>
            <w:r>
              <w:rPr>
                <w:rFonts w:ascii="Arial" w:cs="Arial" w:eastAsia="Arial" w:hAnsi="Arial"/>
                <w:sz w:val="11"/>
                <w:szCs w:val="11"/>
                <w:b w:val="1"/>
                <w:bCs w:val="1"/>
                <w:color w:val="auto"/>
                <w:w w:val="90"/>
              </w:rPr>
              <w:t>March 31,</w:t>
            </w:r>
          </w:p>
        </w:tc>
        <w:tc>
          <w:tcPr>
            <w:tcW w:w="0" w:type="dxa"/>
            <w:vAlign w:val="bottom"/>
          </w:tcPr>
          <w:p>
            <w:pPr>
              <w:spacing w:after="0"/>
              <w:rPr>
                <w:sz w:val="1"/>
                <w:szCs w:val="1"/>
                <w:color w:val="auto"/>
              </w:rPr>
            </w:pPr>
          </w:p>
        </w:tc>
      </w:tr>
      <w:tr>
        <w:trPr>
          <w:trHeight w:val="142"/>
        </w:trPr>
        <w:tc>
          <w:tcPr>
            <w:tcW w:w="740" w:type="dxa"/>
            <w:vAlign w:val="bottom"/>
            <w:tcBorders>
              <w:bottom w:val="single" w:sz="8" w:color="auto"/>
            </w:tcBorders>
            <w:vMerge w:val="continue"/>
          </w:tcPr>
          <w:p>
            <w:pPr>
              <w:spacing w:after="0"/>
              <w:rPr>
                <w:sz w:val="12"/>
                <w:szCs w:val="12"/>
                <w:color w:val="auto"/>
              </w:rPr>
            </w:pPr>
          </w:p>
        </w:tc>
        <w:tc>
          <w:tcPr>
            <w:tcW w:w="1640" w:type="dxa"/>
            <w:vAlign w:val="bottom"/>
            <w:vMerge w:val="continue"/>
          </w:tcPr>
          <w:p>
            <w:pPr>
              <w:spacing w:after="0"/>
              <w:rPr>
                <w:sz w:val="12"/>
                <w:szCs w:val="12"/>
                <w:color w:val="auto"/>
              </w:rPr>
            </w:pPr>
          </w:p>
        </w:tc>
        <w:tc>
          <w:tcPr>
            <w:tcW w:w="460" w:type="dxa"/>
            <w:vAlign w:val="bottom"/>
          </w:tcPr>
          <w:p>
            <w:pPr>
              <w:jc w:val="center"/>
              <w:spacing w:after="0" w:line="122" w:lineRule="exact"/>
              <w:rPr>
                <w:sz w:val="20"/>
                <w:szCs w:val="20"/>
                <w:color w:val="auto"/>
              </w:rPr>
            </w:pPr>
            <w:r>
              <w:rPr>
                <w:rFonts w:ascii="Arial" w:cs="Arial" w:eastAsia="Arial" w:hAnsi="Arial"/>
                <w:sz w:val="11"/>
                <w:szCs w:val="11"/>
                <w:b w:val="1"/>
                <w:bCs w:val="1"/>
                <w:color w:val="auto"/>
                <w:w w:val="81"/>
              </w:rPr>
              <w:t>2021</w:t>
            </w:r>
          </w:p>
        </w:tc>
        <w:tc>
          <w:tcPr>
            <w:tcW w:w="2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0" w:type="dxa"/>
            <w:vAlign w:val="bottom"/>
          </w:tcPr>
          <w:p>
            <w:pPr>
              <w:jc w:val="center"/>
              <w:spacing w:after="0" w:line="122" w:lineRule="exact"/>
              <w:rPr>
                <w:sz w:val="20"/>
                <w:szCs w:val="20"/>
                <w:color w:val="auto"/>
              </w:rPr>
            </w:pPr>
            <w:r>
              <w:rPr>
                <w:rFonts w:ascii="Arial" w:cs="Arial" w:eastAsia="Arial" w:hAnsi="Arial"/>
                <w:sz w:val="11"/>
                <w:szCs w:val="11"/>
                <w:b w:val="1"/>
                <w:bCs w:val="1"/>
                <w:color w:val="auto"/>
                <w:w w:val="89"/>
              </w:rPr>
              <w:t>2021</w:t>
            </w:r>
          </w:p>
        </w:tc>
        <w:tc>
          <w:tcPr>
            <w:tcW w:w="2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jc w:val="center"/>
              <w:ind w:right="59"/>
              <w:spacing w:after="0" w:line="122" w:lineRule="exact"/>
              <w:rPr>
                <w:sz w:val="20"/>
                <w:szCs w:val="20"/>
                <w:color w:val="auto"/>
              </w:rPr>
            </w:pPr>
            <w:r>
              <w:rPr>
                <w:rFonts w:ascii="Arial" w:cs="Arial" w:eastAsia="Arial" w:hAnsi="Arial"/>
                <w:sz w:val="11"/>
                <w:szCs w:val="11"/>
                <w:b w:val="1"/>
                <w:bCs w:val="1"/>
                <w:color w:val="auto"/>
                <w:w w:val="89"/>
              </w:rPr>
              <w:t>2020</w:t>
            </w:r>
          </w:p>
        </w:tc>
        <w:tc>
          <w:tcPr>
            <w:tcW w:w="2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jc w:val="center"/>
              <w:ind w:right="40"/>
              <w:spacing w:after="0" w:line="122" w:lineRule="exact"/>
              <w:rPr>
                <w:sz w:val="20"/>
                <w:szCs w:val="20"/>
                <w:color w:val="auto"/>
              </w:rPr>
            </w:pPr>
            <w:r>
              <w:rPr>
                <w:rFonts w:ascii="Arial" w:cs="Arial" w:eastAsia="Arial" w:hAnsi="Arial"/>
                <w:sz w:val="11"/>
                <w:szCs w:val="11"/>
                <w:b w:val="1"/>
                <w:bCs w:val="1"/>
                <w:color w:val="auto"/>
                <w:w w:val="81"/>
              </w:rPr>
              <w:t>2020</w:t>
            </w:r>
          </w:p>
        </w:tc>
        <w:tc>
          <w:tcPr>
            <w:tcW w:w="220" w:type="dxa"/>
            <w:vAlign w:val="bottom"/>
          </w:tcPr>
          <w:p>
            <w:pPr>
              <w:spacing w:after="0"/>
              <w:rPr>
                <w:sz w:val="12"/>
                <w:szCs w:val="12"/>
                <w:color w:val="auto"/>
              </w:rPr>
            </w:pPr>
          </w:p>
        </w:tc>
        <w:tc>
          <w:tcPr>
            <w:tcW w:w="500" w:type="dxa"/>
            <w:vAlign w:val="bottom"/>
            <w:gridSpan w:val="2"/>
          </w:tcPr>
          <w:p>
            <w:pPr>
              <w:jc w:val="center"/>
              <w:spacing w:after="0" w:line="122" w:lineRule="exact"/>
              <w:rPr>
                <w:sz w:val="20"/>
                <w:szCs w:val="20"/>
                <w:color w:val="auto"/>
              </w:rPr>
            </w:pPr>
            <w:r>
              <w:rPr>
                <w:rFonts w:ascii="Arial" w:cs="Arial" w:eastAsia="Arial" w:hAnsi="Arial"/>
                <w:sz w:val="11"/>
                <w:szCs w:val="11"/>
                <w:b w:val="1"/>
                <w:bCs w:val="1"/>
                <w:color w:val="auto"/>
                <w:w w:val="89"/>
              </w:rPr>
              <w:t>2020</w:t>
            </w: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0" w:type="dxa"/>
            <w:vAlign w:val="bottom"/>
          </w:tcPr>
          <w:p>
            <w:pPr>
              <w:jc w:val="center"/>
              <w:ind w:right="39"/>
              <w:spacing w:after="0" w:line="122" w:lineRule="exact"/>
              <w:rPr>
                <w:sz w:val="20"/>
                <w:szCs w:val="20"/>
                <w:color w:val="auto"/>
              </w:rPr>
            </w:pPr>
            <w:r>
              <w:rPr>
                <w:rFonts w:ascii="Arial" w:cs="Arial" w:eastAsia="Arial" w:hAnsi="Arial"/>
                <w:sz w:val="11"/>
                <w:szCs w:val="11"/>
                <w:b w:val="1"/>
                <w:bCs w:val="1"/>
                <w:color w:val="auto"/>
                <w:w w:val="89"/>
              </w:rPr>
              <w:t>2020</w:t>
            </w: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20" w:type="dxa"/>
            <w:vAlign w:val="bottom"/>
          </w:tcPr>
          <w:p>
            <w:pPr>
              <w:jc w:val="center"/>
              <w:ind w:right="39"/>
              <w:spacing w:after="0" w:line="122" w:lineRule="exact"/>
              <w:rPr>
                <w:sz w:val="20"/>
                <w:szCs w:val="20"/>
                <w:color w:val="auto"/>
              </w:rPr>
            </w:pPr>
            <w:r>
              <w:rPr>
                <w:rFonts w:ascii="Arial" w:cs="Arial" w:eastAsia="Arial" w:hAnsi="Arial"/>
                <w:sz w:val="11"/>
                <w:szCs w:val="11"/>
                <w:b w:val="1"/>
                <w:bCs w:val="1"/>
                <w:color w:val="auto"/>
                <w:w w:val="89"/>
              </w:rPr>
              <w:t>2019</w:t>
            </w: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jc w:val="center"/>
              <w:ind w:right="39"/>
              <w:spacing w:after="0" w:line="122" w:lineRule="exact"/>
              <w:rPr>
                <w:sz w:val="20"/>
                <w:szCs w:val="20"/>
                <w:color w:val="auto"/>
              </w:rPr>
            </w:pPr>
            <w:r>
              <w:rPr>
                <w:rFonts w:ascii="Arial" w:cs="Arial" w:eastAsia="Arial" w:hAnsi="Arial"/>
                <w:sz w:val="11"/>
                <w:szCs w:val="11"/>
                <w:b w:val="1"/>
                <w:bCs w:val="1"/>
                <w:color w:val="auto"/>
                <w:w w:val="89"/>
              </w:rPr>
              <w:t>2019</w:t>
            </w:r>
          </w:p>
        </w:tc>
        <w:tc>
          <w:tcPr>
            <w:tcW w:w="360" w:type="dxa"/>
            <w:vAlign w:val="bottom"/>
            <w:tcBorders>
              <w:right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00" w:type="dxa"/>
            <w:vAlign w:val="bottom"/>
          </w:tcPr>
          <w:p>
            <w:pPr>
              <w:jc w:val="center"/>
              <w:ind w:right="19"/>
              <w:spacing w:after="0" w:line="122" w:lineRule="exact"/>
              <w:rPr>
                <w:sz w:val="20"/>
                <w:szCs w:val="20"/>
                <w:color w:val="auto"/>
              </w:rPr>
            </w:pPr>
            <w:r>
              <w:rPr>
                <w:rFonts w:ascii="Arial" w:cs="Arial" w:eastAsia="Arial" w:hAnsi="Arial"/>
                <w:sz w:val="11"/>
                <w:szCs w:val="11"/>
                <w:b w:val="1"/>
                <w:bCs w:val="1"/>
                <w:color w:val="auto"/>
                <w:w w:val="89"/>
              </w:rPr>
              <w:t>2019</w:t>
            </w: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60" w:type="dxa"/>
            <w:vAlign w:val="bottom"/>
          </w:tcPr>
          <w:p>
            <w:pPr>
              <w:jc w:val="center"/>
              <w:spacing w:after="0" w:line="122" w:lineRule="exact"/>
              <w:rPr>
                <w:sz w:val="20"/>
                <w:szCs w:val="20"/>
                <w:color w:val="auto"/>
              </w:rPr>
            </w:pPr>
            <w:r>
              <w:rPr>
                <w:rFonts w:ascii="Arial" w:cs="Arial" w:eastAsia="Arial" w:hAnsi="Arial"/>
                <w:sz w:val="11"/>
                <w:szCs w:val="11"/>
                <w:b w:val="1"/>
                <w:bCs w:val="1"/>
                <w:color w:val="auto"/>
                <w:w w:val="89"/>
              </w:rPr>
              <w:t>2019</w:t>
            </w:r>
          </w:p>
        </w:tc>
        <w:tc>
          <w:tcPr>
            <w:tcW w:w="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0" w:type="dxa"/>
            <w:vAlign w:val="bottom"/>
          </w:tcPr>
          <w:p>
            <w:pPr>
              <w:jc w:val="center"/>
              <w:spacing w:after="0" w:line="122" w:lineRule="exact"/>
              <w:rPr>
                <w:sz w:val="20"/>
                <w:szCs w:val="20"/>
                <w:color w:val="auto"/>
              </w:rPr>
            </w:pPr>
            <w:r>
              <w:rPr>
                <w:rFonts w:ascii="Arial" w:cs="Arial" w:eastAsia="Arial" w:hAnsi="Arial"/>
                <w:sz w:val="11"/>
                <w:szCs w:val="11"/>
                <w:b w:val="1"/>
                <w:bCs w:val="1"/>
                <w:color w:val="auto"/>
                <w:w w:val="89"/>
              </w:rPr>
              <w:t>2019</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2"/>
        </w:trPr>
        <w:tc>
          <w:tcPr>
            <w:tcW w:w="2380" w:type="dxa"/>
            <w:vAlign w:val="bottom"/>
            <w:tcBorders>
              <w:top w:val="single" w:sz="8" w:color="CCEEFF"/>
            </w:tcBorders>
            <w:gridSpan w:val="2"/>
            <w:shd w:val="clear" w:color="auto" w:fill="CCEEFF"/>
          </w:tcPr>
          <w:p>
            <w:pPr>
              <w:spacing w:after="0" w:line="122" w:lineRule="exact"/>
              <w:rPr>
                <w:sz w:val="20"/>
                <w:szCs w:val="20"/>
                <w:color w:val="auto"/>
              </w:rPr>
            </w:pPr>
            <w:r>
              <w:rPr>
                <w:rFonts w:ascii="Arial" w:cs="Arial" w:eastAsia="Arial" w:hAnsi="Arial"/>
                <w:sz w:val="13"/>
                <w:szCs w:val="13"/>
                <w:color w:val="auto"/>
              </w:rPr>
              <w:t>Net (loss) income</w:t>
            </w:r>
          </w:p>
        </w:tc>
        <w:tc>
          <w:tcPr>
            <w:tcW w:w="460" w:type="dxa"/>
            <w:vAlign w:val="bottom"/>
            <w:tcBorders>
              <w:top w:val="single" w:sz="8" w:color="auto"/>
            </w:tcBorders>
            <w:shd w:val="clear" w:color="auto" w:fill="CCEEFF"/>
          </w:tcPr>
          <w:p>
            <w:pPr>
              <w:jc w:val="right"/>
              <w:spacing w:after="0" w:line="122" w:lineRule="exact"/>
              <w:rPr>
                <w:sz w:val="20"/>
                <w:szCs w:val="20"/>
                <w:color w:val="auto"/>
              </w:rPr>
            </w:pPr>
            <w:r>
              <w:rPr>
                <w:rFonts w:ascii="Arial" w:cs="Arial" w:eastAsia="Arial" w:hAnsi="Arial"/>
                <w:sz w:val="13"/>
                <w:szCs w:val="13"/>
                <w:color w:val="auto"/>
                <w:w w:val="78"/>
              </w:rPr>
              <w:t>$(15,039)</w:t>
            </w:r>
          </w:p>
        </w:tc>
        <w:tc>
          <w:tcPr>
            <w:tcW w:w="200" w:type="dxa"/>
            <w:vAlign w:val="bottom"/>
            <w:tcBorders>
              <w:top w:val="single" w:sz="8" w:color="CCEEFF"/>
            </w:tcBorders>
            <w:shd w:val="clear" w:color="auto" w:fill="CCEEFF"/>
          </w:tcPr>
          <w:p>
            <w:pPr>
              <w:spacing w:after="0"/>
              <w:rPr>
                <w:sz w:val="10"/>
                <w:szCs w:val="10"/>
                <w:color w:val="auto"/>
              </w:rPr>
            </w:pPr>
          </w:p>
        </w:tc>
        <w:tc>
          <w:tcPr>
            <w:tcW w:w="40" w:type="dxa"/>
            <w:vAlign w:val="bottom"/>
            <w:tcBorders>
              <w:top w:val="single" w:sz="8" w:color="CCEEFF"/>
            </w:tcBorders>
            <w:shd w:val="clear" w:color="auto" w:fill="CCEEFF"/>
          </w:tcPr>
          <w:p>
            <w:pPr>
              <w:spacing w:after="0"/>
              <w:rPr>
                <w:sz w:val="10"/>
                <w:szCs w:val="10"/>
                <w:color w:val="auto"/>
              </w:rPr>
            </w:pPr>
          </w:p>
        </w:tc>
        <w:tc>
          <w:tcPr>
            <w:tcW w:w="80" w:type="dxa"/>
            <w:vAlign w:val="bottom"/>
            <w:tcBorders>
              <w:top w:val="single" w:sz="8" w:color="auto"/>
            </w:tcBorders>
            <w:shd w:val="clear" w:color="auto" w:fill="CCEEFF"/>
          </w:tcPr>
          <w:p>
            <w:pPr>
              <w:jc w:val="right"/>
              <w:spacing w:after="0" w:line="122" w:lineRule="exact"/>
              <w:rPr>
                <w:sz w:val="20"/>
                <w:szCs w:val="20"/>
                <w:color w:val="auto"/>
              </w:rPr>
            </w:pPr>
            <w:r>
              <w:rPr>
                <w:rFonts w:ascii="Arial" w:cs="Arial" w:eastAsia="Arial" w:hAnsi="Arial"/>
                <w:sz w:val="13"/>
                <w:szCs w:val="13"/>
                <w:color w:val="auto"/>
                <w:w w:val="82"/>
              </w:rPr>
              <w:t>$</w:t>
            </w:r>
          </w:p>
        </w:tc>
        <w:tc>
          <w:tcPr>
            <w:tcW w:w="400" w:type="dxa"/>
            <w:vAlign w:val="bottom"/>
            <w:tcBorders>
              <w:top w:val="single" w:sz="8" w:color="auto"/>
            </w:tcBorders>
            <w:shd w:val="clear" w:color="auto" w:fill="CCEEFF"/>
          </w:tcPr>
          <w:p>
            <w:pPr>
              <w:jc w:val="right"/>
              <w:spacing w:after="0" w:line="122" w:lineRule="exact"/>
              <w:rPr>
                <w:sz w:val="20"/>
                <w:szCs w:val="20"/>
                <w:color w:val="auto"/>
              </w:rPr>
            </w:pPr>
            <w:r>
              <w:rPr>
                <w:rFonts w:ascii="Arial" w:cs="Arial" w:eastAsia="Arial" w:hAnsi="Arial"/>
                <w:sz w:val="13"/>
                <w:szCs w:val="13"/>
                <w:color w:val="auto"/>
                <w:w w:val="78"/>
              </w:rPr>
              <w:t>(10,488)</w:t>
            </w:r>
          </w:p>
        </w:tc>
        <w:tc>
          <w:tcPr>
            <w:tcW w:w="200" w:type="dxa"/>
            <w:vAlign w:val="bottom"/>
            <w:tcBorders>
              <w:top w:val="single" w:sz="8" w:color="CCEEFF"/>
            </w:tcBorders>
            <w:shd w:val="clear" w:color="auto" w:fill="CCEEFF"/>
          </w:tcPr>
          <w:p>
            <w:pPr>
              <w:spacing w:after="0"/>
              <w:rPr>
                <w:sz w:val="10"/>
                <w:szCs w:val="10"/>
                <w:color w:val="auto"/>
              </w:rPr>
            </w:pPr>
          </w:p>
        </w:tc>
        <w:tc>
          <w:tcPr>
            <w:tcW w:w="60" w:type="dxa"/>
            <w:vAlign w:val="bottom"/>
            <w:tcBorders>
              <w:top w:val="single" w:sz="8" w:color="CCEEFF"/>
            </w:tcBorders>
            <w:shd w:val="clear" w:color="auto" w:fill="CCEEFF"/>
          </w:tcPr>
          <w:p>
            <w:pPr>
              <w:spacing w:after="0"/>
              <w:rPr>
                <w:sz w:val="10"/>
                <w:szCs w:val="10"/>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540" w:type="dxa"/>
            <w:vAlign w:val="bottom"/>
            <w:tcBorders>
              <w:top w:val="single" w:sz="8" w:color="auto"/>
            </w:tcBorders>
            <w:shd w:val="clear" w:color="auto" w:fill="CCEEFF"/>
          </w:tcPr>
          <w:p>
            <w:pPr>
              <w:jc w:val="right"/>
              <w:spacing w:after="0" w:line="122" w:lineRule="exact"/>
              <w:rPr>
                <w:sz w:val="20"/>
                <w:szCs w:val="20"/>
                <w:color w:val="auto"/>
              </w:rPr>
            </w:pPr>
            <w:r>
              <w:rPr>
                <w:rFonts w:ascii="Arial" w:cs="Arial" w:eastAsia="Arial" w:hAnsi="Arial"/>
                <w:sz w:val="13"/>
                <w:szCs w:val="13"/>
                <w:color w:val="auto"/>
              </w:rPr>
              <w:t>(15,862)</w:t>
            </w:r>
          </w:p>
        </w:tc>
        <w:tc>
          <w:tcPr>
            <w:tcW w:w="200" w:type="dxa"/>
            <w:vAlign w:val="bottom"/>
            <w:tcBorders>
              <w:top w:val="single" w:sz="8" w:color="CCEEFF"/>
            </w:tcBorders>
            <w:shd w:val="clear" w:color="auto" w:fill="CCEEFF"/>
          </w:tcPr>
          <w:p>
            <w:pPr>
              <w:spacing w:after="0"/>
              <w:rPr>
                <w:sz w:val="10"/>
                <w:szCs w:val="10"/>
                <w:color w:val="auto"/>
              </w:rPr>
            </w:pPr>
          </w:p>
        </w:tc>
        <w:tc>
          <w:tcPr>
            <w:tcW w:w="40" w:type="dxa"/>
            <w:vAlign w:val="bottom"/>
            <w:tcBorders>
              <w:top w:val="single" w:sz="8" w:color="CCEEFF"/>
            </w:tcBorders>
            <w:shd w:val="clear" w:color="auto" w:fill="CCEEFF"/>
          </w:tcPr>
          <w:p>
            <w:pPr>
              <w:spacing w:after="0"/>
              <w:rPr>
                <w:sz w:val="10"/>
                <w:szCs w:val="10"/>
                <w:color w:val="auto"/>
              </w:rPr>
            </w:pPr>
          </w:p>
        </w:tc>
        <w:tc>
          <w:tcPr>
            <w:tcW w:w="120" w:type="dxa"/>
            <w:vAlign w:val="bottom"/>
            <w:tcBorders>
              <w:top w:val="single" w:sz="8" w:color="auto"/>
            </w:tcBorders>
            <w:shd w:val="clear" w:color="auto" w:fill="CCEEFF"/>
          </w:tcPr>
          <w:p>
            <w:pPr>
              <w:jc w:val="right"/>
              <w:spacing w:after="0" w:line="122" w:lineRule="exact"/>
              <w:rPr>
                <w:sz w:val="20"/>
                <w:szCs w:val="20"/>
                <w:color w:val="auto"/>
              </w:rPr>
            </w:pPr>
            <w:r>
              <w:rPr>
                <w:rFonts w:ascii="Arial" w:cs="Arial" w:eastAsia="Arial" w:hAnsi="Arial"/>
                <w:sz w:val="13"/>
                <w:szCs w:val="13"/>
                <w:color w:val="auto"/>
                <w:w w:val="82"/>
              </w:rPr>
              <w:t>$</w:t>
            </w:r>
          </w:p>
        </w:tc>
        <w:tc>
          <w:tcPr>
            <w:tcW w:w="540" w:type="dxa"/>
            <w:vAlign w:val="bottom"/>
            <w:tcBorders>
              <w:top w:val="single" w:sz="8" w:color="auto"/>
            </w:tcBorders>
            <w:shd w:val="clear" w:color="auto" w:fill="CCEEFF"/>
          </w:tcPr>
          <w:p>
            <w:pPr>
              <w:jc w:val="right"/>
              <w:spacing w:after="0" w:line="122" w:lineRule="exact"/>
              <w:rPr>
                <w:sz w:val="20"/>
                <w:szCs w:val="20"/>
                <w:color w:val="auto"/>
              </w:rPr>
            </w:pPr>
            <w:r>
              <w:rPr>
                <w:rFonts w:ascii="Arial" w:cs="Arial" w:eastAsia="Arial" w:hAnsi="Arial"/>
                <w:sz w:val="13"/>
                <w:szCs w:val="13"/>
                <w:color w:val="auto"/>
              </w:rPr>
              <w:t>(9,962)</w:t>
            </w:r>
          </w:p>
        </w:tc>
        <w:tc>
          <w:tcPr>
            <w:tcW w:w="220" w:type="dxa"/>
            <w:vAlign w:val="bottom"/>
            <w:tcBorders>
              <w:top w:val="single" w:sz="8" w:color="CCEEFF"/>
            </w:tcBorders>
            <w:shd w:val="clear" w:color="auto" w:fill="CCEEFF"/>
          </w:tcPr>
          <w:p>
            <w:pPr>
              <w:spacing w:after="0"/>
              <w:rPr>
                <w:sz w:val="10"/>
                <w:szCs w:val="10"/>
                <w:color w:val="auto"/>
              </w:rPr>
            </w:pPr>
          </w:p>
        </w:tc>
        <w:tc>
          <w:tcPr>
            <w:tcW w:w="40" w:type="dxa"/>
            <w:vAlign w:val="bottom"/>
            <w:tcBorders>
              <w:top w:val="single" w:sz="8" w:color="CCEEFF"/>
            </w:tcBorders>
            <w:shd w:val="clear" w:color="auto" w:fill="CCEEFF"/>
          </w:tcPr>
          <w:p>
            <w:pPr>
              <w:spacing w:after="0"/>
              <w:rPr>
                <w:sz w:val="10"/>
                <w:szCs w:val="10"/>
                <w:color w:val="auto"/>
              </w:rPr>
            </w:pPr>
          </w:p>
        </w:tc>
        <w:tc>
          <w:tcPr>
            <w:tcW w:w="460" w:type="dxa"/>
            <w:vAlign w:val="bottom"/>
            <w:tcBorders>
              <w:top w:val="single" w:sz="8" w:color="auto"/>
            </w:tcBorders>
            <w:shd w:val="clear" w:color="auto" w:fill="CCEEFF"/>
          </w:tcPr>
          <w:p>
            <w:pPr>
              <w:jc w:val="right"/>
              <w:spacing w:after="0" w:line="122" w:lineRule="exact"/>
              <w:rPr>
                <w:sz w:val="20"/>
                <w:szCs w:val="20"/>
                <w:color w:val="auto"/>
              </w:rPr>
            </w:pPr>
            <w:r>
              <w:rPr>
                <w:rFonts w:ascii="Arial" w:cs="Arial" w:eastAsia="Arial" w:hAnsi="Arial"/>
                <w:sz w:val="13"/>
                <w:szCs w:val="13"/>
                <w:color w:val="auto"/>
                <w:w w:val="78"/>
              </w:rPr>
              <w:t>$(11,498)</w:t>
            </w:r>
          </w:p>
        </w:tc>
        <w:tc>
          <w:tcPr>
            <w:tcW w:w="260" w:type="dxa"/>
            <w:vAlign w:val="bottom"/>
            <w:tcBorders>
              <w:top w:val="single" w:sz="8" w:color="CCEEFF"/>
            </w:tcBorders>
            <w:shd w:val="clear" w:color="auto" w:fill="CCEEFF"/>
          </w:tcPr>
          <w:p>
            <w:pPr>
              <w:spacing w:after="0"/>
              <w:rPr>
                <w:sz w:val="10"/>
                <w:szCs w:val="10"/>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400" w:type="dxa"/>
            <w:vAlign w:val="bottom"/>
            <w:tcBorders>
              <w:top w:val="single" w:sz="8" w:color="auto"/>
            </w:tcBorders>
            <w:shd w:val="clear" w:color="auto" w:fill="CCEEFF"/>
          </w:tcPr>
          <w:p>
            <w:pPr>
              <w:jc w:val="right"/>
              <w:spacing w:after="0" w:line="122" w:lineRule="exact"/>
              <w:rPr>
                <w:sz w:val="20"/>
                <w:szCs w:val="20"/>
                <w:color w:val="auto"/>
              </w:rPr>
            </w:pPr>
            <w:r>
              <w:rPr>
                <w:rFonts w:ascii="Arial" w:cs="Arial" w:eastAsia="Arial" w:hAnsi="Arial"/>
                <w:sz w:val="13"/>
                <w:szCs w:val="13"/>
                <w:color w:val="auto"/>
                <w:w w:val="78"/>
              </w:rPr>
              <w:t>(13,835)</w:t>
            </w:r>
          </w:p>
        </w:tc>
        <w:tc>
          <w:tcPr>
            <w:tcW w:w="240" w:type="dxa"/>
            <w:vAlign w:val="bottom"/>
            <w:tcBorders>
              <w:top w:val="single" w:sz="8" w:color="CCEEFF"/>
            </w:tcBorders>
            <w:shd w:val="clear" w:color="auto" w:fill="CCEEFF"/>
          </w:tcPr>
          <w:p>
            <w:pPr>
              <w:spacing w:after="0"/>
              <w:rPr>
                <w:sz w:val="10"/>
                <w:szCs w:val="10"/>
                <w:color w:val="auto"/>
              </w:rPr>
            </w:pPr>
          </w:p>
        </w:tc>
        <w:tc>
          <w:tcPr>
            <w:tcW w:w="120" w:type="dxa"/>
            <w:vAlign w:val="bottom"/>
            <w:tcBorders>
              <w:top w:val="single" w:sz="8" w:color="auto"/>
            </w:tcBorders>
            <w:shd w:val="clear" w:color="auto" w:fill="CCEEFF"/>
          </w:tcPr>
          <w:p>
            <w:pPr>
              <w:jc w:val="right"/>
              <w:spacing w:after="0" w:line="122" w:lineRule="exact"/>
              <w:rPr>
                <w:sz w:val="20"/>
                <w:szCs w:val="20"/>
                <w:color w:val="auto"/>
              </w:rPr>
            </w:pPr>
            <w:r>
              <w:rPr>
                <w:rFonts w:ascii="Arial" w:cs="Arial" w:eastAsia="Arial" w:hAnsi="Arial"/>
                <w:sz w:val="13"/>
                <w:szCs w:val="13"/>
                <w:color w:val="auto"/>
                <w:w w:val="82"/>
              </w:rPr>
              <w:t>$</w:t>
            </w:r>
          </w:p>
        </w:tc>
        <w:tc>
          <w:tcPr>
            <w:tcW w:w="520" w:type="dxa"/>
            <w:vAlign w:val="bottom"/>
            <w:tcBorders>
              <w:top w:val="single" w:sz="8" w:color="auto"/>
            </w:tcBorders>
            <w:shd w:val="clear" w:color="auto" w:fill="CCEEFF"/>
          </w:tcPr>
          <w:p>
            <w:pPr>
              <w:jc w:val="right"/>
              <w:spacing w:after="0" w:line="122" w:lineRule="exact"/>
              <w:rPr>
                <w:sz w:val="20"/>
                <w:szCs w:val="20"/>
                <w:color w:val="auto"/>
              </w:rPr>
            </w:pPr>
            <w:r>
              <w:rPr>
                <w:rFonts w:ascii="Arial" w:cs="Arial" w:eastAsia="Arial" w:hAnsi="Arial"/>
                <w:sz w:val="13"/>
                <w:szCs w:val="13"/>
                <w:color w:val="auto"/>
              </w:rPr>
              <w:t>(18,480)</w:t>
            </w:r>
          </w:p>
        </w:tc>
        <w:tc>
          <w:tcPr>
            <w:tcW w:w="260" w:type="dxa"/>
            <w:vAlign w:val="bottom"/>
            <w:tcBorders>
              <w:top w:val="single" w:sz="8" w:color="CCEEFF"/>
            </w:tcBorders>
            <w:shd w:val="clear" w:color="auto" w:fill="CCEEFF"/>
          </w:tcPr>
          <w:p>
            <w:pPr>
              <w:spacing w:after="0"/>
              <w:rPr>
                <w:sz w:val="10"/>
                <w:szCs w:val="10"/>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560" w:type="dxa"/>
            <w:vAlign w:val="bottom"/>
            <w:tcBorders>
              <w:top w:val="single" w:sz="8" w:color="auto"/>
            </w:tcBorders>
            <w:shd w:val="clear" w:color="auto" w:fill="CCEEFF"/>
          </w:tcPr>
          <w:p>
            <w:pPr>
              <w:jc w:val="right"/>
              <w:spacing w:after="0" w:line="122" w:lineRule="exact"/>
              <w:rPr>
                <w:sz w:val="20"/>
                <w:szCs w:val="20"/>
                <w:color w:val="auto"/>
              </w:rPr>
            </w:pPr>
            <w:r>
              <w:rPr>
                <w:rFonts w:ascii="Arial" w:cs="Arial" w:eastAsia="Arial" w:hAnsi="Arial"/>
                <w:sz w:val="13"/>
                <w:szCs w:val="13"/>
                <w:color w:val="auto"/>
              </w:rPr>
              <w:t>(30,786)</w:t>
            </w:r>
          </w:p>
        </w:tc>
        <w:tc>
          <w:tcPr>
            <w:tcW w:w="360" w:type="dxa"/>
            <w:vAlign w:val="bottom"/>
            <w:tcBorders>
              <w:top w:val="single" w:sz="8" w:color="CCEEFF"/>
              <w:right w:val="single" w:sz="8" w:color="auto"/>
            </w:tcBorders>
            <w:shd w:val="clear" w:color="auto" w:fill="CCEEFF"/>
          </w:tcPr>
          <w:p>
            <w:pPr>
              <w:spacing w:after="0"/>
              <w:rPr>
                <w:sz w:val="10"/>
                <w:szCs w:val="10"/>
                <w:color w:val="auto"/>
              </w:rPr>
            </w:pPr>
          </w:p>
        </w:tc>
        <w:tc>
          <w:tcPr>
            <w:tcW w:w="160" w:type="dxa"/>
            <w:vAlign w:val="bottom"/>
            <w:tcBorders>
              <w:top w:val="single" w:sz="8" w:color="CCEEFF"/>
            </w:tcBorders>
            <w:shd w:val="clear" w:color="auto" w:fill="CCEEFF"/>
          </w:tcPr>
          <w:p>
            <w:pPr>
              <w:spacing w:after="0"/>
              <w:rPr>
                <w:sz w:val="10"/>
                <w:szCs w:val="10"/>
                <w:color w:val="auto"/>
              </w:rPr>
            </w:pPr>
          </w:p>
        </w:tc>
        <w:tc>
          <w:tcPr>
            <w:tcW w:w="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300" w:type="dxa"/>
            <w:vAlign w:val="bottom"/>
            <w:tcBorders>
              <w:top w:val="single" w:sz="8" w:color="auto"/>
            </w:tcBorders>
            <w:shd w:val="clear" w:color="auto" w:fill="CCEEFF"/>
          </w:tcPr>
          <w:p>
            <w:pPr>
              <w:jc w:val="right"/>
              <w:spacing w:after="0" w:line="122" w:lineRule="exact"/>
              <w:rPr>
                <w:sz w:val="20"/>
                <w:szCs w:val="20"/>
                <w:color w:val="auto"/>
              </w:rPr>
            </w:pPr>
            <w:r>
              <w:rPr>
                <w:rFonts w:ascii="Arial" w:cs="Arial" w:eastAsia="Arial" w:hAnsi="Arial"/>
                <w:sz w:val="13"/>
                <w:szCs w:val="13"/>
                <w:color w:val="auto"/>
                <w:w w:val="92"/>
              </w:rPr>
              <w:t>(639)</w:t>
            </w:r>
          </w:p>
        </w:tc>
        <w:tc>
          <w:tcPr>
            <w:tcW w:w="180" w:type="dxa"/>
            <w:vAlign w:val="bottom"/>
            <w:tcBorders>
              <w:top w:val="single" w:sz="8" w:color="CCEEFF"/>
            </w:tcBorders>
            <w:shd w:val="clear" w:color="auto" w:fill="CCEEFF"/>
          </w:tcPr>
          <w:p>
            <w:pPr>
              <w:spacing w:after="0"/>
              <w:rPr>
                <w:sz w:val="10"/>
                <w:szCs w:val="10"/>
                <w:color w:val="auto"/>
              </w:rPr>
            </w:pPr>
          </w:p>
        </w:tc>
        <w:tc>
          <w:tcPr>
            <w:tcW w:w="80" w:type="dxa"/>
            <w:vAlign w:val="bottom"/>
            <w:tcBorders>
              <w:top w:val="single" w:sz="8" w:color="CCEEFF"/>
            </w:tcBorders>
            <w:shd w:val="clear" w:color="auto" w:fill="CCEEFF"/>
          </w:tcPr>
          <w:p>
            <w:pPr>
              <w:spacing w:after="0"/>
              <w:rPr>
                <w:sz w:val="10"/>
                <w:szCs w:val="10"/>
                <w:color w:val="auto"/>
              </w:rPr>
            </w:pPr>
          </w:p>
        </w:tc>
        <w:tc>
          <w:tcPr>
            <w:tcW w:w="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360" w:type="dxa"/>
            <w:vAlign w:val="bottom"/>
            <w:tcBorders>
              <w:top w:val="single" w:sz="8" w:color="auto"/>
            </w:tcBorders>
            <w:shd w:val="clear" w:color="auto" w:fill="CCEEFF"/>
          </w:tcPr>
          <w:p>
            <w:pPr>
              <w:jc w:val="right"/>
              <w:spacing w:after="0" w:line="122" w:lineRule="exact"/>
              <w:rPr>
                <w:sz w:val="20"/>
                <w:szCs w:val="20"/>
                <w:color w:val="auto"/>
              </w:rPr>
            </w:pPr>
            <w:r>
              <w:rPr>
                <w:rFonts w:ascii="Arial" w:cs="Arial" w:eastAsia="Arial" w:hAnsi="Arial"/>
                <w:sz w:val="13"/>
                <w:szCs w:val="13"/>
                <w:color w:val="auto"/>
              </w:rPr>
              <w:t>7,964</w:t>
            </w:r>
          </w:p>
        </w:tc>
        <w:tc>
          <w:tcPr>
            <w:tcW w:w="220" w:type="dxa"/>
            <w:vAlign w:val="bottom"/>
            <w:tcBorders>
              <w:top w:val="single" w:sz="8" w:color="CCEEFF"/>
            </w:tcBorders>
            <w:shd w:val="clear" w:color="auto" w:fill="CCEEFF"/>
          </w:tcPr>
          <w:p>
            <w:pPr>
              <w:spacing w:after="0"/>
              <w:rPr>
                <w:sz w:val="10"/>
                <w:szCs w:val="10"/>
                <w:color w:val="auto"/>
              </w:rPr>
            </w:pPr>
          </w:p>
        </w:tc>
        <w:tc>
          <w:tcPr>
            <w:tcW w:w="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400" w:type="dxa"/>
            <w:vAlign w:val="bottom"/>
            <w:tcBorders>
              <w:top w:val="single" w:sz="8" w:color="auto"/>
            </w:tcBorders>
            <w:shd w:val="clear" w:color="auto" w:fill="CCEEFF"/>
          </w:tcPr>
          <w:p>
            <w:pPr>
              <w:jc w:val="right"/>
              <w:spacing w:after="0" w:line="122" w:lineRule="exact"/>
              <w:rPr>
                <w:sz w:val="20"/>
                <w:szCs w:val="20"/>
                <w:color w:val="auto"/>
              </w:rPr>
            </w:pPr>
            <w:r>
              <w:rPr>
                <w:rFonts w:ascii="Arial" w:cs="Arial" w:eastAsia="Arial" w:hAnsi="Arial"/>
                <w:sz w:val="13"/>
                <w:szCs w:val="13"/>
                <w:color w:val="auto"/>
              </w:rPr>
              <w:t>5,543</w:t>
            </w:r>
          </w:p>
        </w:tc>
        <w:tc>
          <w:tcPr>
            <w:tcW w:w="160" w:type="dxa"/>
            <w:vAlign w:val="bottom"/>
            <w:tcBorders>
              <w:top w:val="single" w:sz="8" w:color="CCEEFF"/>
            </w:tcBorders>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2380" w:type="dxa"/>
            <w:vAlign w:val="bottom"/>
            <w:gridSpan w:val="2"/>
          </w:tcPr>
          <w:p>
            <w:pPr>
              <w:spacing w:after="0" w:line="135" w:lineRule="exact"/>
              <w:rPr>
                <w:sz w:val="20"/>
                <w:szCs w:val="20"/>
                <w:color w:val="auto"/>
              </w:rPr>
            </w:pPr>
            <w:r>
              <w:rPr>
                <w:rFonts w:ascii="Arial" w:cs="Arial" w:eastAsia="Arial" w:hAnsi="Arial"/>
                <w:sz w:val="13"/>
                <w:szCs w:val="13"/>
                <w:color w:val="auto"/>
              </w:rPr>
              <w:t>Interest expense, net</w:t>
            </w:r>
          </w:p>
        </w:tc>
        <w:tc>
          <w:tcPr>
            <w:tcW w:w="660" w:type="dxa"/>
            <w:vAlign w:val="bottom"/>
            <w:gridSpan w:val="2"/>
          </w:tcPr>
          <w:p>
            <w:pPr>
              <w:jc w:val="right"/>
              <w:ind w:right="200"/>
              <w:spacing w:after="0" w:line="135" w:lineRule="exact"/>
              <w:rPr>
                <w:sz w:val="20"/>
                <w:szCs w:val="20"/>
                <w:color w:val="auto"/>
              </w:rPr>
            </w:pPr>
            <w:r>
              <w:rPr>
                <w:rFonts w:ascii="Arial" w:cs="Arial" w:eastAsia="Arial" w:hAnsi="Arial"/>
                <w:sz w:val="13"/>
                <w:szCs w:val="13"/>
                <w:color w:val="auto"/>
              </w:rPr>
              <w:t>8,316</w:t>
            </w: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gridSpan w:val="2"/>
          </w:tcPr>
          <w:p>
            <w:pPr>
              <w:jc w:val="right"/>
              <w:ind w:right="200"/>
              <w:spacing w:after="0" w:line="135" w:lineRule="exact"/>
              <w:rPr>
                <w:sz w:val="20"/>
                <w:szCs w:val="20"/>
                <w:color w:val="auto"/>
              </w:rPr>
            </w:pPr>
            <w:r>
              <w:rPr>
                <w:rFonts w:ascii="Arial" w:cs="Arial" w:eastAsia="Arial" w:hAnsi="Arial"/>
                <w:sz w:val="13"/>
                <w:szCs w:val="13"/>
                <w:color w:val="auto"/>
              </w:rPr>
              <w:t>8,454</w:t>
            </w: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40" w:type="dxa"/>
            <w:vAlign w:val="bottom"/>
            <w:gridSpan w:val="2"/>
          </w:tcPr>
          <w:p>
            <w:pPr>
              <w:jc w:val="right"/>
              <w:ind w:right="200"/>
              <w:spacing w:after="0" w:line="135" w:lineRule="exact"/>
              <w:rPr>
                <w:sz w:val="20"/>
                <w:szCs w:val="20"/>
                <w:color w:val="auto"/>
              </w:rPr>
            </w:pPr>
            <w:r>
              <w:rPr>
                <w:rFonts w:ascii="Arial" w:cs="Arial" w:eastAsia="Arial" w:hAnsi="Arial"/>
                <w:sz w:val="13"/>
                <w:szCs w:val="13"/>
                <w:color w:val="auto"/>
              </w:rPr>
              <w:t>8,688</w:t>
            </w: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60" w:type="dxa"/>
            <w:vAlign w:val="bottom"/>
            <w:gridSpan w:val="2"/>
          </w:tcPr>
          <w:p>
            <w:pPr>
              <w:jc w:val="right"/>
              <w:ind w:right="220"/>
              <w:spacing w:after="0" w:line="135" w:lineRule="exact"/>
              <w:rPr>
                <w:sz w:val="20"/>
                <w:szCs w:val="20"/>
                <w:color w:val="auto"/>
              </w:rPr>
            </w:pPr>
            <w:r>
              <w:rPr>
                <w:rFonts w:ascii="Arial" w:cs="Arial" w:eastAsia="Arial" w:hAnsi="Arial"/>
                <w:sz w:val="13"/>
                <w:szCs w:val="13"/>
                <w:color w:val="auto"/>
              </w:rPr>
              <w:t>9,022</w:t>
            </w:r>
          </w:p>
        </w:tc>
        <w:tc>
          <w:tcPr>
            <w:tcW w:w="760" w:type="dxa"/>
            <w:vAlign w:val="bottom"/>
            <w:gridSpan w:val="3"/>
          </w:tcPr>
          <w:p>
            <w:pPr>
              <w:jc w:val="right"/>
              <w:ind w:right="260"/>
              <w:spacing w:after="0" w:line="135" w:lineRule="exact"/>
              <w:rPr>
                <w:sz w:val="20"/>
                <w:szCs w:val="20"/>
                <w:color w:val="auto"/>
              </w:rPr>
            </w:pPr>
            <w:r>
              <w:rPr>
                <w:rFonts w:ascii="Arial" w:cs="Arial" w:eastAsia="Arial" w:hAnsi="Arial"/>
                <w:sz w:val="13"/>
                <w:szCs w:val="13"/>
                <w:color w:val="auto"/>
              </w:rPr>
              <w:t>9,328</w:t>
            </w:r>
          </w:p>
        </w:tc>
        <w:tc>
          <w:tcPr>
            <w:tcW w:w="80" w:type="dxa"/>
            <w:vAlign w:val="bottom"/>
          </w:tcPr>
          <w:p>
            <w:pPr>
              <w:spacing w:after="0"/>
              <w:rPr>
                <w:sz w:val="11"/>
                <w:szCs w:val="11"/>
                <w:color w:val="auto"/>
              </w:rPr>
            </w:pPr>
          </w:p>
        </w:tc>
        <w:tc>
          <w:tcPr>
            <w:tcW w:w="640" w:type="dxa"/>
            <w:vAlign w:val="bottom"/>
            <w:gridSpan w:val="2"/>
          </w:tcPr>
          <w:p>
            <w:pPr>
              <w:jc w:val="right"/>
              <w:ind w:right="240"/>
              <w:spacing w:after="0" w:line="135" w:lineRule="exact"/>
              <w:rPr>
                <w:sz w:val="20"/>
                <w:szCs w:val="20"/>
                <w:color w:val="auto"/>
              </w:rPr>
            </w:pPr>
            <w:r>
              <w:rPr>
                <w:rFonts w:ascii="Arial" w:cs="Arial" w:eastAsia="Arial" w:hAnsi="Arial"/>
                <w:sz w:val="13"/>
                <w:szCs w:val="13"/>
                <w:color w:val="auto"/>
              </w:rPr>
              <w:t>9,452</w:t>
            </w:r>
          </w:p>
        </w:tc>
        <w:tc>
          <w:tcPr>
            <w:tcW w:w="120" w:type="dxa"/>
            <w:vAlign w:val="bottom"/>
          </w:tcPr>
          <w:p>
            <w:pPr>
              <w:spacing w:after="0"/>
              <w:rPr>
                <w:sz w:val="11"/>
                <w:szCs w:val="11"/>
                <w:color w:val="auto"/>
              </w:rPr>
            </w:pPr>
          </w:p>
        </w:tc>
        <w:tc>
          <w:tcPr>
            <w:tcW w:w="780" w:type="dxa"/>
            <w:vAlign w:val="bottom"/>
            <w:gridSpan w:val="2"/>
          </w:tcPr>
          <w:p>
            <w:pPr>
              <w:jc w:val="right"/>
              <w:ind w:right="260"/>
              <w:spacing w:after="0" w:line="135" w:lineRule="exact"/>
              <w:rPr>
                <w:sz w:val="20"/>
                <w:szCs w:val="20"/>
                <w:color w:val="auto"/>
              </w:rPr>
            </w:pPr>
            <w:r>
              <w:rPr>
                <w:rFonts w:ascii="Arial" w:cs="Arial" w:eastAsia="Arial" w:hAnsi="Arial"/>
                <w:sz w:val="13"/>
                <w:szCs w:val="13"/>
                <w:color w:val="auto"/>
              </w:rPr>
              <w:t>9,894</w:t>
            </w:r>
          </w:p>
        </w:tc>
        <w:tc>
          <w:tcPr>
            <w:tcW w:w="100" w:type="dxa"/>
            <w:vAlign w:val="bottom"/>
          </w:tcPr>
          <w:p>
            <w:pPr>
              <w:spacing w:after="0"/>
              <w:rPr>
                <w:sz w:val="11"/>
                <w:szCs w:val="11"/>
                <w:color w:val="auto"/>
              </w:rPr>
            </w:pPr>
          </w:p>
        </w:tc>
        <w:tc>
          <w:tcPr>
            <w:tcW w:w="920" w:type="dxa"/>
            <w:vAlign w:val="bottom"/>
            <w:tcBorders>
              <w:right w:val="single" w:sz="8" w:color="auto"/>
            </w:tcBorders>
            <w:gridSpan w:val="2"/>
          </w:tcPr>
          <w:p>
            <w:pPr>
              <w:jc w:val="right"/>
              <w:ind w:right="360"/>
              <w:spacing w:after="0" w:line="135" w:lineRule="exact"/>
              <w:rPr>
                <w:sz w:val="20"/>
                <w:szCs w:val="20"/>
                <w:color w:val="auto"/>
              </w:rPr>
            </w:pPr>
            <w:r>
              <w:rPr>
                <w:rFonts w:ascii="Arial" w:cs="Arial" w:eastAsia="Arial" w:hAnsi="Arial"/>
                <w:sz w:val="13"/>
                <w:szCs w:val="13"/>
                <w:color w:val="auto"/>
              </w:rPr>
              <w:t>8,310</w:t>
            </w: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80" w:type="dxa"/>
            <w:vAlign w:val="bottom"/>
            <w:gridSpan w:val="2"/>
          </w:tcPr>
          <w:p>
            <w:pPr>
              <w:jc w:val="right"/>
              <w:ind w:right="140"/>
              <w:spacing w:after="0" w:line="135" w:lineRule="exact"/>
              <w:rPr>
                <w:sz w:val="20"/>
                <w:szCs w:val="20"/>
                <w:color w:val="auto"/>
              </w:rPr>
            </w:pPr>
            <w:r>
              <w:rPr>
                <w:rFonts w:ascii="Arial" w:cs="Arial" w:eastAsia="Arial" w:hAnsi="Arial"/>
                <w:sz w:val="13"/>
                <w:szCs w:val="13"/>
                <w:color w:val="auto"/>
              </w:rPr>
              <w:t>(8)</w:t>
            </w: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gridSpan w:val="2"/>
          </w:tcPr>
          <w:p>
            <w:pPr>
              <w:jc w:val="right"/>
              <w:ind w:right="220"/>
              <w:spacing w:after="0" w:line="135" w:lineRule="exact"/>
              <w:rPr>
                <w:sz w:val="20"/>
                <w:szCs w:val="20"/>
                <w:color w:val="auto"/>
              </w:rPr>
            </w:pPr>
            <w:r>
              <w:rPr>
                <w:rFonts w:ascii="Arial" w:cs="Arial" w:eastAsia="Arial" w:hAnsi="Arial"/>
                <w:sz w:val="13"/>
                <w:szCs w:val="13"/>
                <w:color w:val="auto"/>
              </w:rPr>
              <w:t>58</w:t>
            </w:r>
          </w:p>
        </w:tc>
        <w:tc>
          <w:tcPr>
            <w:tcW w:w="60" w:type="dxa"/>
            <w:vAlign w:val="bottom"/>
          </w:tcPr>
          <w:p>
            <w:pPr>
              <w:spacing w:after="0"/>
              <w:rPr>
                <w:sz w:val="11"/>
                <w:szCs w:val="11"/>
                <w:color w:val="auto"/>
              </w:rPr>
            </w:pPr>
          </w:p>
        </w:tc>
        <w:tc>
          <w:tcPr>
            <w:tcW w:w="560" w:type="dxa"/>
            <w:vAlign w:val="bottom"/>
            <w:gridSpan w:val="2"/>
          </w:tcPr>
          <w:p>
            <w:pPr>
              <w:jc w:val="right"/>
              <w:ind w:right="160"/>
              <w:spacing w:after="0" w:line="135" w:lineRule="exact"/>
              <w:rPr>
                <w:sz w:val="20"/>
                <w:szCs w:val="20"/>
                <w:color w:val="auto"/>
              </w:rPr>
            </w:pPr>
            <w:r>
              <w:rPr>
                <w:rFonts w:ascii="Arial" w:cs="Arial" w:eastAsia="Arial" w:hAnsi="Arial"/>
                <w:sz w:val="13"/>
                <w:szCs w:val="13"/>
                <w:color w:val="auto"/>
              </w:rPr>
              <w:t>115</w:t>
            </w:r>
          </w:p>
        </w:tc>
        <w:tc>
          <w:tcPr>
            <w:tcW w:w="0" w:type="dxa"/>
            <w:vAlign w:val="bottom"/>
          </w:tcPr>
          <w:p>
            <w:pPr>
              <w:spacing w:after="0"/>
              <w:rPr>
                <w:sz w:val="1"/>
                <w:szCs w:val="1"/>
                <w:color w:val="auto"/>
              </w:rPr>
            </w:pPr>
          </w:p>
        </w:tc>
      </w:tr>
      <w:tr>
        <w:trPr>
          <w:trHeight w:val="135"/>
        </w:trPr>
        <w:tc>
          <w:tcPr>
            <w:tcW w:w="2380" w:type="dxa"/>
            <w:vAlign w:val="bottom"/>
            <w:gridSpan w:val="2"/>
            <w:shd w:val="clear" w:color="auto" w:fill="CCEEFF"/>
          </w:tcPr>
          <w:p>
            <w:pPr>
              <w:spacing w:after="0" w:line="135" w:lineRule="exact"/>
              <w:rPr>
                <w:sz w:val="20"/>
                <w:szCs w:val="20"/>
                <w:color w:val="auto"/>
              </w:rPr>
            </w:pPr>
            <w:r>
              <w:rPr>
                <w:rFonts w:ascii="Arial" w:cs="Arial" w:eastAsia="Arial" w:hAnsi="Arial"/>
                <w:sz w:val="13"/>
                <w:szCs w:val="13"/>
                <w:color w:val="auto"/>
              </w:rPr>
              <w:t>Depreciation</w:t>
            </w:r>
          </w:p>
        </w:tc>
        <w:tc>
          <w:tcPr>
            <w:tcW w:w="660" w:type="dxa"/>
            <w:vAlign w:val="bottom"/>
            <w:gridSpan w:val="2"/>
            <w:shd w:val="clear" w:color="auto" w:fill="CCEEFF"/>
          </w:tcPr>
          <w:p>
            <w:pPr>
              <w:jc w:val="right"/>
              <w:ind w:right="200"/>
              <w:spacing w:after="0" w:line="135" w:lineRule="exact"/>
              <w:rPr>
                <w:sz w:val="20"/>
                <w:szCs w:val="20"/>
                <w:color w:val="auto"/>
              </w:rPr>
            </w:pPr>
            <w:r>
              <w:rPr>
                <w:rFonts w:ascii="Arial" w:cs="Arial" w:eastAsia="Arial" w:hAnsi="Arial"/>
                <w:sz w:val="13"/>
                <w:szCs w:val="13"/>
                <w:color w:val="auto"/>
              </w:rPr>
              <w:t>400</w:t>
            </w:r>
          </w:p>
        </w:tc>
        <w:tc>
          <w:tcPr>
            <w:tcW w:w="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0" w:type="dxa"/>
            <w:vAlign w:val="bottom"/>
            <w:gridSpan w:val="2"/>
            <w:shd w:val="clear" w:color="auto" w:fill="CCEEFF"/>
          </w:tcPr>
          <w:p>
            <w:pPr>
              <w:jc w:val="right"/>
              <w:ind w:right="200"/>
              <w:spacing w:after="0" w:line="135" w:lineRule="exact"/>
              <w:rPr>
                <w:sz w:val="20"/>
                <w:szCs w:val="20"/>
                <w:color w:val="auto"/>
              </w:rPr>
            </w:pPr>
            <w:r>
              <w:rPr>
                <w:rFonts w:ascii="Arial" w:cs="Arial" w:eastAsia="Arial" w:hAnsi="Arial"/>
                <w:sz w:val="13"/>
                <w:szCs w:val="13"/>
                <w:color w:val="auto"/>
              </w:rPr>
              <w:t>341</w:t>
            </w:r>
          </w:p>
        </w:tc>
        <w:tc>
          <w:tcPr>
            <w:tcW w:w="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40" w:type="dxa"/>
            <w:vAlign w:val="bottom"/>
            <w:gridSpan w:val="2"/>
            <w:shd w:val="clear" w:color="auto" w:fill="CCEEFF"/>
          </w:tcPr>
          <w:p>
            <w:pPr>
              <w:jc w:val="right"/>
              <w:ind w:right="200"/>
              <w:spacing w:after="0" w:line="135" w:lineRule="exact"/>
              <w:rPr>
                <w:sz w:val="20"/>
                <w:szCs w:val="20"/>
                <w:color w:val="auto"/>
              </w:rPr>
            </w:pPr>
            <w:r>
              <w:rPr>
                <w:rFonts w:ascii="Arial" w:cs="Arial" w:eastAsia="Arial" w:hAnsi="Arial"/>
                <w:sz w:val="13"/>
                <w:szCs w:val="13"/>
                <w:color w:val="auto"/>
              </w:rPr>
              <w:t>335</w:t>
            </w:r>
          </w:p>
        </w:tc>
        <w:tc>
          <w:tcPr>
            <w:tcW w:w="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60" w:type="dxa"/>
            <w:vAlign w:val="bottom"/>
            <w:gridSpan w:val="2"/>
            <w:shd w:val="clear" w:color="auto" w:fill="CCEEFF"/>
          </w:tcPr>
          <w:p>
            <w:pPr>
              <w:jc w:val="right"/>
              <w:ind w:right="220"/>
              <w:spacing w:after="0" w:line="135" w:lineRule="exact"/>
              <w:rPr>
                <w:sz w:val="20"/>
                <w:szCs w:val="20"/>
                <w:color w:val="auto"/>
              </w:rPr>
            </w:pPr>
            <w:r>
              <w:rPr>
                <w:rFonts w:ascii="Arial" w:cs="Arial" w:eastAsia="Arial" w:hAnsi="Arial"/>
                <w:sz w:val="13"/>
                <w:szCs w:val="13"/>
                <w:color w:val="auto"/>
              </w:rPr>
              <w:t>301</w:t>
            </w:r>
          </w:p>
        </w:tc>
        <w:tc>
          <w:tcPr>
            <w:tcW w:w="760" w:type="dxa"/>
            <w:vAlign w:val="bottom"/>
            <w:gridSpan w:val="3"/>
            <w:shd w:val="clear" w:color="auto" w:fill="CCEEFF"/>
          </w:tcPr>
          <w:p>
            <w:pPr>
              <w:jc w:val="right"/>
              <w:ind w:right="260"/>
              <w:spacing w:after="0" w:line="135" w:lineRule="exact"/>
              <w:rPr>
                <w:sz w:val="20"/>
                <w:szCs w:val="20"/>
                <w:color w:val="auto"/>
              </w:rPr>
            </w:pPr>
            <w:r>
              <w:rPr>
                <w:rFonts w:ascii="Arial" w:cs="Arial" w:eastAsia="Arial" w:hAnsi="Arial"/>
                <w:sz w:val="13"/>
                <w:szCs w:val="13"/>
                <w:color w:val="auto"/>
              </w:rPr>
              <w:t>257</w:t>
            </w:r>
          </w:p>
        </w:tc>
        <w:tc>
          <w:tcPr>
            <w:tcW w:w="80" w:type="dxa"/>
            <w:vAlign w:val="bottom"/>
            <w:shd w:val="clear" w:color="auto" w:fill="CCEEFF"/>
          </w:tcPr>
          <w:p>
            <w:pPr>
              <w:spacing w:after="0"/>
              <w:rPr>
                <w:sz w:val="11"/>
                <w:szCs w:val="11"/>
                <w:color w:val="auto"/>
              </w:rPr>
            </w:pPr>
          </w:p>
        </w:tc>
        <w:tc>
          <w:tcPr>
            <w:tcW w:w="640" w:type="dxa"/>
            <w:vAlign w:val="bottom"/>
            <w:gridSpan w:val="2"/>
            <w:shd w:val="clear" w:color="auto" w:fill="CCEEFF"/>
          </w:tcPr>
          <w:p>
            <w:pPr>
              <w:jc w:val="right"/>
              <w:ind w:right="240"/>
              <w:spacing w:after="0" w:line="135" w:lineRule="exact"/>
              <w:rPr>
                <w:sz w:val="20"/>
                <w:szCs w:val="20"/>
                <w:color w:val="auto"/>
              </w:rPr>
            </w:pPr>
            <w:r>
              <w:rPr>
                <w:rFonts w:ascii="Arial" w:cs="Arial" w:eastAsia="Arial" w:hAnsi="Arial"/>
                <w:sz w:val="13"/>
                <w:szCs w:val="13"/>
                <w:color w:val="auto"/>
              </w:rPr>
              <w:t>259</w:t>
            </w:r>
          </w:p>
        </w:tc>
        <w:tc>
          <w:tcPr>
            <w:tcW w:w="120" w:type="dxa"/>
            <w:vAlign w:val="bottom"/>
            <w:shd w:val="clear" w:color="auto" w:fill="CCEEFF"/>
          </w:tcPr>
          <w:p>
            <w:pPr>
              <w:spacing w:after="0"/>
              <w:rPr>
                <w:sz w:val="11"/>
                <w:szCs w:val="11"/>
                <w:color w:val="auto"/>
              </w:rPr>
            </w:pPr>
          </w:p>
        </w:tc>
        <w:tc>
          <w:tcPr>
            <w:tcW w:w="780" w:type="dxa"/>
            <w:vAlign w:val="bottom"/>
            <w:gridSpan w:val="2"/>
            <w:shd w:val="clear" w:color="auto" w:fill="CCEEFF"/>
          </w:tcPr>
          <w:p>
            <w:pPr>
              <w:jc w:val="right"/>
              <w:ind w:right="260"/>
              <w:spacing w:after="0" w:line="135" w:lineRule="exact"/>
              <w:rPr>
                <w:sz w:val="20"/>
                <w:szCs w:val="20"/>
                <w:color w:val="auto"/>
              </w:rPr>
            </w:pPr>
            <w:r>
              <w:rPr>
                <w:rFonts w:ascii="Arial" w:cs="Arial" w:eastAsia="Arial" w:hAnsi="Arial"/>
                <w:sz w:val="13"/>
                <w:szCs w:val="13"/>
                <w:color w:val="auto"/>
              </w:rPr>
              <w:t>261</w:t>
            </w:r>
          </w:p>
        </w:tc>
        <w:tc>
          <w:tcPr>
            <w:tcW w:w="100" w:type="dxa"/>
            <w:vAlign w:val="bottom"/>
            <w:shd w:val="clear" w:color="auto" w:fill="CCEEFF"/>
          </w:tcPr>
          <w:p>
            <w:pPr>
              <w:spacing w:after="0"/>
              <w:rPr>
                <w:sz w:val="11"/>
                <w:szCs w:val="11"/>
                <w:color w:val="auto"/>
              </w:rPr>
            </w:pPr>
          </w:p>
        </w:tc>
        <w:tc>
          <w:tcPr>
            <w:tcW w:w="920" w:type="dxa"/>
            <w:vAlign w:val="bottom"/>
            <w:tcBorders>
              <w:right w:val="single" w:sz="8" w:color="auto"/>
            </w:tcBorders>
            <w:gridSpan w:val="2"/>
            <w:shd w:val="clear" w:color="auto" w:fill="CCEEFF"/>
          </w:tcPr>
          <w:p>
            <w:pPr>
              <w:jc w:val="right"/>
              <w:ind w:right="360"/>
              <w:spacing w:after="0" w:line="135" w:lineRule="exact"/>
              <w:rPr>
                <w:sz w:val="20"/>
                <w:szCs w:val="20"/>
                <w:color w:val="auto"/>
              </w:rPr>
            </w:pPr>
            <w:r>
              <w:rPr>
                <w:rFonts w:ascii="Arial" w:cs="Arial" w:eastAsia="Arial" w:hAnsi="Arial"/>
                <w:sz w:val="13"/>
                <w:szCs w:val="13"/>
                <w:color w:val="auto"/>
              </w:rPr>
              <w:t>195</w:t>
            </w:r>
          </w:p>
        </w:tc>
        <w:tc>
          <w:tcPr>
            <w:tcW w:w="1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80" w:type="dxa"/>
            <w:vAlign w:val="bottom"/>
            <w:gridSpan w:val="2"/>
            <w:shd w:val="clear" w:color="auto" w:fill="CCEEFF"/>
          </w:tcPr>
          <w:p>
            <w:pPr>
              <w:jc w:val="right"/>
              <w:ind w:right="180"/>
              <w:spacing w:after="0" w:line="135" w:lineRule="exact"/>
              <w:rPr>
                <w:sz w:val="20"/>
                <w:szCs w:val="20"/>
                <w:color w:val="auto"/>
              </w:rPr>
            </w:pPr>
            <w:r>
              <w:rPr>
                <w:rFonts w:ascii="Arial" w:cs="Arial" w:eastAsia="Arial" w:hAnsi="Arial"/>
                <w:sz w:val="13"/>
                <w:szCs w:val="13"/>
                <w:color w:val="auto"/>
              </w:rPr>
              <w:t>39</w:t>
            </w: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80" w:type="dxa"/>
            <w:vAlign w:val="bottom"/>
            <w:gridSpan w:val="2"/>
            <w:shd w:val="clear" w:color="auto" w:fill="CCEEFF"/>
          </w:tcPr>
          <w:p>
            <w:pPr>
              <w:jc w:val="right"/>
              <w:ind w:right="220"/>
              <w:spacing w:after="0" w:line="135" w:lineRule="exact"/>
              <w:rPr>
                <w:sz w:val="20"/>
                <w:szCs w:val="20"/>
                <w:color w:val="auto"/>
              </w:rPr>
            </w:pPr>
            <w:r>
              <w:rPr>
                <w:rFonts w:ascii="Arial" w:cs="Arial" w:eastAsia="Arial" w:hAnsi="Arial"/>
                <w:sz w:val="13"/>
                <w:szCs w:val="13"/>
                <w:color w:val="auto"/>
              </w:rPr>
              <w:t>222</w:t>
            </w:r>
          </w:p>
        </w:tc>
        <w:tc>
          <w:tcPr>
            <w:tcW w:w="60" w:type="dxa"/>
            <w:vAlign w:val="bottom"/>
            <w:shd w:val="clear" w:color="auto" w:fill="CCEEFF"/>
          </w:tcPr>
          <w:p>
            <w:pPr>
              <w:spacing w:after="0"/>
              <w:rPr>
                <w:sz w:val="11"/>
                <w:szCs w:val="11"/>
                <w:color w:val="auto"/>
              </w:rPr>
            </w:pPr>
          </w:p>
        </w:tc>
        <w:tc>
          <w:tcPr>
            <w:tcW w:w="560" w:type="dxa"/>
            <w:vAlign w:val="bottom"/>
            <w:gridSpan w:val="2"/>
            <w:shd w:val="clear" w:color="auto" w:fill="CCEEFF"/>
          </w:tcPr>
          <w:p>
            <w:pPr>
              <w:jc w:val="right"/>
              <w:ind w:right="160"/>
              <w:spacing w:after="0" w:line="135" w:lineRule="exact"/>
              <w:rPr>
                <w:sz w:val="20"/>
                <w:szCs w:val="20"/>
                <w:color w:val="auto"/>
              </w:rPr>
            </w:pPr>
            <w:r>
              <w:rPr>
                <w:rFonts w:ascii="Arial" w:cs="Arial" w:eastAsia="Arial" w:hAnsi="Arial"/>
                <w:sz w:val="13"/>
                <w:szCs w:val="13"/>
                <w:color w:val="auto"/>
              </w:rPr>
              <w:t>162</w:t>
            </w:r>
          </w:p>
        </w:tc>
        <w:tc>
          <w:tcPr>
            <w:tcW w:w="0" w:type="dxa"/>
            <w:vAlign w:val="bottom"/>
          </w:tcPr>
          <w:p>
            <w:pPr>
              <w:spacing w:after="0"/>
              <w:rPr>
                <w:sz w:val="1"/>
                <w:szCs w:val="1"/>
                <w:color w:val="auto"/>
              </w:rPr>
            </w:pPr>
          </w:p>
        </w:tc>
      </w:tr>
      <w:tr>
        <w:trPr>
          <w:trHeight w:val="135"/>
        </w:trPr>
        <w:tc>
          <w:tcPr>
            <w:tcW w:w="2380" w:type="dxa"/>
            <w:vAlign w:val="bottom"/>
            <w:gridSpan w:val="2"/>
          </w:tcPr>
          <w:p>
            <w:pPr>
              <w:spacing w:after="0" w:line="135" w:lineRule="exact"/>
              <w:rPr>
                <w:sz w:val="20"/>
                <w:szCs w:val="20"/>
                <w:color w:val="auto"/>
              </w:rPr>
            </w:pPr>
            <w:r>
              <w:rPr>
                <w:rFonts w:ascii="Arial" w:cs="Arial" w:eastAsia="Arial" w:hAnsi="Arial"/>
                <w:sz w:val="13"/>
                <w:szCs w:val="13"/>
                <w:color w:val="auto"/>
              </w:rPr>
              <w:t>Amortization of intangible assets</w:t>
            </w:r>
          </w:p>
        </w:tc>
        <w:tc>
          <w:tcPr>
            <w:tcW w:w="660" w:type="dxa"/>
            <w:vAlign w:val="bottom"/>
            <w:gridSpan w:val="2"/>
          </w:tcPr>
          <w:p>
            <w:pPr>
              <w:jc w:val="right"/>
              <w:ind w:right="200"/>
              <w:spacing w:after="0" w:line="135" w:lineRule="exact"/>
              <w:rPr>
                <w:sz w:val="20"/>
                <w:szCs w:val="20"/>
                <w:color w:val="auto"/>
              </w:rPr>
            </w:pPr>
            <w:r>
              <w:rPr>
                <w:rFonts w:ascii="Arial" w:cs="Arial" w:eastAsia="Arial" w:hAnsi="Arial"/>
                <w:sz w:val="13"/>
                <w:szCs w:val="13"/>
                <w:color w:val="auto"/>
              </w:rPr>
              <w:t>14,507</w:t>
            </w: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gridSpan w:val="2"/>
          </w:tcPr>
          <w:p>
            <w:pPr>
              <w:jc w:val="right"/>
              <w:ind w:right="200"/>
              <w:spacing w:after="0" w:line="135" w:lineRule="exact"/>
              <w:rPr>
                <w:sz w:val="20"/>
                <w:szCs w:val="20"/>
                <w:color w:val="auto"/>
              </w:rPr>
            </w:pPr>
            <w:r>
              <w:rPr>
                <w:rFonts w:ascii="Arial" w:cs="Arial" w:eastAsia="Arial" w:hAnsi="Arial"/>
                <w:sz w:val="13"/>
                <w:szCs w:val="13"/>
                <w:color w:val="auto"/>
                <w:w w:val="95"/>
              </w:rPr>
              <w:t>14,346</w:t>
            </w: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40" w:type="dxa"/>
            <w:vAlign w:val="bottom"/>
            <w:gridSpan w:val="2"/>
          </w:tcPr>
          <w:p>
            <w:pPr>
              <w:jc w:val="right"/>
              <w:ind w:right="200"/>
              <w:spacing w:after="0" w:line="135" w:lineRule="exact"/>
              <w:rPr>
                <w:sz w:val="20"/>
                <w:szCs w:val="20"/>
                <w:color w:val="auto"/>
              </w:rPr>
            </w:pPr>
            <w:r>
              <w:rPr>
                <w:rFonts w:ascii="Arial" w:cs="Arial" w:eastAsia="Arial" w:hAnsi="Arial"/>
                <w:sz w:val="13"/>
                <w:szCs w:val="13"/>
                <w:color w:val="auto"/>
              </w:rPr>
              <w:t>14,930</w:t>
            </w: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60" w:type="dxa"/>
            <w:vAlign w:val="bottom"/>
            <w:gridSpan w:val="2"/>
          </w:tcPr>
          <w:p>
            <w:pPr>
              <w:jc w:val="right"/>
              <w:ind w:right="220"/>
              <w:spacing w:after="0" w:line="135" w:lineRule="exact"/>
              <w:rPr>
                <w:sz w:val="20"/>
                <w:szCs w:val="20"/>
                <w:color w:val="auto"/>
              </w:rPr>
            </w:pPr>
            <w:r>
              <w:rPr>
                <w:rFonts w:ascii="Arial" w:cs="Arial" w:eastAsia="Arial" w:hAnsi="Arial"/>
                <w:sz w:val="13"/>
                <w:szCs w:val="13"/>
                <w:color w:val="auto"/>
              </w:rPr>
              <w:t>14,605</w:t>
            </w:r>
          </w:p>
        </w:tc>
        <w:tc>
          <w:tcPr>
            <w:tcW w:w="760" w:type="dxa"/>
            <w:vAlign w:val="bottom"/>
            <w:gridSpan w:val="3"/>
          </w:tcPr>
          <w:p>
            <w:pPr>
              <w:jc w:val="right"/>
              <w:ind w:right="260"/>
              <w:spacing w:after="0" w:line="135" w:lineRule="exact"/>
              <w:rPr>
                <w:sz w:val="20"/>
                <w:szCs w:val="20"/>
                <w:color w:val="auto"/>
              </w:rPr>
            </w:pPr>
            <w:r>
              <w:rPr>
                <w:rFonts w:ascii="Arial" w:cs="Arial" w:eastAsia="Arial" w:hAnsi="Arial"/>
                <w:sz w:val="13"/>
                <w:szCs w:val="13"/>
                <w:color w:val="auto"/>
              </w:rPr>
              <w:t>14,447</w:t>
            </w:r>
          </w:p>
        </w:tc>
        <w:tc>
          <w:tcPr>
            <w:tcW w:w="80" w:type="dxa"/>
            <w:vAlign w:val="bottom"/>
          </w:tcPr>
          <w:p>
            <w:pPr>
              <w:spacing w:after="0"/>
              <w:rPr>
                <w:sz w:val="11"/>
                <w:szCs w:val="11"/>
                <w:color w:val="auto"/>
              </w:rPr>
            </w:pPr>
          </w:p>
        </w:tc>
        <w:tc>
          <w:tcPr>
            <w:tcW w:w="640" w:type="dxa"/>
            <w:vAlign w:val="bottom"/>
            <w:gridSpan w:val="2"/>
          </w:tcPr>
          <w:p>
            <w:pPr>
              <w:jc w:val="right"/>
              <w:ind w:right="240"/>
              <w:spacing w:after="0" w:line="135" w:lineRule="exact"/>
              <w:rPr>
                <w:sz w:val="20"/>
                <w:szCs w:val="20"/>
                <w:color w:val="auto"/>
              </w:rPr>
            </w:pPr>
            <w:r>
              <w:rPr>
                <w:rFonts w:ascii="Arial" w:cs="Arial" w:eastAsia="Arial" w:hAnsi="Arial"/>
                <w:sz w:val="13"/>
                <w:szCs w:val="13"/>
                <w:color w:val="auto"/>
                <w:w w:val="95"/>
              </w:rPr>
              <w:t>14,446</w:t>
            </w:r>
          </w:p>
        </w:tc>
        <w:tc>
          <w:tcPr>
            <w:tcW w:w="120" w:type="dxa"/>
            <w:vAlign w:val="bottom"/>
          </w:tcPr>
          <w:p>
            <w:pPr>
              <w:spacing w:after="0"/>
              <w:rPr>
                <w:sz w:val="11"/>
                <w:szCs w:val="11"/>
                <w:color w:val="auto"/>
              </w:rPr>
            </w:pPr>
          </w:p>
        </w:tc>
        <w:tc>
          <w:tcPr>
            <w:tcW w:w="780" w:type="dxa"/>
            <w:vAlign w:val="bottom"/>
            <w:gridSpan w:val="2"/>
          </w:tcPr>
          <w:p>
            <w:pPr>
              <w:jc w:val="right"/>
              <w:ind w:right="260"/>
              <w:spacing w:after="0" w:line="135" w:lineRule="exact"/>
              <w:rPr>
                <w:sz w:val="20"/>
                <w:szCs w:val="20"/>
                <w:color w:val="auto"/>
              </w:rPr>
            </w:pPr>
            <w:r>
              <w:rPr>
                <w:rFonts w:ascii="Arial" w:cs="Arial" w:eastAsia="Arial" w:hAnsi="Arial"/>
                <w:sz w:val="13"/>
                <w:szCs w:val="13"/>
                <w:color w:val="auto"/>
              </w:rPr>
              <w:t>16,755</w:t>
            </w:r>
          </w:p>
        </w:tc>
        <w:tc>
          <w:tcPr>
            <w:tcW w:w="100" w:type="dxa"/>
            <w:vAlign w:val="bottom"/>
          </w:tcPr>
          <w:p>
            <w:pPr>
              <w:spacing w:after="0"/>
              <w:rPr>
                <w:sz w:val="11"/>
                <w:szCs w:val="11"/>
                <w:color w:val="auto"/>
              </w:rPr>
            </w:pPr>
          </w:p>
        </w:tc>
        <w:tc>
          <w:tcPr>
            <w:tcW w:w="920" w:type="dxa"/>
            <w:vAlign w:val="bottom"/>
            <w:tcBorders>
              <w:right w:val="single" w:sz="8" w:color="auto"/>
            </w:tcBorders>
            <w:gridSpan w:val="2"/>
          </w:tcPr>
          <w:p>
            <w:pPr>
              <w:jc w:val="right"/>
              <w:ind w:right="360"/>
              <w:spacing w:after="0" w:line="135" w:lineRule="exact"/>
              <w:rPr>
                <w:sz w:val="20"/>
                <w:szCs w:val="20"/>
                <w:color w:val="auto"/>
              </w:rPr>
            </w:pPr>
            <w:r>
              <w:rPr>
                <w:rFonts w:ascii="Arial" w:cs="Arial" w:eastAsia="Arial" w:hAnsi="Arial"/>
                <w:sz w:val="13"/>
                <w:szCs w:val="13"/>
                <w:color w:val="auto"/>
              </w:rPr>
              <w:t>13,862</w:t>
            </w: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80" w:type="dxa"/>
            <w:vAlign w:val="bottom"/>
            <w:gridSpan w:val="2"/>
          </w:tcPr>
          <w:p>
            <w:pPr>
              <w:jc w:val="right"/>
              <w:ind w:right="180"/>
              <w:spacing w:after="0" w:line="135" w:lineRule="exact"/>
              <w:rPr>
                <w:sz w:val="20"/>
                <w:szCs w:val="20"/>
                <w:color w:val="auto"/>
              </w:rPr>
            </w:pPr>
            <w:r>
              <w:rPr>
                <w:rFonts w:ascii="Arial" w:cs="Arial" w:eastAsia="Arial" w:hAnsi="Arial"/>
                <w:sz w:val="13"/>
                <w:szCs w:val="13"/>
                <w:color w:val="auto"/>
              </w:rPr>
              <w:t>162</w:t>
            </w: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gridSpan w:val="2"/>
          </w:tcPr>
          <w:p>
            <w:pPr>
              <w:jc w:val="right"/>
              <w:ind w:right="220"/>
              <w:spacing w:after="0" w:line="135" w:lineRule="exact"/>
              <w:rPr>
                <w:sz w:val="20"/>
                <w:szCs w:val="20"/>
                <w:color w:val="auto"/>
              </w:rPr>
            </w:pPr>
            <w:r>
              <w:rPr>
                <w:rFonts w:ascii="Arial" w:cs="Arial" w:eastAsia="Arial" w:hAnsi="Arial"/>
                <w:sz w:val="13"/>
                <w:szCs w:val="13"/>
                <w:color w:val="auto"/>
              </w:rPr>
              <w:t>972</w:t>
            </w:r>
          </w:p>
        </w:tc>
        <w:tc>
          <w:tcPr>
            <w:tcW w:w="60" w:type="dxa"/>
            <w:vAlign w:val="bottom"/>
          </w:tcPr>
          <w:p>
            <w:pPr>
              <w:spacing w:after="0"/>
              <w:rPr>
                <w:sz w:val="11"/>
                <w:szCs w:val="11"/>
                <w:color w:val="auto"/>
              </w:rPr>
            </w:pPr>
          </w:p>
        </w:tc>
        <w:tc>
          <w:tcPr>
            <w:tcW w:w="560" w:type="dxa"/>
            <w:vAlign w:val="bottom"/>
            <w:gridSpan w:val="2"/>
          </w:tcPr>
          <w:p>
            <w:pPr>
              <w:jc w:val="right"/>
              <w:ind w:right="160"/>
              <w:spacing w:after="0" w:line="135" w:lineRule="exact"/>
              <w:rPr>
                <w:sz w:val="20"/>
                <w:szCs w:val="20"/>
                <w:color w:val="auto"/>
              </w:rPr>
            </w:pPr>
            <w:r>
              <w:rPr>
                <w:rFonts w:ascii="Arial" w:cs="Arial" w:eastAsia="Arial" w:hAnsi="Arial"/>
                <w:sz w:val="13"/>
                <w:szCs w:val="13"/>
                <w:color w:val="auto"/>
              </w:rPr>
              <w:t>908</w:t>
            </w:r>
          </w:p>
        </w:tc>
        <w:tc>
          <w:tcPr>
            <w:tcW w:w="0" w:type="dxa"/>
            <w:vAlign w:val="bottom"/>
          </w:tcPr>
          <w:p>
            <w:pPr>
              <w:spacing w:after="0"/>
              <w:rPr>
                <w:sz w:val="1"/>
                <w:szCs w:val="1"/>
                <w:color w:val="auto"/>
              </w:rPr>
            </w:pPr>
          </w:p>
        </w:tc>
      </w:tr>
      <w:tr>
        <w:trPr>
          <w:trHeight w:val="27"/>
        </w:trPr>
        <w:tc>
          <w:tcPr>
            <w:tcW w:w="740" w:type="dxa"/>
            <w:vAlign w:val="bottom"/>
          </w:tcPr>
          <w:p>
            <w:pPr>
              <w:spacing w:after="0"/>
              <w:rPr>
                <w:sz w:val="2"/>
                <w:szCs w:val="2"/>
                <w:color w:val="auto"/>
              </w:rPr>
            </w:pPr>
          </w:p>
        </w:tc>
        <w:tc>
          <w:tcPr>
            <w:tcW w:w="1640" w:type="dxa"/>
            <w:vAlign w:val="bottom"/>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40" w:type="dxa"/>
            <w:vAlign w:val="bottom"/>
            <w:shd w:val="clear" w:color="auto" w:fill="000000"/>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40" w:type="dxa"/>
            <w:vAlign w:val="bottom"/>
            <w:shd w:val="clear" w:color="auto" w:fill="000000"/>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4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360" w:type="dxa"/>
            <w:vAlign w:val="bottom"/>
            <w:tcBorders>
              <w:right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5"/>
        </w:trPr>
        <w:tc>
          <w:tcPr>
            <w:tcW w:w="2380" w:type="dxa"/>
            <w:vAlign w:val="bottom"/>
            <w:gridSpan w:val="2"/>
            <w:shd w:val="clear" w:color="auto" w:fill="CCEEFF"/>
          </w:tcPr>
          <w:p>
            <w:pPr>
              <w:spacing w:after="0" w:line="135" w:lineRule="exact"/>
              <w:rPr>
                <w:sz w:val="20"/>
                <w:szCs w:val="20"/>
                <w:color w:val="auto"/>
              </w:rPr>
            </w:pPr>
            <w:r>
              <w:rPr>
                <w:rFonts w:ascii="Arial" w:cs="Arial" w:eastAsia="Arial" w:hAnsi="Arial"/>
                <w:sz w:val="13"/>
                <w:szCs w:val="13"/>
                <w:color w:val="auto"/>
              </w:rPr>
              <w:t>EBITDA</w:t>
            </w:r>
          </w:p>
        </w:tc>
        <w:tc>
          <w:tcPr>
            <w:tcW w:w="660" w:type="dxa"/>
            <w:vAlign w:val="bottom"/>
            <w:gridSpan w:val="2"/>
            <w:shd w:val="clear" w:color="auto" w:fill="CCEEFF"/>
          </w:tcPr>
          <w:p>
            <w:pPr>
              <w:jc w:val="right"/>
              <w:ind w:right="200"/>
              <w:spacing w:after="0" w:line="135" w:lineRule="exact"/>
              <w:rPr>
                <w:sz w:val="20"/>
                <w:szCs w:val="20"/>
                <w:color w:val="auto"/>
              </w:rPr>
            </w:pPr>
            <w:r>
              <w:rPr>
                <w:rFonts w:ascii="Arial" w:cs="Arial" w:eastAsia="Arial" w:hAnsi="Arial"/>
                <w:sz w:val="13"/>
                <w:szCs w:val="13"/>
                <w:color w:val="auto"/>
              </w:rPr>
              <w:t>8,184</w:t>
            </w:r>
          </w:p>
        </w:tc>
        <w:tc>
          <w:tcPr>
            <w:tcW w:w="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0" w:type="dxa"/>
            <w:vAlign w:val="bottom"/>
            <w:gridSpan w:val="2"/>
            <w:shd w:val="clear" w:color="auto" w:fill="CCEEFF"/>
          </w:tcPr>
          <w:p>
            <w:pPr>
              <w:jc w:val="right"/>
              <w:ind w:right="200"/>
              <w:spacing w:after="0" w:line="135" w:lineRule="exact"/>
              <w:rPr>
                <w:sz w:val="20"/>
                <w:szCs w:val="20"/>
                <w:color w:val="auto"/>
              </w:rPr>
            </w:pPr>
            <w:r>
              <w:rPr>
                <w:rFonts w:ascii="Arial" w:cs="Arial" w:eastAsia="Arial" w:hAnsi="Arial"/>
                <w:sz w:val="13"/>
                <w:szCs w:val="13"/>
                <w:color w:val="auto"/>
                <w:w w:val="95"/>
              </w:rPr>
              <w:t>12,653</w:t>
            </w:r>
          </w:p>
        </w:tc>
        <w:tc>
          <w:tcPr>
            <w:tcW w:w="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40" w:type="dxa"/>
            <w:vAlign w:val="bottom"/>
            <w:gridSpan w:val="2"/>
            <w:shd w:val="clear" w:color="auto" w:fill="CCEEFF"/>
          </w:tcPr>
          <w:p>
            <w:pPr>
              <w:jc w:val="right"/>
              <w:ind w:right="200"/>
              <w:spacing w:after="0" w:line="135" w:lineRule="exact"/>
              <w:rPr>
                <w:sz w:val="20"/>
                <w:szCs w:val="20"/>
                <w:color w:val="auto"/>
              </w:rPr>
            </w:pPr>
            <w:r>
              <w:rPr>
                <w:rFonts w:ascii="Arial" w:cs="Arial" w:eastAsia="Arial" w:hAnsi="Arial"/>
                <w:sz w:val="13"/>
                <w:szCs w:val="13"/>
                <w:color w:val="auto"/>
              </w:rPr>
              <w:t>8,091</w:t>
            </w:r>
          </w:p>
        </w:tc>
        <w:tc>
          <w:tcPr>
            <w:tcW w:w="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60" w:type="dxa"/>
            <w:vAlign w:val="bottom"/>
            <w:gridSpan w:val="2"/>
            <w:shd w:val="clear" w:color="auto" w:fill="CCEEFF"/>
          </w:tcPr>
          <w:p>
            <w:pPr>
              <w:jc w:val="right"/>
              <w:ind w:right="220"/>
              <w:spacing w:after="0" w:line="135" w:lineRule="exact"/>
              <w:rPr>
                <w:sz w:val="20"/>
                <w:szCs w:val="20"/>
                <w:color w:val="auto"/>
              </w:rPr>
            </w:pPr>
            <w:r>
              <w:rPr>
                <w:rFonts w:ascii="Arial" w:cs="Arial" w:eastAsia="Arial" w:hAnsi="Arial"/>
                <w:sz w:val="13"/>
                <w:szCs w:val="13"/>
                <w:color w:val="auto"/>
              </w:rPr>
              <w:t>13,966</w:t>
            </w:r>
          </w:p>
        </w:tc>
        <w:tc>
          <w:tcPr>
            <w:tcW w:w="760" w:type="dxa"/>
            <w:vAlign w:val="bottom"/>
            <w:gridSpan w:val="3"/>
            <w:shd w:val="clear" w:color="auto" w:fill="CCEEFF"/>
          </w:tcPr>
          <w:p>
            <w:pPr>
              <w:jc w:val="right"/>
              <w:ind w:right="260"/>
              <w:spacing w:after="0" w:line="135" w:lineRule="exact"/>
              <w:rPr>
                <w:sz w:val="20"/>
                <w:szCs w:val="20"/>
                <w:color w:val="auto"/>
              </w:rPr>
            </w:pPr>
            <w:r>
              <w:rPr>
                <w:rFonts w:ascii="Arial" w:cs="Arial" w:eastAsia="Arial" w:hAnsi="Arial"/>
                <w:sz w:val="13"/>
                <w:szCs w:val="13"/>
                <w:color w:val="auto"/>
              </w:rPr>
              <w:t>12,534</w:t>
            </w:r>
          </w:p>
        </w:tc>
        <w:tc>
          <w:tcPr>
            <w:tcW w:w="80" w:type="dxa"/>
            <w:vAlign w:val="bottom"/>
            <w:shd w:val="clear" w:color="auto" w:fill="CCEEFF"/>
          </w:tcPr>
          <w:p>
            <w:pPr>
              <w:spacing w:after="0"/>
              <w:rPr>
                <w:sz w:val="11"/>
                <w:szCs w:val="11"/>
                <w:color w:val="auto"/>
              </w:rPr>
            </w:pPr>
          </w:p>
        </w:tc>
        <w:tc>
          <w:tcPr>
            <w:tcW w:w="640" w:type="dxa"/>
            <w:vAlign w:val="bottom"/>
            <w:gridSpan w:val="2"/>
            <w:shd w:val="clear" w:color="auto" w:fill="CCEEFF"/>
          </w:tcPr>
          <w:p>
            <w:pPr>
              <w:jc w:val="right"/>
              <w:ind w:right="240"/>
              <w:spacing w:after="0" w:line="135" w:lineRule="exact"/>
              <w:rPr>
                <w:sz w:val="20"/>
                <w:szCs w:val="20"/>
                <w:color w:val="auto"/>
              </w:rPr>
            </w:pPr>
            <w:r>
              <w:rPr>
                <w:rFonts w:ascii="Arial" w:cs="Arial" w:eastAsia="Arial" w:hAnsi="Arial"/>
                <w:sz w:val="13"/>
                <w:szCs w:val="13"/>
                <w:color w:val="auto"/>
                <w:w w:val="95"/>
              </w:rPr>
              <w:t>10,322</w:t>
            </w:r>
          </w:p>
        </w:tc>
        <w:tc>
          <w:tcPr>
            <w:tcW w:w="120" w:type="dxa"/>
            <w:vAlign w:val="bottom"/>
            <w:shd w:val="clear" w:color="auto" w:fill="CCEEFF"/>
          </w:tcPr>
          <w:p>
            <w:pPr>
              <w:spacing w:after="0"/>
              <w:rPr>
                <w:sz w:val="11"/>
                <w:szCs w:val="11"/>
                <w:color w:val="auto"/>
              </w:rPr>
            </w:pPr>
          </w:p>
        </w:tc>
        <w:tc>
          <w:tcPr>
            <w:tcW w:w="780" w:type="dxa"/>
            <w:vAlign w:val="bottom"/>
            <w:gridSpan w:val="2"/>
            <w:shd w:val="clear" w:color="auto" w:fill="CCEEFF"/>
          </w:tcPr>
          <w:p>
            <w:pPr>
              <w:jc w:val="right"/>
              <w:ind w:right="260"/>
              <w:spacing w:after="0" w:line="135" w:lineRule="exact"/>
              <w:rPr>
                <w:sz w:val="20"/>
                <w:szCs w:val="20"/>
                <w:color w:val="auto"/>
              </w:rPr>
            </w:pPr>
            <w:r>
              <w:rPr>
                <w:rFonts w:ascii="Arial" w:cs="Arial" w:eastAsia="Arial" w:hAnsi="Arial"/>
                <w:sz w:val="13"/>
                <w:szCs w:val="13"/>
                <w:color w:val="auto"/>
              </w:rPr>
              <w:t>8,430</w:t>
            </w:r>
          </w:p>
        </w:tc>
        <w:tc>
          <w:tcPr>
            <w:tcW w:w="100" w:type="dxa"/>
            <w:vAlign w:val="bottom"/>
            <w:shd w:val="clear" w:color="auto" w:fill="CCEEFF"/>
          </w:tcPr>
          <w:p>
            <w:pPr>
              <w:spacing w:after="0"/>
              <w:rPr>
                <w:sz w:val="11"/>
                <w:szCs w:val="11"/>
                <w:color w:val="auto"/>
              </w:rPr>
            </w:pPr>
          </w:p>
        </w:tc>
        <w:tc>
          <w:tcPr>
            <w:tcW w:w="920" w:type="dxa"/>
            <w:vAlign w:val="bottom"/>
            <w:tcBorders>
              <w:right w:val="single" w:sz="8" w:color="auto"/>
            </w:tcBorders>
            <w:gridSpan w:val="2"/>
            <w:shd w:val="clear" w:color="auto" w:fill="CCEEFF"/>
          </w:tcPr>
          <w:p>
            <w:pPr>
              <w:jc w:val="right"/>
              <w:ind w:right="320"/>
              <w:spacing w:after="0" w:line="135" w:lineRule="exact"/>
              <w:rPr>
                <w:sz w:val="20"/>
                <w:szCs w:val="20"/>
                <w:color w:val="auto"/>
              </w:rPr>
            </w:pPr>
            <w:r>
              <w:rPr>
                <w:rFonts w:ascii="Arial" w:cs="Arial" w:eastAsia="Arial" w:hAnsi="Arial"/>
                <w:sz w:val="13"/>
                <w:szCs w:val="13"/>
                <w:color w:val="auto"/>
              </w:rPr>
              <w:t>(8,419)</w:t>
            </w:r>
          </w:p>
        </w:tc>
        <w:tc>
          <w:tcPr>
            <w:tcW w:w="1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80" w:type="dxa"/>
            <w:vAlign w:val="bottom"/>
            <w:gridSpan w:val="2"/>
            <w:shd w:val="clear" w:color="auto" w:fill="CCEEFF"/>
          </w:tcPr>
          <w:p>
            <w:pPr>
              <w:jc w:val="right"/>
              <w:ind w:right="140"/>
              <w:spacing w:after="0" w:line="135" w:lineRule="exact"/>
              <w:rPr>
                <w:sz w:val="20"/>
                <w:szCs w:val="20"/>
                <w:color w:val="auto"/>
              </w:rPr>
            </w:pPr>
            <w:r>
              <w:rPr>
                <w:rFonts w:ascii="Arial" w:cs="Arial" w:eastAsia="Arial" w:hAnsi="Arial"/>
                <w:sz w:val="13"/>
                <w:szCs w:val="13"/>
                <w:color w:val="auto"/>
              </w:rPr>
              <w:t>(446)</w:t>
            </w: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80" w:type="dxa"/>
            <w:vAlign w:val="bottom"/>
            <w:gridSpan w:val="2"/>
            <w:shd w:val="clear" w:color="auto" w:fill="CCEEFF"/>
          </w:tcPr>
          <w:p>
            <w:pPr>
              <w:jc w:val="right"/>
              <w:ind w:right="220"/>
              <w:spacing w:after="0" w:line="135" w:lineRule="exact"/>
              <w:rPr>
                <w:sz w:val="20"/>
                <w:szCs w:val="20"/>
                <w:color w:val="auto"/>
              </w:rPr>
            </w:pPr>
            <w:r>
              <w:rPr>
                <w:rFonts w:ascii="Arial" w:cs="Arial" w:eastAsia="Arial" w:hAnsi="Arial"/>
                <w:sz w:val="13"/>
                <w:szCs w:val="13"/>
                <w:color w:val="auto"/>
              </w:rPr>
              <w:t>9,216</w:t>
            </w:r>
          </w:p>
        </w:tc>
        <w:tc>
          <w:tcPr>
            <w:tcW w:w="60" w:type="dxa"/>
            <w:vAlign w:val="bottom"/>
            <w:shd w:val="clear" w:color="auto" w:fill="CCEEFF"/>
          </w:tcPr>
          <w:p>
            <w:pPr>
              <w:spacing w:after="0"/>
              <w:rPr>
                <w:sz w:val="11"/>
                <w:szCs w:val="11"/>
                <w:color w:val="auto"/>
              </w:rPr>
            </w:pPr>
          </w:p>
        </w:tc>
        <w:tc>
          <w:tcPr>
            <w:tcW w:w="560" w:type="dxa"/>
            <w:vAlign w:val="bottom"/>
            <w:gridSpan w:val="2"/>
            <w:shd w:val="clear" w:color="auto" w:fill="CCEEFF"/>
          </w:tcPr>
          <w:p>
            <w:pPr>
              <w:jc w:val="right"/>
              <w:ind w:right="160"/>
              <w:spacing w:after="0" w:line="135" w:lineRule="exact"/>
              <w:rPr>
                <w:sz w:val="20"/>
                <w:szCs w:val="20"/>
                <w:color w:val="auto"/>
              </w:rPr>
            </w:pPr>
            <w:r>
              <w:rPr>
                <w:rFonts w:ascii="Arial" w:cs="Arial" w:eastAsia="Arial" w:hAnsi="Arial"/>
                <w:sz w:val="13"/>
                <w:szCs w:val="13"/>
                <w:color w:val="auto"/>
              </w:rPr>
              <w:t>6,728</w:t>
            </w:r>
          </w:p>
        </w:tc>
        <w:tc>
          <w:tcPr>
            <w:tcW w:w="0" w:type="dxa"/>
            <w:vAlign w:val="bottom"/>
          </w:tcPr>
          <w:p>
            <w:pPr>
              <w:spacing w:after="0"/>
              <w:rPr>
                <w:sz w:val="1"/>
                <w:szCs w:val="1"/>
                <w:color w:val="auto"/>
              </w:rPr>
            </w:pPr>
          </w:p>
        </w:tc>
      </w:tr>
      <w:tr>
        <w:trPr>
          <w:trHeight w:val="135"/>
        </w:trPr>
        <w:tc>
          <w:tcPr>
            <w:tcW w:w="2380" w:type="dxa"/>
            <w:vAlign w:val="bottom"/>
            <w:gridSpan w:val="2"/>
          </w:tcPr>
          <w:p>
            <w:pPr>
              <w:spacing w:after="0" w:line="135" w:lineRule="exact"/>
              <w:rPr>
                <w:sz w:val="20"/>
                <w:szCs w:val="20"/>
                <w:color w:val="auto"/>
              </w:rPr>
            </w:pPr>
            <w:r>
              <w:rPr>
                <w:rFonts w:ascii="Arial" w:cs="Arial" w:eastAsia="Arial" w:hAnsi="Arial"/>
                <w:sz w:val="13"/>
                <w:szCs w:val="13"/>
                <w:color w:val="auto"/>
              </w:rPr>
              <w:t>Other (income) expense, net</w:t>
            </w:r>
            <w:r>
              <w:rPr>
                <w:rFonts w:ascii="Arial" w:cs="Arial" w:eastAsia="Arial" w:hAnsi="Arial"/>
                <w:sz w:val="10"/>
                <w:szCs w:val="10"/>
                <w:color w:val="auto"/>
              </w:rPr>
              <w:t>(1)</w:t>
            </w:r>
          </w:p>
        </w:tc>
        <w:tc>
          <w:tcPr>
            <w:tcW w:w="660" w:type="dxa"/>
            <w:vAlign w:val="bottom"/>
            <w:gridSpan w:val="2"/>
          </w:tcPr>
          <w:p>
            <w:pPr>
              <w:jc w:val="right"/>
              <w:ind w:right="200"/>
              <w:spacing w:after="0" w:line="135" w:lineRule="exact"/>
              <w:rPr>
                <w:sz w:val="20"/>
                <w:szCs w:val="20"/>
                <w:color w:val="auto"/>
              </w:rPr>
            </w:pPr>
            <w:r>
              <w:rPr>
                <w:rFonts w:ascii="Arial" w:cs="Arial" w:eastAsia="Arial" w:hAnsi="Arial"/>
                <w:sz w:val="13"/>
                <w:szCs w:val="13"/>
                <w:color w:val="auto"/>
              </w:rPr>
              <w:t>100</w:t>
            </w: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gridSpan w:val="2"/>
          </w:tcPr>
          <w:p>
            <w:pPr>
              <w:jc w:val="right"/>
              <w:ind w:right="160"/>
              <w:spacing w:after="0" w:line="135" w:lineRule="exact"/>
              <w:rPr>
                <w:sz w:val="20"/>
                <w:szCs w:val="20"/>
                <w:color w:val="auto"/>
              </w:rPr>
            </w:pPr>
            <w:r>
              <w:rPr>
                <w:rFonts w:ascii="Arial" w:cs="Arial" w:eastAsia="Arial" w:hAnsi="Arial"/>
                <w:sz w:val="13"/>
                <w:szCs w:val="13"/>
                <w:color w:val="auto"/>
              </w:rPr>
              <w:t>(124)</w:t>
            </w: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40" w:type="dxa"/>
            <w:vAlign w:val="bottom"/>
            <w:gridSpan w:val="2"/>
          </w:tcPr>
          <w:p>
            <w:pPr>
              <w:jc w:val="right"/>
              <w:ind w:right="200"/>
              <w:spacing w:after="0" w:line="135" w:lineRule="exact"/>
              <w:rPr>
                <w:sz w:val="20"/>
                <w:szCs w:val="20"/>
                <w:color w:val="auto"/>
              </w:rPr>
            </w:pPr>
            <w:r>
              <w:rPr>
                <w:rFonts w:ascii="Arial" w:cs="Arial" w:eastAsia="Arial" w:hAnsi="Arial"/>
                <w:sz w:val="13"/>
                <w:szCs w:val="13"/>
                <w:color w:val="auto"/>
              </w:rPr>
              <w:t>222</w:t>
            </w: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60" w:type="dxa"/>
            <w:vAlign w:val="bottom"/>
            <w:gridSpan w:val="2"/>
          </w:tcPr>
          <w:p>
            <w:pPr>
              <w:jc w:val="right"/>
              <w:ind w:right="280"/>
              <w:spacing w:after="0" w:line="135" w:lineRule="exact"/>
              <w:rPr>
                <w:sz w:val="20"/>
                <w:szCs w:val="20"/>
                <w:color w:val="auto"/>
              </w:rPr>
            </w:pPr>
            <w:r>
              <w:rPr>
                <w:rFonts w:ascii="Arial" w:cs="Arial" w:eastAsia="Arial" w:hAnsi="Arial"/>
                <w:sz w:val="13"/>
                <w:szCs w:val="13"/>
                <w:color w:val="auto"/>
              </w:rPr>
              <w:t>—</w:t>
            </w:r>
          </w:p>
        </w:tc>
        <w:tc>
          <w:tcPr>
            <w:tcW w:w="40" w:type="dxa"/>
            <w:vAlign w:val="bottom"/>
          </w:tcPr>
          <w:p>
            <w:pPr>
              <w:spacing w:after="0"/>
              <w:rPr>
                <w:sz w:val="11"/>
                <w:szCs w:val="11"/>
                <w:color w:val="auto"/>
              </w:rPr>
            </w:pPr>
          </w:p>
        </w:tc>
        <w:tc>
          <w:tcPr>
            <w:tcW w:w="720" w:type="dxa"/>
            <w:vAlign w:val="bottom"/>
            <w:gridSpan w:val="2"/>
          </w:tcPr>
          <w:p>
            <w:pPr>
              <w:jc w:val="right"/>
              <w:ind w:right="320"/>
              <w:spacing w:after="0" w:line="135" w:lineRule="exact"/>
              <w:rPr>
                <w:sz w:val="20"/>
                <w:szCs w:val="20"/>
                <w:color w:val="auto"/>
              </w:rPr>
            </w:pPr>
            <w:r>
              <w:rPr>
                <w:rFonts w:ascii="Arial" w:cs="Arial" w:eastAsia="Arial" w:hAnsi="Arial"/>
                <w:sz w:val="13"/>
                <w:szCs w:val="13"/>
                <w:color w:val="auto"/>
              </w:rPr>
              <w:t>—</w:t>
            </w:r>
          </w:p>
        </w:tc>
        <w:tc>
          <w:tcPr>
            <w:tcW w:w="80" w:type="dxa"/>
            <w:vAlign w:val="bottom"/>
          </w:tcPr>
          <w:p>
            <w:pPr>
              <w:spacing w:after="0"/>
              <w:rPr>
                <w:sz w:val="11"/>
                <w:szCs w:val="11"/>
                <w:color w:val="auto"/>
              </w:rPr>
            </w:pPr>
          </w:p>
        </w:tc>
        <w:tc>
          <w:tcPr>
            <w:tcW w:w="640" w:type="dxa"/>
            <w:vAlign w:val="bottom"/>
            <w:gridSpan w:val="2"/>
          </w:tcPr>
          <w:p>
            <w:pPr>
              <w:jc w:val="right"/>
              <w:ind w:right="300"/>
              <w:spacing w:after="0" w:line="135" w:lineRule="exact"/>
              <w:rPr>
                <w:sz w:val="20"/>
                <w:szCs w:val="20"/>
                <w:color w:val="auto"/>
              </w:rPr>
            </w:pPr>
            <w:r>
              <w:rPr>
                <w:rFonts w:ascii="Arial" w:cs="Arial" w:eastAsia="Arial" w:hAnsi="Arial"/>
                <w:sz w:val="13"/>
                <w:szCs w:val="13"/>
                <w:color w:val="auto"/>
              </w:rPr>
              <w:t>—</w:t>
            </w:r>
          </w:p>
        </w:tc>
        <w:tc>
          <w:tcPr>
            <w:tcW w:w="120" w:type="dxa"/>
            <w:vAlign w:val="bottom"/>
          </w:tcPr>
          <w:p>
            <w:pPr>
              <w:spacing w:after="0"/>
              <w:rPr>
                <w:sz w:val="11"/>
                <w:szCs w:val="11"/>
                <w:color w:val="auto"/>
              </w:rPr>
            </w:pPr>
          </w:p>
        </w:tc>
        <w:tc>
          <w:tcPr>
            <w:tcW w:w="780" w:type="dxa"/>
            <w:vAlign w:val="bottom"/>
            <w:gridSpan w:val="2"/>
          </w:tcPr>
          <w:p>
            <w:pPr>
              <w:jc w:val="right"/>
              <w:ind w:right="320"/>
              <w:spacing w:after="0" w:line="135" w:lineRule="exact"/>
              <w:rPr>
                <w:sz w:val="20"/>
                <w:szCs w:val="20"/>
                <w:color w:val="auto"/>
              </w:rPr>
            </w:pPr>
            <w:r>
              <w:rPr>
                <w:rFonts w:ascii="Arial" w:cs="Arial" w:eastAsia="Arial" w:hAnsi="Arial"/>
                <w:sz w:val="13"/>
                <w:szCs w:val="13"/>
                <w:color w:val="auto"/>
              </w:rPr>
              <w:t>—</w:t>
            </w:r>
          </w:p>
        </w:tc>
        <w:tc>
          <w:tcPr>
            <w:tcW w:w="100" w:type="dxa"/>
            <w:vAlign w:val="bottom"/>
          </w:tcPr>
          <w:p>
            <w:pPr>
              <w:spacing w:after="0"/>
              <w:rPr>
                <w:sz w:val="11"/>
                <w:szCs w:val="11"/>
                <w:color w:val="auto"/>
              </w:rPr>
            </w:pPr>
          </w:p>
        </w:tc>
        <w:tc>
          <w:tcPr>
            <w:tcW w:w="920" w:type="dxa"/>
            <w:vAlign w:val="bottom"/>
            <w:tcBorders>
              <w:right w:val="single" w:sz="8" w:color="auto"/>
            </w:tcBorders>
            <w:gridSpan w:val="2"/>
          </w:tcPr>
          <w:p>
            <w:pPr>
              <w:jc w:val="right"/>
              <w:ind w:right="420"/>
              <w:spacing w:after="0" w:line="135" w:lineRule="exact"/>
              <w:rPr>
                <w:sz w:val="20"/>
                <w:szCs w:val="20"/>
                <w:color w:val="auto"/>
              </w:rPr>
            </w:pPr>
            <w:r>
              <w:rPr>
                <w:rFonts w:ascii="Arial" w:cs="Arial" w:eastAsia="Arial" w:hAnsi="Arial"/>
                <w:sz w:val="13"/>
                <w:szCs w:val="13"/>
                <w:color w:val="auto"/>
              </w:rPr>
              <w:t>—</w:t>
            </w: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80" w:type="dxa"/>
            <w:vAlign w:val="bottom"/>
            <w:gridSpan w:val="2"/>
          </w:tcPr>
          <w:p>
            <w:pPr>
              <w:jc w:val="right"/>
              <w:ind w:right="240"/>
              <w:spacing w:after="0" w:line="135" w:lineRule="exact"/>
              <w:rPr>
                <w:sz w:val="20"/>
                <w:szCs w:val="20"/>
                <w:color w:val="auto"/>
              </w:rPr>
            </w:pPr>
            <w:r>
              <w:rPr>
                <w:rFonts w:ascii="Arial" w:cs="Arial" w:eastAsia="Arial" w:hAnsi="Arial"/>
                <w:sz w:val="13"/>
                <w:szCs w:val="13"/>
                <w:color w:val="auto"/>
              </w:rPr>
              <w:t>—</w:t>
            </w: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gridSpan w:val="2"/>
          </w:tcPr>
          <w:p>
            <w:pPr>
              <w:jc w:val="right"/>
              <w:ind w:right="280"/>
              <w:spacing w:after="0" w:line="135" w:lineRule="exact"/>
              <w:rPr>
                <w:sz w:val="20"/>
                <w:szCs w:val="20"/>
                <w:color w:val="auto"/>
              </w:rPr>
            </w:pPr>
            <w:r>
              <w:rPr>
                <w:rFonts w:ascii="Arial" w:cs="Arial" w:eastAsia="Arial" w:hAnsi="Arial"/>
                <w:sz w:val="13"/>
                <w:szCs w:val="13"/>
                <w:color w:val="auto"/>
              </w:rPr>
              <w:t>—</w:t>
            </w:r>
          </w:p>
        </w:tc>
        <w:tc>
          <w:tcPr>
            <w:tcW w:w="60" w:type="dxa"/>
            <w:vAlign w:val="bottom"/>
          </w:tcPr>
          <w:p>
            <w:pPr>
              <w:spacing w:after="0"/>
              <w:rPr>
                <w:sz w:val="11"/>
                <w:szCs w:val="11"/>
                <w:color w:val="auto"/>
              </w:rPr>
            </w:pPr>
          </w:p>
        </w:tc>
        <w:tc>
          <w:tcPr>
            <w:tcW w:w="560" w:type="dxa"/>
            <w:vAlign w:val="bottom"/>
            <w:gridSpan w:val="2"/>
          </w:tcPr>
          <w:p>
            <w:pPr>
              <w:jc w:val="right"/>
              <w:ind w:right="220"/>
              <w:spacing w:after="0" w:line="135"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35"/>
        </w:trPr>
        <w:tc>
          <w:tcPr>
            <w:tcW w:w="2380" w:type="dxa"/>
            <w:vAlign w:val="bottom"/>
            <w:gridSpan w:val="2"/>
            <w:shd w:val="clear" w:color="auto" w:fill="CCEEFF"/>
          </w:tcPr>
          <w:p>
            <w:pPr>
              <w:spacing w:after="0" w:line="135" w:lineRule="exact"/>
              <w:rPr>
                <w:sz w:val="20"/>
                <w:szCs w:val="20"/>
                <w:color w:val="auto"/>
              </w:rPr>
            </w:pPr>
            <w:r>
              <w:rPr>
                <w:rFonts w:ascii="Arial" w:cs="Arial" w:eastAsia="Arial" w:hAnsi="Arial"/>
                <w:sz w:val="13"/>
                <w:szCs w:val="13"/>
                <w:color w:val="auto"/>
              </w:rPr>
              <w:t>Equity compensation costs</w:t>
            </w:r>
            <w:r>
              <w:rPr>
                <w:rFonts w:ascii="Arial" w:cs="Arial" w:eastAsia="Arial" w:hAnsi="Arial"/>
                <w:sz w:val="10"/>
                <w:szCs w:val="10"/>
                <w:color w:val="auto"/>
              </w:rPr>
              <w:t>(2)</w:t>
            </w:r>
          </w:p>
        </w:tc>
        <w:tc>
          <w:tcPr>
            <w:tcW w:w="660" w:type="dxa"/>
            <w:vAlign w:val="bottom"/>
            <w:gridSpan w:val="2"/>
            <w:shd w:val="clear" w:color="auto" w:fill="CCEEFF"/>
          </w:tcPr>
          <w:p>
            <w:pPr>
              <w:jc w:val="right"/>
              <w:ind w:right="200"/>
              <w:spacing w:after="0" w:line="135" w:lineRule="exact"/>
              <w:rPr>
                <w:sz w:val="20"/>
                <w:szCs w:val="20"/>
                <w:color w:val="auto"/>
              </w:rPr>
            </w:pPr>
            <w:r>
              <w:rPr>
                <w:rFonts w:ascii="Arial" w:cs="Arial" w:eastAsia="Arial" w:hAnsi="Arial"/>
                <w:sz w:val="13"/>
                <w:szCs w:val="13"/>
                <w:color w:val="auto"/>
              </w:rPr>
              <w:t>1,615</w:t>
            </w:r>
          </w:p>
        </w:tc>
        <w:tc>
          <w:tcPr>
            <w:tcW w:w="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0" w:type="dxa"/>
            <w:vAlign w:val="bottom"/>
            <w:gridSpan w:val="2"/>
            <w:shd w:val="clear" w:color="auto" w:fill="CCEEFF"/>
          </w:tcPr>
          <w:p>
            <w:pPr>
              <w:jc w:val="right"/>
              <w:ind w:right="200"/>
              <w:spacing w:after="0" w:line="135" w:lineRule="exact"/>
              <w:rPr>
                <w:sz w:val="20"/>
                <w:szCs w:val="20"/>
                <w:color w:val="auto"/>
              </w:rPr>
            </w:pPr>
            <w:r>
              <w:rPr>
                <w:rFonts w:ascii="Arial" w:cs="Arial" w:eastAsia="Arial" w:hAnsi="Arial"/>
                <w:sz w:val="13"/>
                <w:szCs w:val="13"/>
                <w:color w:val="auto"/>
              </w:rPr>
              <w:t>406</w:t>
            </w:r>
          </w:p>
        </w:tc>
        <w:tc>
          <w:tcPr>
            <w:tcW w:w="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40" w:type="dxa"/>
            <w:vAlign w:val="bottom"/>
            <w:gridSpan w:val="2"/>
            <w:shd w:val="clear" w:color="auto" w:fill="CCEEFF"/>
          </w:tcPr>
          <w:p>
            <w:pPr>
              <w:jc w:val="right"/>
              <w:ind w:right="200"/>
              <w:spacing w:after="0" w:line="135" w:lineRule="exact"/>
              <w:rPr>
                <w:sz w:val="20"/>
                <w:szCs w:val="20"/>
                <w:color w:val="auto"/>
              </w:rPr>
            </w:pPr>
            <w:r>
              <w:rPr>
                <w:rFonts w:ascii="Arial" w:cs="Arial" w:eastAsia="Arial" w:hAnsi="Arial"/>
                <w:sz w:val="13"/>
                <w:szCs w:val="13"/>
                <w:color w:val="auto"/>
              </w:rPr>
              <w:t>417</w:t>
            </w:r>
          </w:p>
        </w:tc>
        <w:tc>
          <w:tcPr>
            <w:tcW w:w="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60" w:type="dxa"/>
            <w:vAlign w:val="bottom"/>
            <w:gridSpan w:val="2"/>
            <w:shd w:val="clear" w:color="auto" w:fill="CCEEFF"/>
          </w:tcPr>
          <w:p>
            <w:pPr>
              <w:jc w:val="right"/>
              <w:ind w:right="220"/>
              <w:spacing w:after="0" w:line="135" w:lineRule="exact"/>
              <w:rPr>
                <w:sz w:val="20"/>
                <w:szCs w:val="20"/>
                <w:color w:val="auto"/>
              </w:rPr>
            </w:pPr>
            <w:r>
              <w:rPr>
                <w:rFonts w:ascii="Arial" w:cs="Arial" w:eastAsia="Arial" w:hAnsi="Arial"/>
                <w:sz w:val="13"/>
                <w:szCs w:val="13"/>
                <w:color w:val="auto"/>
              </w:rPr>
              <w:t>458</w:t>
            </w:r>
          </w:p>
        </w:tc>
        <w:tc>
          <w:tcPr>
            <w:tcW w:w="760" w:type="dxa"/>
            <w:vAlign w:val="bottom"/>
            <w:gridSpan w:val="3"/>
            <w:shd w:val="clear" w:color="auto" w:fill="CCEEFF"/>
          </w:tcPr>
          <w:p>
            <w:pPr>
              <w:jc w:val="right"/>
              <w:ind w:right="260"/>
              <w:spacing w:after="0" w:line="135" w:lineRule="exact"/>
              <w:rPr>
                <w:sz w:val="20"/>
                <w:szCs w:val="20"/>
                <w:color w:val="auto"/>
              </w:rPr>
            </w:pPr>
            <w:r>
              <w:rPr>
                <w:rFonts w:ascii="Arial" w:cs="Arial" w:eastAsia="Arial" w:hAnsi="Arial"/>
                <w:sz w:val="13"/>
                <w:szCs w:val="13"/>
                <w:color w:val="auto"/>
              </w:rPr>
              <w:t>442</w:t>
            </w:r>
          </w:p>
        </w:tc>
        <w:tc>
          <w:tcPr>
            <w:tcW w:w="80" w:type="dxa"/>
            <w:vAlign w:val="bottom"/>
            <w:shd w:val="clear" w:color="auto" w:fill="CCEEFF"/>
          </w:tcPr>
          <w:p>
            <w:pPr>
              <w:spacing w:after="0"/>
              <w:rPr>
                <w:sz w:val="11"/>
                <w:szCs w:val="11"/>
                <w:color w:val="auto"/>
              </w:rPr>
            </w:pPr>
          </w:p>
        </w:tc>
        <w:tc>
          <w:tcPr>
            <w:tcW w:w="640" w:type="dxa"/>
            <w:vAlign w:val="bottom"/>
            <w:gridSpan w:val="2"/>
            <w:shd w:val="clear" w:color="auto" w:fill="CCEEFF"/>
          </w:tcPr>
          <w:p>
            <w:pPr>
              <w:jc w:val="right"/>
              <w:ind w:right="240"/>
              <w:spacing w:after="0" w:line="135" w:lineRule="exact"/>
              <w:rPr>
                <w:sz w:val="20"/>
                <w:szCs w:val="20"/>
                <w:color w:val="auto"/>
              </w:rPr>
            </w:pPr>
            <w:r>
              <w:rPr>
                <w:rFonts w:ascii="Arial" w:cs="Arial" w:eastAsia="Arial" w:hAnsi="Arial"/>
                <w:sz w:val="13"/>
                <w:szCs w:val="13"/>
                <w:color w:val="auto"/>
              </w:rPr>
              <w:t>430</w:t>
            </w:r>
          </w:p>
        </w:tc>
        <w:tc>
          <w:tcPr>
            <w:tcW w:w="120" w:type="dxa"/>
            <w:vAlign w:val="bottom"/>
            <w:shd w:val="clear" w:color="auto" w:fill="CCEEFF"/>
          </w:tcPr>
          <w:p>
            <w:pPr>
              <w:spacing w:after="0"/>
              <w:rPr>
                <w:sz w:val="11"/>
                <w:szCs w:val="11"/>
                <w:color w:val="auto"/>
              </w:rPr>
            </w:pPr>
          </w:p>
        </w:tc>
        <w:tc>
          <w:tcPr>
            <w:tcW w:w="780" w:type="dxa"/>
            <w:vAlign w:val="bottom"/>
            <w:gridSpan w:val="2"/>
            <w:shd w:val="clear" w:color="auto" w:fill="CCEEFF"/>
          </w:tcPr>
          <w:p>
            <w:pPr>
              <w:jc w:val="right"/>
              <w:ind w:right="260"/>
              <w:spacing w:after="0" w:line="135" w:lineRule="exact"/>
              <w:rPr>
                <w:sz w:val="20"/>
                <w:szCs w:val="20"/>
                <w:color w:val="auto"/>
              </w:rPr>
            </w:pPr>
            <w:r>
              <w:rPr>
                <w:rFonts w:ascii="Arial" w:cs="Arial" w:eastAsia="Arial" w:hAnsi="Arial"/>
                <w:sz w:val="13"/>
                <w:szCs w:val="13"/>
                <w:color w:val="auto"/>
              </w:rPr>
              <w:t>412</w:t>
            </w:r>
          </w:p>
        </w:tc>
        <w:tc>
          <w:tcPr>
            <w:tcW w:w="100" w:type="dxa"/>
            <w:vAlign w:val="bottom"/>
            <w:shd w:val="clear" w:color="auto" w:fill="CCEEFF"/>
          </w:tcPr>
          <w:p>
            <w:pPr>
              <w:spacing w:after="0"/>
              <w:rPr>
                <w:sz w:val="11"/>
                <w:szCs w:val="11"/>
                <w:color w:val="auto"/>
              </w:rPr>
            </w:pPr>
          </w:p>
        </w:tc>
        <w:tc>
          <w:tcPr>
            <w:tcW w:w="920" w:type="dxa"/>
            <w:vAlign w:val="bottom"/>
            <w:tcBorders>
              <w:right w:val="single" w:sz="8" w:color="auto"/>
            </w:tcBorders>
            <w:gridSpan w:val="2"/>
            <w:shd w:val="clear" w:color="auto" w:fill="CCEEFF"/>
          </w:tcPr>
          <w:p>
            <w:pPr>
              <w:jc w:val="right"/>
              <w:ind w:right="360"/>
              <w:spacing w:after="0" w:line="135" w:lineRule="exact"/>
              <w:rPr>
                <w:sz w:val="20"/>
                <w:szCs w:val="20"/>
                <w:color w:val="auto"/>
              </w:rPr>
            </w:pPr>
            <w:r>
              <w:rPr>
                <w:rFonts w:ascii="Arial" w:cs="Arial" w:eastAsia="Arial" w:hAnsi="Arial"/>
                <w:sz w:val="13"/>
                <w:szCs w:val="13"/>
                <w:color w:val="auto"/>
              </w:rPr>
              <w:t>332</w:t>
            </w:r>
          </w:p>
        </w:tc>
        <w:tc>
          <w:tcPr>
            <w:tcW w:w="1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80" w:type="dxa"/>
            <w:vAlign w:val="bottom"/>
            <w:gridSpan w:val="2"/>
            <w:shd w:val="clear" w:color="auto" w:fill="CCEEFF"/>
          </w:tcPr>
          <w:p>
            <w:pPr>
              <w:jc w:val="right"/>
              <w:ind w:right="180"/>
              <w:spacing w:after="0" w:line="135" w:lineRule="exact"/>
              <w:rPr>
                <w:sz w:val="20"/>
                <w:szCs w:val="20"/>
                <w:color w:val="auto"/>
              </w:rPr>
            </w:pPr>
            <w:r>
              <w:rPr>
                <w:rFonts w:ascii="Arial" w:cs="Arial" w:eastAsia="Arial" w:hAnsi="Arial"/>
                <w:sz w:val="13"/>
                <w:szCs w:val="13"/>
                <w:color w:val="auto"/>
                <w:w w:val="85"/>
              </w:rPr>
              <w:t>2,402</w:t>
            </w: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80" w:type="dxa"/>
            <w:vAlign w:val="bottom"/>
            <w:gridSpan w:val="2"/>
            <w:shd w:val="clear" w:color="auto" w:fill="CCEEFF"/>
          </w:tcPr>
          <w:p>
            <w:pPr>
              <w:jc w:val="right"/>
              <w:ind w:right="220"/>
              <w:spacing w:after="0" w:line="135" w:lineRule="exact"/>
              <w:rPr>
                <w:sz w:val="20"/>
                <w:szCs w:val="20"/>
                <w:color w:val="auto"/>
              </w:rPr>
            </w:pPr>
            <w:r>
              <w:rPr>
                <w:rFonts w:ascii="Arial" w:cs="Arial" w:eastAsia="Arial" w:hAnsi="Arial"/>
                <w:sz w:val="13"/>
                <w:szCs w:val="13"/>
                <w:color w:val="auto"/>
              </w:rPr>
              <w:t>1,712</w:t>
            </w:r>
          </w:p>
        </w:tc>
        <w:tc>
          <w:tcPr>
            <w:tcW w:w="60" w:type="dxa"/>
            <w:vAlign w:val="bottom"/>
            <w:shd w:val="clear" w:color="auto" w:fill="CCEEFF"/>
          </w:tcPr>
          <w:p>
            <w:pPr>
              <w:spacing w:after="0"/>
              <w:rPr>
                <w:sz w:val="11"/>
                <w:szCs w:val="11"/>
                <w:color w:val="auto"/>
              </w:rPr>
            </w:pPr>
          </w:p>
        </w:tc>
        <w:tc>
          <w:tcPr>
            <w:tcW w:w="560" w:type="dxa"/>
            <w:vAlign w:val="bottom"/>
            <w:gridSpan w:val="2"/>
            <w:shd w:val="clear" w:color="auto" w:fill="CCEEFF"/>
          </w:tcPr>
          <w:p>
            <w:pPr>
              <w:jc w:val="right"/>
              <w:ind w:right="160"/>
              <w:spacing w:after="0" w:line="135" w:lineRule="exact"/>
              <w:rPr>
                <w:sz w:val="20"/>
                <w:szCs w:val="20"/>
                <w:color w:val="auto"/>
              </w:rPr>
            </w:pPr>
            <w:r>
              <w:rPr>
                <w:rFonts w:ascii="Arial" w:cs="Arial" w:eastAsia="Arial" w:hAnsi="Arial"/>
                <w:sz w:val="13"/>
                <w:szCs w:val="13"/>
                <w:color w:val="auto"/>
              </w:rPr>
              <w:t>1,693</w:t>
            </w:r>
          </w:p>
        </w:tc>
        <w:tc>
          <w:tcPr>
            <w:tcW w:w="0" w:type="dxa"/>
            <w:vAlign w:val="bottom"/>
          </w:tcPr>
          <w:p>
            <w:pPr>
              <w:spacing w:after="0"/>
              <w:rPr>
                <w:sz w:val="1"/>
                <w:szCs w:val="1"/>
                <w:color w:val="auto"/>
              </w:rPr>
            </w:pPr>
          </w:p>
        </w:tc>
      </w:tr>
      <w:tr>
        <w:trPr>
          <w:trHeight w:val="135"/>
        </w:trPr>
        <w:tc>
          <w:tcPr>
            <w:tcW w:w="2380" w:type="dxa"/>
            <w:vAlign w:val="bottom"/>
            <w:gridSpan w:val="2"/>
          </w:tcPr>
          <w:p>
            <w:pPr>
              <w:spacing w:after="0" w:line="135" w:lineRule="exact"/>
              <w:rPr>
                <w:sz w:val="20"/>
                <w:szCs w:val="20"/>
                <w:color w:val="auto"/>
              </w:rPr>
            </w:pPr>
            <w:r>
              <w:rPr>
                <w:rFonts w:ascii="Arial" w:cs="Arial" w:eastAsia="Arial" w:hAnsi="Arial"/>
                <w:sz w:val="13"/>
                <w:szCs w:val="13"/>
                <w:color w:val="auto"/>
              </w:rPr>
              <w:t>Acquisition related expenses</w:t>
            </w:r>
            <w:r>
              <w:rPr>
                <w:rFonts w:ascii="Arial" w:cs="Arial" w:eastAsia="Arial" w:hAnsi="Arial"/>
                <w:sz w:val="10"/>
                <w:szCs w:val="10"/>
                <w:color w:val="auto"/>
              </w:rPr>
              <w:t>(3)</w:t>
            </w:r>
          </w:p>
        </w:tc>
        <w:tc>
          <w:tcPr>
            <w:tcW w:w="660" w:type="dxa"/>
            <w:vAlign w:val="bottom"/>
            <w:gridSpan w:val="2"/>
          </w:tcPr>
          <w:p>
            <w:pPr>
              <w:jc w:val="right"/>
              <w:ind w:right="200"/>
              <w:spacing w:after="0" w:line="135" w:lineRule="exact"/>
              <w:rPr>
                <w:sz w:val="20"/>
                <w:szCs w:val="20"/>
                <w:color w:val="auto"/>
              </w:rPr>
            </w:pPr>
            <w:r>
              <w:rPr>
                <w:rFonts w:ascii="Arial" w:cs="Arial" w:eastAsia="Arial" w:hAnsi="Arial"/>
                <w:sz w:val="13"/>
                <w:szCs w:val="13"/>
                <w:color w:val="auto"/>
              </w:rPr>
              <w:t>3,431</w:t>
            </w: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gridSpan w:val="2"/>
          </w:tcPr>
          <w:p>
            <w:pPr>
              <w:jc w:val="right"/>
              <w:ind w:right="200"/>
              <w:spacing w:after="0" w:line="135" w:lineRule="exact"/>
              <w:rPr>
                <w:sz w:val="20"/>
                <w:szCs w:val="20"/>
                <w:color w:val="auto"/>
              </w:rPr>
            </w:pPr>
            <w:r>
              <w:rPr>
                <w:rFonts w:ascii="Arial" w:cs="Arial" w:eastAsia="Arial" w:hAnsi="Arial"/>
                <w:sz w:val="13"/>
                <w:szCs w:val="13"/>
                <w:color w:val="auto"/>
              </w:rPr>
              <w:t>38</w:t>
            </w: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40" w:type="dxa"/>
            <w:vAlign w:val="bottom"/>
            <w:gridSpan w:val="2"/>
          </w:tcPr>
          <w:p>
            <w:pPr>
              <w:jc w:val="right"/>
              <w:ind w:right="200"/>
              <w:spacing w:after="0" w:line="135" w:lineRule="exact"/>
              <w:rPr>
                <w:sz w:val="20"/>
                <w:szCs w:val="20"/>
                <w:color w:val="auto"/>
              </w:rPr>
            </w:pPr>
            <w:r>
              <w:rPr>
                <w:rFonts w:ascii="Arial" w:cs="Arial" w:eastAsia="Arial" w:hAnsi="Arial"/>
                <w:sz w:val="13"/>
                <w:szCs w:val="13"/>
                <w:color w:val="auto"/>
              </w:rPr>
              <w:t>3,028</w:t>
            </w: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60" w:type="dxa"/>
            <w:vAlign w:val="bottom"/>
            <w:gridSpan w:val="2"/>
          </w:tcPr>
          <w:p>
            <w:pPr>
              <w:jc w:val="right"/>
              <w:ind w:right="220"/>
              <w:spacing w:after="0" w:line="135" w:lineRule="exact"/>
              <w:rPr>
                <w:sz w:val="20"/>
                <w:szCs w:val="20"/>
                <w:color w:val="auto"/>
              </w:rPr>
            </w:pPr>
            <w:r>
              <w:rPr>
                <w:rFonts w:ascii="Arial" w:cs="Arial" w:eastAsia="Arial" w:hAnsi="Arial"/>
                <w:sz w:val="13"/>
                <w:szCs w:val="13"/>
                <w:color w:val="auto"/>
              </w:rPr>
              <w:t>40</w:t>
            </w:r>
          </w:p>
        </w:tc>
        <w:tc>
          <w:tcPr>
            <w:tcW w:w="760" w:type="dxa"/>
            <w:vAlign w:val="bottom"/>
            <w:gridSpan w:val="3"/>
          </w:tcPr>
          <w:p>
            <w:pPr>
              <w:jc w:val="right"/>
              <w:ind w:right="260"/>
              <w:spacing w:after="0" w:line="135" w:lineRule="exact"/>
              <w:rPr>
                <w:sz w:val="20"/>
                <w:szCs w:val="20"/>
                <w:color w:val="auto"/>
              </w:rPr>
            </w:pPr>
            <w:r>
              <w:rPr>
                <w:rFonts w:ascii="Arial" w:cs="Arial" w:eastAsia="Arial" w:hAnsi="Arial"/>
                <w:sz w:val="13"/>
                <w:szCs w:val="13"/>
                <w:color w:val="auto"/>
              </w:rPr>
              <w:t>268</w:t>
            </w:r>
          </w:p>
        </w:tc>
        <w:tc>
          <w:tcPr>
            <w:tcW w:w="80" w:type="dxa"/>
            <w:vAlign w:val="bottom"/>
          </w:tcPr>
          <w:p>
            <w:pPr>
              <w:spacing w:after="0"/>
              <w:rPr>
                <w:sz w:val="11"/>
                <w:szCs w:val="11"/>
                <w:color w:val="auto"/>
              </w:rPr>
            </w:pPr>
          </w:p>
        </w:tc>
        <w:tc>
          <w:tcPr>
            <w:tcW w:w="640" w:type="dxa"/>
            <w:vAlign w:val="bottom"/>
            <w:gridSpan w:val="2"/>
          </w:tcPr>
          <w:p>
            <w:pPr>
              <w:jc w:val="right"/>
              <w:ind w:right="240"/>
              <w:spacing w:after="0" w:line="135" w:lineRule="exact"/>
              <w:rPr>
                <w:sz w:val="20"/>
                <w:szCs w:val="20"/>
                <w:color w:val="auto"/>
              </w:rPr>
            </w:pPr>
            <w:r>
              <w:rPr>
                <w:rFonts w:ascii="Arial" w:cs="Arial" w:eastAsia="Arial" w:hAnsi="Arial"/>
                <w:sz w:val="13"/>
                <w:szCs w:val="13"/>
                <w:color w:val="auto"/>
              </w:rPr>
              <w:t>440</w:t>
            </w:r>
          </w:p>
        </w:tc>
        <w:tc>
          <w:tcPr>
            <w:tcW w:w="120" w:type="dxa"/>
            <w:vAlign w:val="bottom"/>
          </w:tcPr>
          <w:p>
            <w:pPr>
              <w:spacing w:after="0"/>
              <w:rPr>
                <w:sz w:val="11"/>
                <w:szCs w:val="11"/>
                <w:color w:val="auto"/>
              </w:rPr>
            </w:pPr>
          </w:p>
        </w:tc>
        <w:tc>
          <w:tcPr>
            <w:tcW w:w="780" w:type="dxa"/>
            <w:vAlign w:val="bottom"/>
            <w:gridSpan w:val="2"/>
          </w:tcPr>
          <w:p>
            <w:pPr>
              <w:jc w:val="right"/>
              <w:ind w:right="220"/>
              <w:spacing w:after="0" w:line="135" w:lineRule="exact"/>
              <w:rPr>
                <w:sz w:val="20"/>
                <w:szCs w:val="20"/>
                <w:color w:val="auto"/>
              </w:rPr>
            </w:pPr>
            <w:r>
              <w:rPr>
                <w:rFonts w:ascii="Arial" w:cs="Arial" w:eastAsia="Arial" w:hAnsi="Arial"/>
                <w:sz w:val="13"/>
                <w:szCs w:val="13"/>
                <w:color w:val="auto"/>
              </w:rPr>
              <w:t>(678)</w:t>
            </w:r>
          </w:p>
        </w:tc>
        <w:tc>
          <w:tcPr>
            <w:tcW w:w="100" w:type="dxa"/>
            <w:vAlign w:val="bottom"/>
          </w:tcPr>
          <w:p>
            <w:pPr>
              <w:spacing w:after="0"/>
              <w:rPr>
                <w:sz w:val="11"/>
                <w:szCs w:val="11"/>
                <w:color w:val="auto"/>
              </w:rPr>
            </w:pPr>
          </w:p>
        </w:tc>
        <w:tc>
          <w:tcPr>
            <w:tcW w:w="920" w:type="dxa"/>
            <w:vAlign w:val="bottom"/>
            <w:tcBorders>
              <w:right w:val="single" w:sz="8" w:color="auto"/>
            </w:tcBorders>
            <w:gridSpan w:val="2"/>
          </w:tcPr>
          <w:p>
            <w:pPr>
              <w:jc w:val="right"/>
              <w:ind w:right="360"/>
              <w:spacing w:after="0" w:line="135" w:lineRule="exact"/>
              <w:rPr>
                <w:sz w:val="20"/>
                <w:szCs w:val="20"/>
                <w:color w:val="auto"/>
              </w:rPr>
            </w:pPr>
            <w:r>
              <w:rPr>
                <w:rFonts w:ascii="Arial" w:cs="Arial" w:eastAsia="Arial" w:hAnsi="Arial"/>
                <w:sz w:val="13"/>
                <w:szCs w:val="13"/>
                <w:color w:val="auto"/>
              </w:rPr>
              <w:t>15,381</w:t>
            </w: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80" w:type="dxa"/>
            <w:vAlign w:val="bottom"/>
            <w:gridSpan w:val="2"/>
          </w:tcPr>
          <w:p>
            <w:pPr>
              <w:jc w:val="right"/>
              <w:ind w:right="240"/>
              <w:spacing w:after="0" w:line="135" w:lineRule="exact"/>
              <w:rPr>
                <w:sz w:val="20"/>
                <w:szCs w:val="20"/>
                <w:color w:val="auto"/>
              </w:rPr>
            </w:pPr>
            <w:r>
              <w:rPr>
                <w:rFonts w:ascii="Arial" w:cs="Arial" w:eastAsia="Arial" w:hAnsi="Arial"/>
                <w:sz w:val="13"/>
                <w:szCs w:val="13"/>
                <w:color w:val="auto"/>
              </w:rPr>
              <w:t>—</w:t>
            </w: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gridSpan w:val="2"/>
          </w:tcPr>
          <w:p>
            <w:pPr>
              <w:jc w:val="right"/>
              <w:ind w:right="220"/>
              <w:spacing w:after="0" w:line="135" w:lineRule="exact"/>
              <w:rPr>
                <w:sz w:val="20"/>
                <w:szCs w:val="20"/>
                <w:color w:val="auto"/>
              </w:rPr>
            </w:pPr>
            <w:r>
              <w:rPr>
                <w:rFonts w:ascii="Arial" w:cs="Arial" w:eastAsia="Arial" w:hAnsi="Arial"/>
                <w:sz w:val="13"/>
                <w:szCs w:val="13"/>
                <w:color w:val="auto"/>
              </w:rPr>
              <w:t>1,019</w:t>
            </w:r>
          </w:p>
        </w:tc>
        <w:tc>
          <w:tcPr>
            <w:tcW w:w="60" w:type="dxa"/>
            <w:vAlign w:val="bottom"/>
          </w:tcPr>
          <w:p>
            <w:pPr>
              <w:spacing w:after="0"/>
              <w:rPr>
                <w:sz w:val="11"/>
                <w:szCs w:val="11"/>
                <w:color w:val="auto"/>
              </w:rPr>
            </w:pPr>
          </w:p>
        </w:tc>
        <w:tc>
          <w:tcPr>
            <w:tcW w:w="560" w:type="dxa"/>
            <w:vAlign w:val="bottom"/>
            <w:gridSpan w:val="2"/>
          </w:tcPr>
          <w:p>
            <w:pPr>
              <w:jc w:val="right"/>
              <w:ind w:right="160"/>
              <w:spacing w:after="0" w:line="135" w:lineRule="exact"/>
              <w:rPr>
                <w:sz w:val="20"/>
                <w:szCs w:val="20"/>
                <w:color w:val="auto"/>
              </w:rPr>
            </w:pPr>
            <w:r>
              <w:rPr>
                <w:rFonts w:ascii="Arial" w:cs="Arial" w:eastAsia="Arial" w:hAnsi="Arial"/>
                <w:sz w:val="13"/>
                <w:szCs w:val="13"/>
                <w:color w:val="auto"/>
              </w:rPr>
              <w:t>132</w:t>
            </w:r>
          </w:p>
        </w:tc>
        <w:tc>
          <w:tcPr>
            <w:tcW w:w="0" w:type="dxa"/>
            <w:vAlign w:val="bottom"/>
          </w:tcPr>
          <w:p>
            <w:pPr>
              <w:spacing w:after="0"/>
              <w:rPr>
                <w:sz w:val="1"/>
                <w:szCs w:val="1"/>
                <w:color w:val="auto"/>
              </w:rPr>
            </w:pPr>
          </w:p>
        </w:tc>
      </w:tr>
      <w:tr>
        <w:trPr>
          <w:trHeight w:val="135"/>
        </w:trPr>
        <w:tc>
          <w:tcPr>
            <w:tcW w:w="2380" w:type="dxa"/>
            <w:vAlign w:val="bottom"/>
            <w:gridSpan w:val="2"/>
            <w:shd w:val="clear" w:color="auto" w:fill="CCEEFF"/>
          </w:tcPr>
          <w:p>
            <w:pPr>
              <w:spacing w:after="0" w:line="135" w:lineRule="exact"/>
              <w:rPr>
                <w:sz w:val="20"/>
                <w:szCs w:val="20"/>
                <w:color w:val="auto"/>
              </w:rPr>
            </w:pPr>
            <w:r>
              <w:rPr>
                <w:rFonts w:ascii="Arial" w:cs="Arial" w:eastAsia="Arial" w:hAnsi="Arial"/>
                <w:sz w:val="13"/>
                <w:szCs w:val="13"/>
                <w:color w:val="auto"/>
              </w:rPr>
              <w:t>Non-recurring and one-time items</w:t>
            </w:r>
            <w:r>
              <w:rPr>
                <w:rFonts w:ascii="Arial" w:cs="Arial" w:eastAsia="Arial" w:hAnsi="Arial"/>
                <w:sz w:val="10"/>
                <w:szCs w:val="10"/>
                <w:color w:val="auto"/>
              </w:rPr>
              <w:t>(4)</w:t>
            </w:r>
          </w:p>
        </w:tc>
        <w:tc>
          <w:tcPr>
            <w:tcW w:w="660" w:type="dxa"/>
            <w:vAlign w:val="bottom"/>
            <w:gridSpan w:val="2"/>
            <w:shd w:val="clear" w:color="auto" w:fill="CCEEFF"/>
          </w:tcPr>
          <w:p>
            <w:pPr>
              <w:jc w:val="right"/>
              <w:ind w:right="200"/>
              <w:spacing w:after="0" w:line="135" w:lineRule="exact"/>
              <w:rPr>
                <w:sz w:val="20"/>
                <w:szCs w:val="20"/>
                <w:color w:val="auto"/>
              </w:rPr>
            </w:pPr>
            <w:r>
              <w:rPr>
                <w:rFonts w:ascii="Arial" w:cs="Arial" w:eastAsia="Arial" w:hAnsi="Arial"/>
                <w:sz w:val="13"/>
                <w:szCs w:val="13"/>
                <w:color w:val="auto"/>
              </w:rPr>
              <w:t>1,069</w:t>
            </w:r>
          </w:p>
        </w:tc>
        <w:tc>
          <w:tcPr>
            <w:tcW w:w="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0" w:type="dxa"/>
            <w:vAlign w:val="bottom"/>
            <w:gridSpan w:val="2"/>
            <w:shd w:val="clear" w:color="auto" w:fill="CCEEFF"/>
          </w:tcPr>
          <w:p>
            <w:pPr>
              <w:jc w:val="right"/>
              <w:ind w:right="200"/>
              <w:spacing w:after="0" w:line="135" w:lineRule="exact"/>
              <w:rPr>
                <w:sz w:val="20"/>
                <w:szCs w:val="20"/>
                <w:color w:val="auto"/>
              </w:rPr>
            </w:pPr>
            <w:r>
              <w:rPr>
                <w:rFonts w:ascii="Arial" w:cs="Arial" w:eastAsia="Arial" w:hAnsi="Arial"/>
                <w:sz w:val="13"/>
                <w:szCs w:val="13"/>
                <w:color w:val="auto"/>
              </w:rPr>
              <w:t>1,095</w:t>
            </w:r>
          </w:p>
        </w:tc>
        <w:tc>
          <w:tcPr>
            <w:tcW w:w="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40" w:type="dxa"/>
            <w:vAlign w:val="bottom"/>
            <w:gridSpan w:val="2"/>
            <w:shd w:val="clear" w:color="auto" w:fill="CCEEFF"/>
          </w:tcPr>
          <w:p>
            <w:pPr>
              <w:jc w:val="right"/>
              <w:ind w:right="200"/>
              <w:spacing w:after="0" w:line="135" w:lineRule="exact"/>
              <w:rPr>
                <w:sz w:val="20"/>
                <w:szCs w:val="20"/>
                <w:color w:val="auto"/>
              </w:rPr>
            </w:pPr>
            <w:r>
              <w:rPr>
                <w:rFonts w:ascii="Arial" w:cs="Arial" w:eastAsia="Arial" w:hAnsi="Arial"/>
                <w:sz w:val="13"/>
                <w:szCs w:val="13"/>
                <w:color w:val="auto"/>
              </w:rPr>
              <w:t>1,043</w:t>
            </w:r>
          </w:p>
        </w:tc>
        <w:tc>
          <w:tcPr>
            <w:tcW w:w="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60" w:type="dxa"/>
            <w:vAlign w:val="bottom"/>
            <w:gridSpan w:val="2"/>
            <w:shd w:val="clear" w:color="auto" w:fill="CCEEFF"/>
          </w:tcPr>
          <w:p>
            <w:pPr>
              <w:jc w:val="right"/>
              <w:ind w:right="220"/>
              <w:spacing w:after="0" w:line="135" w:lineRule="exact"/>
              <w:rPr>
                <w:sz w:val="20"/>
                <w:szCs w:val="20"/>
                <w:color w:val="auto"/>
              </w:rPr>
            </w:pPr>
            <w:r>
              <w:rPr>
                <w:rFonts w:ascii="Arial" w:cs="Arial" w:eastAsia="Arial" w:hAnsi="Arial"/>
                <w:sz w:val="13"/>
                <w:szCs w:val="13"/>
                <w:color w:val="auto"/>
              </w:rPr>
              <w:t>37</w:t>
            </w:r>
          </w:p>
        </w:tc>
        <w:tc>
          <w:tcPr>
            <w:tcW w:w="760" w:type="dxa"/>
            <w:vAlign w:val="bottom"/>
            <w:gridSpan w:val="3"/>
            <w:shd w:val="clear" w:color="auto" w:fill="CCEEFF"/>
          </w:tcPr>
          <w:p>
            <w:pPr>
              <w:jc w:val="right"/>
              <w:ind w:right="260"/>
              <w:spacing w:after="0" w:line="135" w:lineRule="exact"/>
              <w:rPr>
                <w:sz w:val="20"/>
                <w:szCs w:val="20"/>
                <w:color w:val="auto"/>
              </w:rPr>
            </w:pPr>
            <w:r>
              <w:rPr>
                <w:rFonts w:ascii="Arial" w:cs="Arial" w:eastAsia="Arial" w:hAnsi="Arial"/>
                <w:sz w:val="13"/>
                <w:szCs w:val="13"/>
                <w:color w:val="auto"/>
              </w:rPr>
              <w:t>890</w:t>
            </w:r>
          </w:p>
        </w:tc>
        <w:tc>
          <w:tcPr>
            <w:tcW w:w="80" w:type="dxa"/>
            <w:vAlign w:val="bottom"/>
            <w:shd w:val="clear" w:color="auto" w:fill="CCEEFF"/>
          </w:tcPr>
          <w:p>
            <w:pPr>
              <w:spacing w:after="0"/>
              <w:rPr>
                <w:sz w:val="11"/>
                <w:szCs w:val="11"/>
                <w:color w:val="auto"/>
              </w:rPr>
            </w:pPr>
          </w:p>
        </w:tc>
        <w:tc>
          <w:tcPr>
            <w:tcW w:w="640" w:type="dxa"/>
            <w:vAlign w:val="bottom"/>
            <w:gridSpan w:val="2"/>
            <w:shd w:val="clear" w:color="auto" w:fill="CCEEFF"/>
          </w:tcPr>
          <w:p>
            <w:pPr>
              <w:jc w:val="right"/>
              <w:ind w:right="240"/>
              <w:spacing w:after="0" w:line="135" w:lineRule="exact"/>
              <w:rPr>
                <w:sz w:val="20"/>
                <w:szCs w:val="20"/>
                <w:color w:val="auto"/>
              </w:rPr>
            </w:pPr>
            <w:r>
              <w:rPr>
                <w:rFonts w:ascii="Arial" w:cs="Arial" w:eastAsia="Arial" w:hAnsi="Arial"/>
                <w:sz w:val="13"/>
                <w:szCs w:val="13"/>
                <w:color w:val="auto"/>
              </w:rPr>
              <w:t>877</w:t>
            </w:r>
          </w:p>
        </w:tc>
        <w:tc>
          <w:tcPr>
            <w:tcW w:w="120" w:type="dxa"/>
            <w:vAlign w:val="bottom"/>
            <w:shd w:val="clear" w:color="auto" w:fill="CCEEFF"/>
          </w:tcPr>
          <w:p>
            <w:pPr>
              <w:spacing w:after="0"/>
              <w:rPr>
                <w:sz w:val="11"/>
                <w:szCs w:val="11"/>
                <w:color w:val="auto"/>
              </w:rPr>
            </w:pPr>
          </w:p>
        </w:tc>
        <w:tc>
          <w:tcPr>
            <w:tcW w:w="780" w:type="dxa"/>
            <w:vAlign w:val="bottom"/>
            <w:gridSpan w:val="2"/>
            <w:shd w:val="clear" w:color="auto" w:fill="CCEEFF"/>
          </w:tcPr>
          <w:p>
            <w:pPr>
              <w:jc w:val="right"/>
              <w:ind w:right="260"/>
              <w:spacing w:after="0" w:line="135" w:lineRule="exact"/>
              <w:rPr>
                <w:sz w:val="20"/>
                <w:szCs w:val="20"/>
                <w:color w:val="auto"/>
              </w:rPr>
            </w:pPr>
            <w:r>
              <w:rPr>
                <w:rFonts w:ascii="Arial" w:cs="Arial" w:eastAsia="Arial" w:hAnsi="Arial"/>
                <w:sz w:val="13"/>
                <w:szCs w:val="13"/>
                <w:color w:val="auto"/>
              </w:rPr>
              <w:t>2,622</w:t>
            </w:r>
          </w:p>
        </w:tc>
        <w:tc>
          <w:tcPr>
            <w:tcW w:w="100" w:type="dxa"/>
            <w:vAlign w:val="bottom"/>
            <w:shd w:val="clear" w:color="auto" w:fill="CCEEFF"/>
          </w:tcPr>
          <w:p>
            <w:pPr>
              <w:spacing w:after="0"/>
              <w:rPr>
                <w:sz w:val="11"/>
                <w:szCs w:val="11"/>
                <w:color w:val="auto"/>
              </w:rPr>
            </w:pPr>
          </w:p>
        </w:tc>
        <w:tc>
          <w:tcPr>
            <w:tcW w:w="920" w:type="dxa"/>
            <w:vAlign w:val="bottom"/>
            <w:tcBorders>
              <w:right w:val="single" w:sz="8" w:color="auto"/>
            </w:tcBorders>
            <w:gridSpan w:val="2"/>
            <w:shd w:val="clear" w:color="auto" w:fill="CCEEFF"/>
          </w:tcPr>
          <w:p>
            <w:pPr>
              <w:jc w:val="right"/>
              <w:ind w:right="360"/>
              <w:spacing w:after="0" w:line="135" w:lineRule="exact"/>
              <w:rPr>
                <w:sz w:val="20"/>
                <w:szCs w:val="20"/>
                <w:color w:val="auto"/>
              </w:rPr>
            </w:pPr>
            <w:r>
              <w:rPr>
                <w:rFonts w:ascii="Arial" w:cs="Arial" w:eastAsia="Arial" w:hAnsi="Arial"/>
                <w:sz w:val="13"/>
                <w:szCs w:val="13"/>
                <w:color w:val="auto"/>
              </w:rPr>
              <w:t>571</w:t>
            </w:r>
          </w:p>
        </w:tc>
        <w:tc>
          <w:tcPr>
            <w:tcW w:w="1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80" w:type="dxa"/>
            <w:vAlign w:val="bottom"/>
            <w:gridSpan w:val="2"/>
            <w:shd w:val="clear" w:color="auto" w:fill="CCEEFF"/>
          </w:tcPr>
          <w:p>
            <w:pPr>
              <w:jc w:val="right"/>
              <w:ind w:right="180"/>
              <w:spacing w:after="0" w:line="135" w:lineRule="exact"/>
              <w:rPr>
                <w:sz w:val="20"/>
                <w:szCs w:val="20"/>
                <w:color w:val="auto"/>
              </w:rPr>
            </w:pPr>
            <w:r>
              <w:rPr>
                <w:rFonts w:ascii="Arial" w:cs="Arial" w:eastAsia="Arial" w:hAnsi="Arial"/>
                <w:sz w:val="13"/>
                <w:szCs w:val="13"/>
                <w:color w:val="auto"/>
              </w:rPr>
              <w:t>128</w:t>
            </w: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80" w:type="dxa"/>
            <w:vAlign w:val="bottom"/>
            <w:gridSpan w:val="2"/>
            <w:shd w:val="clear" w:color="auto" w:fill="CCEEFF"/>
          </w:tcPr>
          <w:p>
            <w:pPr>
              <w:jc w:val="right"/>
              <w:ind w:right="220"/>
              <w:spacing w:after="0" w:line="135" w:lineRule="exact"/>
              <w:rPr>
                <w:sz w:val="20"/>
                <w:szCs w:val="20"/>
                <w:color w:val="auto"/>
              </w:rPr>
            </w:pPr>
            <w:r>
              <w:rPr>
                <w:rFonts w:ascii="Arial" w:cs="Arial" w:eastAsia="Arial" w:hAnsi="Arial"/>
                <w:sz w:val="13"/>
                <w:szCs w:val="13"/>
                <w:color w:val="auto"/>
              </w:rPr>
              <w:t>546</w:t>
            </w:r>
          </w:p>
        </w:tc>
        <w:tc>
          <w:tcPr>
            <w:tcW w:w="60" w:type="dxa"/>
            <w:vAlign w:val="bottom"/>
            <w:shd w:val="clear" w:color="auto" w:fill="CCEEFF"/>
          </w:tcPr>
          <w:p>
            <w:pPr>
              <w:spacing w:after="0"/>
              <w:rPr>
                <w:sz w:val="11"/>
                <w:szCs w:val="11"/>
                <w:color w:val="auto"/>
              </w:rPr>
            </w:pPr>
          </w:p>
        </w:tc>
        <w:tc>
          <w:tcPr>
            <w:tcW w:w="560" w:type="dxa"/>
            <w:vAlign w:val="bottom"/>
            <w:gridSpan w:val="2"/>
            <w:shd w:val="clear" w:color="auto" w:fill="CCEEFF"/>
          </w:tcPr>
          <w:p>
            <w:pPr>
              <w:jc w:val="right"/>
              <w:ind w:right="160"/>
              <w:spacing w:after="0" w:line="135" w:lineRule="exact"/>
              <w:rPr>
                <w:sz w:val="20"/>
                <w:szCs w:val="20"/>
                <w:color w:val="auto"/>
              </w:rPr>
            </w:pPr>
            <w:r>
              <w:rPr>
                <w:rFonts w:ascii="Arial" w:cs="Arial" w:eastAsia="Arial" w:hAnsi="Arial"/>
                <w:sz w:val="13"/>
                <w:szCs w:val="13"/>
                <w:color w:val="auto"/>
              </w:rPr>
              <w:t>526</w:t>
            </w:r>
          </w:p>
        </w:tc>
        <w:tc>
          <w:tcPr>
            <w:tcW w:w="0" w:type="dxa"/>
            <w:vAlign w:val="bottom"/>
          </w:tcPr>
          <w:p>
            <w:pPr>
              <w:spacing w:after="0"/>
              <w:rPr>
                <w:sz w:val="1"/>
                <w:szCs w:val="1"/>
                <w:color w:val="auto"/>
              </w:rPr>
            </w:pPr>
          </w:p>
        </w:tc>
      </w:tr>
      <w:tr>
        <w:trPr>
          <w:trHeight w:val="135"/>
        </w:trPr>
        <w:tc>
          <w:tcPr>
            <w:tcW w:w="2380" w:type="dxa"/>
            <w:vAlign w:val="bottom"/>
            <w:gridSpan w:val="2"/>
          </w:tcPr>
          <w:p>
            <w:pPr>
              <w:spacing w:after="0" w:line="135" w:lineRule="exact"/>
              <w:rPr>
                <w:sz w:val="20"/>
                <w:szCs w:val="20"/>
                <w:color w:val="auto"/>
              </w:rPr>
            </w:pPr>
            <w:r>
              <w:rPr>
                <w:rFonts w:ascii="Arial" w:cs="Arial" w:eastAsia="Arial" w:hAnsi="Arial"/>
                <w:sz w:val="13"/>
                <w:szCs w:val="13"/>
                <w:color w:val="auto"/>
              </w:rPr>
              <w:t>Adjusted EBITDA</w:t>
            </w:r>
          </w:p>
        </w:tc>
        <w:tc>
          <w:tcPr>
            <w:tcW w:w="660" w:type="dxa"/>
            <w:vAlign w:val="bottom"/>
            <w:gridSpan w:val="2"/>
          </w:tcPr>
          <w:p>
            <w:pPr>
              <w:jc w:val="right"/>
              <w:ind w:right="200"/>
              <w:spacing w:after="0" w:line="135" w:lineRule="exact"/>
              <w:rPr>
                <w:sz w:val="20"/>
                <w:szCs w:val="20"/>
                <w:color w:val="auto"/>
              </w:rPr>
            </w:pPr>
            <w:r>
              <w:rPr>
                <w:rFonts w:ascii="Arial" w:cs="Arial" w:eastAsia="Arial" w:hAnsi="Arial"/>
                <w:sz w:val="13"/>
                <w:szCs w:val="13"/>
                <w:color w:val="auto"/>
              </w:rPr>
              <w:t>14,399</w:t>
            </w: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gridSpan w:val="2"/>
          </w:tcPr>
          <w:p>
            <w:pPr>
              <w:jc w:val="right"/>
              <w:ind w:right="200"/>
              <w:spacing w:after="0" w:line="135" w:lineRule="exact"/>
              <w:rPr>
                <w:sz w:val="20"/>
                <w:szCs w:val="20"/>
                <w:color w:val="auto"/>
              </w:rPr>
            </w:pPr>
            <w:r>
              <w:rPr>
                <w:rFonts w:ascii="Arial" w:cs="Arial" w:eastAsia="Arial" w:hAnsi="Arial"/>
                <w:sz w:val="13"/>
                <w:szCs w:val="13"/>
                <w:color w:val="auto"/>
                <w:w w:val="95"/>
              </w:rPr>
              <w:t>14,068</w:t>
            </w: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40" w:type="dxa"/>
            <w:vAlign w:val="bottom"/>
            <w:gridSpan w:val="2"/>
          </w:tcPr>
          <w:p>
            <w:pPr>
              <w:jc w:val="right"/>
              <w:ind w:right="200"/>
              <w:spacing w:after="0" w:line="135" w:lineRule="exact"/>
              <w:rPr>
                <w:sz w:val="20"/>
                <w:szCs w:val="20"/>
                <w:color w:val="auto"/>
              </w:rPr>
            </w:pPr>
            <w:r>
              <w:rPr>
                <w:rFonts w:ascii="Arial" w:cs="Arial" w:eastAsia="Arial" w:hAnsi="Arial"/>
                <w:sz w:val="13"/>
                <w:szCs w:val="13"/>
                <w:color w:val="auto"/>
              </w:rPr>
              <w:t>12,801</w:t>
            </w: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60" w:type="dxa"/>
            <w:vAlign w:val="bottom"/>
            <w:gridSpan w:val="2"/>
          </w:tcPr>
          <w:p>
            <w:pPr>
              <w:jc w:val="right"/>
              <w:ind w:right="220"/>
              <w:spacing w:after="0" w:line="135" w:lineRule="exact"/>
              <w:rPr>
                <w:sz w:val="20"/>
                <w:szCs w:val="20"/>
                <w:color w:val="auto"/>
              </w:rPr>
            </w:pPr>
            <w:r>
              <w:rPr>
                <w:rFonts w:ascii="Arial" w:cs="Arial" w:eastAsia="Arial" w:hAnsi="Arial"/>
                <w:sz w:val="13"/>
                <w:szCs w:val="13"/>
                <w:color w:val="auto"/>
              </w:rPr>
              <w:t>14,501</w:t>
            </w:r>
          </w:p>
        </w:tc>
        <w:tc>
          <w:tcPr>
            <w:tcW w:w="760" w:type="dxa"/>
            <w:vAlign w:val="bottom"/>
            <w:gridSpan w:val="3"/>
          </w:tcPr>
          <w:p>
            <w:pPr>
              <w:jc w:val="right"/>
              <w:ind w:right="260"/>
              <w:spacing w:after="0" w:line="135" w:lineRule="exact"/>
              <w:rPr>
                <w:sz w:val="20"/>
                <w:szCs w:val="20"/>
                <w:color w:val="auto"/>
              </w:rPr>
            </w:pPr>
            <w:r>
              <w:rPr>
                <w:rFonts w:ascii="Arial" w:cs="Arial" w:eastAsia="Arial" w:hAnsi="Arial"/>
                <w:sz w:val="13"/>
                <w:szCs w:val="13"/>
                <w:color w:val="auto"/>
              </w:rPr>
              <w:t>14,134</w:t>
            </w:r>
          </w:p>
        </w:tc>
        <w:tc>
          <w:tcPr>
            <w:tcW w:w="80" w:type="dxa"/>
            <w:vAlign w:val="bottom"/>
          </w:tcPr>
          <w:p>
            <w:pPr>
              <w:spacing w:after="0"/>
              <w:rPr>
                <w:sz w:val="11"/>
                <w:szCs w:val="11"/>
                <w:color w:val="auto"/>
              </w:rPr>
            </w:pPr>
          </w:p>
        </w:tc>
        <w:tc>
          <w:tcPr>
            <w:tcW w:w="640" w:type="dxa"/>
            <w:vAlign w:val="bottom"/>
            <w:gridSpan w:val="2"/>
          </w:tcPr>
          <w:p>
            <w:pPr>
              <w:jc w:val="right"/>
              <w:ind w:right="240"/>
              <w:spacing w:after="0" w:line="135" w:lineRule="exact"/>
              <w:rPr>
                <w:sz w:val="20"/>
                <w:szCs w:val="20"/>
                <w:color w:val="auto"/>
              </w:rPr>
            </w:pPr>
            <w:r>
              <w:rPr>
                <w:rFonts w:ascii="Arial" w:cs="Arial" w:eastAsia="Arial" w:hAnsi="Arial"/>
                <w:sz w:val="13"/>
                <w:szCs w:val="13"/>
                <w:color w:val="auto"/>
                <w:w w:val="95"/>
              </w:rPr>
              <w:t>12,069</w:t>
            </w:r>
          </w:p>
        </w:tc>
        <w:tc>
          <w:tcPr>
            <w:tcW w:w="120" w:type="dxa"/>
            <w:vAlign w:val="bottom"/>
          </w:tcPr>
          <w:p>
            <w:pPr>
              <w:spacing w:after="0"/>
              <w:rPr>
                <w:sz w:val="11"/>
                <w:szCs w:val="11"/>
                <w:color w:val="auto"/>
              </w:rPr>
            </w:pPr>
          </w:p>
        </w:tc>
        <w:tc>
          <w:tcPr>
            <w:tcW w:w="780" w:type="dxa"/>
            <w:vAlign w:val="bottom"/>
            <w:gridSpan w:val="2"/>
          </w:tcPr>
          <w:p>
            <w:pPr>
              <w:jc w:val="right"/>
              <w:ind w:right="260"/>
              <w:spacing w:after="0" w:line="135" w:lineRule="exact"/>
              <w:rPr>
                <w:sz w:val="20"/>
                <w:szCs w:val="20"/>
                <w:color w:val="auto"/>
              </w:rPr>
            </w:pPr>
            <w:r>
              <w:rPr>
                <w:rFonts w:ascii="Arial" w:cs="Arial" w:eastAsia="Arial" w:hAnsi="Arial"/>
                <w:sz w:val="13"/>
                <w:szCs w:val="13"/>
                <w:color w:val="auto"/>
              </w:rPr>
              <w:t>10,786</w:t>
            </w:r>
          </w:p>
        </w:tc>
        <w:tc>
          <w:tcPr>
            <w:tcW w:w="100" w:type="dxa"/>
            <w:vAlign w:val="bottom"/>
          </w:tcPr>
          <w:p>
            <w:pPr>
              <w:spacing w:after="0"/>
              <w:rPr>
                <w:sz w:val="11"/>
                <w:szCs w:val="11"/>
                <w:color w:val="auto"/>
              </w:rPr>
            </w:pPr>
          </w:p>
        </w:tc>
        <w:tc>
          <w:tcPr>
            <w:tcW w:w="920" w:type="dxa"/>
            <w:vAlign w:val="bottom"/>
            <w:tcBorders>
              <w:right w:val="single" w:sz="8" w:color="auto"/>
            </w:tcBorders>
            <w:gridSpan w:val="2"/>
          </w:tcPr>
          <w:p>
            <w:pPr>
              <w:jc w:val="right"/>
              <w:ind w:right="360"/>
              <w:spacing w:after="0" w:line="135" w:lineRule="exact"/>
              <w:rPr>
                <w:sz w:val="20"/>
                <w:szCs w:val="20"/>
                <w:color w:val="auto"/>
              </w:rPr>
            </w:pPr>
            <w:r>
              <w:rPr>
                <w:rFonts w:ascii="Arial" w:cs="Arial" w:eastAsia="Arial" w:hAnsi="Arial"/>
                <w:sz w:val="13"/>
                <w:szCs w:val="13"/>
                <w:color w:val="auto"/>
              </w:rPr>
              <w:t>7,865</w:t>
            </w: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80" w:type="dxa"/>
            <w:vAlign w:val="bottom"/>
            <w:gridSpan w:val="2"/>
          </w:tcPr>
          <w:p>
            <w:pPr>
              <w:jc w:val="right"/>
              <w:ind w:right="180"/>
              <w:spacing w:after="0" w:line="135" w:lineRule="exact"/>
              <w:rPr>
                <w:sz w:val="20"/>
                <w:szCs w:val="20"/>
                <w:color w:val="auto"/>
              </w:rPr>
            </w:pPr>
            <w:r>
              <w:rPr>
                <w:rFonts w:ascii="Arial" w:cs="Arial" w:eastAsia="Arial" w:hAnsi="Arial"/>
                <w:sz w:val="13"/>
                <w:szCs w:val="13"/>
                <w:color w:val="auto"/>
                <w:w w:val="85"/>
              </w:rPr>
              <w:t>2,084</w:t>
            </w: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gridSpan w:val="2"/>
          </w:tcPr>
          <w:p>
            <w:pPr>
              <w:jc w:val="right"/>
              <w:ind w:right="220"/>
              <w:spacing w:after="0" w:line="135" w:lineRule="exact"/>
              <w:rPr>
                <w:sz w:val="20"/>
                <w:szCs w:val="20"/>
                <w:color w:val="auto"/>
              </w:rPr>
            </w:pPr>
            <w:r>
              <w:rPr>
                <w:rFonts w:ascii="Arial" w:cs="Arial" w:eastAsia="Arial" w:hAnsi="Arial"/>
                <w:sz w:val="13"/>
                <w:szCs w:val="13"/>
                <w:color w:val="auto"/>
                <w:w w:val="85"/>
              </w:rPr>
              <w:t>12,493</w:t>
            </w:r>
          </w:p>
        </w:tc>
        <w:tc>
          <w:tcPr>
            <w:tcW w:w="60" w:type="dxa"/>
            <w:vAlign w:val="bottom"/>
          </w:tcPr>
          <w:p>
            <w:pPr>
              <w:spacing w:after="0"/>
              <w:rPr>
                <w:sz w:val="11"/>
                <w:szCs w:val="11"/>
                <w:color w:val="auto"/>
              </w:rPr>
            </w:pPr>
          </w:p>
        </w:tc>
        <w:tc>
          <w:tcPr>
            <w:tcW w:w="560" w:type="dxa"/>
            <w:vAlign w:val="bottom"/>
            <w:gridSpan w:val="2"/>
          </w:tcPr>
          <w:p>
            <w:pPr>
              <w:jc w:val="right"/>
              <w:ind w:right="160"/>
              <w:spacing w:after="0" w:line="135" w:lineRule="exact"/>
              <w:rPr>
                <w:sz w:val="20"/>
                <w:szCs w:val="20"/>
                <w:color w:val="auto"/>
              </w:rPr>
            </w:pPr>
            <w:r>
              <w:rPr>
                <w:rFonts w:ascii="Arial" w:cs="Arial" w:eastAsia="Arial" w:hAnsi="Arial"/>
                <w:sz w:val="13"/>
                <w:szCs w:val="13"/>
                <w:color w:val="auto"/>
              </w:rPr>
              <w:t>9,079</w:t>
            </w:r>
          </w:p>
        </w:tc>
        <w:tc>
          <w:tcPr>
            <w:tcW w:w="0" w:type="dxa"/>
            <w:vAlign w:val="bottom"/>
          </w:tcPr>
          <w:p>
            <w:pPr>
              <w:spacing w:after="0"/>
              <w:rPr>
                <w:sz w:val="1"/>
                <w:szCs w:val="1"/>
                <w:color w:val="auto"/>
              </w:rPr>
            </w:pPr>
          </w:p>
        </w:tc>
      </w:tr>
      <w:tr>
        <w:trPr>
          <w:trHeight w:val="135"/>
        </w:trPr>
        <w:tc>
          <w:tcPr>
            <w:tcW w:w="2380" w:type="dxa"/>
            <w:vAlign w:val="bottom"/>
            <w:gridSpan w:val="2"/>
            <w:shd w:val="clear" w:color="auto" w:fill="CCEEFF"/>
          </w:tcPr>
          <w:p>
            <w:pPr>
              <w:spacing w:after="0" w:line="135" w:lineRule="exact"/>
              <w:rPr>
                <w:sz w:val="20"/>
                <w:szCs w:val="20"/>
                <w:color w:val="auto"/>
              </w:rPr>
            </w:pPr>
            <w:r>
              <w:rPr>
                <w:rFonts w:ascii="Arial" w:cs="Arial" w:eastAsia="Arial" w:hAnsi="Arial"/>
                <w:sz w:val="13"/>
                <w:szCs w:val="13"/>
                <w:color w:val="auto"/>
              </w:rPr>
              <w:t>Revenue</w:t>
            </w:r>
          </w:p>
        </w:tc>
        <w:tc>
          <w:tcPr>
            <w:tcW w:w="660" w:type="dxa"/>
            <w:vAlign w:val="bottom"/>
            <w:gridSpan w:val="2"/>
            <w:shd w:val="clear" w:color="auto" w:fill="CCEEFF"/>
          </w:tcPr>
          <w:p>
            <w:pPr>
              <w:jc w:val="right"/>
              <w:ind w:right="200"/>
              <w:spacing w:after="0" w:line="135" w:lineRule="exact"/>
              <w:rPr>
                <w:sz w:val="20"/>
                <w:szCs w:val="20"/>
                <w:color w:val="auto"/>
              </w:rPr>
            </w:pPr>
            <w:r>
              <w:rPr>
                <w:rFonts w:ascii="Arial" w:cs="Arial" w:eastAsia="Arial" w:hAnsi="Arial"/>
                <w:sz w:val="13"/>
                <w:szCs w:val="13"/>
                <w:color w:val="auto"/>
                <w:w w:val="86"/>
              </w:rPr>
              <w:t>$ 39,821</w:t>
            </w:r>
          </w:p>
        </w:tc>
        <w:tc>
          <w:tcPr>
            <w:tcW w:w="12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3"/>
                <w:szCs w:val="13"/>
                <w:color w:val="auto"/>
              </w:rPr>
              <w:t>$</w:t>
            </w:r>
          </w:p>
        </w:tc>
        <w:tc>
          <w:tcPr>
            <w:tcW w:w="600" w:type="dxa"/>
            <w:vAlign w:val="bottom"/>
            <w:gridSpan w:val="2"/>
            <w:shd w:val="clear" w:color="auto" w:fill="CCEEFF"/>
          </w:tcPr>
          <w:p>
            <w:pPr>
              <w:jc w:val="right"/>
              <w:ind w:right="200"/>
              <w:spacing w:after="0" w:line="135" w:lineRule="exact"/>
              <w:rPr>
                <w:sz w:val="20"/>
                <w:szCs w:val="20"/>
                <w:color w:val="auto"/>
              </w:rPr>
            </w:pPr>
            <w:r>
              <w:rPr>
                <w:rFonts w:ascii="Arial" w:cs="Arial" w:eastAsia="Arial" w:hAnsi="Arial"/>
                <w:sz w:val="13"/>
                <w:szCs w:val="13"/>
                <w:color w:val="auto"/>
                <w:w w:val="95"/>
              </w:rPr>
              <w:t>36,936</w:t>
            </w:r>
          </w:p>
        </w:tc>
        <w:tc>
          <w:tcPr>
            <w:tcW w:w="16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3"/>
                <w:szCs w:val="13"/>
                <w:color w:val="auto"/>
              </w:rPr>
              <w:t>$</w:t>
            </w:r>
          </w:p>
        </w:tc>
        <w:tc>
          <w:tcPr>
            <w:tcW w:w="740" w:type="dxa"/>
            <w:vAlign w:val="bottom"/>
            <w:gridSpan w:val="2"/>
            <w:shd w:val="clear" w:color="auto" w:fill="CCEEFF"/>
          </w:tcPr>
          <w:p>
            <w:pPr>
              <w:jc w:val="right"/>
              <w:ind w:right="200"/>
              <w:spacing w:after="0" w:line="135" w:lineRule="exact"/>
              <w:rPr>
                <w:sz w:val="20"/>
                <w:szCs w:val="20"/>
                <w:color w:val="auto"/>
              </w:rPr>
            </w:pPr>
            <w:r>
              <w:rPr>
                <w:rFonts w:ascii="Arial" w:cs="Arial" w:eastAsia="Arial" w:hAnsi="Arial"/>
                <w:sz w:val="13"/>
                <w:szCs w:val="13"/>
                <w:color w:val="auto"/>
              </w:rPr>
              <w:t>33,658</w:t>
            </w:r>
          </w:p>
        </w:tc>
        <w:tc>
          <w:tcPr>
            <w:tcW w:w="16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3"/>
                <w:szCs w:val="13"/>
                <w:color w:val="auto"/>
              </w:rPr>
              <w:t>$</w:t>
            </w:r>
          </w:p>
        </w:tc>
        <w:tc>
          <w:tcPr>
            <w:tcW w:w="760" w:type="dxa"/>
            <w:vAlign w:val="bottom"/>
            <w:gridSpan w:val="2"/>
            <w:shd w:val="clear" w:color="auto" w:fill="CCEEFF"/>
          </w:tcPr>
          <w:p>
            <w:pPr>
              <w:jc w:val="right"/>
              <w:ind w:right="220"/>
              <w:spacing w:after="0" w:line="135" w:lineRule="exact"/>
              <w:rPr>
                <w:sz w:val="20"/>
                <w:szCs w:val="20"/>
                <w:color w:val="auto"/>
              </w:rPr>
            </w:pPr>
            <w:r>
              <w:rPr>
                <w:rFonts w:ascii="Arial" w:cs="Arial" w:eastAsia="Arial" w:hAnsi="Arial"/>
                <w:sz w:val="13"/>
                <w:szCs w:val="13"/>
                <w:color w:val="auto"/>
              </w:rPr>
              <w:t>30,073</w:t>
            </w:r>
          </w:p>
        </w:tc>
        <w:tc>
          <w:tcPr>
            <w:tcW w:w="760" w:type="dxa"/>
            <w:vAlign w:val="bottom"/>
            <w:gridSpan w:val="3"/>
            <w:shd w:val="clear" w:color="auto" w:fill="CCEEFF"/>
          </w:tcPr>
          <w:p>
            <w:pPr>
              <w:jc w:val="right"/>
              <w:ind w:right="260"/>
              <w:spacing w:after="0" w:line="135" w:lineRule="exact"/>
              <w:rPr>
                <w:sz w:val="20"/>
                <w:szCs w:val="20"/>
                <w:color w:val="auto"/>
              </w:rPr>
            </w:pPr>
            <w:r>
              <w:rPr>
                <w:rFonts w:ascii="Arial" w:cs="Arial" w:eastAsia="Arial" w:hAnsi="Arial"/>
                <w:sz w:val="13"/>
                <w:szCs w:val="13"/>
                <w:color w:val="auto"/>
                <w:w w:val="94"/>
              </w:rPr>
              <w:t>$ 28,245</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640" w:type="dxa"/>
            <w:vAlign w:val="bottom"/>
            <w:gridSpan w:val="2"/>
            <w:shd w:val="clear" w:color="auto" w:fill="CCEEFF"/>
          </w:tcPr>
          <w:p>
            <w:pPr>
              <w:jc w:val="right"/>
              <w:ind w:right="240"/>
              <w:spacing w:after="0" w:line="135" w:lineRule="exact"/>
              <w:rPr>
                <w:sz w:val="20"/>
                <w:szCs w:val="20"/>
                <w:color w:val="auto"/>
              </w:rPr>
            </w:pPr>
            <w:r>
              <w:rPr>
                <w:rFonts w:ascii="Arial" w:cs="Arial" w:eastAsia="Arial" w:hAnsi="Arial"/>
                <w:sz w:val="13"/>
                <w:szCs w:val="13"/>
                <w:color w:val="auto"/>
                <w:w w:val="95"/>
              </w:rPr>
              <w:t>26,341</w:t>
            </w:r>
          </w:p>
        </w:tc>
        <w:tc>
          <w:tcPr>
            <w:tcW w:w="12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w w:val="82"/>
              </w:rPr>
              <w:t>$</w:t>
            </w:r>
          </w:p>
        </w:tc>
        <w:tc>
          <w:tcPr>
            <w:tcW w:w="780" w:type="dxa"/>
            <w:vAlign w:val="bottom"/>
            <w:gridSpan w:val="2"/>
            <w:shd w:val="clear" w:color="auto" w:fill="CCEEFF"/>
          </w:tcPr>
          <w:p>
            <w:pPr>
              <w:jc w:val="right"/>
              <w:ind w:right="260"/>
              <w:spacing w:after="0" w:line="135" w:lineRule="exact"/>
              <w:rPr>
                <w:sz w:val="20"/>
                <w:szCs w:val="20"/>
                <w:color w:val="auto"/>
              </w:rPr>
            </w:pPr>
            <w:r>
              <w:rPr>
                <w:rFonts w:ascii="Arial" w:cs="Arial" w:eastAsia="Arial" w:hAnsi="Arial"/>
                <w:sz w:val="13"/>
                <w:szCs w:val="13"/>
                <w:color w:val="auto"/>
              </w:rPr>
              <w:t>23,233</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920" w:type="dxa"/>
            <w:vAlign w:val="bottom"/>
            <w:tcBorders>
              <w:right w:val="single" w:sz="8" w:color="auto"/>
            </w:tcBorders>
            <w:gridSpan w:val="2"/>
            <w:shd w:val="clear" w:color="auto" w:fill="CCEEFF"/>
          </w:tcPr>
          <w:p>
            <w:pPr>
              <w:jc w:val="right"/>
              <w:ind w:right="360"/>
              <w:spacing w:after="0" w:line="135" w:lineRule="exact"/>
              <w:rPr>
                <w:sz w:val="20"/>
                <w:szCs w:val="20"/>
                <w:color w:val="auto"/>
              </w:rPr>
            </w:pPr>
            <w:r>
              <w:rPr>
                <w:rFonts w:ascii="Arial" w:cs="Arial" w:eastAsia="Arial" w:hAnsi="Arial"/>
                <w:sz w:val="13"/>
                <w:szCs w:val="13"/>
                <w:color w:val="auto"/>
              </w:rPr>
              <w:t>16,812</w:t>
            </w:r>
          </w:p>
        </w:tc>
        <w:tc>
          <w:tcPr>
            <w:tcW w:w="22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3"/>
                <w:szCs w:val="13"/>
                <w:color w:val="auto"/>
              </w:rPr>
              <w:t>$</w:t>
            </w:r>
          </w:p>
        </w:tc>
        <w:tc>
          <w:tcPr>
            <w:tcW w:w="480" w:type="dxa"/>
            <w:vAlign w:val="bottom"/>
            <w:gridSpan w:val="2"/>
            <w:shd w:val="clear" w:color="auto" w:fill="CCEEFF"/>
          </w:tcPr>
          <w:p>
            <w:pPr>
              <w:jc w:val="right"/>
              <w:ind w:right="180"/>
              <w:spacing w:after="0" w:line="135" w:lineRule="exact"/>
              <w:rPr>
                <w:sz w:val="20"/>
                <w:szCs w:val="20"/>
                <w:color w:val="auto"/>
              </w:rPr>
            </w:pPr>
            <w:r>
              <w:rPr>
                <w:rFonts w:ascii="Arial" w:cs="Arial" w:eastAsia="Arial" w:hAnsi="Arial"/>
                <w:sz w:val="13"/>
                <w:szCs w:val="13"/>
                <w:color w:val="auto"/>
                <w:w w:val="85"/>
              </w:rPr>
              <w:t>3,829</w:t>
            </w:r>
          </w:p>
        </w:tc>
        <w:tc>
          <w:tcPr>
            <w:tcW w:w="14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3"/>
                <w:szCs w:val="13"/>
                <w:color w:val="auto"/>
              </w:rPr>
              <w:t>$</w:t>
            </w:r>
          </w:p>
        </w:tc>
        <w:tc>
          <w:tcPr>
            <w:tcW w:w="580" w:type="dxa"/>
            <w:vAlign w:val="bottom"/>
            <w:gridSpan w:val="2"/>
            <w:shd w:val="clear" w:color="auto" w:fill="CCEEFF"/>
          </w:tcPr>
          <w:p>
            <w:pPr>
              <w:jc w:val="right"/>
              <w:ind w:right="220"/>
              <w:spacing w:after="0" w:line="135" w:lineRule="exact"/>
              <w:rPr>
                <w:sz w:val="20"/>
                <w:szCs w:val="20"/>
                <w:color w:val="auto"/>
              </w:rPr>
            </w:pPr>
            <w:r>
              <w:rPr>
                <w:rFonts w:ascii="Arial" w:cs="Arial" w:eastAsia="Arial" w:hAnsi="Arial"/>
                <w:sz w:val="13"/>
                <w:szCs w:val="13"/>
                <w:color w:val="auto"/>
                <w:w w:val="85"/>
              </w:rPr>
              <w:t>22,631</w:t>
            </w: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560" w:type="dxa"/>
            <w:vAlign w:val="bottom"/>
            <w:gridSpan w:val="2"/>
            <w:shd w:val="clear" w:color="auto" w:fill="CCEEFF"/>
          </w:tcPr>
          <w:p>
            <w:pPr>
              <w:jc w:val="right"/>
              <w:ind w:right="160"/>
              <w:spacing w:after="0" w:line="135" w:lineRule="exact"/>
              <w:rPr>
                <w:sz w:val="20"/>
                <w:szCs w:val="20"/>
                <w:color w:val="auto"/>
              </w:rPr>
            </w:pPr>
            <w:r>
              <w:rPr>
                <w:rFonts w:ascii="Arial" w:cs="Arial" w:eastAsia="Arial" w:hAnsi="Arial"/>
                <w:sz w:val="13"/>
                <w:szCs w:val="13"/>
                <w:color w:val="auto"/>
                <w:w w:val="95"/>
              </w:rPr>
              <w:t>18,998</w:t>
            </w:r>
          </w:p>
        </w:tc>
        <w:tc>
          <w:tcPr>
            <w:tcW w:w="0" w:type="dxa"/>
            <w:vAlign w:val="bottom"/>
          </w:tcPr>
          <w:p>
            <w:pPr>
              <w:spacing w:after="0"/>
              <w:rPr>
                <w:sz w:val="1"/>
                <w:szCs w:val="1"/>
                <w:color w:val="auto"/>
              </w:rPr>
            </w:pPr>
          </w:p>
        </w:tc>
      </w:tr>
      <w:tr>
        <w:trPr>
          <w:trHeight w:val="135"/>
        </w:trPr>
        <w:tc>
          <w:tcPr>
            <w:tcW w:w="2380" w:type="dxa"/>
            <w:vAlign w:val="bottom"/>
            <w:gridSpan w:val="2"/>
          </w:tcPr>
          <w:p>
            <w:pPr>
              <w:spacing w:after="0" w:line="135" w:lineRule="exact"/>
              <w:rPr>
                <w:sz w:val="20"/>
                <w:szCs w:val="20"/>
                <w:color w:val="auto"/>
              </w:rPr>
            </w:pPr>
            <w:r>
              <w:rPr>
                <w:rFonts w:ascii="Arial" w:cs="Arial" w:eastAsia="Arial" w:hAnsi="Arial"/>
                <w:sz w:val="13"/>
                <w:szCs w:val="13"/>
                <w:color w:val="auto"/>
              </w:rPr>
              <w:t>Net (loss) income margin</w:t>
            </w:r>
            <w:r>
              <w:rPr>
                <w:rFonts w:ascii="Arial" w:cs="Arial" w:eastAsia="Arial" w:hAnsi="Arial"/>
                <w:sz w:val="10"/>
                <w:szCs w:val="10"/>
                <w:color w:val="auto"/>
              </w:rPr>
              <w:t>(5)</w:t>
            </w:r>
          </w:p>
        </w:tc>
        <w:tc>
          <w:tcPr>
            <w:tcW w:w="660" w:type="dxa"/>
            <w:vAlign w:val="bottom"/>
            <w:gridSpan w:val="2"/>
          </w:tcPr>
          <w:p>
            <w:pPr>
              <w:jc w:val="right"/>
              <w:ind w:right="60"/>
              <w:spacing w:after="0" w:line="135" w:lineRule="exact"/>
              <w:rPr>
                <w:sz w:val="20"/>
                <w:szCs w:val="20"/>
                <w:color w:val="auto"/>
              </w:rPr>
            </w:pPr>
            <w:r>
              <w:rPr>
                <w:rFonts w:ascii="Arial" w:cs="Arial" w:eastAsia="Arial" w:hAnsi="Arial"/>
                <w:sz w:val="13"/>
                <w:szCs w:val="13"/>
                <w:color w:val="auto"/>
              </w:rPr>
              <w:t>(38)%</w:t>
            </w: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gridSpan w:val="2"/>
          </w:tcPr>
          <w:p>
            <w:pPr>
              <w:jc w:val="right"/>
              <w:ind w:right="60"/>
              <w:spacing w:after="0" w:line="135" w:lineRule="exact"/>
              <w:rPr>
                <w:sz w:val="20"/>
                <w:szCs w:val="20"/>
                <w:color w:val="auto"/>
              </w:rPr>
            </w:pPr>
            <w:r>
              <w:rPr>
                <w:rFonts w:ascii="Arial" w:cs="Arial" w:eastAsia="Arial" w:hAnsi="Arial"/>
                <w:sz w:val="13"/>
                <w:szCs w:val="13"/>
                <w:color w:val="auto"/>
              </w:rPr>
              <w:t>(28)%</w:t>
            </w: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40" w:type="dxa"/>
            <w:vAlign w:val="bottom"/>
            <w:gridSpan w:val="2"/>
          </w:tcPr>
          <w:p>
            <w:pPr>
              <w:jc w:val="right"/>
              <w:ind w:right="60"/>
              <w:spacing w:after="0" w:line="135" w:lineRule="exact"/>
              <w:rPr>
                <w:sz w:val="20"/>
                <w:szCs w:val="20"/>
                <w:color w:val="auto"/>
              </w:rPr>
            </w:pPr>
            <w:r>
              <w:rPr>
                <w:rFonts w:ascii="Arial" w:cs="Arial" w:eastAsia="Arial" w:hAnsi="Arial"/>
                <w:sz w:val="13"/>
                <w:szCs w:val="13"/>
                <w:color w:val="auto"/>
              </w:rPr>
              <w:t>(47)%</w:t>
            </w: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60" w:type="dxa"/>
            <w:vAlign w:val="bottom"/>
            <w:gridSpan w:val="2"/>
          </w:tcPr>
          <w:p>
            <w:pPr>
              <w:jc w:val="right"/>
              <w:ind w:right="60"/>
              <w:spacing w:after="0" w:line="135" w:lineRule="exact"/>
              <w:rPr>
                <w:sz w:val="20"/>
                <w:szCs w:val="20"/>
                <w:color w:val="auto"/>
              </w:rPr>
            </w:pPr>
            <w:r>
              <w:rPr>
                <w:rFonts w:ascii="Arial" w:cs="Arial" w:eastAsia="Arial" w:hAnsi="Arial"/>
                <w:sz w:val="13"/>
                <w:szCs w:val="13"/>
                <w:color w:val="auto"/>
              </w:rPr>
              <w:t>(33)%</w:t>
            </w:r>
          </w:p>
        </w:tc>
        <w:tc>
          <w:tcPr>
            <w:tcW w:w="760" w:type="dxa"/>
            <w:vAlign w:val="bottom"/>
            <w:gridSpan w:val="3"/>
          </w:tcPr>
          <w:p>
            <w:pPr>
              <w:jc w:val="right"/>
              <w:ind w:right="100"/>
              <w:spacing w:after="0" w:line="135" w:lineRule="exact"/>
              <w:rPr>
                <w:sz w:val="20"/>
                <w:szCs w:val="20"/>
                <w:color w:val="auto"/>
              </w:rPr>
            </w:pPr>
            <w:r>
              <w:rPr>
                <w:rFonts w:ascii="Arial" w:cs="Arial" w:eastAsia="Arial" w:hAnsi="Arial"/>
                <w:sz w:val="13"/>
                <w:szCs w:val="13"/>
                <w:color w:val="auto"/>
              </w:rPr>
              <w:t>(41)%</w:t>
            </w:r>
          </w:p>
        </w:tc>
        <w:tc>
          <w:tcPr>
            <w:tcW w:w="80" w:type="dxa"/>
            <w:vAlign w:val="bottom"/>
          </w:tcPr>
          <w:p>
            <w:pPr>
              <w:spacing w:after="0"/>
              <w:rPr>
                <w:sz w:val="11"/>
                <w:szCs w:val="11"/>
                <w:color w:val="auto"/>
              </w:rPr>
            </w:pPr>
          </w:p>
        </w:tc>
        <w:tc>
          <w:tcPr>
            <w:tcW w:w="640" w:type="dxa"/>
            <w:vAlign w:val="bottom"/>
            <w:gridSpan w:val="2"/>
          </w:tcPr>
          <w:p>
            <w:pPr>
              <w:jc w:val="right"/>
              <w:ind w:right="100"/>
              <w:spacing w:after="0" w:line="135" w:lineRule="exact"/>
              <w:rPr>
                <w:sz w:val="20"/>
                <w:szCs w:val="20"/>
                <w:color w:val="auto"/>
              </w:rPr>
            </w:pPr>
            <w:r>
              <w:rPr>
                <w:rFonts w:ascii="Arial" w:cs="Arial" w:eastAsia="Arial" w:hAnsi="Arial"/>
                <w:sz w:val="13"/>
                <w:szCs w:val="13"/>
                <w:color w:val="auto"/>
              </w:rPr>
              <w:t>(53)%</w:t>
            </w:r>
          </w:p>
        </w:tc>
        <w:tc>
          <w:tcPr>
            <w:tcW w:w="120" w:type="dxa"/>
            <w:vAlign w:val="bottom"/>
          </w:tcPr>
          <w:p>
            <w:pPr>
              <w:spacing w:after="0"/>
              <w:rPr>
                <w:sz w:val="11"/>
                <w:szCs w:val="11"/>
                <w:color w:val="auto"/>
              </w:rPr>
            </w:pPr>
          </w:p>
        </w:tc>
        <w:tc>
          <w:tcPr>
            <w:tcW w:w="780" w:type="dxa"/>
            <w:vAlign w:val="bottom"/>
            <w:gridSpan w:val="2"/>
          </w:tcPr>
          <w:p>
            <w:pPr>
              <w:jc w:val="right"/>
              <w:ind w:right="100"/>
              <w:spacing w:after="0" w:line="135" w:lineRule="exact"/>
              <w:rPr>
                <w:sz w:val="20"/>
                <w:szCs w:val="20"/>
                <w:color w:val="auto"/>
              </w:rPr>
            </w:pPr>
            <w:r>
              <w:rPr>
                <w:rFonts w:ascii="Arial" w:cs="Arial" w:eastAsia="Arial" w:hAnsi="Arial"/>
                <w:sz w:val="13"/>
                <w:szCs w:val="13"/>
                <w:color w:val="auto"/>
              </w:rPr>
              <w:t>(80)%</w:t>
            </w:r>
          </w:p>
        </w:tc>
        <w:tc>
          <w:tcPr>
            <w:tcW w:w="100" w:type="dxa"/>
            <w:vAlign w:val="bottom"/>
          </w:tcPr>
          <w:p>
            <w:pPr>
              <w:spacing w:after="0"/>
              <w:rPr>
                <w:sz w:val="11"/>
                <w:szCs w:val="11"/>
                <w:color w:val="auto"/>
              </w:rPr>
            </w:pPr>
          </w:p>
        </w:tc>
        <w:tc>
          <w:tcPr>
            <w:tcW w:w="920" w:type="dxa"/>
            <w:vAlign w:val="bottom"/>
            <w:tcBorders>
              <w:right w:val="single" w:sz="8" w:color="auto"/>
            </w:tcBorders>
            <w:gridSpan w:val="2"/>
          </w:tcPr>
          <w:p>
            <w:pPr>
              <w:jc w:val="right"/>
              <w:ind w:right="220"/>
              <w:spacing w:after="0" w:line="135" w:lineRule="exact"/>
              <w:rPr>
                <w:sz w:val="20"/>
                <w:szCs w:val="20"/>
                <w:color w:val="auto"/>
              </w:rPr>
            </w:pPr>
            <w:r>
              <w:rPr>
                <w:rFonts w:ascii="Arial" w:cs="Arial" w:eastAsia="Arial" w:hAnsi="Arial"/>
                <w:sz w:val="13"/>
                <w:szCs w:val="13"/>
                <w:color w:val="auto"/>
              </w:rPr>
              <w:t>(183)%</w:t>
            </w: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80" w:type="dxa"/>
            <w:vAlign w:val="bottom"/>
            <w:gridSpan w:val="2"/>
          </w:tcPr>
          <w:p>
            <w:pPr>
              <w:jc w:val="right"/>
              <w:ind w:right="40"/>
              <w:spacing w:after="0" w:line="135" w:lineRule="exact"/>
              <w:rPr>
                <w:sz w:val="20"/>
                <w:szCs w:val="20"/>
                <w:color w:val="auto"/>
              </w:rPr>
            </w:pPr>
            <w:r>
              <w:rPr>
                <w:rFonts w:ascii="Arial" w:cs="Arial" w:eastAsia="Arial" w:hAnsi="Arial"/>
                <w:sz w:val="13"/>
                <w:szCs w:val="13"/>
                <w:color w:val="auto"/>
              </w:rPr>
              <w:t>(17)%</w:t>
            </w: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gridSpan w:val="2"/>
          </w:tcPr>
          <w:p>
            <w:pPr>
              <w:jc w:val="right"/>
              <w:ind w:right="120"/>
              <w:spacing w:after="0" w:line="135" w:lineRule="exact"/>
              <w:rPr>
                <w:sz w:val="20"/>
                <w:szCs w:val="20"/>
                <w:color w:val="auto"/>
              </w:rPr>
            </w:pPr>
            <w:r>
              <w:rPr>
                <w:rFonts w:ascii="Arial" w:cs="Arial" w:eastAsia="Arial" w:hAnsi="Arial"/>
                <w:sz w:val="13"/>
                <w:szCs w:val="13"/>
                <w:color w:val="auto"/>
              </w:rPr>
              <w:t>35%</w:t>
            </w:r>
          </w:p>
        </w:tc>
        <w:tc>
          <w:tcPr>
            <w:tcW w:w="60" w:type="dxa"/>
            <w:vAlign w:val="bottom"/>
          </w:tcPr>
          <w:p>
            <w:pPr>
              <w:spacing w:after="0"/>
              <w:rPr>
                <w:sz w:val="11"/>
                <w:szCs w:val="11"/>
                <w:color w:val="auto"/>
              </w:rPr>
            </w:pPr>
          </w:p>
        </w:tc>
        <w:tc>
          <w:tcPr>
            <w:tcW w:w="560" w:type="dxa"/>
            <w:vAlign w:val="bottom"/>
            <w:gridSpan w:val="2"/>
          </w:tcPr>
          <w:p>
            <w:pPr>
              <w:jc w:val="right"/>
              <w:ind w:right="60"/>
              <w:spacing w:after="0" w:line="135" w:lineRule="exact"/>
              <w:rPr>
                <w:sz w:val="20"/>
                <w:szCs w:val="20"/>
                <w:color w:val="auto"/>
              </w:rPr>
            </w:pPr>
            <w:r>
              <w:rPr>
                <w:rFonts w:ascii="Arial" w:cs="Arial" w:eastAsia="Arial" w:hAnsi="Arial"/>
                <w:sz w:val="13"/>
                <w:szCs w:val="13"/>
                <w:color w:val="auto"/>
              </w:rPr>
              <w:t>29%</w:t>
            </w:r>
          </w:p>
        </w:tc>
        <w:tc>
          <w:tcPr>
            <w:tcW w:w="0" w:type="dxa"/>
            <w:vAlign w:val="bottom"/>
          </w:tcPr>
          <w:p>
            <w:pPr>
              <w:spacing w:after="0"/>
              <w:rPr>
                <w:sz w:val="1"/>
                <w:szCs w:val="1"/>
                <w:color w:val="auto"/>
              </w:rPr>
            </w:pPr>
          </w:p>
        </w:tc>
      </w:tr>
      <w:tr>
        <w:trPr>
          <w:trHeight w:val="135"/>
        </w:trPr>
        <w:tc>
          <w:tcPr>
            <w:tcW w:w="2380" w:type="dxa"/>
            <w:vAlign w:val="bottom"/>
            <w:gridSpan w:val="2"/>
            <w:shd w:val="clear" w:color="auto" w:fill="CCEEFF"/>
          </w:tcPr>
          <w:p>
            <w:pPr>
              <w:spacing w:after="0" w:line="135" w:lineRule="exact"/>
              <w:rPr>
                <w:sz w:val="20"/>
                <w:szCs w:val="20"/>
                <w:color w:val="auto"/>
              </w:rPr>
            </w:pPr>
            <w:r>
              <w:rPr>
                <w:rFonts w:ascii="Arial" w:cs="Arial" w:eastAsia="Arial" w:hAnsi="Arial"/>
                <w:sz w:val="13"/>
                <w:szCs w:val="13"/>
                <w:color w:val="auto"/>
              </w:rPr>
              <w:t>Adjusted EBITDA Margin</w:t>
            </w:r>
          </w:p>
        </w:tc>
        <w:tc>
          <w:tcPr>
            <w:tcW w:w="660" w:type="dxa"/>
            <w:vAlign w:val="bottom"/>
            <w:gridSpan w:val="2"/>
            <w:shd w:val="clear" w:color="auto" w:fill="CCEEFF"/>
          </w:tcPr>
          <w:p>
            <w:pPr>
              <w:jc w:val="right"/>
              <w:ind w:right="100"/>
              <w:spacing w:after="0" w:line="135" w:lineRule="exact"/>
              <w:rPr>
                <w:sz w:val="20"/>
                <w:szCs w:val="20"/>
                <w:color w:val="auto"/>
              </w:rPr>
            </w:pPr>
            <w:r>
              <w:rPr>
                <w:rFonts w:ascii="Arial" w:cs="Arial" w:eastAsia="Arial" w:hAnsi="Arial"/>
                <w:sz w:val="13"/>
                <w:szCs w:val="13"/>
                <w:color w:val="auto"/>
              </w:rPr>
              <w:t>36%</w:t>
            </w:r>
          </w:p>
        </w:tc>
        <w:tc>
          <w:tcPr>
            <w:tcW w:w="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0" w:type="dxa"/>
            <w:vAlign w:val="bottom"/>
            <w:gridSpan w:val="2"/>
            <w:shd w:val="clear" w:color="auto" w:fill="CCEEFF"/>
          </w:tcPr>
          <w:p>
            <w:pPr>
              <w:jc w:val="right"/>
              <w:ind w:right="100"/>
              <w:spacing w:after="0" w:line="135" w:lineRule="exact"/>
              <w:rPr>
                <w:sz w:val="20"/>
                <w:szCs w:val="20"/>
                <w:color w:val="auto"/>
              </w:rPr>
            </w:pPr>
            <w:r>
              <w:rPr>
                <w:rFonts w:ascii="Arial" w:cs="Arial" w:eastAsia="Arial" w:hAnsi="Arial"/>
                <w:sz w:val="13"/>
                <w:szCs w:val="13"/>
                <w:color w:val="auto"/>
              </w:rPr>
              <w:t>38%</w:t>
            </w:r>
          </w:p>
        </w:tc>
        <w:tc>
          <w:tcPr>
            <w:tcW w:w="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40" w:type="dxa"/>
            <w:vAlign w:val="bottom"/>
            <w:gridSpan w:val="2"/>
            <w:shd w:val="clear" w:color="auto" w:fill="CCEEFF"/>
          </w:tcPr>
          <w:p>
            <w:pPr>
              <w:jc w:val="right"/>
              <w:ind w:right="100"/>
              <w:spacing w:after="0" w:line="135" w:lineRule="exact"/>
              <w:rPr>
                <w:sz w:val="20"/>
                <w:szCs w:val="20"/>
                <w:color w:val="auto"/>
              </w:rPr>
            </w:pPr>
            <w:r>
              <w:rPr>
                <w:rFonts w:ascii="Arial" w:cs="Arial" w:eastAsia="Arial" w:hAnsi="Arial"/>
                <w:sz w:val="13"/>
                <w:szCs w:val="13"/>
                <w:color w:val="auto"/>
              </w:rPr>
              <w:t>38%</w:t>
            </w:r>
          </w:p>
        </w:tc>
        <w:tc>
          <w:tcPr>
            <w:tcW w:w="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60" w:type="dxa"/>
            <w:vAlign w:val="bottom"/>
            <w:gridSpan w:val="2"/>
            <w:shd w:val="clear" w:color="auto" w:fill="CCEEFF"/>
          </w:tcPr>
          <w:p>
            <w:pPr>
              <w:jc w:val="right"/>
              <w:ind w:right="100"/>
              <w:spacing w:after="0" w:line="135" w:lineRule="exact"/>
              <w:rPr>
                <w:sz w:val="20"/>
                <w:szCs w:val="20"/>
                <w:color w:val="auto"/>
              </w:rPr>
            </w:pPr>
            <w:r>
              <w:rPr>
                <w:rFonts w:ascii="Arial" w:cs="Arial" w:eastAsia="Arial" w:hAnsi="Arial"/>
                <w:sz w:val="13"/>
                <w:szCs w:val="13"/>
                <w:color w:val="auto"/>
              </w:rPr>
              <w:t>48%</w:t>
            </w:r>
          </w:p>
        </w:tc>
        <w:tc>
          <w:tcPr>
            <w:tcW w:w="760" w:type="dxa"/>
            <w:vAlign w:val="bottom"/>
            <w:gridSpan w:val="3"/>
            <w:shd w:val="clear" w:color="auto" w:fill="CCEEFF"/>
          </w:tcPr>
          <w:p>
            <w:pPr>
              <w:jc w:val="right"/>
              <w:ind w:right="160"/>
              <w:spacing w:after="0" w:line="135" w:lineRule="exact"/>
              <w:rPr>
                <w:sz w:val="20"/>
                <w:szCs w:val="20"/>
                <w:color w:val="auto"/>
              </w:rPr>
            </w:pPr>
            <w:r>
              <w:rPr>
                <w:rFonts w:ascii="Arial" w:cs="Arial" w:eastAsia="Arial" w:hAnsi="Arial"/>
                <w:sz w:val="13"/>
                <w:szCs w:val="13"/>
                <w:color w:val="auto"/>
              </w:rPr>
              <w:t>50%</w:t>
            </w:r>
          </w:p>
        </w:tc>
        <w:tc>
          <w:tcPr>
            <w:tcW w:w="80" w:type="dxa"/>
            <w:vAlign w:val="bottom"/>
            <w:shd w:val="clear" w:color="auto" w:fill="CCEEFF"/>
          </w:tcPr>
          <w:p>
            <w:pPr>
              <w:spacing w:after="0"/>
              <w:rPr>
                <w:sz w:val="11"/>
                <w:szCs w:val="11"/>
                <w:color w:val="auto"/>
              </w:rPr>
            </w:pPr>
          </w:p>
        </w:tc>
        <w:tc>
          <w:tcPr>
            <w:tcW w:w="640" w:type="dxa"/>
            <w:vAlign w:val="bottom"/>
            <w:gridSpan w:val="2"/>
            <w:shd w:val="clear" w:color="auto" w:fill="CCEEFF"/>
          </w:tcPr>
          <w:p>
            <w:pPr>
              <w:jc w:val="right"/>
              <w:ind w:right="140"/>
              <w:spacing w:after="0" w:line="135" w:lineRule="exact"/>
              <w:rPr>
                <w:sz w:val="20"/>
                <w:szCs w:val="20"/>
                <w:color w:val="auto"/>
              </w:rPr>
            </w:pPr>
            <w:r>
              <w:rPr>
                <w:rFonts w:ascii="Arial" w:cs="Arial" w:eastAsia="Arial" w:hAnsi="Arial"/>
                <w:sz w:val="13"/>
                <w:szCs w:val="13"/>
                <w:color w:val="auto"/>
              </w:rPr>
              <w:t>46%</w:t>
            </w:r>
          </w:p>
        </w:tc>
        <w:tc>
          <w:tcPr>
            <w:tcW w:w="120" w:type="dxa"/>
            <w:vAlign w:val="bottom"/>
            <w:shd w:val="clear" w:color="auto" w:fill="CCEEFF"/>
          </w:tcPr>
          <w:p>
            <w:pPr>
              <w:spacing w:after="0"/>
              <w:rPr>
                <w:sz w:val="11"/>
                <w:szCs w:val="11"/>
                <w:color w:val="auto"/>
              </w:rPr>
            </w:pPr>
          </w:p>
        </w:tc>
        <w:tc>
          <w:tcPr>
            <w:tcW w:w="780" w:type="dxa"/>
            <w:vAlign w:val="bottom"/>
            <w:gridSpan w:val="2"/>
            <w:shd w:val="clear" w:color="auto" w:fill="CCEEFF"/>
          </w:tcPr>
          <w:p>
            <w:pPr>
              <w:jc w:val="right"/>
              <w:ind w:right="160"/>
              <w:spacing w:after="0" w:line="135" w:lineRule="exact"/>
              <w:rPr>
                <w:sz w:val="20"/>
                <w:szCs w:val="20"/>
                <w:color w:val="auto"/>
              </w:rPr>
            </w:pPr>
            <w:r>
              <w:rPr>
                <w:rFonts w:ascii="Arial" w:cs="Arial" w:eastAsia="Arial" w:hAnsi="Arial"/>
                <w:sz w:val="13"/>
                <w:szCs w:val="13"/>
                <w:color w:val="auto"/>
              </w:rPr>
              <w:t>46%</w:t>
            </w:r>
          </w:p>
        </w:tc>
        <w:tc>
          <w:tcPr>
            <w:tcW w:w="100" w:type="dxa"/>
            <w:vAlign w:val="bottom"/>
            <w:shd w:val="clear" w:color="auto" w:fill="CCEEFF"/>
          </w:tcPr>
          <w:p>
            <w:pPr>
              <w:spacing w:after="0"/>
              <w:rPr>
                <w:sz w:val="11"/>
                <w:szCs w:val="11"/>
                <w:color w:val="auto"/>
              </w:rPr>
            </w:pPr>
          </w:p>
        </w:tc>
        <w:tc>
          <w:tcPr>
            <w:tcW w:w="920" w:type="dxa"/>
            <w:vAlign w:val="bottom"/>
            <w:tcBorders>
              <w:right w:val="single" w:sz="8" w:color="auto"/>
            </w:tcBorders>
            <w:gridSpan w:val="2"/>
            <w:shd w:val="clear" w:color="auto" w:fill="CCEEFF"/>
          </w:tcPr>
          <w:p>
            <w:pPr>
              <w:jc w:val="right"/>
              <w:ind w:right="260"/>
              <w:spacing w:after="0" w:line="135" w:lineRule="exact"/>
              <w:rPr>
                <w:sz w:val="20"/>
                <w:szCs w:val="20"/>
                <w:color w:val="auto"/>
              </w:rPr>
            </w:pPr>
            <w:r>
              <w:rPr>
                <w:rFonts w:ascii="Arial" w:cs="Arial" w:eastAsia="Arial" w:hAnsi="Arial"/>
                <w:sz w:val="13"/>
                <w:szCs w:val="13"/>
                <w:color w:val="auto"/>
              </w:rPr>
              <w:t>47%</w:t>
            </w:r>
          </w:p>
        </w:tc>
        <w:tc>
          <w:tcPr>
            <w:tcW w:w="1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80" w:type="dxa"/>
            <w:vAlign w:val="bottom"/>
            <w:gridSpan w:val="2"/>
            <w:shd w:val="clear" w:color="auto" w:fill="CCEEFF"/>
          </w:tcPr>
          <w:p>
            <w:pPr>
              <w:jc w:val="right"/>
              <w:ind w:right="80"/>
              <w:spacing w:after="0" w:line="135" w:lineRule="exact"/>
              <w:rPr>
                <w:sz w:val="20"/>
                <w:szCs w:val="20"/>
                <w:color w:val="auto"/>
              </w:rPr>
            </w:pPr>
            <w:r>
              <w:rPr>
                <w:rFonts w:ascii="Arial" w:cs="Arial" w:eastAsia="Arial" w:hAnsi="Arial"/>
                <w:sz w:val="13"/>
                <w:szCs w:val="13"/>
                <w:color w:val="auto"/>
              </w:rPr>
              <w:t>54%</w:t>
            </w: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80" w:type="dxa"/>
            <w:vAlign w:val="bottom"/>
            <w:gridSpan w:val="2"/>
            <w:shd w:val="clear" w:color="auto" w:fill="CCEEFF"/>
          </w:tcPr>
          <w:p>
            <w:pPr>
              <w:jc w:val="right"/>
              <w:ind w:right="120"/>
              <w:spacing w:after="0" w:line="135" w:lineRule="exact"/>
              <w:rPr>
                <w:sz w:val="20"/>
                <w:szCs w:val="20"/>
                <w:color w:val="auto"/>
              </w:rPr>
            </w:pPr>
            <w:r>
              <w:rPr>
                <w:rFonts w:ascii="Arial" w:cs="Arial" w:eastAsia="Arial" w:hAnsi="Arial"/>
                <w:sz w:val="13"/>
                <w:szCs w:val="13"/>
                <w:color w:val="auto"/>
              </w:rPr>
              <w:t>55%</w:t>
            </w:r>
          </w:p>
        </w:tc>
        <w:tc>
          <w:tcPr>
            <w:tcW w:w="60" w:type="dxa"/>
            <w:vAlign w:val="bottom"/>
            <w:shd w:val="clear" w:color="auto" w:fill="CCEEFF"/>
          </w:tcPr>
          <w:p>
            <w:pPr>
              <w:spacing w:after="0"/>
              <w:rPr>
                <w:sz w:val="11"/>
                <w:szCs w:val="11"/>
                <w:color w:val="auto"/>
              </w:rPr>
            </w:pPr>
          </w:p>
        </w:tc>
        <w:tc>
          <w:tcPr>
            <w:tcW w:w="560" w:type="dxa"/>
            <w:vAlign w:val="bottom"/>
            <w:gridSpan w:val="2"/>
            <w:shd w:val="clear" w:color="auto" w:fill="CCEEFF"/>
          </w:tcPr>
          <w:p>
            <w:pPr>
              <w:jc w:val="right"/>
              <w:ind w:right="60"/>
              <w:spacing w:after="0" w:line="135" w:lineRule="exact"/>
              <w:rPr>
                <w:sz w:val="20"/>
                <w:szCs w:val="20"/>
                <w:color w:val="auto"/>
              </w:rPr>
            </w:pPr>
            <w:r>
              <w:rPr>
                <w:rFonts w:ascii="Arial" w:cs="Arial" w:eastAsia="Arial" w:hAnsi="Arial"/>
                <w:sz w:val="13"/>
                <w:szCs w:val="13"/>
                <w:color w:val="auto"/>
              </w:rPr>
              <w:t>48%</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85725</wp:posOffset>
            </wp:positionV>
            <wp:extent cx="771525" cy="825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55" w:lineRule="exact"/>
        <w:rPr>
          <w:sz w:val="20"/>
          <w:szCs w:val="20"/>
          <w:color w:val="auto"/>
        </w:rPr>
      </w:pPr>
    </w:p>
    <w:p>
      <w:pPr>
        <w:ind w:left="540" w:hanging="424"/>
        <w:spacing w:after="0"/>
        <w:tabs>
          <w:tab w:leader="none" w:pos="540" w:val="left"/>
        </w:tabs>
        <w:numPr>
          <w:ilvl w:val="0"/>
          <w:numId w:val="83"/>
        </w:numPr>
        <w:rPr>
          <w:rFonts w:ascii="Arial" w:cs="Arial" w:eastAsia="Arial" w:hAnsi="Arial"/>
          <w:sz w:val="18"/>
          <w:szCs w:val="18"/>
          <w:color w:val="auto"/>
        </w:rPr>
      </w:pPr>
      <w:r>
        <w:rPr>
          <w:rFonts w:ascii="Arial" w:cs="Arial" w:eastAsia="Arial" w:hAnsi="Arial"/>
          <w:sz w:val="18"/>
          <w:szCs w:val="18"/>
          <w:color w:val="auto"/>
        </w:rPr>
        <w:t>Primarily represents foreign exchange remeasurement gains and losses.</w:t>
      </w:r>
    </w:p>
    <w:p>
      <w:pPr>
        <w:spacing w:after="0" w:line="23" w:lineRule="exact"/>
        <w:rPr>
          <w:rFonts w:ascii="Arial" w:cs="Arial" w:eastAsia="Arial" w:hAnsi="Arial"/>
          <w:sz w:val="18"/>
          <w:szCs w:val="18"/>
          <w:color w:val="auto"/>
        </w:rPr>
      </w:pPr>
    </w:p>
    <w:p>
      <w:pPr>
        <w:ind w:left="540" w:right="520" w:hanging="424"/>
        <w:spacing w:after="0" w:line="250" w:lineRule="auto"/>
        <w:tabs>
          <w:tab w:leader="none" w:pos="540" w:val="left"/>
        </w:tabs>
        <w:numPr>
          <w:ilvl w:val="0"/>
          <w:numId w:val="83"/>
        </w:numPr>
        <w:rPr>
          <w:rFonts w:ascii="Arial" w:cs="Arial" w:eastAsia="Arial" w:hAnsi="Arial"/>
          <w:sz w:val="18"/>
          <w:szCs w:val="18"/>
          <w:color w:val="auto"/>
        </w:rPr>
      </w:pPr>
      <w:r>
        <w:rPr>
          <w:rFonts w:ascii="Arial" w:cs="Arial" w:eastAsia="Arial" w:hAnsi="Arial"/>
          <w:sz w:val="18"/>
          <w:szCs w:val="18"/>
          <w:color w:val="auto"/>
        </w:rPr>
        <w:t>Stock-based compensation represents non-cash compensation expense recognized in association with equity awards made to employees and directors.</w:t>
      </w:r>
    </w:p>
    <w:p>
      <w:pPr>
        <w:ind w:left="540" w:right="80" w:hanging="424"/>
        <w:spacing w:after="0" w:line="281" w:lineRule="auto"/>
        <w:tabs>
          <w:tab w:leader="none" w:pos="540" w:val="left"/>
        </w:tabs>
        <w:numPr>
          <w:ilvl w:val="0"/>
          <w:numId w:val="83"/>
        </w:numPr>
        <w:rPr>
          <w:rFonts w:ascii="Arial" w:cs="Arial" w:eastAsia="Arial" w:hAnsi="Arial"/>
          <w:sz w:val="16"/>
          <w:szCs w:val="16"/>
          <w:color w:val="auto"/>
        </w:rPr>
      </w:pPr>
      <w:r>
        <w:rPr>
          <w:rFonts w:ascii="Arial" w:cs="Arial" w:eastAsia="Arial" w:hAnsi="Arial"/>
          <w:sz w:val="16"/>
          <w:szCs w:val="16"/>
          <w:color w:val="auto"/>
        </w:rPr>
        <w:t>Acquisition related expenses primarily represent legal, accounting, consulting expenses related to our acquisitions and changes in the fair value of contingent consideration. For the three months ended December 31, 2020 the amount included contingent consideration of $2.6 million. For the three months ended June 30, 2021, the amount included $3.4 million related the changes in the fair value of contingent consideration.</w:t>
      </w:r>
    </w:p>
    <w:p>
      <w:pPr>
        <w:spacing w:after="0" w:line="1" w:lineRule="exact"/>
        <w:rPr>
          <w:rFonts w:ascii="Arial" w:cs="Arial" w:eastAsia="Arial" w:hAnsi="Arial"/>
          <w:sz w:val="16"/>
          <w:szCs w:val="16"/>
          <w:color w:val="auto"/>
        </w:rPr>
      </w:pPr>
    </w:p>
    <w:p>
      <w:pPr>
        <w:ind w:left="540" w:right="20" w:hanging="424"/>
        <w:spacing w:after="0" w:line="281" w:lineRule="auto"/>
        <w:tabs>
          <w:tab w:leader="none" w:pos="540" w:val="left"/>
        </w:tabs>
        <w:numPr>
          <w:ilvl w:val="0"/>
          <w:numId w:val="83"/>
        </w:numPr>
        <w:rPr>
          <w:rFonts w:ascii="Arial" w:cs="Arial" w:eastAsia="Arial" w:hAnsi="Arial"/>
          <w:sz w:val="16"/>
          <w:szCs w:val="16"/>
          <w:color w:val="auto"/>
        </w:rPr>
      </w:pPr>
      <w:r>
        <w:rPr>
          <w:rFonts w:ascii="Arial" w:cs="Arial" w:eastAsia="Arial" w:hAnsi="Arial"/>
          <w:sz w:val="16"/>
          <w:szCs w:val="16"/>
          <w:color w:val="auto"/>
        </w:rPr>
        <w:t>Non-recurring items represent expenses that are typically one-time or non-operational in nature. One-time expenses are comprised primarily of the following items: a pricing study initiated by our sponsors and professional fees for the preparation for our IPO in the quarters ended June 30, 2021 and March 31, 2021 and the year ended December 31, 2020, a sales-tax voluntary disclosure agreement in the period from July 16, 2019 to December 31, 2019 and the costs of exiting certain contracts assumed as part of an acquisition in the period from January 1, 2019 to July 15, 2019.</w:t>
      </w:r>
    </w:p>
    <w:p>
      <w:pPr>
        <w:spacing w:after="0" w:line="2" w:lineRule="exact"/>
        <w:rPr>
          <w:rFonts w:ascii="Arial" w:cs="Arial" w:eastAsia="Arial" w:hAnsi="Arial"/>
          <w:sz w:val="16"/>
          <w:szCs w:val="16"/>
          <w:color w:val="auto"/>
        </w:rPr>
      </w:pPr>
    </w:p>
    <w:p>
      <w:pPr>
        <w:ind w:left="540" w:hanging="424"/>
        <w:spacing w:after="0"/>
        <w:tabs>
          <w:tab w:leader="none" w:pos="540" w:val="left"/>
        </w:tabs>
        <w:numPr>
          <w:ilvl w:val="0"/>
          <w:numId w:val="83"/>
        </w:numPr>
        <w:rPr>
          <w:rFonts w:ascii="Arial" w:cs="Arial" w:eastAsia="Arial" w:hAnsi="Arial"/>
          <w:sz w:val="18"/>
          <w:szCs w:val="18"/>
          <w:color w:val="auto"/>
        </w:rPr>
      </w:pPr>
      <w:r>
        <w:rPr>
          <w:rFonts w:ascii="Arial" w:cs="Arial" w:eastAsia="Arial" w:hAnsi="Arial"/>
          <w:sz w:val="18"/>
          <w:szCs w:val="18"/>
          <w:color w:val="auto"/>
        </w:rPr>
        <w:t>Net (loss) income margin is defined as net (loss) income as a percentage of revenue for the applicable period.</w:t>
      </w:r>
    </w:p>
    <w:p>
      <w:pPr>
        <w:spacing w:after="0" w:line="31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Adjusted Operating Income (Loss)</w:t>
      </w:r>
    </w:p>
    <w:p>
      <w:pPr>
        <w:spacing w:after="0" w:line="253" w:lineRule="exact"/>
        <w:rPr>
          <w:sz w:val="20"/>
          <w:szCs w:val="20"/>
          <w:color w:val="auto"/>
        </w:rPr>
      </w:pPr>
    </w:p>
    <w:tbl>
      <w:tblPr>
        <w:tblLayout w:type="fixed"/>
        <w:tblInd w:w="120" w:type="dxa"/>
        <w:tblCellMar>
          <w:top w:w="0" w:type="dxa"/>
          <w:left w:w="0" w:type="dxa"/>
          <w:bottom w:w="0" w:type="dxa"/>
          <w:right w:w="0" w:type="dxa"/>
        </w:tblCellMar>
      </w:tblPr>
      <w:tr>
        <w:trPr>
          <w:trHeight w:val="135"/>
        </w:trPr>
        <w:tc>
          <w:tcPr>
            <w:tcW w:w="25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6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48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4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1300" w:type="dxa"/>
            <w:vAlign w:val="bottom"/>
            <w:tcBorders>
              <w:bottom w:val="single" w:sz="8" w:color="auto"/>
            </w:tcBorders>
            <w:gridSpan w:val="4"/>
          </w:tcPr>
          <w:p>
            <w:pPr>
              <w:ind w:left="440"/>
              <w:spacing w:after="0"/>
              <w:rPr>
                <w:sz w:val="20"/>
                <w:szCs w:val="20"/>
                <w:color w:val="auto"/>
              </w:rPr>
            </w:pPr>
            <w:r>
              <w:rPr>
                <w:rFonts w:ascii="Arial" w:cs="Arial" w:eastAsia="Arial" w:hAnsi="Arial"/>
                <w:sz w:val="11"/>
                <w:szCs w:val="11"/>
                <w:b w:val="1"/>
                <w:bCs w:val="1"/>
                <w:color w:val="auto"/>
              </w:rPr>
              <w:t>Successor</w:t>
            </w:r>
          </w:p>
        </w:tc>
        <w:tc>
          <w:tcPr>
            <w:tcW w:w="80" w:type="dxa"/>
            <w:vAlign w:val="bottom"/>
            <w:tcBorders>
              <w:bottom w:val="single" w:sz="8" w:color="auto"/>
            </w:tcBorders>
          </w:tcPr>
          <w:p>
            <w:pPr>
              <w:spacing w:after="0"/>
              <w:rPr>
                <w:sz w:val="11"/>
                <w:szCs w:val="11"/>
                <w:color w:val="auto"/>
              </w:rPr>
            </w:pPr>
          </w:p>
        </w:tc>
        <w:tc>
          <w:tcPr>
            <w:tcW w:w="460" w:type="dxa"/>
            <w:vAlign w:val="bottom"/>
            <w:tcBorders>
              <w:bottom w:val="single" w:sz="8" w:color="auto"/>
            </w:tcBorders>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2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60" w:type="dxa"/>
            <w:vAlign w:val="bottom"/>
            <w:tcBorders>
              <w:bottom w:val="single" w:sz="8" w:color="auto"/>
            </w:tcBorders>
          </w:tcPr>
          <w:p>
            <w:pPr>
              <w:spacing w:after="0"/>
              <w:rPr>
                <w:sz w:val="11"/>
                <w:szCs w:val="11"/>
                <w:color w:val="auto"/>
              </w:rPr>
            </w:pPr>
          </w:p>
        </w:tc>
        <w:tc>
          <w:tcPr>
            <w:tcW w:w="320" w:type="dxa"/>
            <w:vAlign w:val="bottom"/>
            <w:tcBorders>
              <w:right w:val="single" w:sz="8" w:color="auto"/>
            </w:tcBorders>
          </w:tcPr>
          <w:p>
            <w:pPr>
              <w:spacing w:after="0"/>
              <w:rPr>
                <w:sz w:val="11"/>
                <w:szCs w:val="11"/>
                <w:color w:val="auto"/>
              </w:rPr>
            </w:pPr>
          </w:p>
        </w:tc>
        <w:tc>
          <w:tcPr>
            <w:tcW w:w="220" w:type="dxa"/>
            <w:vAlign w:val="bottom"/>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32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680" w:type="dxa"/>
            <w:vAlign w:val="bottom"/>
            <w:tcBorders>
              <w:bottom w:val="single" w:sz="8" w:color="auto"/>
            </w:tcBorders>
            <w:gridSpan w:val="4"/>
          </w:tcPr>
          <w:p>
            <w:pPr>
              <w:ind w:left="60"/>
              <w:spacing w:after="0"/>
              <w:rPr>
                <w:sz w:val="20"/>
                <w:szCs w:val="20"/>
                <w:color w:val="auto"/>
              </w:rPr>
            </w:pPr>
            <w:r>
              <w:rPr>
                <w:rFonts w:ascii="Arial" w:cs="Arial" w:eastAsia="Arial" w:hAnsi="Arial"/>
                <w:sz w:val="11"/>
                <w:szCs w:val="11"/>
                <w:b w:val="1"/>
                <w:bCs w:val="1"/>
                <w:color w:val="auto"/>
                <w:w w:val="90"/>
              </w:rPr>
              <w:t>Predecessor</w:t>
            </w:r>
          </w:p>
        </w:tc>
        <w:tc>
          <w:tcPr>
            <w:tcW w:w="60" w:type="dxa"/>
            <w:vAlign w:val="bottom"/>
            <w:tcBorders>
              <w:bottom w:val="single" w:sz="8" w:color="auto"/>
            </w:tcBorders>
          </w:tcPr>
          <w:p>
            <w:pPr>
              <w:spacing w:after="0"/>
              <w:rPr>
                <w:sz w:val="11"/>
                <w:szCs w:val="11"/>
                <w:color w:val="auto"/>
              </w:rPr>
            </w:pPr>
          </w:p>
        </w:tc>
        <w:tc>
          <w:tcPr>
            <w:tcW w:w="420" w:type="dxa"/>
            <w:vAlign w:val="bottom"/>
            <w:tcBorders>
              <w:bottom w:val="single" w:sz="8" w:color="auto"/>
            </w:tcBorders>
          </w:tcPr>
          <w:p>
            <w:pPr>
              <w:spacing w:after="0"/>
              <w:rPr>
                <w:sz w:val="11"/>
                <w:szCs w:val="11"/>
                <w:color w:val="auto"/>
              </w:rPr>
            </w:pPr>
          </w:p>
        </w:tc>
        <w:tc>
          <w:tcPr>
            <w:tcW w:w="40" w:type="dxa"/>
            <w:vAlign w:val="bottom"/>
          </w:tcPr>
          <w:p>
            <w:pPr>
              <w:spacing w:after="0"/>
              <w:rPr>
                <w:sz w:val="11"/>
                <w:szCs w:val="11"/>
                <w:color w:val="auto"/>
              </w:rPr>
            </w:pPr>
          </w:p>
        </w:tc>
      </w:tr>
      <w:tr>
        <w:trPr>
          <w:trHeight w:val="101"/>
        </w:trPr>
        <w:tc>
          <w:tcPr>
            <w:tcW w:w="2500" w:type="dxa"/>
            <w:vAlign w:val="bottom"/>
          </w:tcPr>
          <w:p>
            <w:pPr>
              <w:spacing w:after="0"/>
              <w:rPr>
                <w:sz w:val="8"/>
                <w:szCs w:val="8"/>
                <w:color w:val="auto"/>
              </w:rPr>
            </w:pPr>
          </w:p>
        </w:tc>
        <w:tc>
          <w:tcPr>
            <w:tcW w:w="580" w:type="dxa"/>
            <w:vAlign w:val="bottom"/>
          </w:tcPr>
          <w:p>
            <w:pPr>
              <w:spacing w:after="0"/>
              <w:rPr>
                <w:sz w:val="8"/>
                <w:szCs w:val="8"/>
                <w:color w:val="auto"/>
              </w:rPr>
            </w:pPr>
          </w:p>
        </w:tc>
        <w:tc>
          <w:tcPr>
            <w:tcW w:w="46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 w:type="dxa"/>
            <w:vAlign w:val="bottom"/>
          </w:tcPr>
          <w:p>
            <w:pPr>
              <w:spacing w:after="0"/>
              <w:rPr>
                <w:sz w:val="8"/>
                <w:szCs w:val="8"/>
                <w:color w:val="auto"/>
              </w:rPr>
            </w:pPr>
          </w:p>
        </w:tc>
        <w:tc>
          <w:tcPr>
            <w:tcW w:w="480" w:type="dxa"/>
            <w:vAlign w:val="bottom"/>
          </w:tcPr>
          <w:p>
            <w:pPr>
              <w:spacing w:after="0"/>
              <w:rPr>
                <w:sz w:val="8"/>
                <w:szCs w:val="8"/>
                <w:color w:val="auto"/>
              </w:rPr>
            </w:pPr>
          </w:p>
        </w:tc>
        <w:tc>
          <w:tcPr>
            <w:tcW w:w="120" w:type="dxa"/>
            <w:vAlign w:val="bottom"/>
          </w:tcPr>
          <w:p>
            <w:pPr>
              <w:spacing w:after="0"/>
              <w:rPr>
                <w:sz w:val="8"/>
                <w:szCs w:val="8"/>
                <w:color w:val="auto"/>
              </w:rPr>
            </w:pPr>
          </w:p>
        </w:tc>
        <w:tc>
          <w:tcPr>
            <w:tcW w:w="60" w:type="dxa"/>
            <w:vAlign w:val="bottom"/>
          </w:tcPr>
          <w:p>
            <w:pPr>
              <w:spacing w:after="0"/>
              <w:rPr>
                <w:sz w:val="8"/>
                <w:szCs w:val="8"/>
                <w:color w:val="auto"/>
              </w:rPr>
            </w:pPr>
          </w:p>
        </w:tc>
        <w:tc>
          <w:tcPr>
            <w:tcW w:w="100" w:type="dxa"/>
            <w:vAlign w:val="bottom"/>
          </w:tcPr>
          <w:p>
            <w:pPr>
              <w:spacing w:after="0"/>
              <w:rPr>
                <w:sz w:val="8"/>
                <w:szCs w:val="8"/>
                <w:color w:val="auto"/>
              </w:rPr>
            </w:pPr>
          </w:p>
        </w:tc>
        <w:tc>
          <w:tcPr>
            <w:tcW w:w="54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 w:type="dxa"/>
            <w:vAlign w:val="bottom"/>
          </w:tcPr>
          <w:p>
            <w:pPr>
              <w:spacing w:after="0"/>
              <w:rPr>
                <w:sz w:val="8"/>
                <w:szCs w:val="8"/>
                <w:color w:val="auto"/>
              </w:rPr>
            </w:pPr>
          </w:p>
        </w:tc>
        <w:tc>
          <w:tcPr>
            <w:tcW w:w="120" w:type="dxa"/>
            <w:vAlign w:val="bottom"/>
          </w:tcPr>
          <w:p>
            <w:pPr>
              <w:spacing w:after="0"/>
              <w:rPr>
                <w:sz w:val="8"/>
                <w:szCs w:val="8"/>
                <w:color w:val="auto"/>
              </w:rPr>
            </w:pPr>
          </w:p>
        </w:tc>
        <w:tc>
          <w:tcPr>
            <w:tcW w:w="540" w:type="dxa"/>
            <w:vAlign w:val="bottom"/>
          </w:tcPr>
          <w:p>
            <w:pPr>
              <w:spacing w:after="0"/>
              <w:rPr>
                <w:sz w:val="8"/>
                <w:szCs w:val="8"/>
                <w:color w:val="auto"/>
              </w:rPr>
            </w:pPr>
          </w:p>
        </w:tc>
        <w:tc>
          <w:tcPr>
            <w:tcW w:w="200" w:type="dxa"/>
            <w:vAlign w:val="bottom"/>
          </w:tcPr>
          <w:p>
            <w:pPr>
              <w:spacing w:after="0"/>
              <w:rPr>
                <w:sz w:val="8"/>
                <w:szCs w:val="8"/>
                <w:color w:val="auto"/>
              </w:rPr>
            </w:pPr>
          </w:p>
        </w:tc>
        <w:tc>
          <w:tcPr>
            <w:tcW w:w="440" w:type="dxa"/>
            <w:vAlign w:val="bottom"/>
          </w:tcPr>
          <w:p>
            <w:pPr>
              <w:spacing w:after="0"/>
              <w:rPr>
                <w:sz w:val="8"/>
                <w:szCs w:val="8"/>
                <w:color w:val="auto"/>
              </w:rPr>
            </w:pPr>
          </w:p>
        </w:tc>
        <w:tc>
          <w:tcPr>
            <w:tcW w:w="120" w:type="dxa"/>
            <w:vAlign w:val="bottom"/>
          </w:tcPr>
          <w:p>
            <w:pPr>
              <w:spacing w:after="0"/>
              <w:rPr>
                <w:sz w:val="8"/>
                <w:szCs w:val="8"/>
                <w:color w:val="auto"/>
              </w:rPr>
            </w:pPr>
          </w:p>
        </w:tc>
        <w:tc>
          <w:tcPr>
            <w:tcW w:w="80" w:type="dxa"/>
            <w:vAlign w:val="bottom"/>
          </w:tcPr>
          <w:p>
            <w:pPr>
              <w:spacing w:after="0"/>
              <w:rPr>
                <w:sz w:val="8"/>
                <w:szCs w:val="8"/>
                <w:color w:val="auto"/>
              </w:rPr>
            </w:pPr>
          </w:p>
        </w:tc>
        <w:tc>
          <w:tcPr>
            <w:tcW w:w="460" w:type="dxa"/>
            <w:vAlign w:val="bottom"/>
          </w:tcPr>
          <w:p>
            <w:pPr>
              <w:spacing w:after="0"/>
              <w:rPr>
                <w:sz w:val="8"/>
                <w:szCs w:val="8"/>
                <w:color w:val="auto"/>
              </w:rPr>
            </w:pPr>
          </w:p>
        </w:tc>
        <w:tc>
          <w:tcPr>
            <w:tcW w:w="2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20" w:type="dxa"/>
            <w:vAlign w:val="bottom"/>
          </w:tcPr>
          <w:p>
            <w:pPr>
              <w:spacing w:after="0"/>
              <w:rPr>
                <w:sz w:val="8"/>
                <w:szCs w:val="8"/>
                <w:color w:val="auto"/>
              </w:rPr>
            </w:pPr>
          </w:p>
        </w:tc>
        <w:tc>
          <w:tcPr>
            <w:tcW w:w="120" w:type="dxa"/>
            <w:vAlign w:val="bottom"/>
          </w:tcPr>
          <w:p>
            <w:pPr>
              <w:spacing w:after="0"/>
              <w:rPr>
                <w:sz w:val="8"/>
                <w:szCs w:val="8"/>
                <w:color w:val="auto"/>
              </w:rPr>
            </w:pPr>
          </w:p>
        </w:tc>
        <w:tc>
          <w:tcPr>
            <w:tcW w:w="8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jc w:val="center"/>
              <w:ind w:right="79"/>
              <w:spacing w:after="0" w:line="102" w:lineRule="exact"/>
              <w:rPr>
                <w:sz w:val="20"/>
                <w:szCs w:val="20"/>
                <w:color w:val="auto"/>
              </w:rPr>
            </w:pPr>
            <w:r>
              <w:rPr>
                <w:rFonts w:ascii="Arial" w:cs="Arial" w:eastAsia="Arial" w:hAnsi="Arial"/>
                <w:sz w:val="11"/>
                <w:szCs w:val="11"/>
                <w:b w:val="1"/>
                <w:bCs w:val="1"/>
                <w:color w:val="auto"/>
                <w:w w:val="87"/>
              </w:rPr>
              <w:t>Period</w:t>
            </w:r>
          </w:p>
        </w:tc>
        <w:tc>
          <w:tcPr>
            <w:tcW w:w="320" w:type="dxa"/>
            <w:vAlign w:val="bottom"/>
            <w:tcBorders>
              <w:right w:val="single" w:sz="8" w:color="auto"/>
            </w:tcBorders>
          </w:tcPr>
          <w:p>
            <w:pPr>
              <w:spacing w:after="0"/>
              <w:rPr>
                <w:sz w:val="8"/>
                <w:szCs w:val="8"/>
                <w:color w:val="auto"/>
              </w:rPr>
            </w:pPr>
          </w:p>
        </w:tc>
        <w:tc>
          <w:tcPr>
            <w:tcW w:w="220" w:type="dxa"/>
            <w:vAlign w:val="bottom"/>
          </w:tcPr>
          <w:p>
            <w:pPr>
              <w:spacing w:after="0"/>
              <w:rPr>
                <w:sz w:val="8"/>
                <w:szCs w:val="8"/>
                <w:color w:val="auto"/>
              </w:rPr>
            </w:pPr>
          </w:p>
        </w:tc>
        <w:tc>
          <w:tcPr>
            <w:tcW w:w="480" w:type="dxa"/>
            <w:vAlign w:val="bottom"/>
            <w:gridSpan w:val="3"/>
          </w:tcPr>
          <w:p>
            <w:pPr>
              <w:jc w:val="center"/>
              <w:ind w:right="140"/>
              <w:spacing w:after="0" w:line="102" w:lineRule="exact"/>
              <w:rPr>
                <w:sz w:val="20"/>
                <w:szCs w:val="20"/>
                <w:color w:val="auto"/>
              </w:rPr>
            </w:pPr>
            <w:r>
              <w:rPr>
                <w:rFonts w:ascii="Arial" w:cs="Arial" w:eastAsia="Arial" w:hAnsi="Arial"/>
                <w:sz w:val="11"/>
                <w:szCs w:val="11"/>
                <w:b w:val="1"/>
                <w:bCs w:val="1"/>
                <w:color w:val="auto"/>
                <w:w w:val="87"/>
              </w:rPr>
              <w:t>Period</w:t>
            </w: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80" w:type="dxa"/>
            <w:vAlign w:val="bottom"/>
          </w:tcPr>
          <w:p>
            <w:pPr>
              <w:spacing w:after="0"/>
              <w:rPr>
                <w:sz w:val="8"/>
                <w:szCs w:val="8"/>
                <w:color w:val="auto"/>
              </w:rPr>
            </w:pPr>
          </w:p>
        </w:tc>
        <w:tc>
          <w:tcPr>
            <w:tcW w:w="140" w:type="dxa"/>
            <w:vAlign w:val="bottom"/>
          </w:tcPr>
          <w:p>
            <w:pPr>
              <w:spacing w:after="0"/>
              <w:rPr>
                <w:sz w:val="8"/>
                <w:szCs w:val="8"/>
                <w:color w:val="auto"/>
              </w:rPr>
            </w:pPr>
          </w:p>
        </w:tc>
        <w:tc>
          <w:tcPr>
            <w:tcW w:w="60" w:type="dxa"/>
            <w:vAlign w:val="bottom"/>
          </w:tcPr>
          <w:p>
            <w:pPr>
              <w:spacing w:after="0"/>
              <w:rPr>
                <w:sz w:val="8"/>
                <w:szCs w:val="8"/>
                <w:color w:val="auto"/>
              </w:rPr>
            </w:pPr>
          </w:p>
        </w:tc>
        <w:tc>
          <w:tcPr>
            <w:tcW w:w="420" w:type="dxa"/>
            <w:vAlign w:val="bottom"/>
          </w:tcPr>
          <w:p>
            <w:pPr>
              <w:spacing w:after="0"/>
              <w:rPr>
                <w:sz w:val="8"/>
                <w:szCs w:val="8"/>
                <w:color w:val="auto"/>
              </w:rPr>
            </w:pPr>
          </w:p>
        </w:tc>
        <w:tc>
          <w:tcPr>
            <w:tcW w:w="40" w:type="dxa"/>
            <w:vAlign w:val="bottom"/>
          </w:tcPr>
          <w:p>
            <w:pPr>
              <w:spacing w:after="0"/>
              <w:rPr>
                <w:sz w:val="8"/>
                <w:szCs w:val="8"/>
                <w:color w:val="auto"/>
              </w:rPr>
            </w:pPr>
          </w:p>
        </w:tc>
      </w:tr>
      <w:tr>
        <w:trPr>
          <w:trHeight w:val="122"/>
        </w:trPr>
        <w:tc>
          <w:tcPr>
            <w:tcW w:w="25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80" w:type="dxa"/>
            <w:vAlign w:val="bottom"/>
            <w:tcBorders>
              <w:right w:val="single" w:sz="8" w:color="auto"/>
            </w:tcBorders>
            <w:gridSpan w:val="2"/>
          </w:tcPr>
          <w:p>
            <w:pPr>
              <w:jc w:val="center"/>
              <w:ind w:right="460"/>
              <w:spacing w:after="0" w:line="122" w:lineRule="exact"/>
              <w:rPr>
                <w:sz w:val="20"/>
                <w:szCs w:val="20"/>
                <w:color w:val="auto"/>
              </w:rPr>
            </w:pPr>
            <w:r>
              <w:rPr>
                <w:rFonts w:ascii="Arial" w:cs="Arial" w:eastAsia="Arial" w:hAnsi="Arial"/>
                <w:sz w:val="11"/>
                <w:szCs w:val="11"/>
                <w:b w:val="1"/>
                <w:bCs w:val="1"/>
                <w:color w:val="auto"/>
                <w:w w:val="89"/>
              </w:rPr>
              <w:t>from</w:t>
            </w:r>
          </w:p>
        </w:tc>
        <w:tc>
          <w:tcPr>
            <w:tcW w:w="220" w:type="dxa"/>
            <w:vAlign w:val="bottom"/>
          </w:tcPr>
          <w:p>
            <w:pPr>
              <w:spacing w:after="0"/>
              <w:rPr>
                <w:sz w:val="10"/>
                <w:szCs w:val="10"/>
                <w:color w:val="auto"/>
              </w:rPr>
            </w:pPr>
          </w:p>
        </w:tc>
        <w:tc>
          <w:tcPr>
            <w:tcW w:w="480" w:type="dxa"/>
            <w:vAlign w:val="bottom"/>
            <w:gridSpan w:val="3"/>
          </w:tcPr>
          <w:p>
            <w:pPr>
              <w:jc w:val="center"/>
              <w:ind w:right="140"/>
              <w:spacing w:after="0" w:line="122" w:lineRule="exact"/>
              <w:rPr>
                <w:sz w:val="20"/>
                <w:szCs w:val="20"/>
                <w:color w:val="auto"/>
              </w:rPr>
            </w:pPr>
            <w:r>
              <w:rPr>
                <w:rFonts w:ascii="Arial" w:cs="Arial" w:eastAsia="Arial" w:hAnsi="Arial"/>
                <w:sz w:val="11"/>
                <w:szCs w:val="11"/>
                <w:b w:val="1"/>
                <w:bCs w:val="1"/>
                <w:color w:val="auto"/>
                <w:w w:val="89"/>
              </w:rPr>
              <w:t>from</w:t>
            </w: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60" w:type="dxa"/>
            <w:vAlign w:val="bottom"/>
            <w:gridSpan w:val="2"/>
          </w:tcPr>
          <w:p>
            <w:pPr>
              <w:jc w:val="center"/>
              <w:ind w:right="140"/>
              <w:spacing w:after="0" w:line="122" w:lineRule="exact"/>
              <w:rPr>
                <w:sz w:val="20"/>
                <w:szCs w:val="20"/>
                <w:color w:val="auto"/>
              </w:rPr>
            </w:pPr>
            <w:r>
              <w:rPr>
                <w:rFonts w:ascii="Arial" w:cs="Arial" w:eastAsia="Arial" w:hAnsi="Arial"/>
                <w:sz w:val="11"/>
                <w:szCs w:val="11"/>
                <w:b w:val="1"/>
                <w:bCs w:val="1"/>
                <w:color w:val="auto"/>
                <w:w w:val="93"/>
              </w:rPr>
              <w:t>Three</w:t>
            </w:r>
          </w:p>
        </w:tc>
      </w:tr>
      <w:tr>
        <w:trPr>
          <w:trHeight w:val="121"/>
        </w:trPr>
        <w:tc>
          <w:tcPr>
            <w:tcW w:w="25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560" w:type="dxa"/>
            <w:vAlign w:val="bottom"/>
            <w:gridSpan w:val="2"/>
          </w:tcPr>
          <w:p>
            <w:pPr>
              <w:jc w:val="center"/>
              <w:ind w:right="120"/>
              <w:spacing w:after="0" w:line="122" w:lineRule="exact"/>
              <w:rPr>
                <w:sz w:val="20"/>
                <w:szCs w:val="20"/>
                <w:color w:val="auto"/>
              </w:rPr>
            </w:pPr>
            <w:r>
              <w:rPr>
                <w:rFonts w:ascii="Arial" w:cs="Arial" w:eastAsia="Arial" w:hAnsi="Arial"/>
                <w:sz w:val="11"/>
                <w:szCs w:val="11"/>
                <w:b w:val="1"/>
                <w:bCs w:val="1"/>
                <w:color w:val="auto"/>
                <w:w w:val="93"/>
              </w:rPr>
              <w:t>Three</w:t>
            </w:r>
          </w:p>
        </w:tc>
        <w:tc>
          <w:tcPr>
            <w:tcW w:w="60" w:type="dxa"/>
            <w:vAlign w:val="bottom"/>
          </w:tcPr>
          <w:p>
            <w:pPr>
              <w:spacing w:after="0"/>
              <w:rPr>
                <w:sz w:val="10"/>
                <w:szCs w:val="10"/>
                <w:color w:val="auto"/>
              </w:rPr>
            </w:pPr>
          </w:p>
        </w:tc>
        <w:tc>
          <w:tcPr>
            <w:tcW w:w="600" w:type="dxa"/>
            <w:vAlign w:val="bottom"/>
            <w:gridSpan w:val="2"/>
          </w:tcPr>
          <w:p>
            <w:pPr>
              <w:jc w:val="center"/>
              <w:ind w:right="140"/>
              <w:spacing w:after="0" w:line="122" w:lineRule="exact"/>
              <w:rPr>
                <w:sz w:val="20"/>
                <w:szCs w:val="20"/>
                <w:color w:val="auto"/>
              </w:rPr>
            </w:pPr>
            <w:r>
              <w:rPr>
                <w:rFonts w:ascii="Arial" w:cs="Arial" w:eastAsia="Arial" w:hAnsi="Arial"/>
                <w:sz w:val="11"/>
                <w:szCs w:val="11"/>
                <w:b w:val="1"/>
                <w:bCs w:val="1"/>
                <w:color w:val="auto"/>
                <w:w w:val="86"/>
              </w:rPr>
              <w:t>Three</w:t>
            </w: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40" w:type="dxa"/>
            <w:vAlign w:val="bottom"/>
            <w:gridSpan w:val="2"/>
          </w:tcPr>
          <w:p>
            <w:pPr>
              <w:jc w:val="center"/>
              <w:ind w:right="240"/>
              <w:spacing w:after="0" w:line="122" w:lineRule="exact"/>
              <w:rPr>
                <w:sz w:val="20"/>
                <w:szCs w:val="20"/>
                <w:color w:val="auto"/>
              </w:rPr>
            </w:pPr>
            <w:r>
              <w:rPr>
                <w:rFonts w:ascii="Arial" w:cs="Arial" w:eastAsia="Arial" w:hAnsi="Arial"/>
                <w:sz w:val="11"/>
                <w:szCs w:val="11"/>
                <w:b w:val="1"/>
                <w:bCs w:val="1"/>
                <w:color w:val="auto"/>
                <w:w w:val="93"/>
              </w:rPr>
              <w:t>Three</w:t>
            </w:r>
          </w:p>
        </w:tc>
        <w:tc>
          <w:tcPr>
            <w:tcW w:w="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40" w:type="dxa"/>
            <w:vAlign w:val="bottom"/>
            <w:gridSpan w:val="2"/>
          </w:tcPr>
          <w:p>
            <w:pPr>
              <w:jc w:val="center"/>
              <w:ind w:right="340"/>
              <w:spacing w:after="0" w:line="122" w:lineRule="exact"/>
              <w:rPr>
                <w:sz w:val="20"/>
                <w:szCs w:val="20"/>
                <w:color w:val="auto"/>
              </w:rPr>
            </w:pPr>
            <w:r>
              <w:rPr>
                <w:rFonts w:ascii="Arial" w:cs="Arial" w:eastAsia="Arial" w:hAnsi="Arial"/>
                <w:sz w:val="11"/>
                <w:szCs w:val="11"/>
                <w:b w:val="1"/>
                <w:bCs w:val="1"/>
                <w:color w:val="auto"/>
                <w:w w:val="93"/>
              </w:rPr>
              <w:t>Three</w:t>
            </w:r>
          </w:p>
        </w:tc>
        <w:tc>
          <w:tcPr>
            <w:tcW w:w="560" w:type="dxa"/>
            <w:vAlign w:val="bottom"/>
            <w:gridSpan w:val="2"/>
          </w:tcPr>
          <w:p>
            <w:pPr>
              <w:jc w:val="center"/>
              <w:ind w:right="160"/>
              <w:spacing w:after="0" w:line="122" w:lineRule="exact"/>
              <w:rPr>
                <w:sz w:val="20"/>
                <w:szCs w:val="20"/>
                <w:color w:val="auto"/>
              </w:rPr>
            </w:pPr>
            <w:r>
              <w:rPr>
                <w:rFonts w:ascii="Arial" w:cs="Arial" w:eastAsia="Arial" w:hAnsi="Arial"/>
                <w:sz w:val="11"/>
                <w:szCs w:val="11"/>
                <w:b w:val="1"/>
                <w:bCs w:val="1"/>
                <w:color w:val="auto"/>
                <w:w w:val="93"/>
              </w:rPr>
              <w:t>Three</w:t>
            </w:r>
          </w:p>
        </w:tc>
        <w:tc>
          <w:tcPr>
            <w:tcW w:w="80" w:type="dxa"/>
            <w:vAlign w:val="bottom"/>
          </w:tcPr>
          <w:p>
            <w:pPr>
              <w:spacing w:after="0"/>
              <w:rPr>
                <w:sz w:val="10"/>
                <w:szCs w:val="10"/>
                <w:color w:val="auto"/>
              </w:rPr>
            </w:pPr>
          </w:p>
        </w:tc>
        <w:tc>
          <w:tcPr>
            <w:tcW w:w="660" w:type="dxa"/>
            <w:vAlign w:val="bottom"/>
            <w:gridSpan w:val="2"/>
          </w:tcPr>
          <w:p>
            <w:pPr>
              <w:jc w:val="center"/>
              <w:ind w:right="220"/>
              <w:spacing w:after="0" w:line="122" w:lineRule="exact"/>
              <w:rPr>
                <w:sz w:val="20"/>
                <w:szCs w:val="20"/>
                <w:color w:val="auto"/>
              </w:rPr>
            </w:pPr>
            <w:r>
              <w:rPr>
                <w:rFonts w:ascii="Arial" w:cs="Arial" w:eastAsia="Arial" w:hAnsi="Arial"/>
                <w:sz w:val="11"/>
                <w:szCs w:val="11"/>
                <w:b w:val="1"/>
                <w:bCs w:val="1"/>
                <w:color w:val="auto"/>
                <w:w w:val="93"/>
              </w:rPr>
              <w:t>Three</w:t>
            </w:r>
          </w:p>
        </w:tc>
        <w:tc>
          <w:tcPr>
            <w:tcW w:w="100" w:type="dxa"/>
            <w:vAlign w:val="bottom"/>
          </w:tcPr>
          <w:p>
            <w:pPr>
              <w:spacing w:after="0"/>
              <w:rPr>
                <w:sz w:val="10"/>
                <w:szCs w:val="10"/>
                <w:color w:val="auto"/>
              </w:rPr>
            </w:pPr>
          </w:p>
        </w:tc>
        <w:tc>
          <w:tcPr>
            <w:tcW w:w="640" w:type="dxa"/>
            <w:vAlign w:val="bottom"/>
            <w:gridSpan w:val="2"/>
          </w:tcPr>
          <w:p>
            <w:pPr>
              <w:jc w:val="center"/>
              <w:ind w:right="240"/>
              <w:spacing w:after="0" w:line="122" w:lineRule="exact"/>
              <w:rPr>
                <w:sz w:val="20"/>
                <w:szCs w:val="20"/>
                <w:color w:val="auto"/>
              </w:rPr>
            </w:pPr>
            <w:r>
              <w:rPr>
                <w:rFonts w:ascii="Arial" w:cs="Arial" w:eastAsia="Arial" w:hAnsi="Arial"/>
                <w:sz w:val="11"/>
                <w:szCs w:val="11"/>
                <w:b w:val="1"/>
                <w:bCs w:val="1"/>
                <w:color w:val="auto"/>
                <w:w w:val="93"/>
              </w:rPr>
              <w:t>Three</w:t>
            </w: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80" w:type="dxa"/>
            <w:vAlign w:val="bottom"/>
            <w:tcBorders>
              <w:right w:val="single" w:sz="8" w:color="auto"/>
            </w:tcBorders>
            <w:gridSpan w:val="2"/>
          </w:tcPr>
          <w:p>
            <w:pPr>
              <w:jc w:val="center"/>
              <w:ind w:right="440"/>
              <w:spacing w:after="0" w:line="122" w:lineRule="exact"/>
              <w:rPr>
                <w:sz w:val="20"/>
                <w:szCs w:val="20"/>
                <w:color w:val="auto"/>
              </w:rPr>
            </w:pPr>
            <w:r>
              <w:rPr>
                <w:rFonts w:ascii="Arial" w:cs="Arial" w:eastAsia="Arial" w:hAnsi="Arial"/>
                <w:sz w:val="11"/>
                <w:szCs w:val="11"/>
                <w:b w:val="1"/>
                <w:bCs w:val="1"/>
                <w:color w:val="auto"/>
                <w:w w:val="89"/>
              </w:rPr>
              <w:t>July 16,</w:t>
            </w:r>
          </w:p>
        </w:tc>
        <w:tc>
          <w:tcPr>
            <w:tcW w:w="220" w:type="dxa"/>
            <w:vAlign w:val="bottom"/>
          </w:tcPr>
          <w:p>
            <w:pPr>
              <w:spacing w:after="0"/>
              <w:rPr>
                <w:sz w:val="10"/>
                <w:szCs w:val="10"/>
                <w:color w:val="auto"/>
              </w:rPr>
            </w:pPr>
          </w:p>
        </w:tc>
        <w:tc>
          <w:tcPr>
            <w:tcW w:w="480" w:type="dxa"/>
            <w:vAlign w:val="bottom"/>
            <w:gridSpan w:val="3"/>
          </w:tcPr>
          <w:p>
            <w:pPr>
              <w:jc w:val="center"/>
              <w:ind w:right="140"/>
              <w:spacing w:after="0" w:line="122" w:lineRule="exact"/>
              <w:rPr>
                <w:sz w:val="20"/>
                <w:szCs w:val="20"/>
                <w:color w:val="auto"/>
              </w:rPr>
            </w:pPr>
            <w:r>
              <w:rPr>
                <w:rFonts w:ascii="Arial" w:cs="Arial" w:eastAsia="Arial" w:hAnsi="Arial"/>
                <w:sz w:val="11"/>
                <w:szCs w:val="11"/>
                <w:b w:val="1"/>
                <w:bCs w:val="1"/>
                <w:color w:val="auto"/>
                <w:w w:val="87"/>
              </w:rPr>
              <w:t>July 1,</w:t>
            </w: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20" w:type="dxa"/>
            <w:vAlign w:val="bottom"/>
            <w:gridSpan w:val="2"/>
          </w:tcPr>
          <w:p>
            <w:pPr>
              <w:jc w:val="center"/>
              <w:ind w:right="240"/>
              <w:spacing w:after="0" w:line="122" w:lineRule="exact"/>
              <w:rPr>
                <w:sz w:val="20"/>
                <w:szCs w:val="20"/>
                <w:color w:val="auto"/>
              </w:rPr>
            </w:pPr>
            <w:r>
              <w:rPr>
                <w:rFonts w:ascii="Arial" w:cs="Arial" w:eastAsia="Arial" w:hAnsi="Arial"/>
                <w:sz w:val="11"/>
                <w:szCs w:val="11"/>
                <w:b w:val="1"/>
                <w:bCs w:val="1"/>
                <w:color w:val="auto"/>
                <w:w w:val="93"/>
              </w:rPr>
              <w:t>Three</w:t>
            </w:r>
          </w:p>
        </w:tc>
        <w:tc>
          <w:tcPr>
            <w:tcW w:w="520" w:type="dxa"/>
            <w:vAlign w:val="bottom"/>
            <w:gridSpan w:val="3"/>
          </w:tcPr>
          <w:p>
            <w:pPr>
              <w:jc w:val="center"/>
              <w:ind w:right="80"/>
              <w:spacing w:after="0" w:line="122" w:lineRule="exact"/>
              <w:rPr>
                <w:sz w:val="20"/>
                <w:szCs w:val="20"/>
                <w:color w:val="auto"/>
              </w:rPr>
            </w:pPr>
            <w:r>
              <w:rPr>
                <w:rFonts w:ascii="Arial" w:cs="Arial" w:eastAsia="Arial" w:hAnsi="Arial"/>
                <w:sz w:val="11"/>
                <w:szCs w:val="11"/>
                <w:b w:val="1"/>
                <w:bCs w:val="1"/>
                <w:color w:val="auto"/>
                <w:w w:val="91"/>
              </w:rPr>
              <w:t>Months</w:t>
            </w:r>
          </w:p>
        </w:tc>
      </w:tr>
      <w:tr>
        <w:trPr>
          <w:trHeight w:val="122"/>
        </w:trPr>
        <w:tc>
          <w:tcPr>
            <w:tcW w:w="25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560" w:type="dxa"/>
            <w:vAlign w:val="bottom"/>
            <w:gridSpan w:val="2"/>
          </w:tcPr>
          <w:p>
            <w:pPr>
              <w:jc w:val="center"/>
              <w:ind w:right="120"/>
              <w:spacing w:after="0" w:line="122" w:lineRule="exact"/>
              <w:rPr>
                <w:sz w:val="20"/>
                <w:szCs w:val="20"/>
                <w:color w:val="auto"/>
              </w:rPr>
            </w:pPr>
            <w:r>
              <w:rPr>
                <w:rFonts w:ascii="Arial" w:cs="Arial" w:eastAsia="Arial" w:hAnsi="Arial"/>
                <w:sz w:val="11"/>
                <w:szCs w:val="11"/>
                <w:b w:val="1"/>
                <w:bCs w:val="1"/>
                <w:color w:val="auto"/>
                <w:w w:val="91"/>
              </w:rPr>
              <w:t>Months</w:t>
            </w:r>
          </w:p>
        </w:tc>
        <w:tc>
          <w:tcPr>
            <w:tcW w:w="60" w:type="dxa"/>
            <w:vAlign w:val="bottom"/>
          </w:tcPr>
          <w:p>
            <w:pPr>
              <w:spacing w:after="0"/>
              <w:rPr>
                <w:sz w:val="10"/>
                <w:szCs w:val="10"/>
                <w:color w:val="auto"/>
              </w:rPr>
            </w:pPr>
          </w:p>
        </w:tc>
        <w:tc>
          <w:tcPr>
            <w:tcW w:w="600" w:type="dxa"/>
            <w:vAlign w:val="bottom"/>
            <w:gridSpan w:val="2"/>
          </w:tcPr>
          <w:p>
            <w:pPr>
              <w:jc w:val="center"/>
              <w:ind w:right="140"/>
              <w:spacing w:after="0" w:line="122" w:lineRule="exact"/>
              <w:rPr>
                <w:sz w:val="20"/>
                <w:szCs w:val="20"/>
                <w:color w:val="auto"/>
              </w:rPr>
            </w:pPr>
            <w:r>
              <w:rPr>
                <w:rFonts w:ascii="Arial" w:cs="Arial" w:eastAsia="Arial" w:hAnsi="Arial"/>
                <w:sz w:val="11"/>
                <w:szCs w:val="11"/>
                <w:b w:val="1"/>
                <w:bCs w:val="1"/>
                <w:color w:val="auto"/>
                <w:w w:val="86"/>
              </w:rPr>
              <w:t>Months</w:t>
            </w: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40" w:type="dxa"/>
            <w:vAlign w:val="bottom"/>
            <w:gridSpan w:val="2"/>
          </w:tcPr>
          <w:p>
            <w:pPr>
              <w:jc w:val="center"/>
              <w:ind w:right="240"/>
              <w:spacing w:after="0" w:line="122" w:lineRule="exact"/>
              <w:rPr>
                <w:sz w:val="20"/>
                <w:szCs w:val="20"/>
                <w:color w:val="auto"/>
              </w:rPr>
            </w:pPr>
            <w:r>
              <w:rPr>
                <w:rFonts w:ascii="Arial" w:cs="Arial" w:eastAsia="Arial" w:hAnsi="Arial"/>
                <w:sz w:val="11"/>
                <w:szCs w:val="11"/>
                <w:b w:val="1"/>
                <w:bCs w:val="1"/>
                <w:color w:val="auto"/>
                <w:w w:val="91"/>
              </w:rPr>
              <w:t>Months</w:t>
            </w:r>
          </w:p>
        </w:tc>
        <w:tc>
          <w:tcPr>
            <w:tcW w:w="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40" w:type="dxa"/>
            <w:vAlign w:val="bottom"/>
            <w:gridSpan w:val="2"/>
          </w:tcPr>
          <w:p>
            <w:pPr>
              <w:jc w:val="center"/>
              <w:ind w:right="340"/>
              <w:spacing w:after="0" w:line="122" w:lineRule="exact"/>
              <w:rPr>
                <w:sz w:val="20"/>
                <w:szCs w:val="20"/>
                <w:color w:val="auto"/>
              </w:rPr>
            </w:pPr>
            <w:r>
              <w:rPr>
                <w:rFonts w:ascii="Arial" w:cs="Arial" w:eastAsia="Arial" w:hAnsi="Arial"/>
                <w:sz w:val="11"/>
                <w:szCs w:val="11"/>
                <w:b w:val="1"/>
                <w:bCs w:val="1"/>
                <w:color w:val="auto"/>
                <w:w w:val="91"/>
              </w:rPr>
              <w:t>Months</w:t>
            </w:r>
          </w:p>
        </w:tc>
        <w:tc>
          <w:tcPr>
            <w:tcW w:w="560" w:type="dxa"/>
            <w:vAlign w:val="bottom"/>
            <w:gridSpan w:val="2"/>
          </w:tcPr>
          <w:p>
            <w:pPr>
              <w:jc w:val="center"/>
              <w:ind w:right="160"/>
              <w:spacing w:after="0" w:line="122" w:lineRule="exact"/>
              <w:rPr>
                <w:sz w:val="20"/>
                <w:szCs w:val="20"/>
                <w:color w:val="auto"/>
              </w:rPr>
            </w:pPr>
            <w:r>
              <w:rPr>
                <w:rFonts w:ascii="Arial" w:cs="Arial" w:eastAsia="Arial" w:hAnsi="Arial"/>
                <w:sz w:val="11"/>
                <w:szCs w:val="11"/>
                <w:b w:val="1"/>
                <w:bCs w:val="1"/>
                <w:color w:val="auto"/>
                <w:w w:val="91"/>
              </w:rPr>
              <w:t>Months</w:t>
            </w:r>
          </w:p>
        </w:tc>
        <w:tc>
          <w:tcPr>
            <w:tcW w:w="80" w:type="dxa"/>
            <w:vAlign w:val="bottom"/>
          </w:tcPr>
          <w:p>
            <w:pPr>
              <w:spacing w:after="0"/>
              <w:rPr>
                <w:sz w:val="10"/>
                <w:szCs w:val="10"/>
                <w:color w:val="auto"/>
              </w:rPr>
            </w:pPr>
          </w:p>
        </w:tc>
        <w:tc>
          <w:tcPr>
            <w:tcW w:w="660" w:type="dxa"/>
            <w:vAlign w:val="bottom"/>
            <w:gridSpan w:val="2"/>
          </w:tcPr>
          <w:p>
            <w:pPr>
              <w:jc w:val="center"/>
              <w:ind w:right="220"/>
              <w:spacing w:after="0" w:line="122" w:lineRule="exact"/>
              <w:rPr>
                <w:sz w:val="20"/>
                <w:szCs w:val="20"/>
                <w:color w:val="auto"/>
              </w:rPr>
            </w:pPr>
            <w:r>
              <w:rPr>
                <w:rFonts w:ascii="Arial" w:cs="Arial" w:eastAsia="Arial" w:hAnsi="Arial"/>
                <w:sz w:val="11"/>
                <w:szCs w:val="11"/>
                <w:b w:val="1"/>
                <w:bCs w:val="1"/>
                <w:color w:val="auto"/>
                <w:w w:val="91"/>
              </w:rPr>
              <w:t>Months</w:t>
            </w:r>
          </w:p>
        </w:tc>
        <w:tc>
          <w:tcPr>
            <w:tcW w:w="100" w:type="dxa"/>
            <w:vAlign w:val="bottom"/>
          </w:tcPr>
          <w:p>
            <w:pPr>
              <w:spacing w:after="0"/>
              <w:rPr>
                <w:sz w:val="10"/>
                <w:szCs w:val="10"/>
                <w:color w:val="auto"/>
              </w:rPr>
            </w:pPr>
          </w:p>
        </w:tc>
        <w:tc>
          <w:tcPr>
            <w:tcW w:w="640" w:type="dxa"/>
            <w:vAlign w:val="bottom"/>
            <w:gridSpan w:val="2"/>
          </w:tcPr>
          <w:p>
            <w:pPr>
              <w:jc w:val="center"/>
              <w:ind w:right="240"/>
              <w:spacing w:after="0" w:line="122" w:lineRule="exact"/>
              <w:rPr>
                <w:sz w:val="20"/>
                <w:szCs w:val="20"/>
                <w:color w:val="auto"/>
              </w:rPr>
            </w:pPr>
            <w:r>
              <w:rPr>
                <w:rFonts w:ascii="Arial" w:cs="Arial" w:eastAsia="Arial" w:hAnsi="Arial"/>
                <w:sz w:val="11"/>
                <w:szCs w:val="11"/>
                <w:b w:val="1"/>
                <w:bCs w:val="1"/>
                <w:color w:val="auto"/>
                <w:w w:val="91"/>
              </w:rPr>
              <w:t>Months</w:t>
            </w: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60" w:type="dxa"/>
            <w:vAlign w:val="bottom"/>
          </w:tcPr>
          <w:p>
            <w:pPr>
              <w:jc w:val="center"/>
              <w:ind w:right="79"/>
              <w:spacing w:after="0" w:line="122" w:lineRule="exact"/>
              <w:rPr>
                <w:sz w:val="20"/>
                <w:szCs w:val="20"/>
                <w:color w:val="auto"/>
              </w:rPr>
            </w:pPr>
            <w:r>
              <w:rPr>
                <w:rFonts w:ascii="Arial" w:cs="Arial" w:eastAsia="Arial" w:hAnsi="Arial"/>
                <w:sz w:val="11"/>
                <w:szCs w:val="11"/>
                <w:b w:val="1"/>
                <w:bCs w:val="1"/>
                <w:color w:val="auto"/>
                <w:w w:val="89"/>
              </w:rPr>
              <w:t>2019</w:t>
            </w:r>
          </w:p>
        </w:tc>
        <w:tc>
          <w:tcPr>
            <w:tcW w:w="320" w:type="dxa"/>
            <w:vAlign w:val="bottom"/>
            <w:tcBorders>
              <w:right w:val="single" w:sz="8" w:color="auto"/>
            </w:tcBorders>
          </w:tcPr>
          <w:p>
            <w:pPr>
              <w:spacing w:after="0"/>
              <w:rPr>
                <w:sz w:val="10"/>
                <w:szCs w:val="10"/>
                <w:color w:val="auto"/>
              </w:rPr>
            </w:pPr>
          </w:p>
        </w:tc>
        <w:tc>
          <w:tcPr>
            <w:tcW w:w="2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20" w:type="dxa"/>
            <w:vAlign w:val="bottom"/>
          </w:tcPr>
          <w:p>
            <w:pPr>
              <w:jc w:val="center"/>
              <w:ind w:right="37"/>
              <w:spacing w:after="0" w:line="122" w:lineRule="exact"/>
              <w:rPr>
                <w:sz w:val="20"/>
                <w:szCs w:val="20"/>
                <w:color w:val="auto"/>
              </w:rPr>
            </w:pPr>
            <w:r>
              <w:rPr>
                <w:rFonts w:ascii="Arial" w:cs="Arial" w:eastAsia="Arial" w:hAnsi="Arial"/>
                <w:sz w:val="11"/>
                <w:szCs w:val="11"/>
                <w:b w:val="1"/>
                <w:bCs w:val="1"/>
                <w:color w:val="auto"/>
                <w:w w:val="89"/>
              </w:rPr>
              <w:t>2019</w:t>
            </w: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gridSpan w:val="3"/>
          </w:tcPr>
          <w:p>
            <w:pPr>
              <w:jc w:val="center"/>
              <w:ind w:right="140"/>
              <w:spacing w:after="0" w:line="122" w:lineRule="exact"/>
              <w:rPr>
                <w:sz w:val="20"/>
                <w:szCs w:val="20"/>
                <w:color w:val="auto"/>
              </w:rPr>
            </w:pPr>
            <w:r>
              <w:rPr>
                <w:rFonts w:ascii="Arial" w:cs="Arial" w:eastAsia="Arial" w:hAnsi="Arial"/>
                <w:sz w:val="11"/>
                <w:szCs w:val="11"/>
                <w:b w:val="1"/>
                <w:bCs w:val="1"/>
                <w:color w:val="auto"/>
                <w:w w:val="86"/>
              </w:rPr>
              <w:t>Months</w:t>
            </w:r>
          </w:p>
        </w:tc>
        <w:tc>
          <w:tcPr>
            <w:tcW w:w="60" w:type="dxa"/>
            <w:vAlign w:val="bottom"/>
          </w:tcPr>
          <w:p>
            <w:pPr>
              <w:spacing w:after="0"/>
              <w:rPr>
                <w:sz w:val="10"/>
                <w:szCs w:val="10"/>
                <w:color w:val="auto"/>
              </w:rPr>
            </w:pPr>
          </w:p>
        </w:tc>
        <w:tc>
          <w:tcPr>
            <w:tcW w:w="460" w:type="dxa"/>
            <w:vAlign w:val="bottom"/>
            <w:gridSpan w:val="2"/>
          </w:tcPr>
          <w:p>
            <w:pPr>
              <w:jc w:val="center"/>
              <w:ind w:right="120"/>
              <w:spacing w:after="0" w:line="122" w:lineRule="exact"/>
              <w:rPr>
                <w:sz w:val="20"/>
                <w:szCs w:val="20"/>
                <w:color w:val="auto"/>
              </w:rPr>
            </w:pPr>
            <w:r>
              <w:rPr>
                <w:rFonts w:ascii="Arial" w:cs="Arial" w:eastAsia="Arial" w:hAnsi="Arial"/>
                <w:sz w:val="11"/>
                <w:szCs w:val="11"/>
                <w:b w:val="1"/>
                <w:bCs w:val="1"/>
                <w:color w:val="auto"/>
                <w:w w:val="89"/>
              </w:rPr>
              <w:t>Ended</w:t>
            </w:r>
          </w:p>
        </w:tc>
      </w:tr>
      <w:tr>
        <w:trPr>
          <w:trHeight w:val="121"/>
        </w:trPr>
        <w:tc>
          <w:tcPr>
            <w:tcW w:w="25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560" w:type="dxa"/>
            <w:vAlign w:val="bottom"/>
            <w:gridSpan w:val="2"/>
          </w:tcPr>
          <w:p>
            <w:pPr>
              <w:jc w:val="center"/>
              <w:ind w:right="140"/>
              <w:spacing w:after="0" w:line="122" w:lineRule="exact"/>
              <w:rPr>
                <w:sz w:val="20"/>
                <w:szCs w:val="20"/>
                <w:color w:val="auto"/>
              </w:rPr>
            </w:pPr>
            <w:r>
              <w:rPr>
                <w:rFonts w:ascii="Arial" w:cs="Arial" w:eastAsia="Arial" w:hAnsi="Arial"/>
                <w:sz w:val="11"/>
                <w:szCs w:val="11"/>
                <w:b w:val="1"/>
                <w:bCs w:val="1"/>
                <w:color w:val="auto"/>
                <w:w w:val="89"/>
              </w:rPr>
              <w:t>Ended</w:t>
            </w:r>
          </w:p>
        </w:tc>
        <w:tc>
          <w:tcPr>
            <w:tcW w:w="60" w:type="dxa"/>
            <w:vAlign w:val="bottom"/>
          </w:tcPr>
          <w:p>
            <w:pPr>
              <w:spacing w:after="0"/>
              <w:rPr>
                <w:sz w:val="10"/>
                <w:szCs w:val="10"/>
                <w:color w:val="auto"/>
              </w:rPr>
            </w:pPr>
          </w:p>
        </w:tc>
        <w:tc>
          <w:tcPr>
            <w:tcW w:w="600" w:type="dxa"/>
            <w:vAlign w:val="bottom"/>
            <w:gridSpan w:val="2"/>
          </w:tcPr>
          <w:p>
            <w:pPr>
              <w:jc w:val="center"/>
              <w:ind w:right="140"/>
              <w:spacing w:after="0" w:line="122" w:lineRule="exact"/>
              <w:rPr>
                <w:sz w:val="20"/>
                <w:szCs w:val="20"/>
                <w:color w:val="auto"/>
              </w:rPr>
            </w:pPr>
            <w:r>
              <w:rPr>
                <w:rFonts w:ascii="Arial" w:cs="Arial" w:eastAsia="Arial" w:hAnsi="Arial"/>
                <w:sz w:val="11"/>
                <w:szCs w:val="11"/>
                <w:b w:val="1"/>
                <w:bCs w:val="1"/>
                <w:color w:val="auto"/>
                <w:w w:val="89"/>
              </w:rPr>
              <w:t>Ended</w:t>
            </w: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40" w:type="dxa"/>
            <w:vAlign w:val="bottom"/>
            <w:gridSpan w:val="2"/>
          </w:tcPr>
          <w:p>
            <w:pPr>
              <w:jc w:val="center"/>
              <w:ind w:right="220"/>
              <w:spacing w:after="0" w:line="122" w:lineRule="exact"/>
              <w:rPr>
                <w:sz w:val="20"/>
                <w:szCs w:val="20"/>
                <w:color w:val="auto"/>
              </w:rPr>
            </w:pPr>
            <w:r>
              <w:rPr>
                <w:rFonts w:ascii="Arial" w:cs="Arial" w:eastAsia="Arial" w:hAnsi="Arial"/>
                <w:sz w:val="11"/>
                <w:szCs w:val="11"/>
                <w:b w:val="1"/>
                <w:bCs w:val="1"/>
                <w:color w:val="auto"/>
                <w:w w:val="89"/>
              </w:rPr>
              <w:t>Ended</w:t>
            </w:r>
          </w:p>
        </w:tc>
        <w:tc>
          <w:tcPr>
            <w:tcW w:w="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40" w:type="dxa"/>
            <w:vAlign w:val="bottom"/>
            <w:gridSpan w:val="2"/>
          </w:tcPr>
          <w:p>
            <w:pPr>
              <w:jc w:val="center"/>
              <w:ind w:right="320"/>
              <w:spacing w:after="0" w:line="122" w:lineRule="exact"/>
              <w:rPr>
                <w:sz w:val="20"/>
                <w:szCs w:val="20"/>
                <w:color w:val="auto"/>
              </w:rPr>
            </w:pPr>
            <w:r>
              <w:rPr>
                <w:rFonts w:ascii="Arial" w:cs="Arial" w:eastAsia="Arial" w:hAnsi="Arial"/>
                <w:sz w:val="11"/>
                <w:szCs w:val="11"/>
                <w:b w:val="1"/>
                <w:bCs w:val="1"/>
                <w:color w:val="auto"/>
                <w:w w:val="89"/>
              </w:rPr>
              <w:t>Ended</w:t>
            </w:r>
          </w:p>
        </w:tc>
        <w:tc>
          <w:tcPr>
            <w:tcW w:w="560" w:type="dxa"/>
            <w:vAlign w:val="bottom"/>
            <w:gridSpan w:val="2"/>
          </w:tcPr>
          <w:p>
            <w:pPr>
              <w:jc w:val="center"/>
              <w:ind w:right="140"/>
              <w:spacing w:after="0" w:line="122" w:lineRule="exact"/>
              <w:rPr>
                <w:sz w:val="20"/>
                <w:szCs w:val="20"/>
                <w:color w:val="auto"/>
              </w:rPr>
            </w:pPr>
            <w:r>
              <w:rPr>
                <w:rFonts w:ascii="Arial" w:cs="Arial" w:eastAsia="Arial" w:hAnsi="Arial"/>
                <w:sz w:val="11"/>
                <w:szCs w:val="11"/>
                <w:b w:val="1"/>
                <w:bCs w:val="1"/>
                <w:color w:val="auto"/>
                <w:w w:val="89"/>
              </w:rPr>
              <w:t>Ended</w:t>
            </w:r>
          </w:p>
        </w:tc>
        <w:tc>
          <w:tcPr>
            <w:tcW w:w="80" w:type="dxa"/>
            <w:vAlign w:val="bottom"/>
          </w:tcPr>
          <w:p>
            <w:pPr>
              <w:spacing w:after="0"/>
              <w:rPr>
                <w:sz w:val="10"/>
                <w:szCs w:val="10"/>
                <w:color w:val="auto"/>
              </w:rPr>
            </w:pPr>
          </w:p>
        </w:tc>
        <w:tc>
          <w:tcPr>
            <w:tcW w:w="660" w:type="dxa"/>
            <w:vAlign w:val="bottom"/>
            <w:gridSpan w:val="2"/>
          </w:tcPr>
          <w:p>
            <w:pPr>
              <w:jc w:val="center"/>
              <w:ind w:right="240"/>
              <w:spacing w:after="0" w:line="122" w:lineRule="exact"/>
              <w:rPr>
                <w:sz w:val="20"/>
                <w:szCs w:val="20"/>
                <w:color w:val="auto"/>
              </w:rPr>
            </w:pPr>
            <w:r>
              <w:rPr>
                <w:rFonts w:ascii="Arial" w:cs="Arial" w:eastAsia="Arial" w:hAnsi="Arial"/>
                <w:sz w:val="11"/>
                <w:szCs w:val="11"/>
                <w:b w:val="1"/>
                <w:bCs w:val="1"/>
                <w:color w:val="auto"/>
                <w:w w:val="89"/>
              </w:rPr>
              <w:t>Ended</w:t>
            </w:r>
          </w:p>
        </w:tc>
        <w:tc>
          <w:tcPr>
            <w:tcW w:w="100" w:type="dxa"/>
            <w:vAlign w:val="bottom"/>
          </w:tcPr>
          <w:p>
            <w:pPr>
              <w:spacing w:after="0"/>
              <w:rPr>
                <w:sz w:val="10"/>
                <w:szCs w:val="10"/>
                <w:color w:val="auto"/>
              </w:rPr>
            </w:pPr>
          </w:p>
        </w:tc>
        <w:tc>
          <w:tcPr>
            <w:tcW w:w="640" w:type="dxa"/>
            <w:vAlign w:val="bottom"/>
            <w:gridSpan w:val="2"/>
          </w:tcPr>
          <w:p>
            <w:pPr>
              <w:jc w:val="center"/>
              <w:ind w:right="260"/>
              <w:spacing w:after="0" w:line="122" w:lineRule="exact"/>
              <w:rPr>
                <w:sz w:val="20"/>
                <w:szCs w:val="20"/>
                <w:color w:val="auto"/>
              </w:rPr>
            </w:pPr>
            <w:r>
              <w:rPr>
                <w:rFonts w:ascii="Arial" w:cs="Arial" w:eastAsia="Arial" w:hAnsi="Arial"/>
                <w:sz w:val="11"/>
                <w:szCs w:val="11"/>
                <w:b w:val="1"/>
                <w:bCs w:val="1"/>
                <w:color w:val="auto"/>
                <w:w w:val="89"/>
              </w:rPr>
              <w:t>Ended</w:t>
            </w: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80" w:type="dxa"/>
            <w:vAlign w:val="bottom"/>
            <w:tcBorders>
              <w:right w:val="single" w:sz="8" w:color="auto"/>
            </w:tcBorders>
            <w:gridSpan w:val="2"/>
          </w:tcPr>
          <w:p>
            <w:pPr>
              <w:jc w:val="center"/>
              <w:ind w:right="460"/>
              <w:spacing w:after="0" w:line="122" w:lineRule="exact"/>
              <w:rPr>
                <w:sz w:val="20"/>
                <w:szCs w:val="20"/>
                <w:color w:val="auto"/>
              </w:rPr>
            </w:pPr>
            <w:r>
              <w:rPr>
                <w:rFonts w:ascii="Arial" w:cs="Arial" w:eastAsia="Arial" w:hAnsi="Arial"/>
                <w:sz w:val="11"/>
                <w:szCs w:val="11"/>
                <w:b w:val="1"/>
                <w:bCs w:val="1"/>
                <w:color w:val="auto"/>
                <w:w w:val="95"/>
              </w:rPr>
              <w:t>to</w:t>
            </w:r>
          </w:p>
        </w:tc>
        <w:tc>
          <w:tcPr>
            <w:tcW w:w="2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20" w:type="dxa"/>
            <w:vAlign w:val="bottom"/>
            <w:gridSpan w:val="2"/>
          </w:tcPr>
          <w:p>
            <w:pPr>
              <w:jc w:val="center"/>
              <w:ind w:right="200"/>
              <w:spacing w:after="0" w:line="122" w:lineRule="exact"/>
              <w:rPr>
                <w:sz w:val="20"/>
                <w:szCs w:val="20"/>
                <w:color w:val="auto"/>
              </w:rPr>
            </w:pPr>
            <w:r>
              <w:rPr>
                <w:rFonts w:ascii="Arial" w:cs="Arial" w:eastAsia="Arial" w:hAnsi="Arial"/>
                <w:sz w:val="11"/>
                <w:szCs w:val="11"/>
                <w:b w:val="1"/>
                <w:bCs w:val="1"/>
                <w:color w:val="auto"/>
                <w:w w:val="95"/>
              </w:rPr>
              <w:t>to</w:t>
            </w:r>
          </w:p>
        </w:tc>
        <w:tc>
          <w:tcPr>
            <w:tcW w:w="80" w:type="dxa"/>
            <w:vAlign w:val="bottom"/>
          </w:tcPr>
          <w:p>
            <w:pPr>
              <w:spacing w:after="0"/>
              <w:rPr>
                <w:sz w:val="10"/>
                <w:szCs w:val="10"/>
                <w:color w:val="auto"/>
              </w:rPr>
            </w:pPr>
          </w:p>
        </w:tc>
        <w:tc>
          <w:tcPr>
            <w:tcW w:w="600" w:type="dxa"/>
            <w:vAlign w:val="bottom"/>
            <w:gridSpan w:val="3"/>
          </w:tcPr>
          <w:p>
            <w:pPr>
              <w:jc w:val="center"/>
              <w:ind w:right="180"/>
              <w:spacing w:after="0" w:line="122" w:lineRule="exact"/>
              <w:rPr>
                <w:sz w:val="20"/>
                <w:szCs w:val="20"/>
                <w:color w:val="auto"/>
              </w:rPr>
            </w:pPr>
            <w:r>
              <w:rPr>
                <w:rFonts w:ascii="Arial" w:cs="Arial" w:eastAsia="Arial" w:hAnsi="Arial"/>
                <w:sz w:val="11"/>
                <w:szCs w:val="11"/>
                <w:b w:val="1"/>
                <w:bCs w:val="1"/>
                <w:color w:val="auto"/>
                <w:w w:val="89"/>
              </w:rPr>
              <w:t>Ended</w:t>
            </w:r>
          </w:p>
        </w:tc>
        <w:tc>
          <w:tcPr>
            <w:tcW w:w="520" w:type="dxa"/>
            <w:vAlign w:val="bottom"/>
            <w:gridSpan w:val="3"/>
          </w:tcPr>
          <w:p>
            <w:pPr>
              <w:jc w:val="center"/>
              <w:ind w:right="40"/>
              <w:spacing w:after="0" w:line="122" w:lineRule="exact"/>
              <w:rPr>
                <w:sz w:val="20"/>
                <w:szCs w:val="20"/>
                <w:color w:val="auto"/>
              </w:rPr>
            </w:pPr>
            <w:r>
              <w:rPr>
                <w:rFonts w:ascii="Arial" w:cs="Arial" w:eastAsia="Arial" w:hAnsi="Arial"/>
                <w:sz w:val="11"/>
                <w:szCs w:val="11"/>
                <w:b w:val="1"/>
                <w:bCs w:val="1"/>
                <w:color w:val="auto"/>
                <w:w w:val="94"/>
              </w:rPr>
              <w:t>March 31,</w:t>
            </w:r>
          </w:p>
        </w:tc>
      </w:tr>
      <w:tr>
        <w:trPr>
          <w:trHeight w:val="122"/>
        </w:trPr>
        <w:tc>
          <w:tcPr>
            <w:tcW w:w="25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560" w:type="dxa"/>
            <w:vAlign w:val="bottom"/>
            <w:gridSpan w:val="2"/>
          </w:tcPr>
          <w:p>
            <w:pPr>
              <w:jc w:val="center"/>
              <w:ind w:right="140"/>
              <w:spacing w:after="0" w:line="122" w:lineRule="exact"/>
              <w:rPr>
                <w:sz w:val="20"/>
                <w:szCs w:val="20"/>
                <w:color w:val="auto"/>
              </w:rPr>
            </w:pPr>
            <w:r>
              <w:rPr>
                <w:rFonts w:ascii="Arial" w:cs="Arial" w:eastAsia="Arial" w:hAnsi="Arial"/>
                <w:sz w:val="11"/>
                <w:szCs w:val="11"/>
                <w:b w:val="1"/>
                <w:bCs w:val="1"/>
                <w:color w:val="auto"/>
                <w:w w:val="86"/>
              </w:rPr>
              <w:t>June 30,</w:t>
            </w:r>
          </w:p>
        </w:tc>
        <w:tc>
          <w:tcPr>
            <w:tcW w:w="60" w:type="dxa"/>
            <w:vAlign w:val="bottom"/>
          </w:tcPr>
          <w:p>
            <w:pPr>
              <w:spacing w:after="0"/>
              <w:rPr>
                <w:sz w:val="10"/>
                <w:szCs w:val="10"/>
                <w:color w:val="auto"/>
              </w:rPr>
            </w:pPr>
          </w:p>
        </w:tc>
        <w:tc>
          <w:tcPr>
            <w:tcW w:w="600" w:type="dxa"/>
            <w:vAlign w:val="bottom"/>
            <w:gridSpan w:val="2"/>
          </w:tcPr>
          <w:p>
            <w:pPr>
              <w:jc w:val="center"/>
              <w:ind w:right="120"/>
              <w:spacing w:after="0" w:line="122" w:lineRule="exact"/>
              <w:rPr>
                <w:sz w:val="20"/>
                <w:szCs w:val="20"/>
                <w:color w:val="auto"/>
              </w:rPr>
            </w:pPr>
            <w:r>
              <w:rPr>
                <w:rFonts w:ascii="Arial" w:cs="Arial" w:eastAsia="Arial" w:hAnsi="Arial"/>
                <w:sz w:val="11"/>
                <w:szCs w:val="11"/>
                <w:b w:val="1"/>
                <w:bCs w:val="1"/>
                <w:color w:val="auto"/>
                <w:w w:val="94"/>
              </w:rPr>
              <w:t>March 31,</w:t>
            </w:r>
          </w:p>
        </w:tc>
        <w:tc>
          <w:tcPr>
            <w:tcW w:w="60" w:type="dxa"/>
            <w:vAlign w:val="bottom"/>
          </w:tcPr>
          <w:p>
            <w:pPr>
              <w:spacing w:after="0"/>
              <w:rPr>
                <w:sz w:val="10"/>
                <w:szCs w:val="10"/>
                <w:color w:val="auto"/>
              </w:rPr>
            </w:pPr>
          </w:p>
        </w:tc>
        <w:tc>
          <w:tcPr>
            <w:tcW w:w="740" w:type="dxa"/>
            <w:vAlign w:val="bottom"/>
            <w:gridSpan w:val="3"/>
          </w:tcPr>
          <w:p>
            <w:pPr>
              <w:jc w:val="center"/>
              <w:ind w:right="120"/>
              <w:spacing w:after="0" w:line="122" w:lineRule="exact"/>
              <w:rPr>
                <w:sz w:val="20"/>
                <w:szCs w:val="20"/>
                <w:color w:val="auto"/>
              </w:rPr>
            </w:pPr>
            <w:r>
              <w:rPr>
                <w:rFonts w:ascii="Arial" w:cs="Arial" w:eastAsia="Arial" w:hAnsi="Arial"/>
                <w:sz w:val="11"/>
                <w:szCs w:val="11"/>
                <w:b w:val="1"/>
                <w:bCs w:val="1"/>
                <w:color w:val="auto"/>
                <w:w w:val="86"/>
              </w:rPr>
              <w:t>December 31,</w:t>
            </w:r>
          </w:p>
        </w:tc>
        <w:tc>
          <w:tcPr>
            <w:tcW w:w="60" w:type="dxa"/>
            <w:vAlign w:val="bottom"/>
          </w:tcPr>
          <w:p>
            <w:pPr>
              <w:spacing w:after="0"/>
              <w:rPr>
                <w:sz w:val="10"/>
                <w:szCs w:val="10"/>
                <w:color w:val="auto"/>
              </w:rPr>
            </w:pPr>
          </w:p>
        </w:tc>
        <w:tc>
          <w:tcPr>
            <w:tcW w:w="860" w:type="dxa"/>
            <w:vAlign w:val="bottom"/>
            <w:gridSpan w:val="3"/>
          </w:tcPr>
          <w:p>
            <w:pPr>
              <w:jc w:val="center"/>
              <w:ind w:right="200"/>
              <w:spacing w:after="0" w:line="122" w:lineRule="exact"/>
              <w:rPr>
                <w:sz w:val="20"/>
                <w:szCs w:val="20"/>
                <w:color w:val="auto"/>
              </w:rPr>
            </w:pPr>
            <w:r>
              <w:rPr>
                <w:rFonts w:ascii="Arial" w:cs="Arial" w:eastAsia="Arial" w:hAnsi="Arial"/>
                <w:sz w:val="11"/>
                <w:szCs w:val="11"/>
                <w:b w:val="1"/>
                <w:bCs w:val="1"/>
                <w:color w:val="auto"/>
                <w:w w:val="87"/>
              </w:rPr>
              <w:t>September 30,</w:t>
            </w:r>
          </w:p>
        </w:tc>
        <w:tc>
          <w:tcPr>
            <w:tcW w:w="560" w:type="dxa"/>
            <w:vAlign w:val="bottom"/>
            <w:gridSpan w:val="2"/>
          </w:tcPr>
          <w:p>
            <w:pPr>
              <w:jc w:val="center"/>
              <w:ind w:right="140"/>
              <w:spacing w:after="0" w:line="122" w:lineRule="exact"/>
              <w:rPr>
                <w:sz w:val="20"/>
                <w:szCs w:val="20"/>
                <w:color w:val="auto"/>
              </w:rPr>
            </w:pPr>
            <w:r>
              <w:rPr>
                <w:rFonts w:ascii="Arial" w:cs="Arial" w:eastAsia="Arial" w:hAnsi="Arial"/>
                <w:sz w:val="11"/>
                <w:szCs w:val="11"/>
                <w:b w:val="1"/>
                <w:bCs w:val="1"/>
                <w:color w:val="auto"/>
                <w:w w:val="86"/>
              </w:rPr>
              <w:t>June 30,</w:t>
            </w:r>
          </w:p>
        </w:tc>
        <w:tc>
          <w:tcPr>
            <w:tcW w:w="80" w:type="dxa"/>
            <w:vAlign w:val="bottom"/>
          </w:tcPr>
          <w:p>
            <w:pPr>
              <w:spacing w:after="0"/>
              <w:rPr>
                <w:sz w:val="10"/>
                <w:szCs w:val="10"/>
                <w:color w:val="auto"/>
              </w:rPr>
            </w:pPr>
          </w:p>
        </w:tc>
        <w:tc>
          <w:tcPr>
            <w:tcW w:w="660" w:type="dxa"/>
            <w:vAlign w:val="bottom"/>
            <w:gridSpan w:val="2"/>
          </w:tcPr>
          <w:p>
            <w:pPr>
              <w:jc w:val="right"/>
              <w:ind w:right="200"/>
              <w:spacing w:after="0" w:line="122" w:lineRule="exact"/>
              <w:rPr>
                <w:sz w:val="20"/>
                <w:szCs w:val="20"/>
                <w:color w:val="auto"/>
              </w:rPr>
            </w:pPr>
            <w:r>
              <w:rPr>
                <w:rFonts w:ascii="Arial" w:cs="Arial" w:eastAsia="Arial" w:hAnsi="Arial"/>
                <w:sz w:val="11"/>
                <w:szCs w:val="11"/>
                <w:b w:val="1"/>
                <w:bCs w:val="1"/>
                <w:color w:val="auto"/>
                <w:w w:val="86"/>
              </w:rPr>
              <w:t>March 31,</w:t>
            </w:r>
          </w:p>
        </w:tc>
        <w:tc>
          <w:tcPr>
            <w:tcW w:w="740" w:type="dxa"/>
            <w:vAlign w:val="bottom"/>
            <w:gridSpan w:val="3"/>
          </w:tcPr>
          <w:p>
            <w:pPr>
              <w:jc w:val="center"/>
              <w:ind w:right="120"/>
              <w:spacing w:after="0" w:line="122" w:lineRule="exact"/>
              <w:rPr>
                <w:sz w:val="20"/>
                <w:szCs w:val="20"/>
                <w:color w:val="auto"/>
              </w:rPr>
            </w:pPr>
            <w:r>
              <w:rPr>
                <w:rFonts w:ascii="Arial" w:cs="Arial" w:eastAsia="Arial" w:hAnsi="Arial"/>
                <w:sz w:val="11"/>
                <w:szCs w:val="11"/>
                <w:b w:val="1"/>
                <w:bCs w:val="1"/>
                <w:color w:val="auto"/>
                <w:w w:val="86"/>
              </w:rPr>
              <w:t>December 31,</w:t>
            </w:r>
          </w:p>
        </w:tc>
        <w:tc>
          <w:tcPr>
            <w:tcW w:w="80" w:type="dxa"/>
            <w:vAlign w:val="bottom"/>
          </w:tcPr>
          <w:p>
            <w:pPr>
              <w:spacing w:after="0"/>
              <w:rPr>
                <w:sz w:val="10"/>
                <w:szCs w:val="10"/>
                <w:color w:val="auto"/>
              </w:rPr>
            </w:pPr>
          </w:p>
        </w:tc>
        <w:tc>
          <w:tcPr>
            <w:tcW w:w="980" w:type="dxa"/>
            <w:vAlign w:val="bottom"/>
            <w:tcBorders>
              <w:right w:val="single" w:sz="8" w:color="auto"/>
            </w:tcBorders>
            <w:gridSpan w:val="3"/>
          </w:tcPr>
          <w:p>
            <w:pPr>
              <w:jc w:val="center"/>
              <w:ind w:right="320"/>
              <w:spacing w:after="0" w:line="122" w:lineRule="exact"/>
              <w:rPr>
                <w:sz w:val="20"/>
                <w:szCs w:val="20"/>
                <w:color w:val="auto"/>
              </w:rPr>
            </w:pPr>
            <w:r>
              <w:rPr>
                <w:rFonts w:ascii="Arial" w:cs="Arial" w:eastAsia="Arial" w:hAnsi="Arial"/>
                <w:sz w:val="11"/>
                <w:szCs w:val="11"/>
                <w:b w:val="1"/>
                <w:bCs w:val="1"/>
                <w:color w:val="auto"/>
                <w:w w:val="87"/>
              </w:rPr>
              <w:t>September 30,</w:t>
            </w:r>
          </w:p>
        </w:tc>
        <w:tc>
          <w:tcPr>
            <w:tcW w:w="220" w:type="dxa"/>
            <w:vAlign w:val="bottom"/>
          </w:tcPr>
          <w:p>
            <w:pPr>
              <w:spacing w:after="0"/>
              <w:rPr>
                <w:sz w:val="10"/>
                <w:szCs w:val="10"/>
                <w:color w:val="auto"/>
              </w:rPr>
            </w:pPr>
          </w:p>
        </w:tc>
        <w:tc>
          <w:tcPr>
            <w:tcW w:w="480" w:type="dxa"/>
            <w:vAlign w:val="bottom"/>
            <w:gridSpan w:val="3"/>
          </w:tcPr>
          <w:p>
            <w:pPr>
              <w:jc w:val="center"/>
              <w:ind w:right="120"/>
              <w:spacing w:after="0" w:line="122" w:lineRule="exact"/>
              <w:rPr>
                <w:sz w:val="20"/>
                <w:szCs w:val="20"/>
                <w:color w:val="auto"/>
              </w:rPr>
            </w:pPr>
            <w:r>
              <w:rPr>
                <w:rFonts w:ascii="Arial" w:cs="Arial" w:eastAsia="Arial" w:hAnsi="Arial"/>
                <w:sz w:val="11"/>
                <w:szCs w:val="11"/>
                <w:b w:val="1"/>
                <w:bCs w:val="1"/>
                <w:color w:val="auto"/>
                <w:w w:val="89"/>
              </w:rPr>
              <w:t>July 15,</w:t>
            </w:r>
          </w:p>
        </w:tc>
        <w:tc>
          <w:tcPr>
            <w:tcW w:w="80" w:type="dxa"/>
            <w:vAlign w:val="bottom"/>
          </w:tcPr>
          <w:p>
            <w:pPr>
              <w:spacing w:after="0"/>
              <w:rPr>
                <w:sz w:val="10"/>
                <w:szCs w:val="10"/>
                <w:color w:val="auto"/>
              </w:rPr>
            </w:pPr>
          </w:p>
        </w:tc>
        <w:tc>
          <w:tcPr>
            <w:tcW w:w="600" w:type="dxa"/>
            <w:vAlign w:val="bottom"/>
            <w:gridSpan w:val="3"/>
          </w:tcPr>
          <w:p>
            <w:pPr>
              <w:jc w:val="center"/>
              <w:ind w:right="180"/>
              <w:spacing w:after="0" w:line="122" w:lineRule="exact"/>
              <w:rPr>
                <w:sz w:val="20"/>
                <w:szCs w:val="20"/>
                <w:color w:val="auto"/>
              </w:rPr>
            </w:pPr>
            <w:r>
              <w:rPr>
                <w:rFonts w:ascii="Arial" w:cs="Arial" w:eastAsia="Arial" w:hAnsi="Arial"/>
                <w:sz w:val="11"/>
                <w:szCs w:val="11"/>
                <w:b w:val="1"/>
                <w:bCs w:val="1"/>
                <w:color w:val="auto"/>
                <w:w w:val="86"/>
              </w:rPr>
              <w:t>June 30,</w:t>
            </w:r>
          </w:p>
        </w:tc>
        <w:tc>
          <w:tcPr>
            <w:tcW w:w="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40" w:type="dxa"/>
            <w:vAlign w:val="bottom"/>
          </w:tcPr>
          <w:p>
            <w:pPr>
              <w:spacing w:after="0"/>
              <w:rPr>
                <w:sz w:val="10"/>
                <w:szCs w:val="10"/>
                <w:color w:val="auto"/>
              </w:rPr>
            </w:pPr>
          </w:p>
        </w:tc>
      </w:tr>
      <w:tr>
        <w:trPr>
          <w:trHeight w:val="135"/>
        </w:trPr>
        <w:tc>
          <w:tcPr>
            <w:tcW w:w="2500" w:type="dxa"/>
            <w:vAlign w:val="bottom"/>
          </w:tcPr>
          <w:p>
            <w:pPr>
              <w:spacing w:after="0"/>
              <w:rPr>
                <w:sz w:val="20"/>
                <w:szCs w:val="20"/>
                <w:color w:val="auto"/>
              </w:rPr>
            </w:pPr>
            <w:r>
              <w:rPr>
                <w:rFonts w:ascii="Arial" w:cs="Arial" w:eastAsia="Arial" w:hAnsi="Arial"/>
                <w:sz w:val="11"/>
                <w:szCs w:val="11"/>
                <w:b w:val="1"/>
                <w:bCs w:val="1"/>
                <w:color w:val="auto"/>
              </w:rPr>
              <w:t>($ in thousands)</w:t>
            </w:r>
          </w:p>
        </w:tc>
        <w:tc>
          <w:tcPr>
            <w:tcW w:w="1040" w:type="dxa"/>
            <w:vAlign w:val="bottom"/>
            <w:gridSpan w:val="2"/>
          </w:tcPr>
          <w:p>
            <w:pPr>
              <w:jc w:val="center"/>
              <w:ind w:left="515"/>
              <w:spacing w:after="0"/>
              <w:rPr>
                <w:sz w:val="20"/>
                <w:szCs w:val="20"/>
                <w:color w:val="auto"/>
              </w:rPr>
            </w:pPr>
            <w:r>
              <w:rPr>
                <w:rFonts w:ascii="Arial" w:cs="Arial" w:eastAsia="Arial" w:hAnsi="Arial"/>
                <w:sz w:val="11"/>
                <w:szCs w:val="11"/>
                <w:b w:val="1"/>
                <w:bCs w:val="1"/>
                <w:color w:val="auto"/>
                <w:w w:val="89"/>
              </w:rPr>
              <w:t>2021</w:t>
            </w:r>
          </w:p>
        </w:tc>
        <w:tc>
          <w:tcPr>
            <w:tcW w:w="100" w:type="dxa"/>
            <w:vAlign w:val="bottom"/>
          </w:tcPr>
          <w:p>
            <w:pPr>
              <w:spacing w:after="0"/>
              <w:rPr>
                <w:sz w:val="11"/>
                <w:szCs w:val="11"/>
                <w:color w:val="auto"/>
              </w:rPr>
            </w:pPr>
          </w:p>
        </w:tc>
        <w:tc>
          <w:tcPr>
            <w:tcW w:w="540" w:type="dxa"/>
            <w:vAlign w:val="bottom"/>
            <w:gridSpan w:val="2"/>
          </w:tcPr>
          <w:p>
            <w:pPr>
              <w:jc w:val="center"/>
              <w:ind w:left="15"/>
              <w:spacing w:after="0"/>
              <w:rPr>
                <w:sz w:val="20"/>
                <w:szCs w:val="20"/>
                <w:color w:val="auto"/>
              </w:rPr>
            </w:pPr>
            <w:r>
              <w:rPr>
                <w:rFonts w:ascii="Arial" w:cs="Arial" w:eastAsia="Arial" w:hAnsi="Arial"/>
                <w:sz w:val="11"/>
                <w:szCs w:val="11"/>
                <w:b w:val="1"/>
                <w:bCs w:val="1"/>
                <w:color w:val="auto"/>
                <w:w w:val="89"/>
              </w:rPr>
              <w:t>2021</w:t>
            </w: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40" w:type="dxa"/>
            <w:vAlign w:val="bottom"/>
          </w:tcPr>
          <w:p>
            <w:pPr>
              <w:jc w:val="center"/>
              <w:ind w:right="58"/>
              <w:spacing w:after="0"/>
              <w:rPr>
                <w:sz w:val="20"/>
                <w:szCs w:val="20"/>
                <w:color w:val="auto"/>
              </w:rPr>
            </w:pPr>
            <w:r>
              <w:rPr>
                <w:rFonts w:ascii="Arial" w:cs="Arial" w:eastAsia="Arial" w:hAnsi="Arial"/>
                <w:sz w:val="11"/>
                <w:szCs w:val="11"/>
                <w:b w:val="1"/>
                <w:bCs w:val="1"/>
                <w:color w:val="auto"/>
                <w:w w:val="89"/>
              </w:rPr>
              <w:t>2020</w:t>
            </w: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jc w:val="center"/>
              <w:ind w:right="59"/>
              <w:spacing w:after="0"/>
              <w:rPr>
                <w:sz w:val="20"/>
                <w:szCs w:val="20"/>
                <w:color w:val="auto"/>
              </w:rPr>
            </w:pPr>
            <w:r>
              <w:rPr>
                <w:rFonts w:ascii="Arial" w:cs="Arial" w:eastAsia="Arial" w:hAnsi="Arial"/>
                <w:sz w:val="11"/>
                <w:szCs w:val="11"/>
                <w:b w:val="1"/>
                <w:bCs w:val="1"/>
                <w:color w:val="auto"/>
                <w:w w:val="89"/>
              </w:rPr>
              <w:t>2020</w:t>
            </w:r>
          </w:p>
        </w:tc>
        <w:tc>
          <w:tcPr>
            <w:tcW w:w="200" w:type="dxa"/>
            <w:vAlign w:val="bottom"/>
          </w:tcPr>
          <w:p>
            <w:pPr>
              <w:spacing w:after="0"/>
              <w:rPr>
                <w:sz w:val="11"/>
                <w:szCs w:val="11"/>
                <w:color w:val="auto"/>
              </w:rPr>
            </w:pPr>
          </w:p>
        </w:tc>
        <w:tc>
          <w:tcPr>
            <w:tcW w:w="440" w:type="dxa"/>
            <w:vAlign w:val="bottom"/>
          </w:tcPr>
          <w:p>
            <w:pPr>
              <w:jc w:val="center"/>
              <w:spacing w:after="0"/>
              <w:rPr>
                <w:sz w:val="20"/>
                <w:szCs w:val="20"/>
                <w:color w:val="auto"/>
              </w:rPr>
            </w:pPr>
            <w:r>
              <w:rPr>
                <w:rFonts w:ascii="Arial" w:cs="Arial" w:eastAsia="Arial" w:hAnsi="Arial"/>
                <w:sz w:val="11"/>
                <w:szCs w:val="11"/>
                <w:b w:val="1"/>
                <w:bCs w:val="1"/>
                <w:color w:val="auto"/>
                <w:w w:val="81"/>
              </w:rPr>
              <w:t>2020</w:t>
            </w:r>
          </w:p>
        </w:tc>
        <w:tc>
          <w:tcPr>
            <w:tcW w:w="120" w:type="dxa"/>
            <w:vAlign w:val="bottom"/>
          </w:tcPr>
          <w:p>
            <w:pPr>
              <w:spacing w:after="0"/>
              <w:rPr>
                <w:sz w:val="11"/>
                <w:szCs w:val="11"/>
                <w:color w:val="auto"/>
              </w:rPr>
            </w:pPr>
          </w:p>
        </w:tc>
        <w:tc>
          <w:tcPr>
            <w:tcW w:w="540" w:type="dxa"/>
            <w:vAlign w:val="bottom"/>
            <w:gridSpan w:val="2"/>
          </w:tcPr>
          <w:p>
            <w:pPr>
              <w:jc w:val="center"/>
              <w:ind w:left="15"/>
              <w:spacing w:after="0"/>
              <w:rPr>
                <w:sz w:val="20"/>
                <w:szCs w:val="20"/>
                <w:color w:val="auto"/>
              </w:rPr>
            </w:pPr>
            <w:r>
              <w:rPr>
                <w:rFonts w:ascii="Arial" w:cs="Arial" w:eastAsia="Arial" w:hAnsi="Arial"/>
                <w:sz w:val="11"/>
                <w:szCs w:val="11"/>
                <w:b w:val="1"/>
                <w:bCs w:val="1"/>
                <w:color w:val="auto"/>
                <w:w w:val="89"/>
              </w:rPr>
              <w:t>2020</w:t>
            </w: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Pr>
          <w:p>
            <w:pPr>
              <w:jc w:val="center"/>
              <w:ind w:right="38"/>
              <w:spacing w:after="0"/>
              <w:rPr>
                <w:sz w:val="20"/>
                <w:szCs w:val="20"/>
                <w:color w:val="auto"/>
              </w:rPr>
            </w:pPr>
            <w:r>
              <w:rPr>
                <w:rFonts w:ascii="Arial" w:cs="Arial" w:eastAsia="Arial" w:hAnsi="Arial"/>
                <w:sz w:val="11"/>
                <w:szCs w:val="11"/>
                <w:b w:val="1"/>
                <w:bCs w:val="1"/>
                <w:color w:val="auto"/>
                <w:w w:val="89"/>
              </w:rPr>
              <w:t>2019</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jc w:val="center"/>
              <w:ind w:right="39"/>
              <w:spacing w:after="0"/>
              <w:rPr>
                <w:sz w:val="20"/>
                <w:szCs w:val="20"/>
                <w:color w:val="auto"/>
              </w:rPr>
            </w:pPr>
            <w:r>
              <w:rPr>
                <w:rFonts w:ascii="Arial" w:cs="Arial" w:eastAsia="Arial" w:hAnsi="Arial"/>
                <w:sz w:val="11"/>
                <w:szCs w:val="11"/>
                <w:b w:val="1"/>
                <w:bCs w:val="1"/>
                <w:color w:val="auto"/>
                <w:w w:val="89"/>
              </w:rPr>
              <w:t>2019</w:t>
            </w:r>
          </w:p>
        </w:tc>
        <w:tc>
          <w:tcPr>
            <w:tcW w:w="320" w:type="dxa"/>
            <w:vAlign w:val="bottom"/>
            <w:tcBorders>
              <w:right w:val="single" w:sz="8" w:color="auto"/>
            </w:tcBorders>
          </w:tcPr>
          <w:p>
            <w:pPr>
              <w:spacing w:after="0"/>
              <w:rPr>
                <w:sz w:val="11"/>
                <w:szCs w:val="11"/>
                <w:color w:val="auto"/>
              </w:rPr>
            </w:pPr>
          </w:p>
        </w:tc>
        <w:tc>
          <w:tcPr>
            <w:tcW w:w="2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20" w:type="dxa"/>
            <w:vAlign w:val="bottom"/>
          </w:tcPr>
          <w:p>
            <w:pPr>
              <w:jc w:val="center"/>
              <w:spacing w:after="0"/>
              <w:rPr>
                <w:sz w:val="20"/>
                <w:szCs w:val="20"/>
                <w:color w:val="auto"/>
              </w:rPr>
            </w:pPr>
            <w:r>
              <w:rPr>
                <w:rFonts w:ascii="Arial" w:cs="Arial" w:eastAsia="Arial" w:hAnsi="Arial"/>
                <w:sz w:val="11"/>
                <w:szCs w:val="11"/>
                <w:b w:val="1"/>
                <w:bCs w:val="1"/>
                <w:color w:val="auto"/>
                <w:w w:val="89"/>
              </w:rPr>
              <w:t>2019</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jc w:val="center"/>
              <w:ind w:right="16"/>
              <w:spacing w:after="0"/>
              <w:rPr>
                <w:sz w:val="20"/>
                <w:szCs w:val="20"/>
                <w:color w:val="auto"/>
              </w:rPr>
            </w:pPr>
            <w:r>
              <w:rPr>
                <w:rFonts w:ascii="Arial" w:cs="Arial" w:eastAsia="Arial" w:hAnsi="Arial"/>
                <w:sz w:val="11"/>
                <w:szCs w:val="11"/>
                <w:b w:val="1"/>
                <w:bCs w:val="1"/>
                <w:color w:val="auto"/>
                <w:w w:val="89"/>
              </w:rPr>
              <w:t>2019</w:t>
            </w: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20" w:type="dxa"/>
            <w:vAlign w:val="bottom"/>
          </w:tcPr>
          <w:p>
            <w:pPr>
              <w:jc w:val="center"/>
              <w:ind w:right="17"/>
              <w:spacing w:after="0"/>
              <w:rPr>
                <w:sz w:val="20"/>
                <w:szCs w:val="20"/>
                <w:color w:val="auto"/>
              </w:rPr>
            </w:pPr>
            <w:r>
              <w:rPr>
                <w:rFonts w:ascii="Arial" w:cs="Arial" w:eastAsia="Arial" w:hAnsi="Arial"/>
                <w:sz w:val="11"/>
                <w:szCs w:val="11"/>
                <w:b w:val="1"/>
                <w:bCs w:val="1"/>
                <w:color w:val="auto"/>
                <w:w w:val="89"/>
              </w:rPr>
              <w:t>2019</w:t>
            </w:r>
          </w:p>
        </w:tc>
        <w:tc>
          <w:tcPr>
            <w:tcW w:w="40" w:type="dxa"/>
            <w:vAlign w:val="bottom"/>
          </w:tcPr>
          <w:p>
            <w:pPr>
              <w:spacing w:after="0"/>
              <w:rPr>
                <w:sz w:val="11"/>
                <w:szCs w:val="11"/>
                <w:color w:val="auto"/>
              </w:rPr>
            </w:pPr>
          </w:p>
        </w:tc>
      </w:tr>
      <w:tr>
        <w:trPr>
          <w:trHeight w:val="142"/>
        </w:trPr>
        <w:tc>
          <w:tcPr>
            <w:tcW w:w="2500" w:type="dxa"/>
            <w:vAlign w:val="bottom"/>
            <w:tcBorders>
              <w:top w:val="single" w:sz="8" w:color="CCEEFF"/>
            </w:tcBorders>
            <w:shd w:val="clear" w:color="auto" w:fill="CCEEFF"/>
          </w:tcPr>
          <w:p>
            <w:pPr>
              <w:spacing w:after="0" w:line="142" w:lineRule="exact"/>
              <w:rPr>
                <w:sz w:val="20"/>
                <w:szCs w:val="20"/>
                <w:color w:val="auto"/>
              </w:rPr>
            </w:pPr>
            <w:r>
              <w:rPr>
                <w:rFonts w:ascii="Arial" w:cs="Arial" w:eastAsia="Arial" w:hAnsi="Arial"/>
                <w:sz w:val="13"/>
                <w:szCs w:val="13"/>
                <w:color w:val="auto"/>
              </w:rPr>
              <w:t>(Loss) Income from operations</w:t>
            </w:r>
          </w:p>
        </w:tc>
        <w:tc>
          <w:tcPr>
            <w:tcW w:w="580" w:type="dxa"/>
            <w:vAlign w:val="bottom"/>
            <w:tcBorders>
              <w:top w:val="single" w:sz="8" w:color="CCEEFF"/>
            </w:tcBorders>
            <w:shd w:val="clear" w:color="auto" w:fill="CCEEFF"/>
          </w:tcPr>
          <w:p>
            <w:pPr>
              <w:spacing w:after="0"/>
              <w:rPr>
                <w:sz w:val="12"/>
                <w:szCs w:val="12"/>
                <w:color w:val="auto"/>
              </w:rPr>
            </w:pPr>
          </w:p>
        </w:tc>
        <w:tc>
          <w:tcPr>
            <w:tcW w:w="46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3"/>
                <w:szCs w:val="13"/>
                <w:color w:val="auto"/>
                <w:w w:val="84"/>
              </w:rPr>
              <w:t>$ (6,623)</w:t>
            </w:r>
          </w:p>
        </w:tc>
        <w:tc>
          <w:tcPr>
            <w:tcW w:w="100" w:type="dxa"/>
            <w:vAlign w:val="bottom"/>
            <w:tcBorders>
              <w:top w:val="single" w:sz="8" w:color="CCEEFF"/>
            </w:tcBorders>
            <w:shd w:val="clear" w:color="auto" w:fill="CCEEFF"/>
          </w:tcPr>
          <w:p>
            <w:pPr>
              <w:spacing w:after="0"/>
              <w:rPr>
                <w:sz w:val="12"/>
                <w:szCs w:val="12"/>
                <w:color w:val="auto"/>
              </w:rPr>
            </w:pPr>
          </w:p>
        </w:tc>
        <w:tc>
          <w:tcPr>
            <w:tcW w:w="60" w:type="dxa"/>
            <w:vAlign w:val="bottom"/>
            <w:tcBorders>
              <w:top w:val="single" w:sz="8" w:color="CCEEFF"/>
            </w:tcBorders>
            <w:shd w:val="clear" w:color="auto" w:fill="CCEEFF"/>
          </w:tcPr>
          <w:p>
            <w:pPr>
              <w:spacing w:after="0"/>
              <w:rPr>
                <w:sz w:val="12"/>
                <w:szCs w:val="12"/>
                <w:color w:val="auto"/>
              </w:rPr>
            </w:pPr>
          </w:p>
        </w:tc>
        <w:tc>
          <w:tcPr>
            <w:tcW w:w="48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3"/>
                <w:szCs w:val="13"/>
                <w:color w:val="auto"/>
                <w:w w:val="88"/>
              </w:rPr>
              <w:t>$ (2,158)</w:t>
            </w:r>
          </w:p>
        </w:tc>
        <w:tc>
          <w:tcPr>
            <w:tcW w:w="120" w:type="dxa"/>
            <w:vAlign w:val="bottom"/>
            <w:tcBorders>
              <w:top w:val="single" w:sz="8" w:color="CCEEFF"/>
            </w:tcBorders>
            <w:shd w:val="clear" w:color="auto" w:fill="CCEEFF"/>
          </w:tcPr>
          <w:p>
            <w:pPr>
              <w:spacing w:after="0"/>
              <w:rPr>
                <w:sz w:val="12"/>
                <w:szCs w:val="12"/>
                <w:color w:val="auto"/>
              </w:rPr>
            </w:pPr>
          </w:p>
        </w:tc>
        <w:tc>
          <w:tcPr>
            <w:tcW w:w="6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54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3"/>
                <w:szCs w:val="13"/>
                <w:color w:val="auto"/>
              </w:rPr>
              <w:t>(6,952)</w:t>
            </w:r>
          </w:p>
        </w:tc>
        <w:tc>
          <w:tcPr>
            <w:tcW w:w="100" w:type="dxa"/>
            <w:vAlign w:val="bottom"/>
            <w:tcBorders>
              <w:top w:val="single" w:sz="8" w:color="CCEEFF"/>
            </w:tcBorders>
            <w:shd w:val="clear" w:color="auto" w:fill="CCEEFF"/>
          </w:tcPr>
          <w:p>
            <w:pPr>
              <w:spacing w:after="0"/>
              <w:rPr>
                <w:sz w:val="12"/>
                <w:szCs w:val="12"/>
                <w:color w:val="auto"/>
              </w:rPr>
            </w:pPr>
          </w:p>
        </w:tc>
        <w:tc>
          <w:tcPr>
            <w:tcW w:w="6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3"/>
                <w:szCs w:val="13"/>
                <w:color w:val="auto"/>
                <w:w w:val="82"/>
              </w:rPr>
              <w:t>$</w:t>
            </w:r>
          </w:p>
        </w:tc>
        <w:tc>
          <w:tcPr>
            <w:tcW w:w="54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3"/>
                <w:szCs w:val="13"/>
                <w:color w:val="auto"/>
              </w:rPr>
              <w:t>(940)</w:t>
            </w:r>
          </w:p>
        </w:tc>
        <w:tc>
          <w:tcPr>
            <w:tcW w:w="200" w:type="dxa"/>
            <w:vAlign w:val="bottom"/>
            <w:tcBorders>
              <w:top w:val="single" w:sz="8" w:color="CCEEFF"/>
            </w:tcBorders>
            <w:shd w:val="clear" w:color="auto" w:fill="CCEEFF"/>
          </w:tcPr>
          <w:p>
            <w:pPr>
              <w:spacing w:after="0"/>
              <w:rPr>
                <w:sz w:val="12"/>
                <w:szCs w:val="12"/>
                <w:color w:val="auto"/>
              </w:rPr>
            </w:pPr>
          </w:p>
        </w:tc>
        <w:tc>
          <w:tcPr>
            <w:tcW w:w="44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3"/>
                <w:szCs w:val="13"/>
                <w:color w:val="auto"/>
                <w:w w:val="80"/>
              </w:rPr>
              <w:t>$ (2,170)</w:t>
            </w:r>
          </w:p>
        </w:tc>
        <w:tc>
          <w:tcPr>
            <w:tcW w:w="12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46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3"/>
                <w:szCs w:val="13"/>
                <w:color w:val="auto"/>
                <w:w w:val="84"/>
              </w:rPr>
              <w:t>$ (4,383)</w:t>
            </w:r>
          </w:p>
        </w:tc>
        <w:tc>
          <w:tcPr>
            <w:tcW w:w="20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52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3"/>
                <w:szCs w:val="13"/>
                <w:color w:val="auto"/>
              </w:rPr>
              <w:t>(8,586)</w:t>
            </w:r>
          </w:p>
        </w:tc>
        <w:tc>
          <w:tcPr>
            <w:tcW w:w="12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56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3"/>
                <w:szCs w:val="13"/>
                <w:color w:val="auto"/>
              </w:rPr>
              <w:t>(22,476)</w:t>
            </w:r>
          </w:p>
        </w:tc>
        <w:tc>
          <w:tcPr>
            <w:tcW w:w="320" w:type="dxa"/>
            <w:vAlign w:val="bottom"/>
            <w:tcBorders>
              <w:top w:val="single" w:sz="8" w:color="CCEEFF"/>
              <w:right w:val="single" w:sz="8" w:color="auto"/>
            </w:tcBorders>
            <w:shd w:val="clear" w:color="auto" w:fill="CCEEFF"/>
          </w:tcPr>
          <w:p>
            <w:pPr>
              <w:spacing w:after="0"/>
              <w:rPr>
                <w:sz w:val="12"/>
                <w:szCs w:val="12"/>
                <w:color w:val="auto"/>
              </w:rPr>
            </w:pPr>
          </w:p>
        </w:tc>
        <w:tc>
          <w:tcPr>
            <w:tcW w:w="220" w:type="dxa"/>
            <w:vAlign w:val="bottom"/>
            <w:tcBorders>
              <w:top w:val="single" w:sz="8" w:color="CCEEFF"/>
            </w:tcBorders>
            <w:shd w:val="clear" w:color="auto" w:fill="CCEEFF"/>
          </w:tcPr>
          <w:p>
            <w:pPr>
              <w:spacing w:after="0"/>
              <w:rPr>
                <w:sz w:val="12"/>
                <w:szCs w:val="12"/>
                <w:color w:val="auto"/>
              </w:rPr>
            </w:pPr>
          </w:p>
        </w:tc>
        <w:tc>
          <w:tcPr>
            <w:tcW w:w="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32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3"/>
                <w:szCs w:val="13"/>
                <w:color w:val="auto"/>
                <w:w w:val="98"/>
              </w:rPr>
              <w:t>(647)</w:t>
            </w:r>
          </w:p>
        </w:tc>
        <w:tc>
          <w:tcPr>
            <w:tcW w:w="10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3"/>
                <w:szCs w:val="13"/>
                <w:color w:val="auto"/>
                <w:w w:val="82"/>
              </w:rPr>
              <w:t>$</w:t>
            </w:r>
          </w:p>
        </w:tc>
        <w:tc>
          <w:tcPr>
            <w:tcW w:w="38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3"/>
                <w:szCs w:val="13"/>
                <w:color w:val="auto"/>
              </w:rPr>
              <w:t>8,022</w:t>
            </w:r>
          </w:p>
        </w:tc>
        <w:tc>
          <w:tcPr>
            <w:tcW w:w="140" w:type="dxa"/>
            <w:vAlign w:val="bottom"/>
            <w:tcBorders>
              <w:top w:val="single" w:sz="8" w:color="CCEEFF"/>
            </w:tcBorders>
            <w:shd w:val="clear" w:color="auto" w:fill="CCEEFF"/>
          </w:tcPr>
          <w:p>
            <w:pPr>
              <w:spacing w:after="0"/>
              <w:rPr>
                <w:sz w:val="12"/>
                <w:szCs w:val="12"/>
                <w:color w:val="auto"/>
              </w:rPr>
            </w:pPr>
          </w:p>
        </w:tc>
        <w:tc>
          <w:tcPr>
            <w:tcW w:w="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42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3"/>
                <w:szCs w:val="13"/>
                <w:color w:val="auto"/>
              </w:rPr>
              <w:t>5,658</w:t>
            </w:r>
          </w:p>
        </w:tc>
        <w:tc>
          <w:tcPr>
            <w:tcW w:w="40" w:type="dxa"/>
            <w:vAlign w:val="bottom"/>
            <w:tcBorders>
              <w:top w:val="single" w:sz="8" w:color="CCEEFF"/>
            </w:tcBorders>
            <w:shd w:val="clear" w:color="auto" w:fill="CCEEFF"/>
          </w:tcPr>
          <w:p>
            <w:pPr>
              <w:spacing w:after="0"/>
              <w:rPr>
                <w:sz w:val="12"/>
                <w:szCs w:val="12"/>
                <w:color w:val="auto"/>
              </w:rPr>
            </w:pPr>
          </w:p>
        </w:tc>
      </w:tr>
      <w:tr>
        <w:trPr>
          <w:trHeight w:val="149"/>
        </w:trPr>
        <w:tc>
          <w:tcPr>
            <w:tcW w:w="2500" w:type="dxa"/>
            <w:vAlign w:val="bottom"/>
          </w:tcPr>
          <w:p>
            <w:pPr>
              <w:spacing w:after="0"/>
              <w:rPr>
                <w:sz w:val="20"/>
                <w:szCs w:val="20"/>
                <w:color w:val="auto"/>
              </w:rPr>
            </w:pPr>
            <w:r>
              <w:rPr>
                <w:rFonts w:ascii="Arial" w:cs="Arial" w:eastAsia="Arial" w:hAnsi="Arial"/>
                <w:sz w:val="13"/>
                <w:szCs w:val="13"/>
                <w:color w:val="auto"/>
              </w:rPr>
              <w:t>Amortization of intangible assets</w:t>
            </w:r>
            <w:r>
              <w:rPr>
                <w:rFonts w:ascii="Arial" w:cs="Arial" w:eastAsia="Arial" w:hAnsi="Arial"/>
                <w:sz w:val="11"/>
                <w:szCs w:val="11"/>
                <w:color w:val="auto"/>
              </w:rPr>
              <w:t>(1)</w:t>
            </w:r>
          </w:p>
        </w:tc>
        <w:tc>
          <w:tcPr>
            <w:tcW w:w="1140" w:type="dxa"/>
            <w:vAlign w:val="bottom"/>
            <w:gridSpan w:val="3"/>
          </w:tcPr>
          <w:p>
            <w:pPr>
              <w:jc w:val="right"/>
              <w:ind w:right="100"/>
              <w:spacing w:after="0"/>
              <w:rPr>
                <w:sz w:val="20"/>
                <w:szCs w:val="20"/>
                <w:color w:val="auto"/>
              </w:rPr>
            </w:pPr>
            <w:r>
              <w:rPr>
                <w:rFonts w:ascii="Arial" w:cs="Arial" w:eastAsia="Arial" w:hAnsi="Arial"/>
                <w:sz w:val="13"/>
                <w:szCs w:val="13"/>
                <w:color w:val="auto"/>
              </w:rPr>
              <w:t>14,250</w:t>
            </w:r>
          </w:p>
        </w:tc>
        <w:tc>
          <w:tcPr>
            <w:tcW w:w="660" w:type="dxa"/>
            <w:vAlign w:val="bottom"/>
            <w:gridSpan w:val="3"/>
          </w:tcPr>
          <w:p>
            <w:pPr>
              <w:jc w:val="right"/>
              <w:ind w:right="120"/>
              <w:spacing w:after="0"/>
              <w:rPr>
                <w:sz w:val="20"/>
                <w:szCs w:val="20"/>
                <w:color w:val="auto"/>
              </w:rPr>
            </w:pPr>
            <w:r>
              <w:rPr>
                <w:rFonts w:ascii="Arial" w:cs="Arial" w:eastAsia="Arial" w:hAnsi="Arial"/>
                <w:sz w:val="13"/>
                <w:szCs w:val="13"/>
                <w:color w:val="auto"/>
              </w:rPr>
              <w:t>14,092</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3"/>
                <w:szCs w:val="13"/>
                <w:color w:val="auto"/>
              </w:rPr>
              <w:t>14,819</w:t>
            </w: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gridSpan w:val="2"/>
          </w:tcPr>
          <w:p>
            <w:pPr>
              <w:jc w:val="right"/>
              <w:ind w:right="200"/>
              <w:spacing w:after="0"/>
              <w:rPr>
                <w:sz w:val="20"/>
                <w:szCs w:val="20"/>
                <w:color w:val="auto"/>
              </w:rPr>
            </w:pPr>
            <w:r>
              <w:rPr>
                <w:rFonts w:ascii="Arial" w:cs="Arial" w:eastAsia="Arial" w:hAnsi="Arial"/>
                <w:sz w:val="13"/>
                <w:szCs w:val="13"/>
                <w:color w:val="auto"/>
              </w:rPr>
              <w:t>14,570</w:t>
            </w:r>
          </w:p>
        </w:tc>
        <w:tc>
          <w:tcPr>
            <w:tcW w:w="440" w:type="dxa"/>
            <w:vAlign w:val="bottom"/>
          </w:tcPr>
          <w:p>
            <w:pPr>
              <w:jc w:val="right"/>
              <w:spacing w:after="0"/>
              <w:rPr>
                <w:sz w:val="20"/>
                <w:szCs w:val="20"/>
                <w:color w:val="auto"/>
              </w:rPr>
            </w:pPr>
            <w:r>
              <w:rPr>
                <w:rFonts w:ascii="Arial" w:cs="Arial" w:eastAsia="Arial" w:hAnsi="Arial"/>
                <w:sz w:val="13"/>
                <w:szCs w:val="13"/>
                <w:color w:val="auto"/>
              </w:rPr>
              <w:t>14,413</w:t>
            </w:r>
          </w:p>
        </w:tc>
        <w:tc>
          <w:tcPr>
            <w:tcW w:w="120" w:type="dxa"/>
            <w:vAlign w:val="bottom"/>
          </w:tcPr>
          <w:p>
            <w:pPr>
              <w:spacing w:after="0"/>
              <w:rPr>
                <w:sz w:val="12"/>
                <w:szCs w:val="12"/>
                <w:color w:val="auto"/>
              </w:rPr>
            </w:pPr>
          </w:p>
        </w:tc>
        <w:tc>
          <w:tcPr>
            <w:tcW w:w="740" w:type="dxa"/>
            <w:vAlign w:val="bottom"/>
            <w:gridSpan w:val="3"/>
          </w:tcPr>
          <w:p>
            <w:pPr>
              <w:jc w:val="right"/>
              <w:ind w:right="200"/>
              <w:spacing w:after="0"/>
              <w:rPr>
                <w:sz w:val="20"/>
                <w:szCs w:val="20"/>
                <w:color w:val="auto"/>
              </w:rPr>
            </w:pPr>
            <w:r>
              <w:rPr>
                <w:rFonts w:ascii="Arial" w:cs="Arial" w:eastAsia="Arial" w:hAnsi="Arial"/>
                <w:sz w:val="13"/>
                <w:szCs w:val="13"/>
                <w:color w:val="auto"/>
              </w:rPr>
              <w:t>14,412</w:t>
            </w:r>
          </w:p>
        </w:tc>
        <w:tc>
          <w:tcPr>
            <w:tcW w:w="100" w:type="dxa"/>
            <w:vAlign w:val="bottom"/>
          </w:tcPr>
          <w:p>
            <w:pPr>
              <w:spacing w:after="0"/>
              <w:rPr>
                <w:sz w:val="12"/>
                <w:szCs w:val="12"/>
                <w:color w:val="auto"/>
              </w:rPr>
            </w:pPr>
          </w:p>
        </w:tc>
        <w:tc>
          <w:tcPr>
            <w:tcW w:w="520" w:type="dxa"/>
            <w:vAlign w:val="bottom"/>
          </w:tcPr>
          <w:p>
            <w:pPr>
              <w:jc w:val="right"/>
              <w:spacing w:after="0"/>
              <w:rPr>
                <w:sz w:val="20"/>
                <w:szCs w:val="20"/>
                <w:color w:val="auto"/>
              </w:rPr>
            </w:pPr>
            <w:r>
              <w:rPr>
                <w:rFonts w:ascii="Arial" w:cs="Arial" w:eastAsia="Arial" w:hAnsi="Arial"/>
                <w:sz w:val="13"/>
                <w:szCs w:val="13"/>
                <w:color w:val="auto"/>
              </w:rPr>
              <w:t>16,743</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tcBorders>
              <w:right w:val="single" w:sz="8" w:color="auto"/>
            </w:tcBorders>
            <w:gridSpan w:val="2"/>
          </w:tcPr>
          <w:p>
            <w:pPr>
              <w:jc w:val="right"/>
              <w:ind w:right="320"/>
              <w:spacing w:after="0"/>
              <w:rPr>
                <w:sz w:val="20"/>
                <w:szCs w:val="20"/>
                <w:color w:val="auto"/>
              </w:rPr>
            </w:pPr>
            <w:r>
              <w:rPr>
                <w:rFonts w:ascii="Arial" w:cs="Arial" w:eastAsia="Arial" w:hAnsi="Arial"/>
                <w:sz w:val="13"/>
                <w:szCs w:val="13"/>
                <w:color w:val="auto"/>
              </w:rPr>
              <w:t>13,862</w:t>
            </w:r>
          </w:p>
        </w:tc>
        <w:tc>
          <w:tcPr>
            <w:tcW w:w="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20" w:type="dxa"/>
            <w:vAlign w:val="bottom"/>
            <w:gridSpan w:val="2"/>
          </w:tcPr>
          <w:p>
            <w:pPr>
              <w:jc w:val="right"/>
              <w:ind w:right="100"/>
              <w:spacing w:after="0"/>
              <w:rPr>
                <w:sz w:val="20"/>
                <w:szCs w:val="20"/>
                <w:color w:val="auto"/>
              </w:rPr>
            </w:pPr>
            <w:r>
              <w:rPr>
                <w:rFonts w:ascii="Arial" w:cs="Arial" w:eastAsia="Arial" w:hAnsi="Arial"/>
                <w:sz w:val="13"/>
                <w:szCs w:val="13"/>
                <w:color w:val="auto"/>
              </w:rPr>
              <w:t>162</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80" w:type="dxa"/>
            <w:vAlign w:val="bottom"/>
          </w:tcPr>
          <w:p>
            <w:pPr>
              <w:jc w:val="right"/>
              <w:spacing w:after="0"/>
              <w:rPr>
                <w:sz w:val="20"/>
                <w:szCs w:val="20"/>
                <w:color w:val="auto"/>
              </w:rPr>
            </w:pPr>
            <w:r>
              <w:rPr>
                <w:rFonts w:ascii="Arial" w:cs="Arial" w:eastAsia="Arial" w:hAnsi="Arial"/>
                <w:sz w:val="13"/>
                <w:szCs w:val="13"/>
                <w:color w:val="auto"/>
              </w:rPr>
              <w:t>972</w:t>
            </w: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20" w:type="dxa"/>
            <w:vAlign w:val="bottom"/>
          </w:tcPr>
          <w:p>
            <w:pPr>
              <w:jc w:val="right"/>
              <w:spacing w:after="0"/>
              <w:rPr>
                <w:sz w:val="20"/>
                <w:szCs w:val="20"/>
                <w:color w:val="auto"/>
              </w:rPr>
            </w:pPr>
            <w:r>
              <w:rPr>
                <w:rFonts w:ascii="Arial" w:cs="Arial" w:eastAsia="Arial" w:hAnsi="Arial"/>
                <w:sz w:val="13"/>
                <w:szCs w:val="13"/>
                <w:color w:val="auto"/>
              </w:rPr>
              <w:t>908</w:t>
            </w:r>
          </w:p>
        </w:tc>
        <w:tc>
          <w:tcPr>
            <w:tcW w:w="40" w:type="dxa"/>
            <w:vAlign w:val="bottom"/>
          </w:tcPr>
          <w:p>
            <w:pPr>
              <w:spacing w:after="0"/>
              <w:rPr>
                <w:sz w:val="12"/>
                <w:szCs w:val="12"/>
                <w:color w:val="auto"/>
              </w:rPr>
            </w:pPr>
          </w:p>
        </w:tc>
      </w:tr>
      <w:tr>
        <w:trPr>
          <w:trHeight w:val="148"/>
        </w:trPr>
        <w:tc>
          <w:tcPr>
            <w:tcW w:w="2500" w:type="dxa"/>
            <w:vAlign w:val="bottom"/>
            <w:shd w:val="clear" w:color="auto" w:fill="CCEEFF"/>
          </w:tcPr>
          <w:p>
            <w:pPr>
              <w:spacing w:after="0"/>
              <w:rPr>
                <w:sz w:val="20"/>
                <w:szCs w:val="20"/>
                <w:color w:val="auto"/>
              </w:rPr>
            </w:pPr>
            <w:r>
              <w:rPr>
                <w:rFonts w:ascii="Arial" w:cs="Arial" w:eastAsia="Arial" w:hAnsi="Arial"/>
                <w:sz w:val="13"/>
                <w:szCs w:val="13"/>
                <w:color w:val="auto"/>
              </w:rPr>
              <w:t>Equity compensation costs</w:t>
            </w:r>
          </w:p>
        </w:tc>
        <w:tc>
          <w:tcPr>
            <w:tcW w:w="1140" w:type="dxa"/>
            <w:vAlign w:val="bottom"/>
            <w:gridSpan w:val="3"/>
            <w:shd w:val="clear" w:color="auto" w:fill="CCEEFF"/>
          </w:tcPr>
          <w:p>
            <w:pPr>
              <w:jc w:val="right"/>
              <w:ind w:right="100"/>
              <w:spacing w:after="0"/>
              <w:rPr>
                <w:sz w:val="20"/>
                <w:szCs w:val="20"/>
                <w:color w:val="auto"/>
              </w:rPr>
            </w:pPr>
            <w:r>
              <w:rPr>
                <w:rFonts w:ascii="Arial" w:cs="Arial" w:eastAsia="Arial" w:hAnsi="Arial"/>
                <w:sz w:val="13"/>
                <w:szCs w:val="13"/>
                <w:color w:val="auto"/>
              </w:rPr>
              <w:t>1,615</w:t>
            </w:r>
          </w:p>
        </w:tc>
        <w:tc>
          <w:tcPr>
            <w:tcW w:w="660" w:type="dxa"/>
            <w:vAlign w:val="bottom"/>
            <w:gridSpan w:val="3"/>
            <w:shd w:val="clear" w:color="auto" w:fill="CCEEFF"/>
          </w:tcPr>
          <w:p>
            <w:pPr>
              <w:jc w:val="right"/>
              <w:ind w:right="120"/>
              <w:spacing w:after="0"/>
              <w:rPr>
                <w:sz w:val="20"/>
                <w:szCs w:val="20"/>
                <w:color w:val="auto"/>
              </w:rPr>
            </w:pPr>
            <w:r>
              <w:rPr>
                <w:rFonts w:ascii="Arial" w:cs="Arial" w:eastAsia="Arial" w:hAnsi="Arial"/>
                <w:sz w:val="13"/>
                <w:szCs w:val="13"/>
                <w:color w:val="auto"/>
              </w:rPr>
              <w:t>406</w:t>
            </w: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417</w:t>
            </w:r>
          </w:p>
        </w:tc>
        <w:tc>
          <w:tcPr>
            <w:tcW w:w="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458</w:t>
            </w:r>
          </w:p>
        </w:tc>
        <w:tc>
          <w:tcPr>
            <w:tcW w:w="4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442</w:t>
            </w:r>
          </w:p>
        </w:tc>
        <w:tc>
          <w:tcPr>
            <w:tcW w:w="120" w:type="dxa"/>
            <w:vAlign w:val="bottom"/>
            <w:shd w:val="clear" w:color="auto" w:fill="CCEEFF"/>
          </w:tcPr>
          <w:p>
            <w:pPr>
              <w:spacing w:after="0"/>
              <w:rPr>
                <w:sz w:val="12"/>
                <w:szCs w:val="12"/>
                <w:color w:val="auto"/>
              </w:rPr>
            </w:pPr>
          </w:p>
        </w:tc>
        <w:tc>
          <w:tcPr>
            <w:tcW w:w="740" w:type="dxa"/>
            <w:vAlign w:val="bottom"/>
            <w:gridSpan w:val="3"/>
            <w:shd w:val="clear" w:color="auto" w:fill="CCEEFF"/>
          </w:tcPr>
          <w:p>
            <w:pPr>
              <w:jc w:val="right"/>
              <w:ind w:right="200"/>
              <w:spacing w:after="0"/>
              <w:rPr>
                <w:sz w:val="20"/>
                <w:szCs w:val="20"/>
                <w:color w:val="auto"/>
              </w:rPr>
            </w:pPr>
            <w:r>
              <w:rPr>
                <w:rFonts w:ascii="Arial" w:cs="Arial" w:eastAsia="Arial" w:hAnsi="Arial"/>
                <w:sz w:val="13"/>
                <w:szCs w:val="13"/>
                <w:color w:val="auto"/>
              </w:rPr>
              <w:t>430</w:t>
            </w:r>
          </w:p>
        </w:tc>
        <w:tc>
          <w:tcPr>
            <w:tcW w:w="100" w:type="dxa"/>
            <w:vAlign w:val="bottom"/>
            <w:shd w:val="clear" w:color="auto" w:fill="CCEEFF"/>
          </w:tcPr>
          <w:p>
            <w:pPr>
              <w:spacing w:after="0"/>
              <w:rPr>
                <w:sz w:val="12"/>
                <w:szCs w:val="12"/>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412</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80" w:type="dxa"/>
            <w:vAlign w:val="bottom"/>
            <w:tcBorders>
              <w:right w:val="single" w:sz="8" w:color="auto"/>
            </w:tcBorders>
            <w:gridSpan w:val="2"/>
            <w:shd w:val="clear" w:color="auto" w:fill="CCEEFF"/>
          </w:tcPr>
          <w:p>
            <w:pPr>
              <w:jc w:val="right"/>
              <w:ind w:right="320"/>
              <w:spacing w:after="0"/>
              <w:rPr>
                <w:sz w:val="20"/>
                <w:szCs w:val="20"/>
                <w:color w:val="auto"/>
              </w:rPr>
            </w:pPr>
            <w:r>
              <w:rPr>
                <w:rFonts w:ascii="Arial" w:cs="Arial" w:eastAsia="Arial" w:hAnsi="Arial"/>
                <w:sz w:val="13"/>
                <w:szCs w:val="13"/>
                <w:color w:val="auto"/>
              </w:rPr>
              <w:t>332</w:t>
            </w:r>
          </w:p>
        </w:tc>
        <w:tc>
          <w:tcPr>
            <w:tcW w:w="2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2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w w:val="92"/>
              </w:rPr>
              <w:t>2,402</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1,712</w:t>
            </w:r>
          </w:p>
        </w:tc>
        <w:tc>
          <w:tcPr>
            <w:tcW w:w="1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1,693</w:t>
            </w:r>
          </w:p>
        </w:tc>
        <w:tc>
          <w:tcPr>
            <w:tcW w:w="40" w:type="dxa"/>
            <w:vAlign w:val="bottom"/>
            <w:shd w:val="clear" w:color="auto" w:fill="CCEEFF"/>
          </w:tcPr>
          <w:p>
            <w:pPr>
              <w:spacing w:after="0"/>
              <w:rPr>
                <w:sz w:val="12"/>
                <w:szCs w:val="12"/>
                <w:color w:val="auto"/>
              </w:rPr>
            </w:pPr>
          </w:p>
        </w:tc>
      </w:tr>
      <w:tr>
        <w:trPr>
          <w:trHeight w:val="148"/>
        </w:trPr>
        <w:tc>
          <w:tcPr>
            <w:tcW w:w="2500" w:type="dxa"/>
            <w:vAlign w:val="bottom"/>
          </w:tcPr>
          <w:p>
            <w:pPr>
              <w:spacing w:after="0"/>
              <w:rPr>
                <w:sz w:val="20"/>
                <w:szCs w:val="20"/>
                <w:color w:val="auto"/>
              </w:rPr>
            </w:pPr>
            <w:r>
              <w:rPr>
                <w:rFonts w:ascii="Arial" w:cs="Arial" w:eastAsia="Arial" w:hAnsi="Arial"/>
                <w:sz w:val="13"/>
                <w:szCs w:val="13"/>
                <w:color w:val="auto"/>
              </w:rPr>
              <w:t>Acquisition-related expenses</w:t>
            </w:r>
            <w:r>
              <w:rPr>
                <w:rFonts w:ascii="Arial" w:cs="Arial" w:eastAsia="Arial" w:hAnsi="Arial"/>
                <w:sz w:val="11"/>
                <w:szCs w:val="11"/>
                <w:color w:val="auto"/>
              </w:rPr>
              <w:t>(2)</w:t>
            </w:r>
          </w:p>
        </w:tc>
        <w:tc>
          <w:tcPr>
            <w:tcW w:w="1140" w:type="dxa"/>
            <w:vAlign w:val="bottom"/>
            <w:gridSpan w:val="3"/>
          </w:tcPr>
          <w:p>
            <w:pPr>
              <w:jc w:val="right"/>
              <w:ind w:right="100"/>
              <w:spacing w:after="0"/>
              <w:rPr>
                <w:sz w:val="20"/>
                <w:szCs w:val="20"/>
                <w:color w:val="auto"/>
              </w:rPr>
            </w:pPr>
            <w:r>
              <w:rPr>
                <w:rFonts w:ascii="Arial" w:cs="Arial" w:eastAsia="Arial" w:hAnsi="Arial"/>
                <w:sz w:val="13"/>
                <w:szCs w:val="13"/>
                <w:color w:val="auto"/>
              </w:rPr>
              <w:t>3,431</w:t>
            </w:r>
          </w:p>
        </w:tc>
        <w:tc>
          <w:tcPr>
            <w:tcW w:w="660" w:type="dxa"/>
            <w:vAlign w:val="bottom"/>
            <w:gridSpan w:val="3"/>
          </w:tcPr>
          <w:p>
            <w:pPr>
              <w:jc w:val="right"/>
              <w:ind w:right="120"/>
              <w:spacing w:after="0"/>
              <w:rPr>
                <w:sz w:val="20"/>
                <w:szCs w:val="20"/>
                <w:color w:val="auto"/>
              </w:rPr>
            </w:pPr>
            <w:r>
              <w:rPr>
                <w:rFonts w:ascii="Arial" w:cs="Arial" w:eastAsia="Arial" w:hAnsi="Arial"/>
                <w:sz w:val="13"/>
                <w:szCs w:val="13"/>
                <w:color w:val="auto"/>
              </w:rPr>
              <w:t>38</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3"/>
                <w:szCs w:val="13"/>
                <w:color w:val="auto"/>
              </w:rPr>
              <w:t>3,028</w:t>
            </w: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gridSpan w:val="2"/>
          </w:tcPr>
          <w:p>
            <w:pPr>
              <w:jc w:val="right"/>
              <w:ind w:right="200"/>
              <w:spacing w:after="0"/>
              <w:rPr>
                <w:sz w:val="20"/>
                <w:szCs w:val="20"/>
                <w:color w:val="auto"/>
              </w:rPr>
            </w:pPr>
            <w:r>
              <w:rPr>
                <w:rFonts w:ascii="Arial" w:cs="Arial" w:eastAsia="Arial" w:hAnsi="Arial"/>
                <w:sz w:val="13"/>
                <w:szCs w:val="13"/>
                <w:color w:val="auto"/>
              </w:rPr>
              <w:t>40</w:t>
            </w:r>
          </w:p>
        </w:tc>
        <w:tc>
          <w:tcPr>
            <w:tcW w:w="440" w:type="dxa"/>
            <w:vAlign w:val="bottom"/>
          </w:tcPr>
          <w:p>
            <w:pPr>
              <w:jc w:val="right"/>
              <w:spacing w:after="0"/>
              <w:rPr>
                <w:sz w:val="20"/>
                <w:szCs w:val="20"/>
                <w:color w:val="auto"/>
              </w:rPr>
            </w:pPr>
            <w:r>
              <w:rPr>
                <w:rFonts w:ascii="Arial" w:cs="Arial" w:eastAsia="Arial" w:hAnsi="Arial"/>
                <w:sz w:val="13"/>
                <w:szCs w:val="13"/>
                <w:color w:val="auto"/>
              </w:rPr>
              <w:t>268</w:t>
            </w:r>
          </w:p>
        </w:tc>
        <w:tc>
          <w:tcPr>
            <w:tcW w:w="120" w:type="dxa"/>
            <w:vAlign w:val="bottom"/>
          </w:tcPr>
          <w:p>
            <w:pPr>
              <w:spacing w:after="0"/>
              <w:rPr>
                <w:sz w:val="12"/>
                <w:szCs w:val="12"/>
                <w:color w:val="auto"/>
              </w:rPr>
            </w:pPr>
          </w:p>
        </w:tc>
        <w:tc>
          <w:tcPr>
            <w:tcW w:w="740" w:type="dxa"/>
            <w:vAlign w:val="bottom"/>
            <w:gridSpan w:val="3"/>
          </w:tcPr>
          <w:p>
            <w:pPr>
              <w:jc w:val="right"/>
              <w:ind w:right="200"/>
              <w:spacing w:after="0"/>
              <w:rPr>
                <w:sz w:val="20"/>
                <w:szCs w:val="20"/>
                <w:color w:val="auto"/>
              </w:rPr>
            </w:pPr>
            <w:r>
              <w:rPr>
                <w:rFonts w:ascii="Arial" w:cs="Arial" w:eastAsia="Arial" w:hAnsi="Arial"/>
                <w:sz w:val="13"/>
                <w:szCs w:val="13"/>
                <w:color w:val="auto"/>
              </w:rPr>
              <w:t>440</w:t>
            </w:r>
          </w:p>
        </w:tc>
        <w:tc>
          <w:tcPr>
            <w:tcW w:w="100" w:type="dxa"/>
            <w:vAlign w:val="bottom"/>
          </w:tcPr>
          <w:p>
            <w:pPr>
              <w:spacing w:after="0"/>
              <w:rPr>
                <w:sz w:val="12"/>
                <w:szCs w:val="12"/>
                <w:color w:val="auto"/>
              </w:rPr>
            </w:pPr>
          </w:p>
        </w:tc>
        <w:tc>
          <w:tcPr>
            <w:tcW w:w="640" w:type="dxa"/>
            <w:vAlign w:val="bottom"/>
            <w:gridSpan w:val="2"/>
          </w:tcPr>
          <w:p>
            <w:pPr>
              <w:jc w:val="right"/>
              <w:ind w:right="60"/>
              <w:spacing w:after="0"/>
              <w:rPr>
                <w:sz w:val="20"/>
                <w:szCs w:val="20"/>
                <w:color w:val="auto"/>
              </w:rPr>
            </w:pPr>
            <w:r>
              <w:rPr>
                <w:rFonts w:ascii="Arial" w:cs="Arial" w:eastAsia="Arial" w:hAnsi="Arial"/>
                <w:sz w:val="13"/>
                <w:szCs w:val="13"/>
                <w:color w:val="auto"/>
              </w:rPr>
              <w:t>(678)</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tcBorders>
              <w:right w:val="single" w:sz="8" w:color="auto"/>
            </w:tcBorders>
            <w:gridSpan w:val="2"/>
          </w:tcPr>
          <w:p>
            <w:pPr>
              <w:jc w:val="right"/>
              <w:ind w:right="320"/>
              <w:spacing w:after="0"/>
              <w:rPr>
                <w:sz w:val="20"/>
                <w:szCs w:val="20"/>
                <w:color w:val="auto"/>
              </w:rPr>
            </w:pPr>
            <w:r>
              <w:rPr>
                <w:rFonts w:ascii="Arial" w:cs="Arial" w:eastAsia="Arial" w:hAnsi="Arial"/>
                <w:sz w:val="13"/>
                <w:szCs w:val="13"/>
                <w:color w:val="auto"/>
              </w:rPr>
              <w:t>15,381</w:t>
            </w:r>
          </w:p>
        </w:tc>
        <w:tc>
          <w:tcPr>
            <w:tcW w:w="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20" w:type="dxa"/>
            <w:vAlign w:val="bottom"/>
            <w:gridSpan w:val="2"/>
          </w:tcPr>
          <w:p>
            <w:pPr>
              <w:ind w:left="12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80" w:type="dxa"/>
            <w:vAlign w:val="bottom"/>
          </w:tcPr>
          <w:p>
            <w:pPr>
              <w:jc w:val="right"/>
              <w:spacing w:after="0"/>
              <w:rPr>
                <w:sz w:val="20"/>
                <w:szCs w:val="20"/>
                <w:color w:val="auto"/>
              </w:rPr>
            </w:pPr>
            <w:r>
              <w:rPr>
                <w:rFonts w:ascii="Arial" w:cs="Arial" w:eastAsia="Arial" w:hAnsi="Arial"/>
                <w:sz w:val="13"/>
                <w:szCs w:val="13"/>
                <w:color w:val="auto"/>
              </w:rPr>
              <w:t>1,019</w:t>
            </w: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20" w:type="dxa"/>
            <w:vAlign w:val="bottom"/>
          </w:tcPr>
          <w:p>
            <w:pPr>
              <w:jc w:val="right"/>
              <w:spacing w:after="0"/>
              <w:rPr>
                <w:sz w:val="20"/>
                <w:szCs w:val="20"/>
                <w:color w:val="auto"/>
              </w:rPr>
            </w:pPr>
            <w:r>
              <w:rPr>
                <w:rFonts w:ascii="Arial" w:cs="Arial" w:eastAsia="Arial" w:hAnsi="Arial"/>
                <w:sz w:val="13"/>
                <w:szCs w:val="13"/>
                <w:color w:val="auto"/>
              </w:rPr>
              <w:t>132</w:t>
            </w:r>
          </w:p>
        </w:tc>
        <w:tc>
          <w:tcPr>
            <w:tcW w:w="40" w:type="dxa"/>
            <w:vAlign w:val="bottom"/>
          </w:tcPr>
          <w:p>
            <w:pPr>
              <w:spacing w:after="0"/>
              <w:rPr>
                <w:sz w:val="12"/>
                <w:szCs w:val="12"/>
                <w:color w:val="auto"/>
              </w:rPr>
            </w:pPr>
          </w:p>
        </w:tc>
      </w:tr>
      <w:tr>
        <w:trPr>
          <w:trHeight w:val="149"/>
        </w:trPr>
        <w:tc>
          <w:tcPr>
            <w:tcW w:w="2500" w:type="dxa"/>
            <w:vAlign w:val="bottom"/>
            <w:shd w:val="clear" w:color="auto" w:fill="CCEEFF"/>
          </w:tcPr>
          <w:p>
            <w:pPr>
              <w:spacing w:after="0"/>
              <w:rPr>
                <w:sz w:val="20"/>
                <w:szCs w:val="20"/>
                <w:color w:val="auto"/>
              </w:rPr>
            </w:pPr>
            <w:r>
              <w:rPr>
                <w:rFonts w:ascii="Arial" w:cs="Arial" w:eastAsia="Arial" w:hAnsi="Arial"/>
                <w:sz w:val="13"/>
                <w:szCs w:val="13"/>
                <w:color w:val="auto"/>
              </w:rPr>
              <w:t>Other non-recurring adjustments</w:t>
            </w:r>
            <w:r>
              <w:rPr>
                <w:rFonts w:ascii="Arial" w:cs="Arial" w:eastAsia="Arial" w:hAnsi="Arial"/>
                <w:sz w:val="11"/>
                <w:szCs w:val="11"/>
                <w:color w:val="auto"/>
              </w:rPr>
              <w:t>(3)</w:t>
            </w:r>
          </w:p>
        </w:tc>
        <w:tc>
          <w:tcPr>
            <w:tcW w:w="580" w:type="dxa"/>
            <w:vAlign w:val="bottom"/>
            <w:shd w:val="clear" w:color="auto" w:fill="CCEEFF"/>
          </w:tcPr>
          <w:p>
            <w:pPr>
              <w:spacing w:after="0"/>
              <w:rPr>
                <w:sz w:val="12"/>
                <w:szCs w:val="12"/>
                <w:color w:val="auto"/>
              </w:rPr>
            </w:pPr>
          </w:p>
        </w:tc>
        <w:tc>
          <w:tcPr>
            <w:tcW w:w="560" w:type="dxa"/>
            <w:vAlign w:val="bottom"/>
            <w:tcBorders>
              <w:bottom w:val="single" w:sz="8" w:color="auto"/>
            </w:tcBorders>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1,069</w:t>
            </w:r>
          </w:p>
        </w:tc>
        <w:tc>
          <w:tcPr>
            <w:tcW w:w="660" w:type="dxa"/>
            <w:vAlign w:val="bottom"/>
            <w:tcBorders>
              <w:bottom w:val="single" w:sz="8" w:color="auto"/>
            </w:tcBorders>
            <w:gridSpan w:val="3"/>
            <w:shd w:val="clear" w:color="auto" w:fill="CCEEFF"/>
          </w:tcPr>
          <w:p>
            <w:pPr>
              <w:jc w:val="right"/>
              <w:ind w:right="120"/>
              <w:spacing w:after="0"/>
              <w:rPr>
                <w:sz w:val="20"/>
                <w:szCs w:val="20"/>
                <w:color w:val="auto"/>
              </w:rPr>
            </w:pPr>
            <w:r>
              <w:rPr>
                <w:rFonts w:ascii="Arial" w:cs="Arial" w:eastAsia="Arial" w:hAnsi="Arial"/>
                <w:sz w:val="13"/>
                <w:szCs w:val="13"/>
                <w:color w:val="auto"/>
              </w:rPr>
              <w:t>1,095</w:t>
            </w:r>
          </w:p>
        </w:tc>
        <w:tc>
          <w:tcPr>
            <w:tcW w:w="60" w:type="dxa"/>
            <w:vAlign w:val="bottom"/>
            <w:tcBorders>
              <w:bottom w:val="single" w:sz="8" w:color="auto"/>
            </w:tcBorders>
            <w:shd w:val="clear" w:color="auto" w:fill="CCEEFF"/>
          </w:tcPr>
          <w:p>
            <w:pPr>
              <w:spacing w:after="0"/>
              <w:rPr>
                <w:sz w:val="12"/>
                <w:szCs w:val="12"/>
                <w:color w:val="auto"/>
              </w:rPr>
            </w:pPr>
          </w:p>
        </w:tc>
        <w:tc>
          <w:tcPr>
            <w:tcW w:w="100" w:type="dxa"/>
            <w:vAlign w:val="bottom"/>
            <w:tcBorders>
              <w:bottom w:val="single" w:sz="8" w:color="auto"/>
            </w:tcBorders>
            <w:shd w:val="clear" w:color="auto" w:fill="CCEEFF"/>
          </w:tcPr>
          <w:p>
            <w:pPr>
              <w:spacing w:after="0"/>
              <w:rPr>
                <w:sz w:val="12"/>
                <w:szCs w:val="12"/>
                <w:color w:val="auto"/>
              </w:rPr>
            </w:pPr>
          </w:p>
        </w:tc>
        <w:tc>
          <w:tcPr>
            <w:tcW w:w="640" w:type="dxa"/>
            <w:vAlign w:val="bottom"/>
            <w:tcBorders>
              <w:bottom w:val="single" w:sz="8" w:color="auto"/>
            </w:tcBorders>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1,043</w:t>
            </w:r>
          </w:p>
        </w:tc>
        <w:tc>
          <w:tcPr>
            <w:tcW w:w="60" w:type="dxa"/>
            <w:vAlign w:val="bottom"/>
            <w:tcBorders>
              <w:bottom w:val="single" w:sz="8" w:color="auto"/>
            </w:tcBorders>
            <w:shd w:val="clear" w:color="auto" w:fill="CCEEFF"/>
          </w:tcPr>
          <w:p>
            <w:pPr>
              <w:spacing w:after="0"/>
              <w:rPr>
                <w:sz w:val="12"/>
                <w:szCs w:val="12"/>
                <w:color w:val="auto"/>
              </w:rPr>
            </w:pPr>
          </w:p>
        </w:tc>
        <w:tc>
          <w:tcPr>
            <w:tcW w:w="120" w:type="dxa"/>
            <w:vAlign w:val="bottom"/>
            <w:tcBorders>
              <w:bottom w:val="single" w:sz="8" w:color="auto"/>
            </w:tcBorders>
            <w:shd w:val="clear" w:color="auto" w:fill="CCEEFF"/>
          </w:tcPr>
          <w:p>
            <w:pPr>
              <w:spacing w:after="0"/>
              <w:rPr>
                <w:sz w:val="12"/>
                <w:szCs w:val="12"/>
                <w:color w:val="auto"/>
              </w:rPr>
            </w:pPr>
          </w:p>
        </w:tc>
        <w:tc>
          <w:tcPr>
            <w:tcW w:w="740" w:type="dxa"/>
            <w:vAlign w:val="bottom"/>
            <w:tcBorders>
              <w:bottom w:val="single" w:sz="8" w:color="auto"/>
            </w:tcBorders>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37</w:t>
            </w: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890</w:t>
            </w:r>
          </w:p>
        </w:tc>
        <w:tc>
          <w:tcPr>
            <w:tcW w:w="120" w:type="dxa"/>
            <w:vAlign w:val="bottom"/>
            <w:tcBorders>
              <w:bottom w:val="single" w:sz="8" w:color="auto"/>
            </w:tcBorders>
            <w:shd w:val="clear" w:color="auto" w:fill="CCEEFF"/>
          </w:tcPr>
          <w:p>
            <w:pPr>
              <w:spacing w:after="0"/>
              <w:rPr>
                <w:sz w:val="12"/>
                <w:szCs w:val="12"/>
                <w:color w:val="auto"/>
              </w:rPr>
            </w:pPr>
          </w:p>
        </w:tc>
        <w:tc>
          <w:tcPr>
            <w:tcW w:w="740" w:type="dxa"/>
            <w:vAlign w:val="bottom"/>
            <w:tcBorders>
              <w:bottom w:val="single" w:sz="8" w:color="auto"/>
            </w:tcBorders>
            <w:gridSpan w:val="3"/>
            <w:shd w:val="clear" w:color="auto" w:fill="CCEEFF"/>
          </w:tcPr>
          <w:p>
            <w:pPr>
              <w:jc w:val="right"/>
              <w:ind w:right="200"/>
              <w:spacing w:after="0"/>
              <w:rPr>
                <w:sz w:val="20"/>
                <w:szCs w:val="20"/>
                <w:color w:val="auto"/>
              </w:rPr>
            </w:pPr>
            <w:r>
              <w:rPr>
                <w:rFonts w:ascii="Arial" w:cs="Arial" w:eastAsia="Arial" w:hAnsi="Arial"/>
                <w:sz w:val="13"/>
                <w:szCs w:val="13"/>
                <w:color w:val="auto"/>
              </w:rPr>
              <w:t>877</w:t>
            </w:r>
          </w:p>
        </w:tc>
        <w:tc>
          <w:tcPr>
            <w:tcW w:w="100" w:type="dxa"/>
            <w:vAlign w:val="bottom"/>
            <w:tcBorders>
              <w:bottom w:val="single" w:sz="8" w:color="auto"/>
            </w:tcBorders>
            <w:shd w:val="clear" w:color="auto" w:fill="CCEEFF"/>
          </w:tcPr>
          <w:p>
            <w:pPr>
              <w:spacing w:after="0"/>
              <w:rPr>
                <w:sz w:val="12"/>
                <w:szCs w:val="12"/>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2,622</w:t>
            </w:r>
          </w:p>
        </w:tc>
        <w:tc>
          <w:tcPr>
            <w:tcW w:w="120" w:type="dxa"/>
            <w:vAlign w:val="bottom"/>
            <w:tcBorders>
              <w:bottom w:val="single" w:sz="8" w:color="auto"/>
            </w:tcBorders>
            <w:shd w:val="clear" w:color="auto" w:fill="CCEEFF"/>
          </w:tcPr>
          <w:p>
            <w:pPr>
              <w:spacing w:after="0"/>
              <w:rPr>
                <w:sz w:val="12"/>
                <w:szCs w:val="12"/>
                <w:color w:val="auto"/>
              </w:rPr>
            </w:pPr>
          </w:p>
        </w:tc>
        <w:tc>
          <w:tcPr>
            <w:tcW w:w="80" w:type="dxa"/>
            <w:vAlign w:val="bottom"/>
            <w:tcBorders>
              <w:bottom w:val="single" w:sz="8" w:color="auto"/>
            </w:tcBorders>
            <w:shd w:val="clear" w:color="auto" w:fill="CCEEFF"/>
          </w:tcPr>
          <w:p>
            <w:pPr>
              <w:spacing w:after="0"/>
              <w:rPr>
                <w:sz w:val="12"/>
                <w:szCs w:val="12"/>
                <w:color w:val="auto"/>
              </w:rPr>
            </w:pPr>
          </w:p>
        </w:tc>
        <w:tc>
          <w:tcPr>
            <w:tcW w:w="100" w:type="dxa"/>
            <w:vAlign w:val="bottom"/>
            <w:tcBorders>
              <w:bottom w:val="single" w:sz="8" w:color="auto"/>
            </w:tcBorders>
            <w:shd w:val="clear" w:color="auto" w:fill="CCEEFF"/>
          </w:tcPr>
          <w:p>
            <w:pPr>
              <w:spacing w:after="0"/>
              <w:rPr>
                <w:sz w:val="12"/>
                <w:szCs w:val="12"/>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571</w:t>
            </w:r>
          </w:p>
        </w:tc>
        <w:tc>
          <w:tcPr>
            <w:tcW w:w="320" w:type="dxa"/>
            <w:vAlign w:val="bottom"/>
            <w:tcBorders>
              <w:right w:val="single" w:sz="8" w:color="auto"/>
            </w:tcBorders>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60" w:type="dxa"/>
            <w:vAlign w:val="bottom"/>
            <w:tcBorders>
              <w:bottom w:val="single" w:sz="8" w:color="auto"/>
            </w:tcBorders>
            <w:shd w:val="clear" w:color="auto" w:fill="CCEEFF"/>
          </w:tcPr>
          <w:p>
            <w:pPr>
              <w:spacing w:after="0"/>
              <w:rPr>
                <w:sz w:val="12"/>
                <w:szCs w:val="12"/>
                <w:color w:val="auto"/>
              </w:rPr>
            </w:pPr>
          </w:p>
        </w:tc>
        <w:tc>
          <w:tcPr>
            <w:tcW w:w="420" w:type="dxa"/>
            <w:vAlign w:val="bottom"/>
            <w:tcBorders>
              <w:bottom w:val="single" w:sz="8" w:color="auto"/>
            </w:tcBorders>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128</w:t>
            </w:r>
          </w:p>
        </w:tc>
        <w:tc>
          <w:tcPr>
            <w:tcW w:w="80" w:type="dxa"/>
            <w:vAlign w:val="bottom"/>
            <w:tcBorders>
              <w:bottom w:val="single" w:sz="8" w:color="auto"/>
            </w:tcBorders>
            <w:shd w:val="clear" w:color="auto" w:fill="CCEEFF"/>
          </w:tcPr>
          <w:p>
            <w:pPr>
              <w:spacing w:after="0"/>
              <w:rPr>
                <w:sz w:val="12"/>
                <w:szCs w:val="12"/>
                <w:color w:val="auto"/>
              </w:rPr>
            </w:pPr>
          </w:p>
        </w:tc>
        <w:tc>
          <w:tcPr>
            <w:tcW w:w="80" w:type="dxa"/>
            <w:vAlign w:val="bottom"/>
            <w:tcBorders>
              <w:bottom w:val="single" w:sz="8" w:color="auto"/>
            </w:tcBorders>
            <w:shd w:val="clear" w:color="auto" w:fill="CCEEFF"/>
          </w:tcPr>
          <w:p>
            <w:pPr>
              <w:spacing w:after="0"/>
              <w:rPr>
                <w:sz w:val="12"/>
                <w:szCs w:val="12"/>
                <w:color w:val="auto"/>
              </w:rPr>
            </w:pPr>
          </w:p>
        </w:tc>
        <w:tc>
          <w:tcPr>
            <w:tcW w:w="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546</w:t>
            </w:r>
          </w:p>
        </w:tc>
        <w:tc>
          <w:tcPr>
            <w:tcW w:w="140" w:type="dxa"/>
            <w:vAlign w:val="bottom"/>
            <w:tcBorders>
              <w:bottom w:val="single" w:sz="8" w:color="auto"/>
            </w:tcBorders>
            <w:shd w:val="clear" w:color="auto" w:fill="CCEEFF"/>
          </w:tcPr>
          <w:p>
            <w:pPr>
              <w:spacing w:after="0"/>
              <w:rPr>
                <w:sz w:val="12"/>
                <w:szCs w:val="12"/>
                <w:color w:val="auto"/>
              </w:rPr>
            </w:pPr>
          </w:p>
        </w:tc>
        <w:tc>
          <w:tcPr>
            <w:tcW w:w="60" w:type="dxa"/>
            <w:vAlign w:val="bottom"/>
            <w:tcBorders>
              <w:bottom w:val="single" w:sz="8" w:color="auto"/>
            </w:tcBorders>
            <w:shd w:val="clear" w:color="auto" w:fill="CCEEFF"/>
          </w:tcPr>
          <w:p>
            <w:pPr>
              <w:spacing w:after="0"/>
              <w:rPr>
                <w:sz w:val="12"/>
                <w:szCs w:val="12"/>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526</w:t>
            </w:r>
          </w:p>
        </w:tc>
        <w:tc>
          <w:tcPr>
            <w:tcW w:w="40" w:type="dxa"/>
            <w:vAlign w:val="bottom"/>
            <w:shd w:val="clear" w:color="auto" w:fill="CCEEFF"/>
          </w:tcPr>
          <w:p>
            <w:pPr>
              <w:spacing w:after="0"/>
              <w:rPr>
                <w:sz w:val="12"/>
                <w:szCs w:val="12"/>
                <w:color w:val="auto"/>
              </w:rPr>
            </w:pPr>
          </w:p>
        </w:tc>
      </w:tr>
      <w:tr>
        <w:trPr>
          <w:trHeight w:val="155"/>
        </w:trPr>
        <w:tc>
          <w:tcPr>
            <w:tcW w:w="2500" w:type="dxa"/>
            <w:vAlign w:val="bottom"/>
          </w:tcPr>
          <w:p>
            <w:pPr>
              <w:spacing w:after="0"/>
              <w:rPr>
                <w:sz w:val="20"/>
                <w:szCs w:val="20"/>
                <w:color w:val="auto"/>
              </w:rPr>
            </w:pPr>
            <w:r>
              <w:rPr>
                <w:rFonts w:ascii="Arial" w:cs="Arial" w:eastAsia="Arial" w:hAnsi="Arial"/>
                <w:sz w:val="13"/>
                <w:szCs w:val="13"/>
                <w:color w:val="auto"/>
              </w:rPr>
              <w:t>Adjusted Operating Income (Loss)</w:t>
            </w:r>
          </w:p>
        </w:tc>
        <w:tc>
          <w:tcPr>
            <w:tcW w:w="1140" w:type="dxa"/>
            <w:vAlign w:val="bottom"/>
            <w:gridSpan w:val="3"/>
          </w:tcPr>
          <w:p>
            <w:pPr>
              <w:jc w:val="right"/>
              <w:ind w:right="100"/>
              <w:spacing w:after="0"/>
              <w:rPr>
                <w:sz w:val="20"/>
                <w:szCs w:val="20"/>
                <w:color w:val="auto"/>
              </w:rPr>
            </w:pPr>
            <w:r>
              <w:rPr>
                <w:rFonts w:ascii="Arial" w:cs="Arial" w:eastAsia="Arial" w:hAnsi="Arial"/>
                <w:sz w:val="13"/>
                <w:szCs w:val="13"/>
                <w:color w:val="auto"/>
              </w:rPr>
              <w:t>$13,742</w:t>
            </w:r>
          </w:p>
        </w:tc>
        <w:tc>
          <w:tcPr>
            <w:tcW w:w="660" w:type="dxa"/>
            <w:vAlign w:val="bottom"/>
            <w:gridSpan w:val="3"/>
          </w:tcPr>
          <w:p>
            <w:pPr>
              <w:jc w:val="right"/>
              <w:ind w:right="120"/>
              <w:spacing w:after="0"/>
              <w:rPr>
                <w:sz w:val="20"/>
                <w:szCs w:val="20"/>
                <w:color w:val="auto"/>
              </w:rPr>
            </w:pPr>
            <w:r>
              <w:rPr>
                <w:rFonts w:ascii="Arial" w:cs="Arial" w:eastAsia="Arial" w:hAnsi="Arial"/>
                <w:sz w:val="13"/>
                <w:szCs w:val="13"/>
                <w:color w:val="auto"/>
              </w:rPr>
              <w:t>$ 13,473</w:t>
            </w:r>
          </w:p>
        </w:tc>
        <w:tc>
          <w:tcPr>
            <w:tcW w:w="16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640" w:type="dxa"/>
            <w:vAlign w:val="bottom"/>
            <w:gridSpan w:val="2"/>
          </w:tcPr>
          <w:p>
            <w:pPr>
              <w:jc w:val="right"/>
              <w:ind w:right="100"/>
              <w:spacing w:after="0"/>
              <w:rPr>
                <w:sz w:val="20"/>
                <w:szCs w:val="20"/>
                <w:color w:val="auto"/>
              </w:rPr>
            </w:pPr>
            <w:r>
              <w:rPr>
                <w:rFonts w:ascii="Arial" w:cs="Arial" w:eastAsia="Arial" w:hAnsi="Arial"/>
                <w:sz w:val="13"/>
                <w:szCs w:val="13"/>
                <w:color w:val="auto"/>
              </w:rPr>
              <w:t>12,355</w:t>
            </w:r>
          </w:p>
        </w:tc>
        <w:tc>
          <w:tcPr>
            <w:tcW w:w="18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740" w:type="dxa"/>
            <w:vAlign w:val="bottom"/>
            <w:gridSpan w:val="2"/>
          </w:tcPr>
          <w:p>
            <w:pPr>
              <w:jc w:val="right"/>
              <w:ind w:right="200"/>
              <w:spacing w:after="0"/>
              <w:rPr>
                <w:sz w:val="20"/>
                <w:szCs w:val="20"/>
                <w:color w:val="auto"/>
              </w:rPr>
            </w:pPr>
            <w:r>
              <w:rPr>
                <w:rFonts w:ascii="Arial" w:cs="Arial" w:eastAsia="Arial" w:hAnsi="Arial"/>
                <w:sz w:val="13"/>
                <w:szCs w:val="13"/>
                <w:color w:val="auto"/>
              </w:rPr>
              <w:t>14,165</w:t>
            </w:r>
          </w:p>
        </w:tc>
        <w:tc>
          <w:tcPr>
            <w:tcW w:w="440" w:type="dxa"/>
            <w:vAlign w:val="bottom"/>
          </w:tcPr>
          <w:p>
            <w:pPr>
              <w:jc w:val="right"/>
              <w:spacing w:after="0"/>
              <w:rPr>
                <w:sz w:val="20"/>
                <w:szCs w:val="20"/>
                <w:color w:val="auto"/>
              </w:rPr>
            </w:pPr>
            <w:r>
              <w:rPr>
                <w:rFonts w:ascii="Arial" w:cs="Arial" w:eastAsia="Arial" w:hAnsi="Arial"/>
                <w:sz w:val="13"/>
                <w:szCs w:val="13"/>
                <w:color w:val="auto"/>
                <w:w w:val="89"/>
              </w:rPr>
              <w:t>$13,843</w:t>
            </w:r>
          </w:p>
        </w:tc>
        <w:tc>
          <w:tcPr>
            <w:tcW w:w="120" w:type="dxa"/>
            <w:vAlign w:val="bottom"/>
          </w:tcPr>
          <w:p>
            <w:pPr>
              <w:spacing w:after="0"/>
              <w:rPr>
                <w:sz w:val="13"/>
                <w:szCs w:val="13"/>
                <w:color w:val="auto"/>
              </w:rPr>
            </w:pPr>
          </w:p>
        </w:tc>
        <w:tc>
          <w:tcPr>
            <w:tcW w:w="740" w:type="dxa"/>
            <w:vAlign w:val="bottom"/>
            <w:gridSpan w:val="3"/>
          </w:tcPr>
          <w:p>
            <w:pPr>
              <w:jc w:val="right"/>
              <w:ind w:right="200"/>
              <w:spacing w:after="0"/>
              <w:rPr>
                <w:sz w:val="20"/>
                <w:szCs w:val="20"/>
                <w:color w:val="auto"/>
              </w:rPr>
            </w:pPr>
            <w:r>
              <w:rPr>
                <w:rFonts w:ascii="Arial" w:cs="Arial" w:eastAsia="Arial" w:hAnsi="Arial"/>
                <w:sz w:val="13"/>
                <w:szCs w:val="13"/>
                <w:color w:val="auto"/>
              </w:rPr>
              <w:t>$ 11,776</w:t>
            </w: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520" w:type="dxa"/>
            <w:vAlign w:val="bottom"/>
          </w:tcPr>
          <w:p>
            <w:pPr>
              <w:jc w:val="right"/>
              <w:spacing w:after="0"/>
              <w:rPr>
                <w:sz w:val="20"/>
                <w:szCs w:val="20"/>
                <w:color w:val="auto"/>
              </w:rPr>
            </w:pPr>
            <w:r>
              <w:rPr>
                <w:rFonts w:ascii="Arial" w:cs="Arial" w:eastAsia="Arial" w:hAnsi="Arial"/>
                <w:sz w:val="13"/>
                <w:szCs w:val="13"/>
                <w:color w:val="auto"/>
              </w:rPr>
              <w:t>10,513</w:t>
            </w:r>
          </w:p>
        </w:tc>
        <w:tc>
          <w:tcPr>
            <w:tcW w:w="120" w:type="dxa"/>
            <w:vAlign w:val="bottom"/>
          </w:tcPr>
          <w:p>
            <w:pPr>
              <w:spacing w:after="0"/>
              <w:rPr>
                <w:sz w:val="13"/>
                <w:szCs w:val="13"/>
                <w:color w:val="auto"/>
              </w:rPr>
            </w:pPr>
          </w:p>
        </w:tc>
        <w:tc>
          <w:tcPr>
            <w:tcW w:w="18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880" w:type="dxa"/>
            <w:vAlign w:val="bottom"/>
            <w:tcBorders>
              <w:right w:val="single" w:sz="8" w:color="auto"/>
            </w:tcBorders>
            <w:gridSpan w:val="2"/>
          </w:tcPr>
          <w:p>
            <w:pPr>
              <w:jc w:val="right"/>
              <w:ind w:right="320"/>
              <w:spacing w:after="0"/>
              <w:rPr>
                <w:sz w:val="20"/>
                <w:szCs w:val="20"/>
                <w:color w:val="auto"/>
              </w:rPr>
            </w:pPr>
            <w:r>
              <w:rPr>
                <w:rFonts w:ascii="Arial" w:cs="Arial" w:eastAsia="Arial" w:hAnsi="Arial"/>
                <w:sz w:val="13"/>
                <w:szCs w:val="13"/>
                <w:color w:val="auto"/>
              </w:rPr>
              <w:t>7,670</w:t>
            </w:r>
          </w:p>
        </w:tc>
        <w:tc>
          <w:tcPr>
            <w:tcW w:w="220" w:type="dxa"/>
            <w:vAlign w:val="bottom"/>
          </w:tcPr>
          <w:p>
            <w:pPr>
              <w:spacing w:after="0"/>
              <w:rPr>
                <w:sz w:val="13"/>
                <w:szCs w:val="13"/>
                <w:color w:val="auto"/>
              </w:rPr>
            </w:pPr>
          </w:p>
        </w:tc>
        <w:tc>
          <w:tcPr>
            <w:tcW w:w="6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420" w:type="dxa"/>
            <w:vAlign w:val="bottom"/>
            <w:gridSpan w:val="2"/>
          </w:tcPr>
          <w:p>
            <w:pPr>
              <w:jc w:val="right"/>
              <w:ind w:right="100"/>
              <w:spacing w:after="0"/>
              <w:rPr>
                <w:sz w:val="20"/>
                <w:szCs w:val="20"/>
                <w:color w:val="auto"/>
              </w:rPr>
            </w:pPr>
            <w:r>
              <w:rPr>
                <w:rFonts w:ascii="Arial" w:cs="Arial" w:eastAsia="Arial" w:hAnsi="Arial"/>
                <w:sz w:val="13"/>
                <w:szCs w:val="13"/>
                <w:color w:val="auto"/>
                <w:w w:val="92"/>
              </w:rPr>
              <w:t>2,045</w:t>
            </w:r>
          </w:p>
        </w:tc>
        <w:tc>
          <w:tcPr>
            <w:tcW w:w="16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380" w:type="dxa"/>
            <w:vAlign w:val="bottom"/>
          </w:tcPr>
          <w:p>
            <w:pPr>
              <w:jc w:val="right"/>
              <w:spacing w:after="0"/>
              <w:rPr>
                <w:sz w:val="20"/>
                <w:szCs w:val="20"/>
                <w:color w:val="auto"/>
              </w:rPr>
            </w:pPr>
            <w:r>
              <w:rPr>
                <w:rFonts w:ascii="Arial" w:cs="Arial" w:eastAsia="Arial" w:hAnsi="Arial"/>
                <w:sz w:val="13"/>
                <w:szCs w:val="13"/>
                <w:color w:val="auto"/>
                <w:w w:val="90"/>
              </w:rPr>
              <w:t>12,271</w:t>
            </w:r>
          </w:p>
        </w:tc>
        <w:tc>
          <w:tcPr>
            <w:tcW w:w="140" w:type="dxa"/>
            <w:vAlign w:val="bottom"/>
          </w:tcPr>
          <w:p>
            <w:pPr>
              <w:spacing w:after="0"/>
              <w:rPr>
                <w:sz w:val="13"/>
                <w:szCs w:val="13"/>
                <w:color w:val="auto"/>
              </w:rPr>
            </w:pPr>
          </w:p>
        </w:tc>
        <w:tc>
          <w:tcPr>
            <w:tcW w:w="6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420" w:type="dxa"/>
            <w:vAlign w:val="bottom"/>
          </w:tcPr>
          <w:p>
            <w:pPr>
              <w:jc w:val="right"/>
              <w:spacing w:after="0"/>
              <w:rPr>
                <w:sz w:val="20"/>
                <w:szCs w:val="20"/>
                <w:color w:val="auto"/>
              </w:rPr>
            </w:pPr>
            <w:r>
              <w:rPr>
                <w:rFonts w:ascii="Arial" w:cs="Arial" w:eastAsia="Arial" w:hAnsi="Arial"/>
                <w:sz w:val="13"/>
                <w:szCs w:val="13"/>
                <w:color w:val="auto"/>
              </w:rPr>
              <w:t>8,917</w:t>
            </w:r>
          </w:p>
        </w:tc>
        <w:tc>
          <w:tcPr>
            <w:tcW w:w="40" w:type="dxa"/>
            <w:vAlign w:val="bottom"/>
          </w:tcPr>
          <w:p>
            <w:pPr>
              <w:spacing w:after="0"/>
              <w:rPr>
                <w:sz w:val="13"/>
                <w:szCs w:val="13"/>
                <w:color w:val="auto"/>
              </w:rPr>
            </w:pPr>
          </w:p>
        </w:tc>
      </w:tr>
    </w:tbl>
    <w:p>
      <w:pPr>
        <w:spacing w:after="0" w:line="134"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94</w:t>
      </w:r>
    </w:p>
    <w:p>
      <w:pPr>
        <w:sectPr>
          <w:pgSz w:w="11900" w:h="16838" w:orient="portrait"/>
          <w:cols w:equalWidth="0" w:num="1">
            <w:col w:w="11140"/>
          </w:cols>
          <w:pgMar w:left="320" w:top="459" w:right="439" w:bottom="1440" w:gutter="0" w:footer="0" w:header="0"/>
        </w:sectPr>
      </w:pPr>
    </w:p>
    <w:bookmarkStart w:id="101" w:name="page102"/>
    <w:bookmarkEnd w:id="10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Confidential Treatment Requested by Definitive Healthcare Corp.</w:t>
      </w:r>
    </w:p>
    <w:p>
      <w:pPr>
        <w:spacing w:after="0" w:line="27"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Pursuant to 17 C.F.R. Section 200.83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186055</wp:posOffset>
            </wp:positionV>
            <wp:extent cx="771525" cy="889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71525" cy="8890"/>
                    </a:xfrm>
                    <a:prstGeom prst="rect">
                      <a:avLst/>
                    </a:prstGeom>
                    <a:noFill/>
                  </pic:spPr>
                </pic:pic>
              </a:graphicData>
            </a:graphic>
          </wp:anchor>
        </w:drawing>
      </w:r>
    </w:p>
    <w:p>
      <w:pPr>
        <w:spacing w:after="0" w:line="312" w:lineRule="exact"/>
        <w:rPr>
          <w:sz w:val="20"/>
          <w:szCs w:val="20"/>
          <w:color w:val="auto"/>
        </w:rPr>
      </w:pPr>
    </w:p>
    <w:p>
      <w:pPr>
        <w:ind w:left="540" w:right="560" w:hanging="424"/>
        <w:spacing w:after="0" w:line="258" w:lineRule="auto"/>
        <w:tabs>
          <w:tab w:leader="none" w:pos="540" w:val="left"/>
        </w:tabs>
        <w:numPr>
          <w:ilvl w:val="0"/>
          <w:numId w:val="84"/>
        </w:numPr>
        <w:rPr>
          <w:rFonts w:ascii="Arial" w:cs="Arial" w:eastAsia="Arial" w:hAnsi="Arial"/>
          <w:sz w:val="18"/>
          <w:szCs w:val="18"/>
          <w:color w:val="auto"/>
        </w:rPr>
      </w:pPr>
      <w:r>
        <w:rPr>
          <w:rFonts w:ascii="Arial" w:cs="Arial" w:eastAsia="Arial" w:hAnsi="Arial"/>
          <w:sz w:val="18"/>
          <w:szCs w:val="18"/>
          <w:color w:val="auto"/>
        </w:rPr>
        <w:t>Amortization of intangible assets resulting from purchase accounting adjustments represents non-cash amortization of acquired intangibles, primarily resulting from the Advent acquisition.</w:t>
      </w:r>
    </w:p>
    <w:p>
      <w:pPr>
        <w:spacing w:after="0" w:line="1" w:lineRule="exact"/>
        <w:rPr>
          <w:rFonts w:ascii="Arial" w:cs="Arial" w:eastAsia="Arial" w:hAnsi="Arial"/>
          <w:sz w:val="18"/>
          <w:szCs w:val="18"/>
          <w:color w:val="auto"/>
        </w:rPr>
      </w:pPr>
    </w:p>
    <w:p>
      <w:pPr>
        <w:ind w:left="540" w:right="80" w:hanging="424"/>
        <w:spacing w:after="0" w:line="281" w:lineRule="auto"/>
        <w:tabs>
          <w:tab w:leader="none" w:pos="540" w:val="left"/>
        </w:tabs>
        <w:numPr>
          <w:ilvl w:val="0"/>
          <w:numId w:val="84"/>
        </w:numPr>
        <w:rPr>
          <w:rFonts w:ascii="Arial" w:cs="Arial" w:eastAsia="Arial" w:hAnsi="Arial"/>
          <w:sz w:val="16"/>
          <w:szCs w:val="16"/>
          <w:color w:val="auto"/>
        </w:rPr>
      </w:pPr>
      <w:r>
        <w:rPr>
          <w:rFonts w:ascii="Arial" w:cs="Arial" w:eastAsia="Arial" w:hAnsi="Arial"/>
          <w:sz w:val="16"/>
          <w:szCs w:val="16"/>
          <w:color w:val="auto"/>
        </w:rPr>
        <w:t>Acquisition related expenses primarily represent legal, accounting, consulting expenses related to our acquisitions and changes in the fair value of contingent consideration. For the three months ended December 31, 2020, the amount included contingent consideration of $2.6 million. For the three months ended June 30, 2021, the amount included $3.4 million related the changes in the fair value of contingent consideration.</w:t>
      </w:r>
    </w:p>
    <w:p>
      <w:pPr>
        <w:spacing w:after="0" w:line="1" w:lineRule="exact"/>
        <w:rPr>
          <w:rFonts w:ascii="Arial" w:cs="Arial" w:eastAsia="Arial" w:hAnsi="Arial"/>
          <w:sz w:val="16"/>
          <w:szCs w:val="16"/>
          <w:color w:val="auto"/>
        </w:rPr>
      </w:pPr>
    </w:p>
    <w:p>
      <w:pPr>
        <w:ind w:left="540" w:right="20" w:hanging="424"/>
        <w:spacing w:after="0" w:line="271" w:lineRule="auto"/>
        <w:tabs>
          <w:tab w:leader="none" w:pos="540" w:val="left"/>
        </w:tabs>
        <w:numPr>
          <w:ilvl w:val="0"/>
          <w:numId w:val="84"/>
        </w:numPr>
        <w:rPr>
          <w:rFonts w:ascii="Arial" w:cs="Arial" w:eastAsia="Arial" w:hAnsi="Arial"/>
          <w:sz w:val="17"/>
          <w:szCs w:val="17"/>
          <w:color w:val="auto"/>
        </w:rPr>
      </w:pPr>
      <w:r>
        <w:rPr>
          <w:rFonts w:ascii="Arial" w:cs="Arial" w:eastAsia="Arial" w:hAnsi="Arial"/>
          <w:sz w:val="17"/>
          <w:szCs w:val="17"/>
          <w:color w:val="auto"/>
        </w:rPr>
        <w:t>Non-recurring items represent expenses that are typically one-time or non-operational in nature. One-time expenses are comprised primarily of the following items: professional fees related to IPO readiness in the six months ended June 30, 2021, a pricing study initiated by our sponsors and professional fees for the preparation for the IPO in the quarters ended June 30, 2021 and March 31, 2021 and the year ended December 31, 2020, a sales-tax voluntary disclosure agreement in the period from July 16, 2019 to December 31, 2019 and the costs of exiting certain contracts assumed as part of an acquisition in the period from January 1, 2019 to July 15, 2019.</w:t>
      </w:r>
    </w:p>
    <w:p>
      <w:pPr>
        <w:spacing w:after="0" w:line="286"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Adjusted Net Income (Loss)</w:t>
      </w:r>
    </w:p>
    <w:p>
      <w:pPr>
        <w:spacing w:after="0" w:line="253" w:lineRule="exact"/>
        <w:rPr>
          <w:sz w:val="20"/>
          <w:szCs w:val="20"/>
          <w:color w:val="auto"/>
        </w:rPr>
      </w:pPr>
    </w:p>
    <w:tbl>
      <w:tblPr>
        <w:tblLayout w:type="fixed"/>
        <w:tblInd w:w="120" w:type="dxa"/>
        <w:tblCellMar>
          <w:top w:w="0" w:type="dxa"/>
          <w:left w:w="0" w:type="dxa"/>
          <w:bottom w:w="0" w:type="dxa"/>
          <w:right w:w="0" w:type="dxa"/>
        </w:tblCellMar>
      </w:tblPr>
      <w:tr>
        <w:trPr>
          <w:trHeight w:val="135"/>
        </w:trPr>
        <w:tc>
          <w:tcPr>
            <w:tcW w:w="2940" w:type="dxa"/>
            <w:vAlign w:val="bottom"/>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420" w:type="dxa"/>
            <w:vAlign w:val="bottom"/>
            <w:tcBorders>
              <w:bottom w:val="single" w:sz="8" w:color="auto"/>
            </w:tcBorders>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420" w:type="dxa"/>
            <w:vAlign w:val="bottom"/>
            <w:tcBorders>
              <w:bottom w:val="single" w:sz="8" w:color="auto"/>
            </w:tcBorders>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4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1420" w:type="dxa"/>
            <w:vAlign w:val="bottom"/>
            <w:tcBorders>
              <w:bottom w:val="single" w:sz="8" w:color="auto"/>
            </w:tcBorders>
            <w:gridSpan w:val="5"/>
          </w:tcPr>
          <w:p>
            <w:pPr>
              <w:jc w:val="right"/>
              <w:ind w:right="540"/>
              <w:spacing w:after="0"/>
              <w:rPr>
                <w:sz w:val="20"/>
                <w:szCs w:val="20"/>
                <w:color w:val="auto"/>
              </w:rPr>
            </w:pPr>
            <w:r>
              <w:rPr>
                <w:rFonts w:ascii="Arial" w:cs="Arial" w:eastAsia="Arial" w:hAnsi="Arial"/>
                <w:sz w:val="11"/>
                <w:szCs w:val="11"/>
                <w:b w:val="1"/>
                <w:bCs w:val="1"/>
                <w:color w:val="auto"/>
              </w:rPr>
              <w:t>Successor</w:t>
            </w:r>
          </w:p>
        </w:tc>
        <w:tc>
          <w:tcPr>
            <w:tcW w:w="60" w:type="dxa"/>
            <w:vAlign w:val="bottom"/>
            <w:tcBorders>
              <w:bottom w:val="single" w:sz="8" w:color="auto"/>
            </w:tcBorders>
          </w:tcPr>
          <w:p>
            <w:pPr>
              <w:spacing w:after="0"/>
              <w:rPr>
                <w:sz w:val="11"/>
                <w:szCs w:val="11"/>
                <w:color w:val="auto"/>
              </w:rPr>
            </w:pPr>
          </w:p>
        </w:tc>
        <w:tc>
          <w:tcPr>
            <w:tcW w:w="420" w:type="dxa"/>
            <w:vAlign w:val="bottom"/>
            <w:tcBorders>
              <w:bottom w:val="single" w:sz="8" w:color="auto"/>
            </w:tcBorders>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2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60" w:type="dxa"/>
            <w:vAlign w:val="bottom"/>
            <w:tcBorders>
              <w:bottom w:val="single" w:sz="8" w:color="auto"/>
            </w:tcBorders>
          </w:tcPr>
          <w:p>
            <w:pPr>
              <w:spacing w:after="0"/>
              <w:rPr>
                <w:sz w:val="11"/>
                <w:szCs w:val="11"/>
                <w:color w:val="auto"/>
              </w:rPr>
            </w:pPr>
          </w:p>
        </w:tc>
        <w:tc>
          <w:tcPr>
            <w:tcW w:w="320" w:type="dxa"/>
            <w:vAlign w:val="bottom"/>
            <w:tcBorders>
              <w:right w:val="single" w:sz="8" w:color="auto"/>
            </w:tcBorders>
          </w:tcPr>
          <w:p>
            <w:pPr>
              <w:spacing w:after="0"/>
              <w:rPr>
                <w:sz w:val="11"/>
                <w:szCs w:val="11"/>
                <w:color w:val="auto"/>
              </w:rPr>
            </w:pPr>
          </w:p>
        </w:tc>
        <w:tc>
          <w:tcPr>
            <w:tcW w:w="220" w:type="dxa"/>
            <w:vAlign w:val="bottom"/>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32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680" w:type="dxa"/>
            <w:vAlign w:val="bottom"/>
            <w:tcBorders>
              <w:bottom w:val="single" w:sz="8" w:color="auto"/>
            </w:tcBorders>
            <w:gridSpan w:val="4"/>
          </w:tcPr>
          <w:p>
            <w:pPr>
              <w:ind w:left="60"/>
              <w:spacing w:after="0"/>
              <w:rPr>
                <w:sz w:val="20"/>
                <w:szCs w:val="20"/>
                <w:color w:val="auto"/>
              </w:rPr>
            </w:pPr>
            <w:r>
              <w:rPr>
                <w:rFonts w:ascii="Arial" w:cs="Arial" w:eastAsia="Arial" w:hAnsi="Arial"/>
                <w:sz w:val="11"/>
                <w:szCs w:val="11"/>
                <w:b w:val="1"/>
                <w:bCs w:val="1"/>
                <w:color w:val="auto"/>
                <w:w w:val="90"/>
              </w:rPr>
              <w:t>Predecessor</w:t>
            </w:r>
          </w:p>
        </w:tc>
        <w:tc>
          <w:tcPr>
            <w:tcW w:w="60" w:type="dxa"/>
            <w:vAlign w:val="bottom"/>
            <w:tcBorders>
              <w:bottom w:val="single" w:sz="8" w:color="auto"/>
            </w:tcBorders>
          </w:tcPr>
          <w:p>
            <w:pPr>
              <w:spacing w:after="0"/>
              <w:rPr>
                <w:sz w:val="11"/>
                <w:szCs w:val="11"/>
                <w:color w:val="auto"/>
              </w:rPr>
            </w:pPr>
          </w:p>
        </w:tc>
        <w:tc>
          <w:tcPr>
            <w:tcW w:w="420" w:type="dxa"/>
            <w:vAlign w:val="bottom"/>
            <w:tcBorders>
              <w:bottom w:val="single" w:sz="8" w:color="auto"/>
            </w:tcBorders>
          </w:tcPr>
          <w:p>
            <w:pPr>
              <w:spacing w:after="0"/>
              <w:rPr>
                <w:sz w:val="11"/>
                <w:szCs w:val="11"/>
                <w:color w:val="auto"/>
              </w:rPr>
            </w:pPr>
          </w:p>
        </w:tc>
        <w:tc>
          <w:tcPr>
            <w:tcW w:w="40" w:type="dxa"/>
            <w:vAlign w:val="bottom"/>
          </w:tcPr>
          <w:p>
            <w:pPr>
              <w:spacing w:after="0"/>
              <w:rPr>
                <w:sz w:val="11"/>
                <w:szCs w:val="11"/>
                <w:color w:val="auto"/>
              </w:rPr>
            </w:pPr>
          </w:p>
        </w:tc>
      </w:tr>
      <w:tr>
        <w:trPr>
          <w:trHeight w:val="101"/>
        </w:trPr>
        <w:tc>
          <w:tcPr>
            <w:tcW w:w="2940" w:type="dxa"/>
            <w:vAlign w:val="bottom"/>
          </w:tcPr>
          <w:p>
            <w:pPr>
              <w:spacing w:after="0"/>
              <w:rPr>
                <w:sz w:val="8"/>
                <w:szCs w:val="8"/>
                <w:color w:val="auto"/>
              </w:rPr>
            </w:pPr>
          </w:p>
        </w:tc>
        <w:tc>
          <w:tcPr>
            <w:tcW w:w="60" w:type="dxa"/>
            <w:vAlign w:val="bottom"/>
          </w:tcPr>
          <w:p>
            <w:pPr>
              <w:spacing w:after="0"/>
              <w:rPr>
                <w:sz w:val="8"/>
                <w:szCs w:val="8"/>
                <w:color w:val="auto"/>
              </w:rPr>
            </w:pPr>
          </w:p>
        </w:tc>
        <w:tc>
          <w:tcPr>
            <w:tcW w:w="420" w:type="dxa"/>
            <w:vAlign w:val="bottom"/>
          </w:tcPr>
          <w:p>
            <w:pPr>
              <w:spacing w:after="0"/>
              <w:rPr>
                <w:sz w:val="8"/>
                <w:szCs w:val="8"/>
                <w:color w:val="auto"/>
              </w:rPr>
            </w:pPr>
          </w:p>
        </w:tc>
        <w:tc>
          <w:tcPr>
            <w:tcW w:w="200" w:type="dxa"/>
            <w:vAlign w:val="bottom"/>
          </w:tcPr>
          <w:p>
            <w:pPr>
              <w:spacing w:after="0"/>
              <w:rPr>
                <w:sz w:val="8"/>
                <w:szCs w:val="8"/>
                <w:color w:val="auto"/>
              </w:rPr>
            </w:pPr>
          </w:p>
        </w:tc>
        <w:tc>
          <w:tcPr>
            <w:tcW w:w="60" w:type="dxa"/>
            <w:vAlign w:val="bottom"/>
          </w:tcPr>
          <w:p>
            <w:pPr>
              <w:spacing w:after="0"/>
              <w:rPr>
                <w:sz w:val="8"/>
                <w:szCs w:val="8"/>
                <w:color w:val="auto"/>
              </w:rPr>
            </w:pPr>
          </w:p>
        </w:tc>
        <w:tc>
          <w:tcPr>
            <w:tcW w:w="420" w:type="dxa"/>
            <w:vAlign w:val="bottom"/>
          </w:tcPr>
          <w:p>
            <w:pPr>
              <w:spacing w:after="0"/>
              <w:rPr>
                <w:sz w:val="8"/>
                <w:szCs w:val="8"/>
                <w:color w:val="auto"/>
              </w:rPr>
            </w:pPr>
          </w:p>
        </w:tc>
        <w:tc>
          <w:tcPr>
            <w:tcW w:w="180" w:type="dxa"/>
            <w:vAlign w:val="bottom"/>
          </w:tcPr>
          <w:p>
            <w:pPr>
              <w:spacing w:after="0"/>
              <w:rPr>
                <w:sz w:val="8"/>
                <w:szCs w:val="8"/>
                <w:color w:val="auto"/>
              </w:rPr>
            </w:pPr>
          </w:p>
        </w:tc>
        <w:tc>
          <w:tcPr>
            <w:tcW w:w="100" w:type="dxa"/>
            <w:vAlign w:val="bottom"/>
          </w:tcPr>
          <w:p>
            <w:pPr>
              <w:spacing w:after="0"/>
              <w:rPr>
                <w:sz w:val="8"/>
                <w:szCs w:val="8"/>
                <w:color w:val="auto"/>
              </w:rPr>
            </w:pPr>
          </w:p>
        </w:tc>
        <w:tc>
          <w:tcPr>
            <w:tcW w:w="540" w:type="dxa"/>
            <w:vAlign w:val="bottom"/>
          </w:tcPr>
          <w:p>
            <w:pPr>
              <w:spacing w:after="0"/>
              <w:rPr>
                <w:sz w:val="8"/>
                <w:szCs w:val="8"/>
                <w:color w:val="auto"/>
              </w:rPr>
            </w:pPr>
          </w:p>
        </w:tc>
        <w:tc>
          <w:tcPr>
            <w:tcW w:w="120" w:type="dxa"/>
            <w:vAlign w:val="bottom"/>
          </w:tcPr>
          <w:p>
            <w:pPr>
              <w:spacing w:after="0"/>
              <w:rPr>
                <w:sz w:val="8"/>
                <w:szCs w:val="8"/>
                <w:color w:val="auto"/>
              </w:rPr>
            </w:pPr>
          </w:p>
        </w:tc>
        <w:tc>
          <w:tcPr>
            <w:tcW w:w="8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180" w:type="dxa"/>
            <w:vAlign w:val="bottom"/>
          </w:tcPr>
          <w:p>
            <w:pPr>
              <w:spacing w:after="0"/>
              <w:rPr>
                <w:sz w:val="8"/>
                <w:szCs w:val="8"/>
                <w:color w:val="auto"/>
              </w:rPr>
            </w:pPr>
          </w:p>
        </w:tc>
        <w:tc>
          <w:tcPr>
            <w:tcW w:w="80" w:type="dxa"/>
            <w:vAlign w:val="bottom"/>
          </w:tcPr>
          <w:p>
            <w:pPr>
              <w:spacing w:after="0"/>
              <w:rPr>
                <w:sz w:val="8"/>
                <w:szCs w:val="8"/>
                <w:color w:val="auto"/>
              </w:rPr>
            </w:pPr>
          </w:p>
        </w:tc>
        <w:tc>
          <w:tcPr>
            <w:tcW w:w="400" w:type="dxa"/>
            <w:vAlign w:val="bottom"/>
          </w:tcPr>
          <w:p>
            <w:pPr>
              <w:spacing w:after="0"/>
              <w:rPr>
                <w:sz w:val="8"/>
                <w:szCs w:val="8"/>
                <w:color w:val="auto"/>
              </w:rPr>
            </w:pPr>
          </w:p>
        </w:tc>
        <w:tc>
          <w:tcPr>
            <w:tcW w:w="200" w:type="dxa"/>
            <w:vAlign w:val="bottom"/>
          </w:tcPr>
          <w:p>
            <w:pPr>
              <w:spacing w:after="0"/>
              <w:rPr>
                <w:sz w:val="8"/>
                <w:szCs w:val="8"/>
                <w:color w:val="auto"/>
              </w:rPr>
            </w:pPr>
          </w:p>
        </w:tc>
        <w:tc>
          <w:tcPr>
            <w:tcW w:w="60" w:type="dxa"/>
            <w:vAlign w:val="bottom"/>
          </w:tcPr>
          <w:p>
            <w:pPr>
              <w:spacing w:after="0"/>
              <w:rPr>
                <w:sz w:val="8"/>
                <w:szCs w:val="8"/>
                <w:color w:val="auto"/>
              </w:rPr>
            </w:pPr>
          </w:p>
        </w:tc>
        <w:tc>
          <w:tcPr>
            <w:tcW w:w="420" w:type="dxa"/>
            <w:vAlign w:val="bottom"/>
          </w:tcPr>
          <w:p>
            <w:pPr>
              <w:spacing w:after="0"/>
              <w:rPr>
                <w:sz w:val="8"/>
                <w:szCs w:val="8"/>
                <w:color w:val="auto"/>
              </w:rPr>
            </w:pPr>
          </w:p>
        </w:tc>
        <w:tc>
          <w:tcPr>
            <w:tcW w:w="2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20" w:type="dxa"/>
            <w:vAlign w:val="bottom"/>
          </w:tcPr>
          <w:p>
            <w:pPr>
              <w:spacing w:after="0"/>
              <w:rPr>
                <w:sz w:val="8"/>
                <w:szCs w:val="8"/>
                <w:color w:val="auto"/>
              </w:rPr>
            </w:pPr>
          </w:p>
        </w:tc>
        <w:tc>
          <w:tcPr>
            <w:tcW w:w="120" w:type="dxa"/>
            <w:vAlign w:val="bottom"/>
          </w:tcPr>
          <w:p>
            <w:pPr>
              <w:spacing w:after="0"/>
              <w:rPr>
                <w:sz w:val="8"/>
                <w:szCs w:val="8"/>
                <w:color w:val="auto"/>
              </w:rPr>
            </w:pPr>
          </w:p>
        </w:tc>
        <w:tc>
          <w:tcPr>
            <w:tcW w:w="8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jc w:val="center"/>
              <w:ind w:right="79"/>
              <w:spacing w:after="0" w:line="102" w:lineRule="exact"/>
              <w:rPr>
                <w:sz w:val="20"/>
                <w:szCs w:val="20"/>
                <w:color w:val="auto"/>
              </w:rPr>
            </w:pPr>
            <w:r>
              <w:rPr>
                <w:rFonts w:ascii="Arial" w:cs="Arial" w:eastAsia="Arial" w:hAnsi="Arial"/>
                <w:sz w:val="11"/>
                <w:szCs w:val="11"/>
                <w:b w:val="1"/>
                <w:bCs w:val="1"/>
                <w:color w:val="auto"/>
                <w:w w:val="87"/>
              </w:rPr>
              <w:t>Period</w:t>
            </w:r>
          </w:p>
        </w:tc>
        <w:tc>
          <w:tcPr>
            <w:tcW w:w="320" w:type="dxa"/>
            <w:vAlign w:val="bottom"/>
            <w:tcBorders>
              <w:right w:val="single" w:sz="8" w:color="auto"/>
            </w:tcBorders>
          </w:tcPr>
          <w:p>
            <w:pPr>
              <w:spacing w:after="0"/>
              <w:rPr>
                <w:sz w:val="8"/>
                <w:szCs w:val="8"/>
                <w:color w:val="auto"/>
              </w:rPr>
            </w:pPr>
          </w:p>
        </w:tc>
        <w:tc>
          <w:tcPr>
            <w:tcW w:w="220" w:type="dxa"/>
            <w:vAlign w:val="bottom"/>
          </w:tcPr>
          <w:p>
            <w:pPr>
              <w:spacing w:after="0"/>
              <w:rPr>
                <w:sz w:val="8"/>
                <w:szCs w:val="8"/>
                <w:color w:val="auto"/>
              </w:rPr>
            </w:pPr>
          </w:p>
        </w:tc>
        <w:tc>
          <w:tcPr>
            <w:tcW w:w="480" w:type="dxa"/>
            <w:vAlign w:val="bottom"/>
            <w:gridSpan w:val="3"/>
          </w:tcPr>
          <w:p>
            <w:pPr>
              <w:jc w:val="center"/>
              <w:ind w:right="140"/>
              <w:spacing w:after="0" w:line="102" w:lineRule="exact"/>
              <w:rPr>
                <w:sz w:val="20"/>
                <w:szCs w:val="20"/>
                <w:color w:val="auto"/>
              </w:rPr>
            </w:pPr>
            <w:r>
              <w:rPr>
                <w:rFonts w:ascii="Arial" w:cs="Arial" w:eastAsia="Arial" w:hAnsi="Arial"/>
                <w:sz w:val="11"/>
                <w:szCs w:val="11"/>
                <w:b w:val="1"/>
                <w:bCs w:val="1"/>
                <w:color w:val="auto"/>
                <w:w w:val="87"/>
              </w:rPr>
              <w:t>Period</w:t>
            </w: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80" w:type="dxa"/>
            <w:vAlign w:val="bottom"/>
          </w:tcPr>
          <w:p>
            <w:pPr>
              <w:spacing w:after="0"/>
              <w:rPr>
                <w:sz w:val="8"/>
                <w:szCs w:val="8"/>
                <w:color w:val="auto"/>
              </w:rPr>
            </w:pPr>
          </w:p>
        </w:tc>
        <w:tc>
          <w:tcPr>
            <w:tcW w:w="140" w:type="dxa"/>
            <w:vAlign w:val="bottom"/>
          </w:tcPr>
          <w:p>
            <w:pPr>
              <w:spacing w:after="0"/>
              <w:rPr>
                <w:sz w:val="8"/>
                <w:szCs w:val="8"/>
                <w:color w:val="auto"/>
              </w:rPr>
            </w:pPr>
          </w:p>
        </w:tc>
        <w:tc>
          <w:tcPr>
            <w:tcW w:w="60" w:type="dxa"/>
            <w:vAlign w:val="bottom"/>
          </w:tcPr>
          <w:p>
            <w:pPr>
              <w:spacing w:after="0"/>
              <w:rPr>
                <w:sz w:val="8"/>
                <w:szCs w:val="8"/>
                <w:color w:val="auto"/>
              </w:rPr>
            </w:pPr>
          </w:p>
        </w:tc>
        <w:tc>
          <w:tcPr>
            <w:tcW w:w="420" w:type="dxa"/>
            <w:vAlign w:val="bottom"/>
          </w:tcPr>
          <w:p>
            <w:pPr>
              <w:spacing w:after="0"/>
              <w:rPr>
                <w:sz w:val="8"/>
                <w:szCs w:val="8"/>
                <w:color w:val="auto"/>
              </w:rPr>
            </w:pPr>
          </w:p>
        </w:tc>
        <w:tc>
          <w:tcPr>
            <w:tcW w:w="40" w:type="dxa"/>
            <w:vAlign w:val="bottom"/>
          </w:tcPr>
          <w:p>
            <w:pPr>
              <w:spacing w:after="0"/>
              <w:rPr>
                <w:sz w:val="8"/>
                <w:szCs w:val="8"/>
                <w:color w:val="auto"/>
              </w:rPr>
            </w:pPr>
          </w:p>
        </w:tc>
      </w:tr>
      <w:tr>
        <w:trPr>
          <w:trHeight w:val="121"/>
        </w:trPr>
        <w:tc>
          <w:tcPr>
            <w:tcW w:w="29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0" w:type="dxa"/>
            <w:vAlign w:val="bottom"/>
            <w:gridSpan w:val="2"/>
          </w:tcPr>
          <w:p>
            <w:pPr>
              <w:jc w:val="center"/>
              <w:ind w:right="280"/>
              <w:spacing w:after="0" w:line="122" w:lineRule="exact"/>
              <w:rPr>
                <w:sz w:val="20"/>
                <w:szCs w:val="20"/>
                <w:color w:val="auto"/>
              </w:rPr>
            </w:pPr>
            <w:r>
              <w:rPr>
                <w:rFonts w:ascii="Arial" w:cs="Arial" w:eastAsia="Arial" w:hAnsi="Arial"/>
                <w:sz w:val="11"/>
                <w:szCs w:val="11"/>
                <w:b w:val="1"/>
                <w:bCs w:val="1"/>
                <w:color w:val="auto"/>
                <w:w w:val="93"/>
              </w:rPr>
              <w:t>Three</w:t>
            </w:r>
          </w:p>
        </w:tc>
        <w:tc>
          <w:tcPr>
            <w:tcW w:w="1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80" w:type="dxa"/>
            <w:vAlign w:val="bottom"/>
            <w:tcBorders>
              <w:right w:val="single" w:sz="8" w:color="auto"/>
            </w:tcBorders>
            <w:gridSpan w:val="2"/>
          </w:tcPr>
          <w:p>
            <w:pPr>
              <w:jc w:val="center"/>
              <w:ind w:right="460"/>
              <w:spacing w:after="0" w:line="122" w:lineRule="exact"/>
              <w:rPr>
                <w:sz w:val="20"/>
                <w:szCs w:val="20"/>
                <w:color w:val="auto"/>
              </w:rPr>
            </w:pPr>
            <w:r>
              <w:rPr>
                <w:rFonts w:ascii="Arial" w:cs="Arial" w:eastAsia="Arial" w:hAnsi="Arial"/>
                <w:sz w:val="11"/>
                <w:szCs w:val="11"/>
                <w:b w:val="1"/>
                <w:bCs w:val="1"/>
                <w:color w:val="auto"/>
                <w:w w:val="89"/>
              </w:rPr>
              <w:t>from</w:t>
            </w:r>
          </w:p>
        </w:tc>
        <w:tc>
          <w:tcPr>
            <w:tcW w:w="220" w:type="dxa"/>
            <w:vAlign w:val="bottom"/>
          </w:tcPr>
          <w:p>
            <w:pPr>
              <w:spacing w:after="0"/>
              <w:rPr>
                <w:sz w:val="10"/>
                <w:szCs w:val="10"/>
                <w:color w:val="auto"/>
              </w:rPr>
            </w:pPr>
          </w:p>
        </w:tc>
        <w:tc>
          <w:tcPr>
            <w:tcW w:w="480" w:type="dxa"/>
            <w:vAlign w:val="bottom"/>
            <w:gridSpan w:val="3"/>
          </w:tcPr>
          <w:p>
            <w:pPr>
              <w:jc w:val="center"/>
              <w:ind w:right="140"/>
              <w:spacing w:after="0" w:line="122" w:lineRule="exact"/>
              <w:rPr>
                <w:sz w:val="20"/>
                <w:szCs w:val="20"/>
                <w:color w:val="auto"/>
              </w:rPr>
            </w:pPr>
            <w:r>
              <w:rPr>
                <w:rFonts w:ascii="Arial" w:cs="Arial" w:eastAsia="Arial" w:hAnsi="Arial"/>
                <w:sz w:val="11"/>
                <w:szCs w:val="11"/>
                <w:b w:val="1"/>
                <w:bCs w:val="1"/>
                <w:color w:val="auto"/>
                <w:w w:val="89"/>
              </w:rPr>
              <w:t>from</w:t>
            </w: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40" w:type="dxa"/>
            <w:vAlign w:val="bottom"/>
          </w:tcPr>
          <w:p>
            <w:pPr>
              <w:spacing w:after="0"/>
              <w:rPr>
                <w:sz w:val="10"/>
                <w:szCs w:val="10"/>
                <w:color w:val="auto"/>
              </w:rPr>
            </w:pPr>
          </w:p>
        </w:tc>
      </w:tr>
      <w:tr>
        <w:trPr>
          <w:trHeight w:val="122"/>
        </w:trPr>
        <w:tc>
          <w:tcPr>
            <w:tcW w:w="29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20" w:type="dxa"/>
            <w:vAlign w:val="bottom"/>
            <w:gridSpan w:val="2"/>
          </w:tcPr>
          <w:p>
            <w:pPr>
              <w:jc w:val="center"/>
              <w:ind w:right="280"/>
              <w:spacing w:after="0" w:line="122" w:lineRule="exact"/>
              <w:rPr>
                <w:sz w:val="20"/>
                <w:szCs w:val="20"/>
                <w:color w:val="auto"/>
              </w:rPr>
            </w:pPr>
            <w:r>
              <w:rPr>
                <w:rFonts w:ascii="Arial" w:cs="Arial" w:eastAsia="Arial" w:hAnsi="Arial"/>
                <w:sz w:val="11"/>
                <w:szCs w:val="11"/>
                <w:b w:val="1"/>
                <w:bCs w:val="1"/>
                <w:color w:val="auto"/>
                <w:w w:val="86"/>
              </w:rPr>
              <w:t>Three</w:t>
            </w:r>
          </w:p>
        </w:tc>
        <w:tc>
          <w:tcPr>
            <w:tcW w:w="660" w:type="dxa"/>
            <w:vAlign w:val="bottom"/>
            <w:gridSpan w:val="3"/>
          </w:tcPr>
          <w:p>
            <w:pPr>
              <w:jc w:val="center"/>
              <w:ind w:right="220"/>
              <w:spacing w:after="0" w:line="122" w:lineRule="exact"/>
              <w:rPr>
                <w:sz w:val="20"/>
                <w:szCs w:val="20"/>
                <w:color w:val="auto"/>
              </w:rPr>
            </w:pPr>
            <w:r>
              <w:rPr>
                <w:rFonts w:ascii="Arial" w:cs="Arial" w:eastAsia="Arial" w:hAnsi="Arial"/>
                <w:sz w:val="11"/>
                <w:szCs w:val="11"/>
                <w:b w:val="1"/>
                <w:bCs w:val="1"/>
                <w:color w:val="auto"/>
                <w:w w:val="91"/>
              </w:rPr>
              <w:t>Months</w:t>
            </w:r>
          </w:p>
        </w:tc>
        <w:tc>
          <w:tcPr>
            <w:tcW w:w="100" w:type="dxa"/>
            <w:vAlign w:val="bottom"/>
          </w:tcPr>
          <w:p>
            <w:pPr>
              <w:spacing w:after="0"/>
              <w:rPr>
                <w:sz w:val="10"/>
                <w:szCs w:val="10"/>
                <w:color w:val="auto"/>
              </w:rPr>
            </w:pPr>
          </w:p>
        </w:tc>
        <w:tc>
          <w:tcPr>
            <w:tcW w:w="660" w:type="dxa"/>
            <w:vAlign w:val="bottom"/>
            <w:gridSpan w:val="2"/>
          </w:tcPr>
          <w:p>
            <w:pPr>
              <w:jc w:val="center"/>
              <w:ind w:right="240"/>
              <w:spacing w:after="0" w:line="122" w:lineRule="exact"/>
              <w:rPr>
                <w:sz w:val="20"/>
                <w:szCs w:val="20"/>
                <w:color w:val="auto"/>
              </w:rPr>
            </w:pPr>
            <w:r>
              <w:rPr>
                <w:rFonts w:ascii="Arial" w:cs="Arial" w:eastAsia="Arial" w:hAnsi="Arial"/>
                <w:sz w:val="11"/>
                <w:szCs w:val="11"/>
                <w:b w:val="1"/>
                <w:bCs w:val="1"/>
                <w:color w:val="auto"/>
                <w:w w:val="86"/>
              </w:rPr>
              <w:t>Three</w:t>
            </w: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40" w:type="dxa"/>
            <w:vAlign w:val="bottom"/>
            <w:gridSpan w:val="2"/>
          </w:tcPr>
          <w:p>
            <w:pPr>
              <w:jc w:val="center"/>
              <w:ind w:right="320"/>
              <w:spacing w:after="0" w:line="122" w:lineRule="exact"/>
              <w:rPr>
                <w:sz w:val="20"/>
                <w:szCs w:val="20"/>
                <w:color w:val="auto"/>
              </w:rPr>
            </w:pPr>
            <w:r>
              <w:rPr>
                <w:rFonts w:ascii="Arial" w:cs="Arial" w:eastAsia="Arial" w:hAnsi="Arial"/>
                <w:sz w:val="11"/>
                <w:szCs w:val="11"/>
                <w:b w:val="1"/>
                <w:bCs w:val="1"/>
                <w:color w:val="auto"/>
                <w:w w:val="86"/>
              </w:rPr>
              <w:t>Three</w:t>
            </w:r>
          </w:p>
        </w:tc>
        <w:tc>
          <w:tcPr>
            <w:tcW w:w="80" w:type="dxa"/>
            <w:vAlign w:val="bottom"/>
          </w:tcPr>
          <w:p>
            <w:pPr>
              <w:spacing w:after="0"/>
              <w:rPr>
                <w:sz w:val="10"/>
                <w:szCs w:val="10"/>
                <w:color w:val="auto"/>
              </w:rPr>
            </w:pPr>
          </w:p>
        </w:tc>
        <w:tc>
          <w:tcPr>
            <w:tcW w:w="600" w:type="dxa"/>
            <w:vAlign w:val="bottom"/>
            <w:gridSpan w:val="2"/>
          </w:tcPr>
          <w:p>
            <w:pPr>
              <w:jc w:val="center"/>
              <w:ind w:right="300"/>
              <w:spacing w:after="0" w:line="122" w:lineRule="exact"/>
              <w:rPr>
                <w:sz w:val="20"/>
                <w:szCs w:val="20"/>
                <w:color w:val="auto"/>
              </w:rPr>
            </w:pPr>
            <w:r>
              <w:rPr>
                <w:rFonts w:ascii="Arial" w:cs="Arial" w:eastAsia="Arial" w:hAnsi="Arial"/>
                <w:sz w:val="11"/>
                <w:szCs w:val="11"/>
                <w:b w:val="1"/>
                <w:bCs w:val="1"/>
                <w:color w:val="auto"/>
                <w:w w:val="86"/>
              </w:rPr>
              <w:t>Three</w:t>
            </w:r>
          </w:p>
        </w:tc>
        <w:tc>
          <w:tcPr>
            <w:tcW w:w="60" w:type="dxa"/>
            <w:vAlign w:val="bottom"/>
          </w:tcPr>
          <w:p>
            <w:pPr>
              <w:spacing w:after="0"/>
              <w:rPr>
                <w:sz w:val="10"/>
                <w:szCs w:val="10"/>
                <w:color w:val="auto"/>
              </w:rPr>
            </w:pPr>
          </w:p>
        </w:tc>
        <w:tc>
          <w:tcPr>
            <w:tcW w:w="620" w:type="dxa"/>
            <w:vAlign w:val="bottom"/>
            <w:gridSpan w:val="2"/>
          </w:tcPr>
          <w:p>
            <w:pPr>
              <w:jc w:val="center"/>
              <w:ind w:right="280"/>
              <w:spacing w:after="0" w:line="122" w:lineRule="exact"/>
              <w:rPr>
                <w:sz w:val="20"/>
                <w:szCs w:val="20"/>
                <w:color w:val="auto"/>
              </w:rPr>
            </w:pPr>
            <w:r>
              <w:rPr>
                <w:rFonts w:ascii="Arial" w:cs="Arial" w:eastAsia="Arial" w:hAnsi="Arial"/>
                <w:sz w:val="11"/>
                <w:szCs w:val="11"/>
                <w:b w:val="1"/>
                <w:bCs w:val="1"/>
                <w:color w:val="auto"/>
                <w:w w:val="86"/>
              </w:rPr>
              <w:t>Three</w:t>
            </w:r>
          </w:p>
        </w:tc>
        <w:tc>
          <w:tcPr>
            <w:tcW w:w="100" w:type="dxa"/>
            <w:vAlign w:val="bottom"/>
          </w:tcPr>
          <w:p>
            <w:pPr>
              <w:spacing w:after="0"/>
              <w:rPr>
                <w:sz w:val="10"/>
                <w:szCs w:val="10"/>
                <w:color w:val="auto"/>
              </w:rPr>
            </w:pPr>
          </w:p>
        </w:tc>
        <w:tc>
          <w:tcPr>
            <w:tcW w:w="640" w:type="dxa"/>
            <w:vAlign w:val="bottom"/>
            <w:gridSpan w:val="2"/>
          </w:tcPr>
          <w:p>
            <w:pPr>
              <w:jc w:val="center"/>
              <w:ind w:right="240"/>
              <w:spacing w:after="0" w:line="122" w:lineRule="exact"/>
              <w:rPr>
                <w:sz w:val="20"/>
                <w:szCs w:val="20"/>
                <w:color w:val="auto"/>
              </w:rPr>
            </w:pPr>
            <w:r>
              <w:rPr>
                <w:rFonts w:ascii="Arial" w:cs="Arial" w:eastAsia="Arial" w:hAnsi="Arial"/>
                <w:sz w:val="11"/>
                <w:szCs w:val="11"/>
                <w:b w:val="1"/>
                <w:bCs w:val="1"/>
                <w:color w:val="auto"/>
                <w:w w:val="93"/>
              </w:rPr>
              <w:t>Three</w:t>
            </w: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80" w:type="dxa"/>
            <w:vAlign w:val="bottom"/>
            <w:tcBorders>
              <w:right w:val="single" w:sz="8" w:color="auto"/>
            </w:tcBorders>
            <w:gridSpan w:val="2"/>
          </w:tcPr>
          <w:p>
            <w:pPr>
              <w:jc w:val="center"/>
              <w:ind w:right="440"/>
              <w:spacing w:after="0" w:line="122" w:lineRule="exact"/>
              <w:rPr>
                <w:sz w:val="20"/>
                <w:szCs w:val="20"/>
                <w:color w:val="auto"/>
              </w:rPr>
            </w:pPr>
            <w:r>
              <w:rPr>
                <w:rFonts w:ascii="Arial" w:cs="Arial" w:eastAsia="Arial" w:hAnsi="Arial"/>
                <w:sz w:val="11"/>
                <w:szCs w:val="11"/>
                <w:b w:val="1"/>
                <w:bCs w:val="1"/>
                <w:color w:val="auto"/>
                <w:w w:val="89"/>
              </w:rPr>
              <w:t>July 16,</w:t>
            </w:r>
          </w:p>
        </w:tc>
        <w:tc>
          <w:tcPr>
            <w:tcW w:w="220" w:type="dxa"/>
            <w:vAlign w:val="bottom"/>
          </w:tcPr>
          <w:p>
            <w:pPr>
              <w:spacing w:after="0"/>
              <w:rPr>
                <w:sz w:val="10"/>
                <w:szCs w:val="10"/>
                <w:color w:val="auto"/>
              </w:rPr>
            </w:pPr>
          </w:p>
        </w:tc>
        <w:tc>
          <w:tcPr>
            <w:tcW w:w="480" w:type="dxa"/>
            <w:vAlign w:val="bottom"/>
            <w:gridSpan w:val="3"/>
          </w:tcPr>
          <w:p>
            <w:pPr>
              <w:jc w:val="center"/>
              <w:ind w:right="140"/>
              <w:spacing w:after="0" w:line="122" w:lineRule="exact"/>
              <w:rPr>
                <w:sz w:val="20"/>
                <w:szCs w:val="20"/>
                <w:color w:val="auto"/>
              </w:rPr>
            </w:pPr>
            <w:r>
              <w:rPr>
                <w:rFonts w:ascii="Arial" w:cs="Arial" w:eastAsia="Arial" w:hAnsi="Arial"/>
                <w:sz w:val="11"/>
                <w:szCs w:val="11"/>
                <w:b w:val="1"/>
                <w:bCs w:val="1"/>
                <w:color w:val="auto"/>
                <w:w w:val="87"/>
              </w:rPr>
              <w:t>July 1,</w:t>
            </w: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20" w:type="dxa"/>
            <w:vAlign w:val="bottom"/>
            <w:gridSpan w:val="2"/>
          </w:tcPr>
          <w:p>
            <w:pPr>
              <w:jc w:val="center"/>
              <w:ind w:right="240"/>
              <w:spacing w:after="0" w:line="122" w:lineRule="exact"/>
              <w:rPr>
                <w:sz w:val="20"/>
                <w:szCs w:val="20"/>
                <w:color w:val="auto"/>
              </w:rPr>
            </w:pPr>
            <w:r>
              <w:rPr>
                <w:rFonts w:ascii="Arial" w:cs="Arial" w:eastAsia="Arial" w:hAnsi="Arial"/>
                <w:sz w:val="11"/>
                <w:szCs w:val="11"/>
                <w:b w:val="1"/>
                <w:bCs w:val="1"/>
                <w:color w:val="auto"/>
                <w:w w:val="93"/>
              </w:rPr>
              <w:t>Three</w:t>
            </w:r>
          </w:p>
        </w:tc>
        <w:tc>
          <w:tcPr>
            <w:tcW w:w="60" w:type="dxa"/>
            <w:vAlign w:val="bottom"/>
          </w:tcPr>
          <w:p>
            <w:pPr>
              <w:spacing w:after="0"/>
              <w:rPr>
                <w:sz w:val="10"/>
                <w:szCs w:val="10"/>
                <w:color w:val="auto"/>
              </w:rPr>
            </w:pPr>
          </w:p>
        </w:tc>
        <w:tc>
          <w:tcPr>
            <w:tcW w:w="460" w:type="dxa"/>
            <w:vAlign w:val="bottom"/>
            <w:gridSpan w:val="2"/>
          </w:tcPr>
          <w:p>
            <w:pPr>
              <w:jc w:val="center"/>
              <w:ind w:right="140"/>
              <w:spacing w:after="0" w:line="122" w:lineRule="exact"/>
              <w:rPr>
                <w:sz w:val="20"/>
                <w:szCs w:val="20"/>
                <w:color w:val="auto"/>
              </w:rPr>
            </w:pPr>
            <w:r>
              <w:rPr>
                <w:rFonts w:ascii="Arial" w:cs="Arial" w:eastAsia="Arial" w:hAnsi="Arial"/>
                <w:sz w:val="11"/>
                <w:szCs w:val="11"/>
                <w:b w:val="1"/>
                <w:bCs w:val="1"/>
                <w:color w:val="auto"/>
                <w:w w:val="93"/>
              </w:rPr>
              <w:t>Three</w:t>
            </w:r>
          </w:p>
        </w:tc>
      </w:tr>
      <w:tr>
        <w:trPr>
          <w:trHeight w:val="122"/>
        </w:trPr>
        <w:tc>
          <w:tcPr>
            <w:tcW w:w="2940" w:type="dxa"/>
            <w:vAlign w:val="bottom"/>
          </w:tcPr>
          <w:p>
            <w:pPr>
              <w:spacing w:after="0"/>
              <w:rPr>
                <w:sz w:val="10"/>
                <w:szCs w:val="10"/>
                <w:color w:val="auto"/>
              </w:rPr>
            </w:pPr>
          </w:p>
        </w:tc>
        <w:tc>
          <w:tcPr>
            <w:tcW w:w="680" w:type="dxa"/>
            <w:vAlign w:val="bottom"/>
            <w:gridSpan w:val="3"/>
          </w:tcPr>
          <w:p>
            <w:pPr>
              <w:jc w:val="center"/>
              <w:ind w:right="220"/>
              <w:spacing w:after="0" w:line="122" w:lineRule="exact"/>
              <w:rPr>
                <w:sz w:val="20"/>
                <w:szCs w:val="20"/>
                <w:color w:val="auto"/>
              </w:rPr>
            </w:pPr>
            <w:r>
              <w:rPr>
                <w:rFonts w:ascii="Arial" w:cs="Arial" w:eastAsia="Arial" w:hAnsi="Arial"/>
                <w:sz w:val="11"/>
                <w:szCs w:val="11"/>
                <w:b w:val="1"/>
                <w:bCs w:val="1"/>
                <w:color w:val="auto"/>
                <w:w w:val="86"/>
              </w:rPr>
              <w:t>Months</w:t>
            </w:r>
          </w:p>
        </w:tc>
        <w:tc>
          <w:tcPr>
            <w:tcW w:w="60" w:type="dxa"/>
            <w:vAlign w:val="bottom"/>
          </w:tcPr>
          <w:p>
            <w:pPr>
              <w:spacing w:after="0"/>
              <w:rPr>
                <w:sz w:val="10"/>
                <w:szCs w:val="10"/>
                <w:color w:val="auto"/>
              </w:rPr>
            </w:pPr>
          </w:p>
        </w:tc>
        <w:tc>
          <w:tcPr>
            <w:tcW w:w="600" w:type="dxa"/>
            <w:vAlign w:val="bottom"/>
            <w:gridSpan w:val="2"/>
          </w:tcPr>
          <w:p>
            <w:pPr>
              <w:jc w:val="center"/>
              <w:ind w:right="260"/>
              <w:spacing w:after="0" w:line="122" w:lineRule="exact"/>
              <w:rPr>
                <w:sz w:val="20"/>
                <w:szCs w:val="20"/>
                <w:color w:val="auto"/>
              </w:rPr>
            </w:pPr>
            <w:r>
              <w:rPr>
                <w:rFonts w:ascii="Arial" w:cs="Arial" w:eastAsia="Arial" w:hAnsi="Arial"/>
                <w:sz w:val="11"/>
                <w:szCs w:val="11"/>
                <w:b w:val="1"/>
                <w:bCs w:val="1"/>
                <w:color w:val="auto"/>
                <w:w w:val="89"/>
              </w:rPr>
              <w:t>Ended</w:t>
            </w:r>
          </w:p>
        </w:tc>
        <w:tc>
          <w:tcPr>
            <w:tcW w:w="100" w:type="dxa"/>
            <w:vAlign w:val="bottom"/>
          </w:tcPr>
          <w:p>
            <w:pPr>
              <w:spacing w:after="0"/>
              <w:rPr>
                <w:sz w:val="10"/>
                <w:szCs w:val="10"/>
                <w:color w:val="auto"/>
              </w:rPr>
            </w:pPr>
          </w:p>
        </w:tc>
        <w:tc>
          <w:tcPr>
            <w:tcW w:w="660" w:type="dxa"/>
            <w:vAlign w:val="bottom"/>
            <w:gridSpan w:val="2"/>
          </w:tcPr>
          <w:p>
            <w:pPr>
              <w:jc w:val="center"/>
              <w:ind w:right="240"/>
              <w:spacing w:after="0" w:line="122" w:lineRule="exact"/>
              <w:rPr>
                <w:sz w:val="20"/>
                <w:szCs w:val="20"/>
                <w:color w:val="auto"/>
              </w:rPr>
            </w:pPr>
            <w:r>
              <w:rPr>
                <w:rFonts w:ascii="Arial" w:cs="Arial" w:eastAsia="Arial" w:hAnsi="Arial"/>
                <w:sz w:val="11"/>
                <w:szCs w:val="11"/>
                <w:b w:val="1"/>
                <w:bCs w:val="1"/>
                <w:color w:val="auto"/>
                <w:w w:val="86"/>
              </w:rPr>
              <w:t>Months</w:t>
            </w: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40" w:type="dxa"/>
            <w:vAlign w:val="bottom"/>
            <w:gridSpan w:val="2"/>
          </w:tcPr>
          <w:p>
            <w:pPr>
              <w:jc w:val="center"/>
              <w:ind w:right="320"/>
              <w:spacing w:after="0" w:line="122" w:lineRule="exact"/>
              <w:rPr>
                <w:sz w:val="20"/>
                <w:szCs w:val="20"/>
                <w:color w:val="auto"/>
              </w:rPr>
            </w:pPr>
            <w:r>
              <w:rPr>
                <w:rFonts w:ascii="Arial" w:cs="Arial" w:eastAsia="Arial" w:hAnsi="Arial"/>
                <w:sz w:val="11"/>
                <w:szCs w:val="11"/>
                <w:b w:val="1"/>
                <w:bCs w:val="1"/>
                <w:color w:val="auto"/>
                <w:w w:val="86"/>
              </w:rPr>
              <w:t>Months</w:t>
            </w:r>
          </w:p>
        </w:tc>
        <w:tc>
          <w:tcPr>
            <w:tcW w:w="680" w:type="dxa"/>
            <w:vAlign w:val="bottom"/>
            <w:gridSpan w:val="3"/>
          </w:tcPr>
          <w:p>
            <w:pPr>
              <w:jc w:val="center"/>
              <w:ind w:right="220"/>
              <w:spacing w:after="0" w:line="122" w:lineRule="exact"/>
              <w:rPr>
                <w:sz w:val="20"/>
                <w:szCs w:val="20"/>
                <w:color w:val="auto"/>
              </w:rPr>
            </w:pPr>
            <w:r>
              <w:rPr>
                <w:rFonts w:ascii="Arial" w:cs="Arial" w:eastAsia="Arial" w:hAnsi="Arial"/>
                <w:sz w:val="11"/>
                <w:szCs w:val="11"/>
                <w:b w:val="1"/>
                <w:bCs w:val="1"/>
                <w:color w:val="auto"/>
                <w:w w:val="86"/>
              </w:rPr>
              <w:t>Months</w:t>
            </w:r>
          </w:p>
        </w:tc>
        <w:tc>
          <w:tcPr>
            <w:tcW w:w="680" w:type="dxa"/>
            <w:vAlign w:val="bottom"/>
            <w:gridSpan w:val="3"/>
          </w:tcPr>
          <w:p>
            <w:pPr>
              <w:jc w:val="center"/>
              <w:ind w:right="220"/>
              <w:spacing w:after="0" w:line="122" w:lineRule="exact"/>
              <w:rPr>
                <w:sz w:val="20"/>
                <w:szCs w:val="20"/>
                <w:color w:val="auto"/>
              </w:rPr>
            </w:pPr>
            <w:r>
              <w:rPr>
                <w:rFonts w:ascii="Arial" w:cs="Arial" w:eastAsia="Arial" w:hAnsi="Arial"/>
                <w:sz w:val="11"/>
                <w:szCs w:val="11"/>
                <w:b w:val="1"/>
                <w:bCs w:val="1"/>
                <w:color w:val="auto"/>
                <w:w w:val="86"/>
              </w:rPr>
              <w:t>Months</w:t>
            </w:r>
          </w:p>
        </w:tc>
        <w:tc>
          <w:tcPr>
            <w:tcW w:w="100" w:type="dxa"/>
            <w:vAlign w:val="bottom"/>
          </w:tcPr>
          <w:p>
            <w:pPr>
              <w:spacing w:after="0"/>
              <w:rPr>
                <w:sz w:val="10"/>
                <w:szCs w:val="10"/>
                <w:color w:val="auto"/>
              </w:rPr>
            </w:pPr>
          </w:p>
        </w:tc>
        <w:tc>
          <w:tcPr>
            <w:tcW w:w="640" w:type="dxa"/>
            <w:vAlign w:val="bottom"/>
            <w:gridSpan w:val="2"/>
          </w:tcPr>
          <w:p>
            <w:pPr>
              <w:jc w:val="center"/>
              <w:ind w:right="240"/>
              <w:spacing w:after="0" w:line="122" w:lineRule="exact"/>
              <w:rPr>
                <w:sz w:val="20"/>
                <w:szCs w:val="20"/>
                <w:color w:val="auto"/>
              </w:rPr>
            </w:pPr>
            <w:r>
              <w:rPr>
                <w:rFonts w:ascii="Arial" w:cs="Arial" w:eastAsia="Arial" w:hAnsi="Arial"/>
                <w:sz w:val="11"/>
                <w:szCs w:val="11"/>
                <w:b w:val="1"/>
                <w:bCs w:val="1"/>
                <w:color w:val="auto"/>
                <w:w w:val="91"/>
              </w:rPr>
              <w:t>Months</w:t>
            </w: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60" w:type="dxa"/>
            <w:vAlign w:val="bottom"/>
          </w:tcPr>
          <w:p>
            <w:pPr>
              <w:jc w:val="center"/>
              <w:ind w:right="79"/>
              <w:spacing w:after="0" w:line="122" w:lineRule="exact"/>
              <w:rPr>
                <w:sz w:val="20"/>
                <w:szCs w:val="20"/>
                <w:color w:val="auto"/>
              </w:rPr>
            </w:pPr>
            <w:r>
              <w:rPr>
                <w:rFonts w:ascii="Arial" w:cs="Arial" w:eastAsia="Arial" w:hAnsi="Arial"/>
                <w:sz w:val="11"/>
                <w:szCs w:val="11"/>
                <w:b w:val="1"/>
                <w:bCs w:val="1"/>
                <w:color w:val="auto"/>
                <w:w w:val="89"/>
              </w:rPr>
              <w:t>2019</w:t>
            </w:r>
          </w:p>
        </w:tc>
        <w:tc>
          <w:tcPr>
            <w:tcW w:w="320" w:type="dxa"/>
            <w:vAlign w:val="bottom"/>
            <w:tcBorders>
              <w:right w:val="single" w:sz="8" w:color="auto"/>
            </w:tcBorders>
          </w:tcPr>
          <w:p>
            <w:pPr>
              <w:spacing w:after="0"/>
              <w:rPr>
                <w:sz w:val="10"/>
                <w:szCs w:val="10"/>
                <w:color w:val="auto"/>
              </w:rPr>
            </w:pPr>
          </w:p>
        </w:tc>
        <w:tc>
          <w:tcPr>
            <w:tcW w:w="2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20" w:type="dxa"/>
            <w:vAlign w:val="bottom"/>
          </w:tcPr>
          <w:p>
            <w:pPr>
              <w:jc w:val="center"/>
              <w:spacing w:after="0" w:line="122" w:lineRule="exact"/>
              <w:rPr>
                <w:sz w:val="20"/>
                <w:szCs w:val="20"/>
                <w:color w:val="auto"/>
              </w:rPr>
            </w:pPr>
            <w:r>
              <w:rPr>
                <w:rFonts w:ascii="Arial" w:cs="Arial" w:eastAsia="Arial" w:hAnsi="Arial"/>
                <w:sz w:val="11"/>
                <w:szCs w:val="11"/>
                <w:b w:val="1"/>
                <w:bCs w:val="1"/>
                <w:color w:val="auto"/>
                <w:w w:val="89"/>
              </w:rPr>
              <w:t>2019</w:t>
            </w: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gridSpan w:val="3"/>
          </w:tcPr>
          <w:p>
            <w:pPr>
              <w:jc w:val="center"/>
              <w:ind w:right="160"/>
              <w:spacing w:after="0" w:line="122" w:lineRule="exact"/>
              <w:rPr>
                <w:sz w:val="20"/>
                <w:szCs w:val="20"/>
                <w:color w:val="auto"/>
              </w:rPr>
            </w:pPr>
            <w:r>
              <w:rPr>
                <w:rFonts w:ascii="Arial" w:cs="Arial" w:eastAsia="Arial" w:hAnsi="Arial"/>
                <w:sz w:val="11"/>
                <w:szCs w:val="11"/>
                <w:b w:val="1"/>
                <w:bCs w:val="1"/>
                <w:color w:val="auto"/>
                <w:w w:val="91"/>
              </w:rPr>
              <w:t>Months</w:t>
            </w:r>
          </w:p>
        </w:tc>
        <w:tc>
          <w:tcPr>
            <w:tcW w:w="520" w:type="dxa"/>
            <w:vAlign w:val="bottom"/>
            <w:gridSpan w:val="3"/>
          </w:tcPr>
          <w:p>
            <w:pPr>
              <w:jc w:val="center"/>
              <w:ind w:right="80"/>
              <w:spacing w:after="0" w:line="122" w:lineRule="exact"/>
              <w:rPr>
                <w:sz w:val="20"/>
                <w:szCs w:val="20"/>
                <w:color w:val="auto"/>
              </w:rPr>
            </w:pPr>
            <w:r>
              <w:rPr>
                <w:rFonts w:ascii="Arial" w:cs="Arial" w:eastAsia="Arial" w:hAnsi="Arial"/>
                <w:sz w:val="11"/>
                <w:szCs w:val="11"/>
                <w:b w:val="1"/>
                <w:bCs w:val="1"/>
                <w:color w:val="auto"/>
                <w:w w:val="91"/>
              </w:rPr>
              <w:t>Months</w:t>
            </w:r>
          </w:p>
        </w:tc>
      </w:tr>
      <w:tr>
        <w:trPr>
          <w:trHeight w:val="122"/>
        </w:trPr>
        <w:tc>
          <w:tcPr>
            <w:tcW w:w="29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20" w:type="dxa"/>
            <w:vAlign w:val="bottom"/>
            <w:gridSpan w:val="2"/>
          </w:tcPr>
          <w:p>
            <w:pPr>
              <w:jc w:val="center"/>
              <w:ind w:right="280"/>
              <w:spacing w:after="0" w:line="122" w:lineRule="exact"/>
              <w:rPr>
                <w:sz w:val="20"/>
                <w:szCs w:val="20"/>
                <w:color w:val="auto"/>
              </w:rPr>
            </w:pPr>
            <w:r>
              <w:rPr>
                <w:rFonts w:ascii="Arial" w:cs="Arial" w:eastAsia="Arial" w:hAnsi="Arial"/>
                <w:sz w:val="11"/>
                <w:szCs w:val="11"/>
                <w:b w:val="1"/>
                <w:bCs w:val="1"/>
                <w:color w:val="auto"/>
                <w:w w:val="89"/>
              </w:rPr>
              <w:t>Ended</w:t>
            </w:r>
          </w:p>
        </w:tc>
        <w:tc>
          <w:tcPr>
            <w:tcW w:w="660" w:type="dxa"/>
            <w:vAlign w:val="bottom"/>
            <w:gridSpan w:val="3"/>
          </w:tcPr>
          <w:p>
            <w:pPr>
              <w:jc w:val="center"/>
              <w:ind w:right="180"/>
              <w:spacing w:after="0" w:line="122" w:lineRule="exact"/>
              <w:rPr>
                <w:sz w:val="20"/>
                <w:szCs w:val="20"/>
                <w:color w:val="auto"/>
              </w:rPr>
            </w:pPr>
            <w:r>
              <w:rPr>
                <w:rFonts w:ascii="Arial" w:cs="Arial" w:eastAsia="Arial" w:hAnsi="Arial"/>
                <w:sz w:val="11"/>
                <w:szCs w:val="11"/>
                <w:b w:val="1"/>
                <w:bCs w:val="1"/>
                <w:color w:val="auto"/>
                <w:w w:val="94"/>
              </w:rPr>
              <w:t>March 31,</w:t>
            </w:r>
          </w:p>
        </w:tc>
        <w:tc>
          <w:tcPr>
            <w:tcW w:w="100" w:type="dxa"/>
            <w:vAlign w:val="bottom"/>
          </w:tcPr>
          <w:p>
            <w:pPr>
              <w:spacing w:after="0"/>
              <w:rPr>
                <w:sz w:val="10"/>
                <w:szCs w:val="10"/>
                <w:color w:val="auto"/>
              </w:rPr>
            </w:pPr>
          </w:p>
        </w:tc>
        <w:tc>
          <w:tcPr>
            <w:tcW w:w="660" w:type="dxa"/>
            <w:vAlign w:val="bottom"/>
            <w:gridSpan w:val="2"/>
          </w:tcPr>
          <w:p>
            <w:pPr>
              <w:jc w:val="center"/>
              <w:ind w:right="240"/>
              <w:spacing w:after="0" w:line="122" w:lineRule="exact"/>
              <w:rPr>
                <w:sz w:val="20"/>
                <w:szCs w:val="20"/>
                <w:color w:val="auto"/>
              </w:rPr>
            </w:pPr>
            <w:r>
              <w:rPr>
                <w:rFonts w:ascii="Arial" w:cs="Arial" w:eastAsia="Arial" w:hAnsi="Arial"/>
                <w:sz w:val="11"/>
                <w:szCs w:val="11"/>
                <w:b w:val="1"/>
                <w:bCs w:val="1"/>
                <w:color w:val="auto"/>
                <w:w w:val="89"/>
              </w:rPr>
              <w:t>Ended</w:t>
            </w: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40" w:type="dxa"/>
            <w:vAlign w:val="bottom"/>
            <w:gridSpan w:val="2"/>
          </w:tcPr>
          <w:p>
            <w:pPr>
              <w:jc w:val="center"/>
              <w:ind w:right="320"/>
              <w:spacing w:after="0" w:line="122" w:lineRule="exact"/>
              <w:rPr>
                <w:sz w:val="20"/>
                <w:szCs w:val="20"/>
                <w:color w:val="auto"/>
              </w:rPr>
            </w:pPr>
            <w:r>
              <w:rPr>
                <w:rFonts w:ascii="Arial" w:cs="Arial" w:eastAsia="Arial" w:hAnsi="Arial"/>
                <w:sz w:val="11"/>
                <w:szCs w:val="11"/>
                <w:b w:val="1"/>
                <w:bCs w:val="1"/>
                <w:color w:val="auto"/>
                <w:w w:val="89"/>
              </w:rPr>
              <w:t>Ended</w:t>
            </w:r>
          </w:p>
        </w:tc>
        <w:tc>
          <w:tcPr>
            <w:tcW w:w="80" w:type="dxa"/>
            <w:vAlign w:val="bottom"/>
          </w:tcPr>
          <w:p>
            <w:pPr>
              <w:spacing w:after="0"/>
              <w:rPr>
                <w:sz w:val="10"/>
                <w:szCs w:val="10"/>
                <w:color w:val="auto"/>
              </w:rPr>
            </w:pPr>
          </w:p>
        </w:tc>
        <w:tc>
          <w:tcPr>
            <w:tcW w:w="600" w:type="dxa"/>
            <w:vAlign w:val="bottom"/>
            <w:gridSpan w:val="2"/>
          </w:tcPr>
          <w:p>
            <w:pPr>
              <w:jc w:val="center"/>
              <w:ind w:right="300"/>
              <w:spacing w:after="0" w:line="122" w:lineRule="exact"/>
              <w:rPr>
                <w:sz w:val="20"/>
                <w:szCs w:val="20"/>
                <w:color w:val="auto"/>
              </w:rPr>
            </w:pPr>
            <w:r>
              <w:rPr>
                <w:rFonts w:ascii="Arial" w:cs="Arial" w:eastAsia="Arial" w:hAnsi="Arial"/>
                <w:sz w:val="11"/>
                <w:szCs w:val="11"/>
                <w:b w:val="1"/>
                <w:bCs w:val="1"/>
                <w:color w:val="auto"/>
                <w:w w:val="89"/>
              </w:rPr>
              <w:t>Ended</w:t>
            </w:r>
          </w:p>
        </w:tc>
        <w:tc>
          <w:tcPr>
            <w:tcW w:w="60" w:type="dxa"/>
            <w:vAlign w:val="bottom"/>
          </w:tcPr>
          <w:p>
            <w:pPr>
              <w:spacing w:after="0"/>
              <w:rPr>
                <w:sz w:val="10"/>
                <w:szCs w:val="10"/>
                <w:color w:val="auto"/>
              </w:rPr>
            </w:pPr>
          </w:p>
        </w:tc>
        <w:tc>
          <w:tcPr>
            <w:tcW w:w="620" w:type="dxa"/>
            <w:vAlign w:val="bottom"/>
            <w:gridSpan w:val="2"/>
          </w:tcPr>
          <w:p>
            <w:pPr>
              <w:jc w:val="center"/>
              <w:ind w:right="280"/>
              <w:spacing w:after="0" w:line="122" w:lineRule="exact"/>
              <w:rPr>
                <w:sz w:val="20"/>
                <w:szCs w:val="20"/>
                <w:color w:val="auto"/>
              </w:rPr>
            </w:pPr>
            <w:r>
              <w:rPr>
                <w:rFonts w:ascii="Arial" w:cs="Arial" w:eastAsia="Arial" w:hAnsi="Arial"/>
                <w:sz w:val="11"/>
                <w:szCs w:val="11"/>
                <w:b w:val="1"/>
                <w:bCs w:val="1"/>
                <w:color w:val="auto"/>
                <w:w w:val="89"/>
              </w:rPr>
              <w:t>Ended</w:t>
            </w:r>
          </w:p>
        </w:tc>
        <w:tc>
          <w:tcPr>
            <w:tcW w:w="100" w:type="dxa"/>
            <w:vAlign w:val="bottom"/>
          </w:tcPr>
          <w:p>
            <w:pPr>
              <w:spacing w:after="0"/>
              <w:rPr>
                <w:sz w:val="10"/>
                <w:szCs w:val="10"/>
                <w:color w:val="auto"/>
              </w:rPr>
            </w:pPr>
          </w:p>
        </w:tc>
        <w:tc>
          <w:tcPr>
            <w:tcW w:w="640" w:type="dxa"/>
            <w:vAlign w:val="bottom"/>
            <w:gridSpan w:val="2"/>
          </w:tcPr>
          <w:p>
            <w:pPr>
              <w:jc w:val="center"/>
              <w:ind w:right="260"/>
              <w:spacing w:after="0" w:line="122" w:lineRule="exact"/>
              <w:rPr>
                <w:sz w:val="20"/>
                <w:szCs w:val="20"/>
                <w:color w:val="auto"/>
              </w:rPr>
            </w:pPr>
            <w:r>
              <w:rPr>
                <w:rFonts w:ascii="Arial" w:cs="Arial" w:eastAsia="Arial" w:hAnsi="Arial"/>
                <w:sz w:val="11"/>
                <w:szCs w:val="11"/>
                <w:b w:val="1"/>
                <w:bCs w:val="1"/>
                <w:color w:val="auto"/>
                <w:w w:val="89"/>
              </w:rPr>
              <w:t>Ended</w:t>
            </w: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80" w:type="dxa"/>
            <w:vAlign w:val="bottom"/>
            <w:tcBorders>
              <w:right w:val="single" w:sz="8" w:color="auto"/>
            </w:tcBorders>
            <w:gridSpan w:val="2"/>
          </w:tcPr>
          <w:p>
            <w:pPr>
              <w:jc w:val="center"/>
              <w:ind w:right="460"/>
              <w:spacing w:after="0" w:line="122" w:lineRule="exact"/>
              <w:rPr>
                <w:sz w:val="20"/>
                <w:szCs w:val="20"/>
                <w:color w:val="auto"/>
              </w:rPr>
            </w:pPr>
            <w:r>
              <w:rPr>
                <w:rFonts w:ascii="Arial" w:cs="Arial" w:eastAsia="Arial" w:hAnsi="Arial"/>
                <w:sz w:val="11"/>
                <w:szCs w:val="11"/>
                <w:b w:val="1"/>
                <w:bCs w:val="1"/>
                <w:color w:val="auto"/>
                <w:w w:val="95"/>
              </w:rPr>
              <w:t>to</w:t>
            </w:r>
          </w:p>
        </w:tc>
        <w:tc>
          <w:tcPr>
            <w:tcW w:w="2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20" w:type="dxa"/>
            <w:vAlign w:val="bottom"/>
            <w:gridSpan w:val="2"/>
          </w:tcPr>
          <w:p>
            <w:pPr>
              <w:jc w:val="center"/>
              <w:ind w:right="200"/>
              <w:spacing w:after="0" w:line="122" w:lineRule="exact"/>
              <w:rPr>
                <w:sz w:val="20"/>
                <w:szCs w:val="20"/>
                <w:color w:val="auto"/>
              </w:rPr>
            </w:pPr>
            <w:r>
              <w:rPr>
                <w:rFonts w:ascii="Arial" w:cs="Arial" w:eastAsia="Arial" w:hAnsi="Arial"/>
                <w:sz w:val="11"/>
                <w:szCs w:val="11"/>
                <w:b w:val="1"/>
                <w:bCs w:val="1"/>
                <w:color w:val="auto"/>
                <w:w w:val="95"/>
              </w:rPr>
              <w:t>to</w:t>
            </w:r>
          </w:p>
        </w:tc>
        <w:tc>
          <w:tcPr>
            <w:tcW w:w="80" w:type="dxa"/>
            <w:vAlign w:val="bottom"/>
          </w:tcPr>
          <w:p>
            <w:pPr>
              <w:spacing w:after="0"/>
              <w:rPr>
                <w:sz w:val="10"/>
                <w:szCs w:val="10"/>
                <w:color w:val="auto"/>
              </w:rPr>
            </w:pPr>
          </w:p>
        </w:tc>
        <w:tc>
          <w:tcPr>
            <w:tcW w:w="600" w:type="dxa"/>
            <w:vAlign w:val="bottom"/>
            <w:gridSpan w:val="3"/>
          </w:tcPr>
          <w:p>
            <w:pPr>
              <w:jc w:val="center"/>
              <w:ind w:right="180"/>
              <w:spacing w:after="0" w:line="122" w:lineRule="exact"/>
              <w:rPr>
                <w:sz w:val="20"/>
                <w:szCs w:val="20"/>
                <w:color w:val="auto"/>
              </w:rPr>
            </w:pPr>
            <w:r>
              <w:rPr>
                <w:rFonts w:ascii="Arial" w:cs="Arial" w:eastAsia="Arial" w:hAnsi="Arial"/>
                <w:sz w:val="11"/>
                <w:szCs w:val="11"/>
                <w:b w:val="1"/>
                <w:bCs w:val="1"/>
                <w:color w:val="auto"/>
                <w:w w:val="89"/>
              </w:rPr>
              <w:t>Ended</w:t>
            </w:r>
          </w:p>
        </w:tc>
        <w:tc>
          <w:tcPr>
            <w:tcW w:w="60" w:type="dxa"/>
            <w:vAlign w:val="bottom"/>
          </w:tcPr>
          <w:p>
            <w:pPr>
              <w:spacing w:after="0"/>
              <w:rPr>
                <w:sz w:val="10"/>
                <w:szCs w:val="10"/>
                <w:color w:val="auto"/>
              </w:rPr>
            </w:pPr>
          </w:p>
        </w:tc>
        <w:tc>
          <w:tcPr>
            <w:tcW w:w="460" w:type="dxa"/>
            <w:vAlign w:val="bottom"/>
            <w:gridSpan w:val="2"/>
          </w:tcPr>
          <w:p>
            <w:pPr>
              <w:jc w:val="center"/>
              <w:ind w:right="120"/>
              <w:spacing w:after="0" w:line="122" w:lineRule="exact"/>
              <w:rPr>
                <w:sz w:val="20"/>
                <w:szCs w:val="20"/>
                <w:color w:val="auto"/>
              </w:rPr>
            </w:pPr>
            <w:r>
              <w:rPr>
                <w:rFonts w:ascii="Arial" w:cs="Arial" w:eastAsia="Arial" w:hAnsi="Arial"/>
                <w:sz w:val="11"/>
                <w:szCs w:val="11"/>
                <w:b w:val="1"/>
                <w:bCs w:val="1"/>
                <w:color w:val="auto"/>
                <w:w w:val="89"/>
              </w:rPr>
              <w:t>Ended</w:t>
            </w:r>
          </w:p>
        </w:tc>
      </w:tr>
      <w:tr>
        <w:trPr>
          <w:trHeight w:val="122"/>
        </w:trPr>
        <w:tc>
          <w:tcPr>
            <w:tcW w:w="2940" w:type="dxa"/>
            <w:vAlign w:val="bottom"/>
          </w:tcPr>
          <w:p>
            <w:pPr>
              <w:spacing w:after="0"/>
              <w:rPr>
                <w:sz w:val="10"/>
                <w:szCs w:val="10"/>
                <w:color w:val="auto"/>
              </w:rPr>
            </w:pPr>
          </w:p>
        </w:tc>
        <w:tc>
          <w:tcPr>
            <w:tcW w:w="680" w:type="dxa"/>
            <w:vAlign w:val="bottom"/>
            <w:gridSpan w:val="3"/>
          </w:tcPr>
          <w:p>
            <w:pPr>
              <w:jc w:val="center"/>
              <w:ind w:right="220"/>
              <w:spacing w:after="0" w:line="122" w:lineRule="exact"/>
              <w:rPr>
                <w:sz w:val="20"/>
                <w:szCs w:val="20"/>
                <w:color w:val="auto"/>
              </w:rPr>
            </w:pPr>
            <w:r>
              <w:rPr>
                <w:rFonts w:ascii="Arial" w:cs="Arial" w:eastAsia="Arial" w:hAnsi="Arial"/>
                <w:sz w:val="11"/>
                <w:szCs w:val="11"/>
                <w:b w:val="1"/>
                <w:bCs w:val="1"/>
                <w:color w:val="auto"/>
                <w:w w:val="86"/>
              </w:rPr>
              <w:t>June 30,</w:t>
            </w:r>
          </w:p>
        </w:tc>
        <w:tc>
          <w:tcPr>
            <w:tcW w:w="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60" w:type="dxa"/>
            <w:vAlign w:val="bottom"/>
            <w:gridSpan w:val="3"/>
          </w:tcPr>
          <w:p>
            <w:pPr>
              <w:jc w:val="center"/>
              <w:ind w:right="100"/>
              <w:spacing w:after="0" w:line="122" w:lineRule="exact"/>
              <w:rPr>
                <w:sz w:val="20"/>
                <w:szCs w:val="20"/>
                <w:color w:val="auto"/>
              </w:rPr>
            </w:pPr>
            <w:r>
              <w:rPr>
                <w:rFonts w:ascii="Arial" w:cs="Arial" w:eastAsia="Arial" w:hAnsi="Arial"/>
                <w:sz w:val="11"/>
                <w:szCs w:val="11"/>
                <w:b w:val="1"/>
                <w:bCs w:val="1"/>
                <w:color w:val="auto"/>
                <w:w w:val="86"/>
              </w:rPr>
              <w:t>December 31,</w:t>
            </w:r>
          </w:p>
        </w:tc>
        <w:tc>
          <w:tcPr>
            <w:tcW w:w="80" w:type="dxa"/>
            <w:vAlign w:val="bottom"/>
          </w:tcPr>
          <w:p>
            <w:pPr>
              <w:spacing w:after="0"/>
              <w:rPr>
                <w:sz w:val="10"/>
                <w:szCs w:val="10"/>
                <w:color w:val="auto"/>
              </w:rPr>
            </w:pPr>
          </w:p>
        </w:tc>
        <w:tc>
          <w:tcPr>
            <w:tcW w:w="840" w:type="dxa"/>
            <w:vAlign w:val="bottom"/>
            <w:gridSpan w:val="3"/>
          </w:tcPr>
          <w:p>
            <w:pPr>
              <w:jc w:val="center"/>
              <w:ind w:right="180"/>
              <w:spacing w:after="0" w:line="122" w:lineRule="exact"/>
              <w:rPr>
                <w:sz w:val="20"/>
                <w:szCs w:val="20"/>
                <w:color w:val="auto"/>
              </w:rPr>
            </w:pPr>
            <w:r>
              <w:rPr>
                <w:rFonts w:ascii="Arial" w:cs="Arial" w:eastAsia="Arial" w:hAnsi="Arial"/>
                <w:sz w:val="11"/>
                <w:szCs w:val="11"/>
                <w:b w:val="1"/>
                <w:bCs w:val="1"/>
                <w:color w:val="auto"/>
                <w:w w:val="87"/>
              </w:rPr>
              <w:t>September 30,</w:t>
            </w:r>
          </w:p>
        </w:tc>
        <w:tc>
          <w:tcPr>
            <w:tcW w:w="680" w:type="dxa"/>
            <w:vAlign w:val="bottom"/>
            <w:gridSpan w:val="3"/>
          </w:tcPr>
          <w:p>
            <w:pPr>
              <w:jc w:val="center"/>
              <w:ind w:right="220"/>
              <w:spacing w:after="0" w:line="122" w:lineRule="exact"/>
              <w:rPr>
                <w:sz w:val="20"/>
                <w:szCs w:val="20"/>
                <w:color w:val="auto"/>
              </w:rPr>
            </w:pPr>
            <w:r>
              <w:rPr>
                <w:rFonts w:ascii="Arial" w:cs="Arial" w:eastAsia="Arial" w:hAnsi="Arial"/>
                <w:sz w:val="11"/>
                <w:szCs w:val="11"/>
                <w:b w:val="1"/>
                <w:bCs w:val="1"/>
                <w:color w:val="auto"/>
                <w:w w:val="86"/>
              </w:rPr>
              <w:t>June 30,</w:t>
            </w:r>
          </w:p>
        </w:tc>
        <w:tc>
          <w:tcPr>
            <w:tcW w:w="680" w:type="dxa"/>
            <w:vAlign w:val="bottom"/>
            <w:gridSpan w:val="3"/>
          </w:tcPr>
          <w:p>
            <w:pPr>
              <w:jc w:val="center"/>
              <w:ind w:right="200"/>
              <w:spacing w:after="0" w:line="122" w:lineRule="exact"/>
              <w:rPr>
                <w:sz w:val="20"/>
                <w:szCs w:val="20"/>
                <w:color w:val="auto"/>
              </w:rPr>
            </w:pPr>
            <w:r>
              <w:rPr>
                <w:rFonts w:ascii="Arial" w:cs="Arial" w:eastAsia="Arial" w:hAnsi="Arial"/>
                <w:sz w:val="11"/>
                <w:szCs w:val="11"/>
                <w:b w:val="1"/>
                <w:bCs w:val="1"/>
                <w:color w:val="auto"/>
                <w:w w:val="94"/>
              </w:rPr>
              <w:t>March 31,</w:t>
            </w:r>
          </w:p>
        </w:tc>
        <w:tc>
          <w:tcPr>
            <w:tcW w:w="740" w:type="dxa"/>
            <w:vAlign w:val="bottom"/>
            <w:gridSpan w:val="3"/>
          </w:tcPr>
          <w:p>
            <w:pPr>
              <w:jc w:val="center"/>
              <w:ind w:right="120"/>
              <w:spacing w:after="0" w:line="122" w:lineRule="exact"/>
              <w:rPr>
                <w:sz w:val="20"/>
                <w:szCs w:val="20"/>
                <w:color w:val="auto"/>
              </w:rPr>
            </w:pPr>
            <w:r>
              <w:rPr>
                <w:rFonts w:ascii="Arial" w:cs="Arial" w:eastAsia="Arial" w:hAnsi="Arial"/>
                <w:sz w:val="11"/>
                <w:szCs w:val="11"/>
                <w:b w:val="1"/>
                <w:bCs w:val="1"/>
                <w:color w:val="auto"/>
                <w:w w:val="86"/>
              </w:rPr>
              <w:t>December 31,</w:t>
            </w:r>
          </w:p>
        </w:tc>
        <w:tc>
          <w:tcPr>
            <w:tcW w:w="80" w:type="dxa"/>
            <w:vAlign w:val="bottom"/>
          </w:tcPr>
          <w:p>
            <w:pPr>
              <w:spacing w:after="0"/>
              <w:rPr>
                <w:sz w:val="10"/>
                <w:szCs w:val="10"/>
                <w:color w:val="auto"/>
              </w:rPr>
            </w:pPr>
          </w:p>
        </w:tc>
        <w:tc>
          <w:tcPr>
            <w:tcW w:w="980" w:type="dxa"/>
            <w:vAlign w:val="bottom"/>
            <w:tcBorders>
              <w:right w:val="single" w:sz="8" w:color="auto"/>
            </w:tcBorders>
            <w:gridSpan w:val="3"/>
          </w:tcPr>
          <w:p>
            <w:pPr>
              <w:jc w:val="center"/>
              <w:ind w:right="320"/>
              <w:spacing w:after="0" w:line="122" w:lineRule="exact"/>
              <w:rPr>
                <w:sz w:val="20"/>
                <w:szCs w:val="20"/>
                <w:color w:val="auto"/>
              </w:rPr>
            </w:pPr>
            <w:r>
              <w:rPr>
                <w:rFonts w:ascii="Arial" w:cs="Arial" w:eastAsia="Arial" w:hAnsi="Arial"/>
                <w:sz w:val="11"/>
                <w:szCs w:val="11"/>
                <w:b w:val="1"/>
                <w:bCs w:val="1"/>
                <w:color w:val="auto"/>
                <w:w w:val="87"/>
              </w:rPr>
              <w:t>September 30,</w:t>
            </w:r>
          </w:p>
        </w:tc>
        <w:tc>
          <w:tcPr>
            <w:tcW w:w="220" w:type="dxa"/>
            <w:vAlign w:val="bottom"/>
          </w:tcPr>
          <w:p>
            <w:pPr>
              <w:spacing w:after="0"/>
              <w:rPr>
                <w:sz w:val="10"/>
                <w:szCs w:val="10"/>
                <w:color w:val="auto"/>
              </w:rPr>
            </w:pPr>
          </w:p>
        </w:tc>
        <w:tc>
          <w:tcPr>
            <w:tcW w:w="480" w:type="dxa"/>
            <w:vAlign w:val="bottom"/>
            <w:gridSpan w:val="3"/>
          </w:tcPr>
          <w:p>
            <w:pPr>
              <w:jc w:val="center"/>
              <w:ind w:right="120"/>
              <w:spacing w:after="0" w:line="122" w:lineRule="exact"/>
              <w:rPr>
                <w:sz w:val="20"/>
                <w:szCs w:val="20"/>
                <w:color w:val="auto"/>
              </w:rPr>
            </w:pPr>
            <w:r>
              <w:rPr>
                <w:rFonts w:ascii="Arial" w:cs="Arial" w:eastAsia="Arial" w:hAnsi="Arial"/>
                <w:sz w:val="11"/>
                <w:szCs w:val="11"/>
                <w:b w:val="1"/>
                <w:bCs w:val="1"/>
                <w:color w:val="auto"/>
                <w:w w:val="89"/>
              </w:rPr>
              <w:t>July 15,</w:t>
            </w:r>
          </w:p>
        </w:tc>
        <w:tc>
          <w:tcPr>
            <w:tcW w:w="80" w:type="dxa"/>
            <w:vAlign w:val="bottom"/>
          </w:tcPr>
          <w:p>
            <w:pPr>
              <w:spacing w:after="0"/>
              <w:rPr>
                <w:sz w:val="10"/>
                <w:szCs w:val="10"/>
                <w:color w:val="auto"/>
              </w:rPr>
            </w:pPr>
          </w:p>
        </w:tc>
        <w:tc>
          <w:tcPr>
            <w:tcW w:w="600" w:type="dxa"/>
            <w:vAlign w:val="bottom"/>
            <w:gridSpan w:val="3"/>
          </w:tcPr>
          <w:p>
            <w:pPr>
              <w:jc w:val="center"/>
              <w:ind w:right="180"/>
              <w:spacing w:after="0" w:line="122" w:lineRule="exact"/>
              <w:rPr>
                <w:sz w:val="20"/>
                <w:szCs w:val="20"/>
                <w:color w:val="auto"/>
              </w:rPr>
            </w:pPr>
            <w:r>
              <w:rPr>
                <w:rFonts w:ascii="Arial" w:cs="Arial" w:eastAsia="Arial" w:hAnsi="Arial"/>
                <w:sz w:val="11"/>
                <w:szCs w:val="11"/>
                <w:b w:val="1"/>
                <w:bCs w:val="1"/>
                <w:color w:val="auto"/>
                <w:w w:val="86"/>
              </w:rPr>
              <w:t>June 30,</w:t>
            </w:r>
          </w:p>
        </w:tc>
        <w:tc>
          <w:tcPr>
            <w:tcW w:w="520" w:type="dxa"/>
            <w:vAlign w:val="bottom"/>
            <w:gridSpan w:val="3"/>
          </w:tcPr>
          <w:p>
            <w:pPr>
              <w:jc w:val="center"/>
              <w:ind w:right="40"/>
              <w:spacing w:after="0" w:line="122" w:lineRule="exact"/>
              <w:rPr>
                <w:sz w:val="20"/>
                <w:szCs w:val="20"/>
                <w:color w:val="auto"/>
              </w:rPr>
            </w:pPr>
            <w:r>
              <w:rPr>
                <w:rFonts w:ascii="Arial" w:cs="Arial" w:eastAsia="Arial" w:hAnsi="Arial"/>
                <w:sz w:val="11"/>
                <w:szCs w:val="11"/>
                <w:b w:val="1"/>
                <w:bCs w:val="1"/>
                <w:color w:val="auto"/>
                <w:w w:val="94"/>
              </w:rPr>
              <w:t>March 31,</w:t>
            </w:r>
          </w:p>
        </w:tc>
      </w:tr>
      <w:tr>
        <w:trPr>
          <w:trHeight w:val="135"/>
        </w:trPr>
        <w:tc>
          <w:tcPr>
            <w:tcW w:w="2940" w:type="dxa"/>
            <w:vAlign w:val="bottom"/>
            <w:tcBorders>
              <w:bottom w:val="single" w:sz="8" w:color="CCEEFF"/>
            </w:tcBorders>
          </w:tcPr>
          <w:p>
            <w:pPr>
              <w:spacing w:after="0"/>
              <w:rPr>
                <w:sz w:val="20"/>
                <w:szCs w:val="20"/>
                <w:color w:val="auto"/>
              </w:rPr>
            </w:pPr>
            <w:r>
              <w:rPr>
                <w:rFonts w:ascii="Arial" w:cs="Arial" w:eastAsia="Arial" w:hAnsi="Arial"/>
                <w:sz w:val="11"/>
                <w:szCs w:val="11"/>
                <w:b w:val="1"/>
                <w:bCs w:val="1"/>
                <w:color w:val="auto"/>
              </w:rPr>
              <w:t>($ in thousands)</w:t>
            </w:r>
          </w:p>
        </w:tc>
        <w:tc>
          <w:tcPr>
            <w:tcW w:w="60" w:type="dxa"/>
            <w:vAlign w:val="bottom"/>
            <w:tcBorders>
              <w:bottom w:val="single" w:sz="8" w:color="auto"/>
            </w:tcBorders>
          </w:tcPr>
          <w:p>
            <w:pPr>
              <w:spacing w:after="0"/>
              <w:rPr>
                <w:sz w:val="11"/>
                <w:szCs w:val="11"/>
                <w:color w:val="auto"/>
              </w:rPr>
            </w:pPr>
          </w:p>
        </w:tc>
        <w:tc>
          <w:tcPr>
            <w:tcW w:w="420" w:type="dxa"/>
            <w:vAlign w:val="bottom"/>
            <w:tcBorders>
              <w:bottom w:val="single" w:sz="8" w:color="auto"/>
            </w:tcBorders>
          </w:tcPr>
          <w:p>
            <w:pPr>
              <w:jc w:val="center"/>
              <w:spacing w:after="0"/>
              <w:rPr>
                <w:sz w:val="20"/>
                <w:szCs w:val="20"/>
                <w:color w:val="auto"/>
              </w:rPr>
            </w:pPr>
            <w:r>
              <w:rPr>
                <w:rFonts w:ascii="Arial" w:cs="Arial" w:eastAsia="Arial" w:hAnsi="Arial"/>
                <w:sz w:val="11"/>
                <w:szCs w:val="11"/>
                <w:b w:val="1"/>
                <w:bCs w:val="1"/>
                <w:color w:val="auto"/>
                <w:w w:val="89"/>
              </w:rPr>
              <w:t>2021</w:t>
            </w:r>
          </w:p>
        </w:tc>
        <w:tc>
          <w:tcPr>
            <w:tcW w:w="200" w:type="dxa"/>
            <w:vAlign w:val="bottom"/>
            <w:tcBorders>
              <w:bottom w:val="single" w:sz="8" w:color="CCEEFF"/>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420" w:type="dxa"/>
            <w:vAlign w:val="bottom"/>
            <w:tcBorders>
              <w:bottom w:val="single" w:sz="8" w:color="auto"/>
            </w:tcBorders>
          </w:tcPr>
          <w:p>
            <w:pPr>
              <w:jc w:val="center"/>
              <w:ind w:right="17"/>
              <w:spacing w:after="0"/>
              <w:rPr>
                <w:sz w:val="20"/>
                <w:szCs w:val="20"/>
                <w:color w:val="auto"/>
              </w:rPr>
            </w:pPr>
            <w:r>
              <w:rPr>
                <w:rFonts w:ascii="Arial" w:cs="Arial" w:eastAsia="Arial" w:hAnsi="Arial"/>
                <w:sz w:val="11"/>
                <w:szCs w:val="11"/>
                <w:b w:val="1"/>
                <w:bCs w:val="1"/>
                <w:color w:val="auto"/>
                <w:w w:val="89"/>
              </w:rPr>
              <w:t>2021</w:t>
            </w:r>
          </w:p>
        </w:tc>
        <w:tc>
          <w:tcPr>
            <w:tcW w:w="180" w:type="dxa"/>
            <w:vAlign w:val="bottom"/>
            <w:tcBorders>
              <w:bottom w:val="single" w:sz="8" w:color="CCEEFF"/>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40" w:type="dxa"/>
            <w:vAlign w:val="bottom"/>
            <w:tcBorders>
              <w:bottom w:val="single" w:sz="8" w:color="auto"/>
            </w:tcBorders>
          </w:tcPr>
          <w:p>
            <w:pPr>
              <w:jc w:val="center"/>
              <w:ind w:right="18"/>
              <w:spacing w:after="0"/>
              <w:rPr>
                <w:sz w:val="20"/>
                <w:szCs w:val="20"/>
                <w:color w:val="auto"/>
              </w:rPr>
            </w:pPr>
            <w:r>
              <w:rPr>
                <w:rFonts w:ascii="Arial" w:cs="Arial" w:eastAsia="Arial" w:hAnsi="Arial"/>
                <w:sz w:val="11"/>
                <w:szCs w:val="11"/>
                <w:b w:val="1"/>
                <w:bCs w:val="1"/>
                <w:color w:val="auto"/>
                <w:w w:val="89"/>
              </w:rPr>
              <w:t>2020</w:t>
            </w:r>
          </w:p>
        </w:tc>
        <w:tc>
          <w:tcPr>
            <w:tcW w:w="120" w:type="dxa"/>
            <w:vAlign w:val="bottom"/>
            <w:tcBorders>
              <w:bottom w:val="single" w:sz="8" w:color="CCEEFF"/>
            </w:tcBorders>
          </w:tcPr>
          <w:p>
            <w:pPr>
              <w:spacing w:after="0"/>
              <w:rPr>
                <w:sz w:val="11"/>
                <w:szCs w:val="11"/>
                <w:color w:val="auto"/>
              </w:rPr>
            </w:pPr>
          </w:p>
        </w:tc>
        <w:tc>
          <w:tcPr>
            <w:tcW w:w="80" w:type="dxa"/>
            <w:vAlign w:val="bottom"/>
            <w:tcBorders>
              <w:bottom w:val="single" w:sz="8" w:color="CCEEFF"/>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60" w:type="dxa"/>
            <w:vAlign w:val="bottom"/>
            <w:tcBorders>
              <w:bottom w:val="single" w:sz="8" w:color="auto"/>
            </w:tcBorders>
          </w:tcPr>
          <w:p>
            <w:pPr>
              <w:jc w:val="center"/>
              <w:ind w:right="39"/>
              <w:spacing w:after="0"/>
              <w:rPr>
                <w:sz w:val="20"/>
                <w:szCs w:val="20"/>
                <w:color w:val="auto"/>
              </w:rPr>
            </w:pPr>
            <w:r>
              <w:rPr>
                <w:rFonts w:ascii="Arial" w:cs="Arial" w:eastAsia="Arial" w:hAnsi="Arial"/>
                <w:sz w:val="11"/>
                <w:szCs w:val="11"/>
                <w:b w:val="1"/>
                <w:bCs w:val="1"/>
                <w:color w:val="auto"/>
                <w:w w:val="89"/>
              </w:rPr>
              <w:t>2020</w:t>
            </w:r>
          </w:p>
        </w:tc>
        <w:tc>
          <w:tcPr>
            <w:tcW w:w="180" w:type="dxa"/>
            <w:vAlign w:val="bottom"/>
            <w:tcBorders>
              <w:bottom w:val="single" w:sz="8" w:color="CCEEFF"/>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400" w:type="dxa"/>
            <w:vAlign w:val="bottom"/>
            <w:tcBorders>
              <w:bottom w:val="single" w:sz="8" w:color="auto"/>
            </w:tcBorders>
          </w:tcPr>
          <w:p>
            <w:pPr>
              <w:jc w:val="center"/>
              <w:spacing w:after="0"/>
              <w:rPr>
                <w:sz w:val="20"/>
                <w:szCs w:val="20"/>
                <w:color w:val="auto"/>
              </w:rPr>
            </w:pPr>
            <w:r>
              <w:rPr>
                <w:rFonts w:ascii="Arial" w:cs="Arial" w:eastAsia="Arial" w:hAnsi="Arial"/>
                <w:sz w:val="11"/>
                <w:szCs w:val="11"/>
                <w:b w:val="1"/>
                <w:bCs w:val="1"/>
                <w:color w:val="auto"/>
                <w:w w:val="89"/>
              </w:rPr>
              <w:t>2020</w:t>
            </w:r>
          </w:p>
        </w:tc>
        <w:tc>
          <w:tcPr>
            <w:tcW w:w="200" w:type="dxa"/>
            <w:vAlign w:val="bottom"/>
            <w:tcBorders>
              <w:bottom w:val="single" w:sz="8" w:color="CCEEFF"/>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420" w:type="dxa"/>
            <w:vAlign w:val="bottom"/>
            <w:tcBorders>
              <w:bottom w:val="single" w:sz="8" w:color="auto"/>
            </w:tcBorders>
          </w:tcPr>
          <w:p>
            <w:pPr>
              <w:jc w:val="center"/>
              <w:spacing w:after="0"/>
              <w:rPr>
                <w:sz w:val="20"/>
                <w:szCs w:val="20"/>
                <w:color w:val="auto"/>
              </w:rPr>
            </w:pPr>
            <w:r>
              <w:rPr>
                <w:rFonts w:ascii="Arial" w:cs="Arial" w:eastAsia="Arial" w:hAnsi="Arial"/>
                <w:sz w:val="11"/>
                <w:szCs w:val="11"/>
                <w:b w:val="1"/>
                <w:bCs w:val="1"/>
                <w:color w:val="auto"/>
                <w:w w:val="81"/>
              </w:rPr>
              <w:t>2020</w:t>
            </w:r>
          </w:p>
        </w:tc>
        <w:tc>
          <w:tcPr>
            <w:tcW w:w="200" w:type="dxa"/>
            <w:vAlign w:val="bottom"/>
            <w:tcBorders>
              <w:bottom w:val="single" w:sz="8" w:color="CCEEFF"/>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20" w:type="dxa"/>
            <w:vAlign w:val="bottom"/>
            <w:tcBorders>
              <w:bottom w:val="single" w:sz="8" w:color="auto"/>
            </w:tcBorders>
          </w:tcPr>
          <w:p>
            <w:pPr>
              <w:jc w:val="center"/>
              <w:ind w:right="38"/>
              <w:spacing w:after="0"/>
              <w:rPr>
                <w:sz w:val="20"/>
                <w:szCs w:val="20"/>
                <w:color w:val="auto"/>
              </w:rPr>
            </w:pPr>
            <w:r>
              <w:rPr>
                <w:rFonts w:ascii="Arial" w:cs="Arial" w:eastAsia="Arial" w:hAnsi="Arial"/>
                <w:sz w:val="11"/>
                <w:szCs w:val="11"/>
                <w:b w:val="1"/>
                <w:bCs w:val="1"/>
                <w:color w:val="auto"/>
                <w:w w:val="89"/>
              </w:rPr>
              <w:t>2019</w:t>
            </w:r>
          </w:p>
        </w:tc>
        <w:tc>
          <w:tcPr>
            <w:tcW w:w="120" w:type="dxa"/>
            <w:vAlign w:val="bottom"/>
            <w:tcBorders>
              <w:bottom w:val="single" w:sz="8" w:color="CCEEFF"/>
            </w:tcBorders>
          </w:tcPr>
          <w:p>
            <w:pPr>
              <w:spacing w:after="0"/>
              <w:rPr>
                <w:sz w:val="11"/>
                <w:szCs w:val="11"/>
                <w:color w:val="auto"/>
              </w:rPr>
            </w:pPr>
          </w:p>
        </w:tc>
        <w:tc>
          <w:tcPr>
            <w:tcW w:w="80" w:type="dxa"/>
            <w:vAlign w:val="bottom"/>
            <w:tcBorders>
              <w:bottom w:val="single" w:sz="8" w:color="CCEEFF"/>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60" w:type="dxa"/>
            <w:vAlign w:val="bottom"/>
            <w:tcBorders>
              <w:bottom w:val="single" w:sz="8" w:color="auto"/>
            </w:tcBorders>
          </w:tcPr>
          <w:p>
            <w:pPr>
              <w:jc w:val="center"/>
              <w:ind w:right="39"/>
              <w:spacing w:after="0"/>
              <w:rPr>
                <w:sz w:val="20"/>
                <w:szCs w:val="20"/>
                <w:color w:val="auto"/>
              </w:rPr>
            </w:pPr>
            <w:r>
              <w:rPr>
                <w:rFonts w:ascii="Arial" w:cs="Arial" w:eastAsia="Arial" w:hAnsi="Arial"/>
                <w:sz w:val="11"/>
                <w:szCs w:val="11"/>
                <w:b w:val="1"/>
                <w:bCs w:val="1"/>
                <w:color w:val="auto"/>
                <w:w w:val="89"/>
              </w:rPr>
              <w:t>2019</w:t>
            </w:r>
          </w:p>
        </w:tc>
        <w:tc>
          <w:tcPr>
            <w:tcW w:w="320" w:type="dxa"/>
            <w:vAlign w:val="bottom"/>
            <w:tcBorders>
              <w:bottom w:val="single" w:sz="8" w:color="CCEEFF"/>
              <w:right w:val="single" w:sz="8" w:color="auto"/>
            </w:tcBorders>
          </w:tcPr>
          <w:p>
            <w:pPr>
              <w:spacing w:after="0"/>
              <w:rPr>
                <w:sz w:val="11"/>
                <w:szCs w:val="11"/>
                <w:color w:val="auto"/>
              </w:rPr>
            </w:pPr>
          </w:p>
        </w:tc>
        <w:tc>
          <w:tcPr>
            <w:tcW w:w="220" w:type="dxa"/>
            <w:vAlign w:val="bottom"/>
            <w:tcBorders>
              <w:bottom w:val="single" w:sz="8" w:color="CCEEFF"/>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320" w:type="dxa"/>
            <w:vAlign w:val="bottom"/>
            <w:tcBorders>
              <w:bottom w:val="single" w:sz="8" w:color="auto"/>
            </w:tcBorders>
          </w:tcPr>
          <w:p>
            <w:pPr>
              <w:jc w:val="center"/>
              <w:spacing w:after="0"/>
              <w:rPr>
                <w:sz w:val="20"/>
                <w:szCs w:val="20"/>
                <w:color w:val="auto"/>
              </w:rPr>
            </w:pPr>
            <w:r>
              <w:rPr>
                <w:rFonts w:ascii="Arial" w:cs="Arial" w:eastAsia="Arial" w:hAnsi="Arial"/>
                <w:sz w:val="11"/>
                <w:szCs w:val="11"/>
                <w:b w:val="1"/>
                <w:bCs w:val="1"/>
                <w:color w:val="auto"/>
                <w:w w:val="89"/>
              </w:rPr>
              <w:t>2019</w:t>
            </w:r>
          </w:p>
        </w:tc>
        <w:tc>
          <w:tcPr>
            <w:tcW w:w="100" w:type="dxa"/>
            <w:vAlign w:val="bottom"/>
            <w:tcBorders>
              <w:bottom w:val="single" w:sz="8" w:color="CCEEFF"/>
            </w:tcBorders>
          </w:tcPr>
          <w:p>
            <w:pPr>
              <w:spacing w:after="0"/>
              <w:rPr>
                <w:sz w:val="11"/>
                <w:szCs w:val="11"/>
                <w:color w:val="auto"/>
              </w:rPr>
            </w:pPr>
          </w:p>
        </w:tc>
        <w:tc>
          <w:tcPr>
            <w:tcW w:w="80" w:type="dxa"/>
            <w:vAlign w:val="bottom"/>
            <w:tcBorders>
              <w:bottom w:val="single" w:sz="8" w:color="CCEEFF"/>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380" w:type="dxa"/>
            <w:vAlign w:val="bottom"/>
            <w:tcBorders>
              <w:bottom w:val="single" w:sz="8" w:color="auto"/>
            </w:tcBorders>
          </w:tcPr>
          <w:p>
            <w:pPr>
              <w:jc w:val="center"/>
              <w:ind w:right="16"/>
              <w:spacing w:after="0"/>
              <w:rPr>
                <w:sz w:val="20"/>
                <w:szCs w:val="20"/>
                <w:color w:val="auto"/>
              </w:rPr>
            </w:pPr>
            <w:r>
              <w:rPr>
                <w:rFonts w:ascii="Arial" w:cs="Arial" w:eastAsia="Arial" w:hAnsi="Arial"/>
                <w:sz w:val="11"/>
                <w:szCs w:val="11"/>
                <w:b w:val="1"/>
                <w:bCs w:val="1"/>
                <w:color w:val="auto"/>
                <w:w w:val="89"/>
              </w:rPr>
              <w:t>2019</w:t>
            </w:r>
          </w:p>
        </w:tc>
        <w:tc>
          <w:tcPr>
            <w:tcW w:w="140" w:type="dxa"/>
            <w:vAlign w:val="bottom"/>
            <w:tcBorders>
              <w:bottom w:val="single" w:sz="8" w:color="CCEEFF"/>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420" w:type="dxa"/>
            <w:vAlign w:val="bottom"/>
            <w:tcBorders>
              <w:bottom w:val="single" w:sz="8" w:color="auto"/>
            </w:tcBorders>
          </w:tcPr>
          <w:p>
            <w:pPr>
              <w:jc w:val="center"/>
              <w:ind w:right="17"/>
              <w:spacing w:after="0"/>
              <w:rPr>
                <w:sz w:val="20"/>
                <w:szCs w:val="20"/>
                <w:color w:val="auto"/>
              </w:rPr>
            </w:pPr>
            <w:r>
              <w:rPr>
                <w:rFonts w:ascii="Arial" w:cs="Arial" w:eastAsia="Arial" w:hAnsi="Arial"/>
                <w:sz w:val="11"/>
                <w:szCs w:val="11"/>
                <w:b w:val="1"/>
                <w:bCs w:val="1"/>
                <w:color w:val="auto"/>
                <w:w w:val="89"/>
              </w:rPr>
              <w:t>2019</w:t>
            </w:r>
          </w:p>
        </w:tc>
        <w:tc>
          <w:tcPr>
            <w:tcW w:w="40" w:type="dxa"/>
            <w:vAlign w:val="bottom"/>
            <w:tcBorders>
              <w:bottom w:val="single" w:sz="8" w:color="CCEEFF"/>
            </w:tcBorders>
          </w:tcPr>
          <w:p>
            <w:pPr>
              <w:spacing w:after="0"/>
              <w:rPr>
                <w:sz w:val="11"/>
                <w:szCs w:val="11"/>
                <w:color w:val="auto"/>
              </w:rPr>
            </w:pPr>
          </w:p>
        </w:tc>
      </w:tr>
      <w:tr>
        <w:trPr>
          <w:trHeight w:val="142"/>
        </w:trPr>
        <w:tc>
          <w:tcPr>
            <w:tcW w:w="2940" w:type="dxa"/>
            <w:vAlign w:val="bottom"/>
            <w:shd w:val="clear" w:color="auto" w:fill="CCEEFF"/>
          </w:tcPr>
          <w:p>
            <w:pPr>
              <w:spacing w:after="0" w:line="142" w:lineRule="exact"/>
              <w:rPr>
                <w:sz w:val="20"/>
                <w:szCs w:val="20"/>
                <w:color w:val="auto"/>
              </w:rPr>
            </w:pPr>
            <w:r>
              <w:rPr>
                <w:rFonts w:ascii="Arial" w:cs="Arial" w:eastAsia="Arial" w:hAnsi="Arial"/>
                <w:sz w:val="13"/>
                <w:szCs w:val="13"/>
                <w:color w:val="auto"/>
              </w:rPr>
              <w:t>Net (loss) income</w:t>
            </w: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420" w:type="dxa"/>
            <w:vAlign w:val="bottom"/>
            <w:shd w:val="clear" w:color="auto" w:fill="CCEEFF"/>
          </w:tcPr>
          <w:p>
            <w:pPr>
              <w:jc w:val="right"/>
              <w:spacing w:after="0" w:line="142" w:lineRule="exact"/>
              <w:rPr>
                <w:sz w:val="20"/>
                <w:szCs w:val="20"/>
                <w:color w:val="auto"/>
              </w:rPr>
            </w:pPr>
            <w:r>
              <w:rPr>
                <w:rFonts w:ascii="Arial" w:cs="Arial" w:eastAsia="Arial" w:hAnsi="Arial"/>
                <w:sz w:val="13"/>
                <w:szCs w:val="13"/>
                <w:color w:val="auto"/>
                <w:w w:val="82"/>
              </w:rPr>
              <w:t>(15,039)</w:t>
            </w:r>
          </w:p>
        </w:tc>
        <w:tc>
          <w:tcPr>
            <w:tcW w:w="200" w:type="dxa"/>
            <w:vAlign w:val="bottom"/>
            <w:shd w:val="clear" w:color="auto" w:fill="CCEEFF"/>
          </w:tcPr>
          <w:p>
            <w:pPr>
              <w:spacing w:after="0"/>
              <w:rPr>
                <w:sz w:val="12"/>
                <w:szCs w:val="12"/>
                <w:color w:val="auto"/>
              </w:rPr>
            </w:pP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420" w:type="dxa"/>
            <w:vAlign w:val="bottom"/>
            <w:shd w:val="clear" w:color="auto" w:fill="CCEEFF"/>
          </w:tcPr>
          <w:p>
            <w:pPr>
              <w:jc w:val="right"/>
              <w:spacing w:after="0" w:line="142" w:lineRule="exact"/>
              <w:rPr>
                <w:sz w:val="20"/>
                <w:szCs w:val="20"/>
                <w:color w:val="auto"/>
              </w:rPr>
            </w:pPr>
            <w:r>
              <w:rPr>
                <w:rFonts w:ascii="Arial" w:cs="Arial" w:eastAsia="Arial" w:hAnsi="Arial"/>
                <w:sz w:val="13"/>
                <w:szCs w:val="13"/>
                <w:color w:val="auto"/>
                <w:w w:val="82"/>
              </w:rPr>
              <w:t>(10,488)</w:t>
            </w:r>
          </w:p>
        </w:tc>
        <w:tc>
          <w:tcPr>
            <w:tcW w:w="180" w:type="dxa"/>
            <w:vAlign w:val="bottom"/>
            <w:shd w:val="clear" w:color="auto" w:fill="CCEEFF"/>
          </w:tcPr>
          <w:p>
            <w:pPr>
              <w:spacing w:after="0"/>
              <w:rPr>
                <w:sz w:val="12"/>
                <w:szCs w:val="12"/>
                <w:color w:val="auto"/>
              </w:rPr>
            </w:pPr>
          </w:p>
        </w:tc>
        <w:tc>
          <w:tcPr>
            <w:tcW w:w="100" w:type="dxa"/>
            <w:vAlign w:val="bottom"/>
            <w:shd w:val="clear" w:color="auto" w:fill="CCEEFF"/>
          </w:tcPr>
          <w:p>
            <w:pPr>
              <w:jc w:val="right"/>
              <w:spacing w:after="0" w:line="142" w:lineRule="exact"/>
              <w:rPr>
                <w:sz w:val="20"/>
                <w:szCs w:val="20"/>
                <w:color w:val="auto"/>
              </w:rPr>
            </w:pPr>
            <w:r>
              <w:rPr>
                <w:rFonts w:ascii="Arial" w:cs="Arial" w:eastAsia="Arial" w:hAnsi="Arial"/>
                <w:sz w:val="13"/>
                <w:szCs w:val="13"/>
                <w:color w:val="auto"/>
                <w:w w:val="82"/>
              </w:rPr>
              <w:t>$</w:t>
            </w:r>
          </w:p>
        </w:tc>
        <w:tc>
          <w:tcPr>
            <w:tcW w:w="540" w:type="dxa"/>
            <w:vAlign w:val="bottom"/>
            <w:shd w:val="clear" w:color="auto" w:fill="CCEEFF"/>
          </w:tcPr>
          <w:p>
            <w:pPr>
              <w:jc w:val="right"/>
              <w:spacing w:after="0" w:line="142" w:lineRule="exact"/>
              <w:rPr>
                <w:sz w:val="20"/>
                <w:szCs w:val="20"/>
                <w:color w:val="auto"/>
              </w:rPr>
            </w:pPr>
            <w:r>
              <w:rPr>
                <w:rFonts w:ascii="Arial" w:cs="Arial" w:eastAsia="Arial" w:hAnsi="Arial"/>
                <w:sz w:val="13"/>
                <w:szCs w:val="13"/>
                <w:color w:val="auto"/>
              </w:rPr>
              <w:t>(15,862)</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560" w:type="dxa"/>
            <w:vAlign w:val="bottom"/>
            <w:shd w:val="clear" w:color="auto" w:fill="CCEEFF"/>
          </w:tcPr>
          <w:p>
            <w:pPr>
              <w:jc w:val="right"/>
              <w:spacing w:after="0" w:line="142" w:lineRule="exact"/>
              <w:rPr>
                <w:sz w:val="20"/>
                <w:szCs w:val="20"/>
                <w:color w:val="auto"/>
              </w:rPr>
            </w:pPr>
            <w:r>
              <w:rPr>
                <w:rFonts w:ascii="Arial" w:cs="Arial" w:eastAsia="Arial" w:hAnsi="Arial"/>
                <w:sz w:val="13"/>
                <w:szCs w:val="13"/>
                <w:color w:val="auto"/>
              </w:rPr>
              <w:t>(9,962)</w:t>
            </w: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jc w:val="right"/>
              <w:spacing w:after="0" w:line="142" w:lineRule="exact"/>
              <w:rPr>
                <w:sz w:val="20"/>
                <w:szCs w:val="20"/>
                <w:color w:val="auto"/>
              </w:rPr>
            </w:pPr>
            <w:r>
              <w:rPr>
                <w:rFonts w:ascii="Arial" w:cs="Arial" w:eastAsia="Arial" w:hAnsi="Arial"/>
                <w:sz w:val="13"/>
                <w:szCs w:val="13"/>
                <w:color w:val="auto"/>
                <w:w w:val="82"/>
              </w:rPr>
              <w:t>$</w:t>
            </w:r>
          </w:p>
        </w:tc>
        <w:tc>
          <w:tcPr>
            <w:tcW w:w="400" w:type="dxa"/>
            <w:vAlign w:val="bottom"/>
            <w:shd w:val="clear" w:color="auto" w:fill="CCEEFF"/>
          </w:tcPr>
          <w:p>
            <w:pPr>
              <w:jc w:val="right"/>
              <w:spacing w:after="0" w:line="142" w:lineRule="exact"/>
              <w:rPr>
                <w:sz w:val="20"/>
                <w:szCs w:val="20"/>
                <w:color w:val="auto"/>
              </w:rPr>
            </w:pPr>
            <w:r>
              <w:rPr>
                <w:rFonts w:ascii="Arial" w:cs="Arial" w:eastAsia="Arial" w:hAnsi="Arial"/>
                <w:sz w:val="13"/>
                <w:szCs w:val="13"/>
                <w:color w:val="auto"/>
                <w:w w:val="78"/>
              </w:rPr>
              <w:t>(11,498)</w:t>
            </w:r>
          </w:p>
        </w:tc>
        <w:tc>
          <w:tcPr>
            <w:tcW w:w="200" w:type="dxa"/>
            <w:vAlign w:val="bottom"/>
            <w:shd w:val="clear" w:color="auto" w:fill="CCEEFF"/>
          </w:tcPr>
          <w:p>
            <w:pPr>
              <w:spacing w:after="0"/>
              <w:rPr>
                <w:sz w:val="12"/>
                <w:szCs w:val="12"/>
                <w:color w:val="auto"/>
              </w:rPr>
            </w:pP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420" w:type="dxa"/>
            <w:vAlign w:val="bottom"/>
            <w:shd w:val="clear" w:color="auto" w:fill="CCEEFF"/>
          </w:tcPr>
          <w:p>
            <w:pPr>
              <w:jc w:val="right"/>
              <w:spacing w:after="0" w:line="142" w:lineRule="exact"/>
              <w:rPr>
                <w:sz w:val="20"/>
                <w:szCs w:val="20"/>
                <w:color w:val="auto"/>
              </w:rPr>
            </w:pPr>
            <w:r>
              <w:rPr>
                <w:rFonts w:ascii="Arial" w:cs="Arial" w:eastAsia="Arial" w:hAnsi="Arial"/>
                <w:sz w:val="13"/>
                <w:szCs w:val="13"/>
                <w:color w:val="auto"/>
                <w:w w:val="82"/>
              </w:rPr>
              <w:t>(13,835)</w:t>
            </w:r>
          </w:p>
        </w:tc>
        <w:tc>
          <w:tcPr>
            <w:tcW w:w="200" w:type="dxa"/>
            <w:vAlign w:val="bottom"/>
            <w:shd w:val="clear" w:color="auto" w:fill="CCEEFF"/>
          </w:tcPr>
          <w:p>
            <w:pPr>
              <w:spacing w:after="0"/>
              <w:rPr>
                <w:sz w:val="12"/>
                <w:szCs w:val="12"/>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520" w:type="dxa"/>
            <w:vAlign w:val="bottom"/>
            <w:shd w:val="clear" w:color="auto" w:fill="CCEEFF"/>
          </w:tcPr>
          <w:p>
            <w:pPr>
              <w:jc w:val="right"/>
              <w:spacing w:after="0" w:line="142" w:lineRule="exact"/>
              <w:rPr>
                <w:sz w:val="20"/>
                <w:szCs w:val="20"/>
                <w:color w:val="auto"/>
              </w:rPr>
            </w:pPr>
            <w:r>
              <w:rPr>
                <w:rFonts w:ascii="Arial" w:cs="Arial" w:eastAsia="Arial" w:hAnsi="Arial"/>
                <w:sz w:val="13"/>
                <w:szCs w:val="13"/>
                <w:color w:val="auto"/>
              </w:rPr>
              <w:t>(18,480)</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560" w:type="dxa"/>
            <w:vAlign w:val="bottom"/>
            <w:shd w:val="clear" w:color="auto" w:fill="CCEEFF"/>
          </w:tcPr>
          <w:p>
            <w:pPr>
              <w:jc w:val="right"/>
              <w:spacing w:after="0" w:line="142" w:lineRule="exact"/>
              <w:rPr>
                <w:sz w:val="20"/>
                <w:szCs w:val="20"/>
                <w:color w:val="auto"/>
              </w:rPr>
            </w:pPr>
            <w:r>
              <w:rPr>
                <w:rFonts w:ascii="Arial" w:cs="Arial" w:eastAsia="Arial" w:hAnsi="Arial"/>
                <w:sz w:val="13"/>
                <w:szCs w:val="13"/>
                <w:color w:val="auto"/>
              </w:rPr>
              <w:t>(30,786)</w:t>
            </w:r>
          </w:p>
        </w:tc>
        <w:tc>
          <w:tcPr>
            <w:tcW w:w="320" w:type="dxa"/>
            <w:vAlign w:val="bottom"/>
            <w:tcBorders>
              <w:right w:val="single" w:sz="8" w:color="auto"/>
            </w:tcBorders>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320" w:type="dxa"/>
            <w:vAlign w:val="bottom"/>
            <w:shd w:val="clear" w:color="auto" w:fill="CCEEFF"/>
          </w:tcPr>
          <w:p>
            <w:pPr>
              <w:jc w:val="right"/>
              <w:spacing w:after="0" w:line="142" w:lineRule="exact"/>
              <w:rPr>
                <w:sz w:val="20"/>
                <w:szCs w:val="20"/>
                <w:color w:val="auto"/>
              </w:rPr>
            </w:pPr>
            <w:r>
              <w:rPr>
                <w:rFonts w:ascii="Arial" w:cs="Arial" w:eastAsia="Arial" w:hAnsi="Arial"/>
                <w:sz w:val="13"/>
                <w:szCs w:val="13"/>
                <w:color w:val="auto"/>
                <w:w w:val="98"/>
              </w:rPr>
              <w:t>(639)</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jc w:val="right"/>
              <w:spacing w:after="0" w:line="142" w:lineRule="exact"/>
              <w:rPr>
                <w:sz w:val="20"/>
                <w:szCs w:val="20"/>
                <w:color w:val="auto"/>
              </w:rPr>
            </w:pPr>
            <w:r>
              <w:rPr>
                <w:rFonts w:ascii="Arial" w:cs="Arial" w:eastAsia="Arial" w:hAnsi="Arial"/>
                <w:sz w:val="13"/>
                <w:szCs w:val="13"/>
                <w:color w:val="auto"/>
                <w:w w:val="82"/>
              </w:rPr>
              <w:t>$</w:t>
            </w:r>
          </w:p>
        </w:tc>
        <w:tc>
          <w:tcPr>
            <w:tcW w:w="380" w:type="dxa"/>
            <w:vAlign w:val="bottom"/>
            <w:shd w:val="clear" w:color="auto" w:fill="CCEEFF"/>
          </w:tcPr>
          <w:p>
            <w:pPr>
              <w:jc w:val="right"/>
              <w:spacing w:after="0" w:line="142" w:lineRule="exact"/>
              <w:rPr>
                <w:sz w:val="20"/>
                <w:szCs w:val="20"/>
                <w:color w:val="auto"/>
              </w:rPr>
            </w:pPr>
            <w:r>
              <w:rPr>
                <w:rFonts w:ascii="Arial" w:cs="Arial" w:eastAsia="Arial" w:hAnsi="Arial"/>
                <w:sz w:val="13"/>
                <w:szCs w:val="13"/>
                <w:color w:val="auto"/>
              </w:rPr>
              <w:t>7,964</w:t>
            </w:r>
          </w:p>
        </w:tc>
        <w:tc>
          <w:tcPr>
            <w:tcW w:w="140" w:type="dxa"/>
            <w:vAlign w:val="bottom"/>
            <w:shd w:val="clear" w:color="auto" w:fill="CCEEFF"/>
          </w:tcPr>
          <w:p>
            <w:pPr>
              <w:spacing w:after="0"/>
              <w:rPr>
                <w:sz w:val="12"/>
                <w:szCs w:val="12"/>
                <w:color w:val="auto"/>
              </w:rPr>
            </w:pP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420" w:type="dxa"/>
            <w:vAlign w:val="bottom"/>
            <w:shd w:val="clear" w:color="auto" w:fill="CCEEFF"/>
          </w:tcPr>
          <w:p>
            <w:pPr>
              <w:jc w:val="right"/>
              <w:spacing w:after="0" w:line="142" w:lineRule="exact"/>
              <w:rPr>
                <w:sz w:val="20"/>
                <w:szCs w:val="20"/>
                <w:color w:val="auto"/>
              </w:rPr>
            </w:pPr>
            <w:r>
              <w:rPr>
                <w:rFonts w:ascii="Arial" w:cs="Arial" w:eastAsia="Arial" w:hAnsi="Arial"/>
                <w:sz w:val="13"/>
                <w:szCs w:val="13"/>
                <w:color w:val="auto"/>
              </w:rPr>
              <w:t>5,543</w:t>
            </w:r>
          </w:p>
        </w:tc>
        <w:tc>
          <w:tcPr>
            <w:tcW w:w="40" w:type="dxa"/>
            <w:vAlign w:val="bottom"/>
            <w:shd w:val="clear" w:color="auto" w:fill="CCEEFF"/>
          </w:tcPr>
          <w:p>
            <w:pPr>
              <w:spacing w:after="0"/>
              <w:rPr>
                <w:sz w:val="12"/>
                <w:szCs w:val="12"/>
                <w:color w:val="auto"/>
              </w:rPr>
            </w:pPr>
          </w:p>
        </w:tc>
      </w:tr>
      <w:tr>
        <w:trPr>
          <w:trHeight w:val="149"/>
        </w:trPr>
        <w:tc>
          <w:tcPr>
            <w:tcW w:w="2940" w:type="dxa"/>
            <w:vAlign w:val="bottom"/>
          </w:tcPr>
          <w:p>
            <w:pPr>
              <w:spacing w:after="0"/>
              <w:rPr>
                <w:sz w:val="20"/>
                <w:szCs w:val="20"/>
                <w:color w:val="auto"/>
              </w:rPr>
            </w:pPr>
            <w:r>
              <w:rPr>
                <w:rFonts w:ascii="Arial" w:cs="Arial" w:eastAsia="Arial" w:hAnsi="Arial"/>
                <w:sz w:val="13"/>
                <w:szCs w:val="13"/>
                <w:color w:val="auto"/>
              </w:rPr>
              <w:t>Amortization of intangible assets</w:t>
            </w:r>
            <w:r>
              <w:rPr>
                <w:rFonts w:ascii="Arial" w:cs="Arial" w:eastAsia="Arial" w:hAnsi="Arial"/>
                <w:sz w:val="11"/>
                <w:szCs w:val="11"/>
                <w:color w:val="auto"/>
              </w:rPr>
              <w:t>(1)</w:t>
            </w:r>
          </w:p>
        </w:tc>
        <w:tc>
          <w:tcPr>
            <w:tcW w:w="60" w:type="dxa"/>
            <w:vAlign w:val="bottom"/>
          </w:tcPr>
          <w:p>
            <w:pPr>
              <w:spacing w:after="0"/>
              <w:rPr>
                <w:sz w:val="12"/>
                <w:szCs w:val="12"/>
                <w:color w:val="auto"/>
              </w:rPr>
            </w:pPr>
          </w:p>
        </w:tc>
        <w:tc>
          <w:tcPr>
            <w:tcW w:w="620" w:type="dxa"/>
            <w:vAlign w:val="bottom"/>
            <w:gridSpan w:val="2"/>
          </w:tcPr>
          <w:p>
            <w:pPr>
              <w:jc w:val="right"/>
              <w:ind w:right="200"/>
              <w:spacing w:after="0"/>
              <w:rPr>
                <w:sz w:val="20"/>
                <w:szCs w:val="20"/>
                <w:color w:val="auto"/>
              </w:rPr>
            </w:pPr>
            <w:r>
              <w:rPr>
                <w:rFonts w:ascii="Arial" w:cs="Arial" w:eastAsia="Arial" w:hAnsi="Arial"/>
                <w:sz w:val="13"/>
                <w:szCs w:val="13"/>
                <w:color w:val="auto"/>
              </w:rPr>
              <w:t>14,250</w:t>
            </w:r>
          </w:p>
        </w:tc>
        <w:tc>
          <w:tcPr>
            <w:tcW w:w="60" w:type="dxa"/>
            <w:vAlign w:val="bottom"/>
          </w:tcPr>
          <w:p>
            <w:pPr>
              <w:spacing w:after="0"/>
              <w:rPr>
                <w:sz w:val="12"/>
                <w:szCs w:val="12"/>
                <w:color w:val="auto"/>
              </w:rPr>
            </w:pPr>
          </w:p>
        </w:tc>
        <w:tc>
          <w:tcPr>
            <w:tcW w:w="600" w:type="dxa"/>
            <w:vAlign w:val="bottom"/>
            <w:gridSpan w:val="2"/>
          </w:tcPr>
          <w:p>
            <w:pPr>
              <w:jc w:val="right"/>
              <w:ind w:right="180"/>
              <w:spacing w:after="0"/>
              <w:rPr>
                <w:sz w:val="20"/>
                <w:szCs w:val="20"/>
                <w:color w:val="auto"/>
              </w:rPr>
            </w:pPr>
            <w:r>
              <w:rPr>
                <w:rFonts w:ascii="Arial" w:cs="Arial" w:eastAsia="Arial" w:hAnsi="Arial"/>
                <w:sz w:val="13"/>
                <w:szCs w:val="13"/>
                <w:color w:val="auto"/>
              </w:rPr>
              <w:t>14,092</w:t>
            </w:r>
          </w:p>
        </w:tc>
        <w:tc>
          <w:tcPr>
            <w:tcW w:w="100" w:type="dxa"/>
            <w:vAlign w:val="bottom"/>
          </w:tcPr>
          <w:p>
            <w:pPr>
              <w:spacing w:after="0"/>
              <w:rPr>
                <w:sz w:val="12"/>
                <w:szCs w:val="12"/>
                <w:color w:val="auto"/>
              </w:rPr>
            </w:pPr>
          </w:p>
        </w:tc>
        <w:tc>
          <w:tcPr>
            <w:tcW w:w="540" w:type="dxa"/>
            <w:vAlign w:val="bottom"/>
          </w:tcPr>
          <w:p>
            <w:pPr>
              <w:jc w:val="right"/>
              <w:spacing w:after="0"/>
              <w:rPr>
                <w:sz w:val="20"/>
                <w:szCs w:val="20"/>
                <w:color w:val="auto"/>
              </w:rPr>
            </w:pPr>
            <w:r>
              <w:rPr>
                <w:rFonts w:ascii="Arial" w:cs="Arial" w:eastAsia="Arial" w:hAnsi="Arial"/>
                <w:sz w:val="13"/>
                <w:szCs w:val="13"/>
                <w:color w:val="auto"/>
              </w:rPr>
              <w:t>14,819</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gridSpan w:val="2"/>
          </w:tcPr>
          <w:p>
            <w:pPr>
              <w:jc w:val="right"/>
              <w:ind w:right="180"/>
              <w:spacing w:after="0"/>
              <w:rPr>
                <w:sz w:val="20"/>
                <w:szCs w:val="20"/>
                <w:color w:val="auto"/>
              </w:rPr>
            </w:pPr>
            <w:r>
              <w:rPr>
                <w:rFonts w:ascii="Arial" w:cs="Arial" w:eastAsia="Arial" w:hAnsi="Arial"/>
                <w:sz w:val="13"/>
                <w:szCs w:val="13"/>
                <w:color w:val="auto"/>
              </w:rPr>
              <w:t>14,570</w:t>
            </w:r>
          </w:p>
        </w:tc>
        <w:tc>
          <w:tcPr>
            <w:tcW w:w="80" w:type="dxa"/>
            <w:vAlign w:val="bottom"/>
          </w:tcPr>
          <w:p>
            <w:pPr>
              <w:spacing w:after="0"/>
              <w:rPr>
                <w:sz w:val="12"/>
                <w:szCs w:val="12"/>
                <w:color w:val="auto"/>
              </w:rPr>
            </w:pPr>
          </w:p>
        </w:tc>
        <w:tc>
          <w:tcPr>
            <w:tcW w:w="600" w:type="dxa"/>
            <w:vAlign w:val="bottom"/>
            <w:gridSpan w:val="2"/>
          </w:tcPr>
          <w:p>
            <w:pPr>
              <w:jc w:val="right"/>
              <w:ind w:right="200"/>
              <w:spacing w:after="0"/>
              <w:rPr>
                <w:sz w:val="20"/>
                <w:szCs w:val="20"/>
                <w:color w:val="auto"/>
              </w:rPr>
            </w:pPr>
            <w:r>
              <w:rPr>
                <w:rFonts w:ascii="Arial" w:cs="Arial" w:eastAsia="Arial" w:hAnsi="Arial"/>
                <w:sz w:val="13"/>
                <w:szCs w:val="13"/>
                <w:color w:val="auto"/>
                <w:w w:val="95"/>
              </w:rPr>
              <w:t>14,413</w:t>
            </w:r>
          </w:p>
        </w:tc>
        <w:tc>
          <w:tcPr>
            <w:tcW w:w="60" w:type="dxa"/>
            <w:vAlign w:val="bottom"/>
          </w:tcPr>
          <w:p>
            <w:pPr>
              <w:spacing w:after="0"/>
              <w:rPr>
                <w:sz w:val="12"/>
                <w:szCs w:val="12"/>
                <w:color w:val="auto"/>
              </w:rPr>
            </w:pPr>
          </w:p>
        </w:tc>
        <w:tc>
          <w:tcPr>
            <w:tcW w:w="620" w:type="dxa"/>
            <w:vAlign w:val="bottom"/>
            <w:gridSpan w:val="2"/>
          </w:tcPr>
          <w:p>
            <w:pPr>
              <w:jc w:val="right"/>
              <w:ind w:right="200"/>
              <w:spacing w:after="0"/>
              <w:rPr>
                <w:sz w:val="20"/>
                <w:szCs w:val="20"/>
                <w:color w:val="auto"/>
              </w:rPr>
            </w:pPr>
            <w:r>
              <w:rPr>
                <w:rFonts w:ascii="Arial" w:cs="Arial" w:eastAsia="Arial" w:hAnsi="Arial"/>
                <w:sz w:val="13"/>
                <w:szCs w:val="13"/>
                <w:color w:val="auto"/>
              </w:rPr>
              <w:t>14,412</w:t>
            </w:r>
          </w:p>
        </w:tc>
        <w:tc>
          <w:tcPr>
            <w:tcW w:w="100" w:type="dxa"/>
            <w:vAlign w:val="bottom"/>
          </w:tcPr>
          <w:p>
            <w:pPr>
              <w:spacing w:after="0"/>
              <w:rPr>
                <w:sz w:val="12"/>
                <w:szCs w:val="12"/>
                <w:color w:val="auto"/>
              </w:rPr>
            </w:pPr>
          </w:p>
        </w:tc>
        <w:tc>
          <w:tcPr>
            <w:tcW w:w="520" w:type="dxa"/>
            <w:vAlign w:val="bottom"/>
          </w:tcPr>
          <w:p>
            <w:pPr>
              <w:jc w:val="right"/>
              <w:spacing w:after="0"/>
              <w:rPr>
                <w:sz w:val="20"/>
                <w:szCs w:val="20"/>
                <w:color w:val="auto"/>
              </w:rPr>
            </w:pPr>
            <w:r>
              <w:rPr>
                <w:rFonts w:ascii="Arial" w:cs="Arial" w:eastAsia="Arial" w:hAnsi="Arial"/>
                <w:sz w:val="13"/>
                <w:szCs w:val="13"/>
                <w:color w:val="auto"/>
              </w:rPr>
              <w:t>16,743</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tcBorders>
              <w:right w:val="single" w:sz="8" w:color="auto"/>
            </w:tcBorders>
            <w:gridSpan w:val="2"/>
          </w:tcPr>
          <w:p>
            <w:pPr>
              <w:jc w:val="right"/>
              <w:ind w:right="320"/>
              <w:spacing w:after="0"/>
              <w:rPr>
                <w:sz w:val="20"/>
                <w:szCs w:val="20"/>
                <w:color w:val="auto"/>
              </w:rPr>
            </w:pPr>
            <w:r>
              <w:rPr>
                <w:rFonts w:ascii="Arial" w:cs="Arial" w:eastAsia="Arial" w:hAnsi="Arial"/>
                <w:sz w:val="13"/>
                <w:szCs w:val="13"/>
                <w:color w:val="auto"/>
              </w:rPr>
              <w:t>13,862</w:t>
            </w:r>
          </w:p>
        </w:tc>
        <w:tc>
          <w:tcPr>
            <w:tcW w:w="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20" w:type="dxa"/>
            <w:vAlign w:val="bottom"/>
            <w:gridSpan w:val="2"/>
          </w:tcPr>
          <w:p>
            <w:pPr>
              <w:jc w:val="right"/>
              <w:ind w:right="100"/>
              <w:spacing w:after="0"/>
              <w:rPr>
                <w:sz w:val="20"/>
                <w:szCs w:val="20"/>
                <w:color w:val="auto"/>
              </w:rPr>
            </w:pPr>
            <w:r>
              <w:rPr>
                <w:rFonts w:ascii="Arial" w:cs="Arial" w:eastAsia="Arial" w:hAnsi="Arial"/>
                <w:sz w:val="13"/>
                <w:szCs w:val="13"/>
                <w:color w:val="auto"/>
              </w:rPr>
              <w:t>162</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80" w:type="dxa"/>
            <w:vAlign w:val="bottom"/>
          </w:tcPr>
          <w:p>
            <w:pPr>
              <w:jc w:val="right"/>
              <w:spacing w:after="0"/>
              <w:rPr>
                <w:sz w:val="20"/>
                <w:szCs w:val="20"/>
                <w:color w:val="auto"/>
              </w:rPr>
            </w:pPr>
            <w:r>
              <w:rPr>
                <w:rFonts w:ascii="Arial" w:cs="Arial" w:eastAsia="Arial" w:hAnsi="Arial"/>
                <w:sz w:val="13"/>
                <w:szCs w:val="13"/>
                <w:color w:val="auto"/>
              </w:rPr>
              <w:t>972</w:t>
            </w: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20" w:type="dxa"/>
            <w:vAlign w:val="bottom"/>
          </w:tcPr>
          <w:p>
            <w:pPr>
              <w:jc w:val="right"/>
              <w:spacing w:after="0"/>
              <w:rPr>
                <w:sz w:val="20"/>
                <w:szCs w:val="20"/>
                <w:color w:val="auto"/>
              </w:rPr>
            </w:pPr>
            <w:r>
              <w:rPr>
                <w:rFonts w:ascii="Arial" w:cs="Arial" w:eastAsia="Arial" w:hAnsi="Arial"/>
                <w:sz w:val="13"/>
                <w:szCs w:val="13"/>
                <w:color w:val="auto"/>
              </w:rPr>
              <w:t>908</w:t>
            </w:r>
          </w:p>
        </w:tc>
        <w:tc>
          <w:tcPr>
            <w:tcW w:w="40" w:type="dxa"/>
            <w:vAlign w:val="bottom"/>
          </w:tcPr>
          <w:p>
            <w:pPr>
              <w:spacing w:after="0"/>
              <w:rPr>
                <w:sz w:val="12"/>
                <w:szCs w:val="12"/>
                <w:color w:val="auto"/>
              </w:rPr>
            </w:pPr>
          </w:p>
        </w:tc>
      </w:tr>
      <w:tr>
        <w:trPr>
          <w:trHeight w:val="148"/>
        </w:trPr>
        <w:tc>
          <w:tcPr>
            <w:tcW w:w="2940" w:type="dxa"/>
            <w:vAlign w:val="bottom"/>
            <w:shd w:val="clear" w:color="auto" w:fill="CCEEFF"/>
          </w:tcPr>
          <w:p>
            <w:pPr>
              <w:spacing w:after="0"/>
              <w:rPr>
                <w:sz w:val="20"/>
                <w:szCs w:val="20"/>
                <w:color w:val="auto"/>
              </w:rPr>
            </w:pPr>
            <w:r>
              <w:rPr>
                <w:rFonts w:ascii="Arial" w:cs="Arial" w:eastAsia="Arial" w:hAnsi="Arial"/>
                <w:sz w:val="13"/>
                <w:szCs w:val="13"/>
                <w:color w:val="auto"/>
              </w:rPr>
              <w:t>Equity compensation costs</w:t>
            </w:r>
          </w:p>
        </w:tc>
        <w:tc>
          <w:tcPr>
            <w:tcW w:w="6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1,615</w:t>
            </w:r>
          </w:p>
        </w:tc>
        <w:tc>
          <w:tcPr>
            <w:tcW w:w="6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406</w:t>
            </w:r>
          </w:p>
        </w:tc>
        <w:tc>
          <w:tcPr>
            <w:tcW w:w="10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417</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458</w:t>
            </w:r>
          </w:p>
        </w:tc>
        <w:tc>
          <w:tcPr>
            <w:tcW w:w="8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442</w:t>
            </w:r>
          </w:p>
        </w:tc>
        <w:tc>
          <w:tcPr>
            <w:tcW w:w="6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430</w:t>
            </w:r>
          </w:p>
        </w:tc>
        <w:tc>
          <w:tcPr>
            <w:tcW w:w="100" w:type="dxa"/>
            <w:vAlign w:val="bottom"/>
            <w:shd w:val="clear" w:color="auto" w:fill="CCEEFF"/>
          </w:tcPr>
          <w:p>
            <w:pPr>
              <w:spacing w:after="0"/>
              <w:rPr>
                <w:sz w:val="12"/>
                <w:szCs w:val="12"/>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412</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80" w:type="dxa"/>
            <w:vAlign w:val="bottom"/>
            <w:tcBorders>
              <w:right w:val="single" w:sz="8" w:color="auto"/>
            </w:tcBorders>
            <w:gridSpan w:val="2"/>
            <w:shd w:val="clear" w:color="auto" w:fill="CCEEFF"/>
          </w:tcPr>
          <w:p>
            <w:pPr>
              <w:jc w:val="right"/>
              <w:ind w:right="320"/>
              <w:spacing w:after="0"/>
              <w:rPr>
                <w:sz w:val="20"/>
                <w:szCs w:val="20"/>
                <w:color w:val="auto"/>
              </w:rPr>
            </w:pPr>
            <w:r>
              <w:rPr>
                <w:rFonts w:ascii="Arial" w:cs="Arial" w:eastAsia="Arial" w:hAnsi="Arial"/>
                <w:sz w:val="13"/>
                <w:szCs w:val="13"/>
                <w:color w:val="auto"/>
              </w:rPr>
              <w:t>332</w:t>
            </w:r>
          </w:p>
        </w:tc>
        <w:tc>
          <w:tcPr>
            <w:tcW w:w="2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2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w w:val="92"/>
              </w:rPr>
              <w:t>2,402</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1,712</w:t>
            </w:r>
          </w:p>
        </w:tc>
        <w:tc>
          <w:tcPr>
            <w:tcW w:w="1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1,693</w:t>
            </w:r>
          </w:p>
        </w:tc>
        <w:tc>
          <w:tcPr>
            <w:tcW w:w="40" w:type="dxa"/>
            <w:vAlign w:val="bottom"/>
            <w:shd w:val="clear" w:color="auto" w:fill="CCEEFF"/>
          </w:tcPr>
          <w:p>
            <w:pPr>
              <w:spacing w:after="0"/>
              <w:rPr>
                <w:sz w:val="12"/>
                <w:szCs w:val="12"/>
                <w:color w:val="auto"/>
              </w:rPr>
            </w:pPr>
          </w:p>
        </w:tc>
      </w:tr>
      <w:tr>
        <w:trPr>
          <w:trHeight w:val="148"/>
        </w:trPr>
        <w:tc>
          <w:tcPr>
            <w:tcW w:w="2940" w:type="dxa"/>
            <w:vAlign w:val="bottom"/>
          </w:tcPr>
          <w:p>
            <w:pPr>
              <w:spacing w:after="0"/>
              <w:rPr>
                <w:sz w:val="20"/>
                <w:szCs w:val="20"/>
                <w:color w:val="auto"/>
              </w:rPr>
            </w:pPr>
            <w:r>
              <w:rPr>
                <w:rFonts w:ascii="Arial" w:cs="Arial" w:eastAsia="Arial" w:hAnsi="Arial"/>
                <w:sz w:val="13"/>
                <w:szCs w:val="13"/>
                <w:color w:val="auto"/>
              </w:rPr>
              <w:t>Acquisition-related expenses</w:t>
            </w:r>
            <w:r>
              <w:rPr>
                <w:rFonts w:ascii="Arial" w:cs="Arial" w:eastAsia="Arial" w:hAnsi="Arial"/>
                <w:sz w:val="11"/>
                <w:szCs w:val="11"/>
                <w:color w:val="auto"/>
              </w:rPr>
              <w:t>(2)</w:t>
            </w:r>
          </w:p>
        </w:tc>
        <w:tc>
          <w:tcPr>
            <w:tcW w:w="60" w:type="dxa"/>
            <w:vAlign w:val="bottom"/>
          </w:tcPr>
          <w:p>
            <w:pPr>
              <w:spacing w:after="0"/>
              <w:rPr>
                <w:sz w:val="12"/>
                <w:szCs w:val="12"/>
                <w:color w:val="auto"/>
              </w:rPr>
            </w:pPr>
          </w:p>
        </w:tc>
        <w:tc>
          <w:tcPr>
            <w:tcW w:w="620" w:type="dxa"/>
            <w:vAlign w:val="bottom"/>
            <w:gridSpan w:val="2"/>
          </w:tcPr>
          <w:p>
            <w:pPr>
              <w:jc w:val="right"/>
              <w:ind w:right="200"/>
              <w:spacing w:after="0"/>
              <w:rPr>
                <w:sz w:val="20"/>
                <w:szCs w:val="20"/>
                <w:color w:val="auto"/>
              </w:rPr>
            </w:pPr>
            <w:r>
              <w:rPr>
                <w:rFonts w:ascii="Arial" w:cs="Arial" w:eastAsia="Arial" w:hAnsi="Arial"/>
                <w:sz w:val="13"/>
                <w:szCs w:val="13"/>
                <w:color w:val="auto"/>
              </w:rPr>
              <w:t>3,431</w:t>
            </w:r>
          </w:p>
        </w:tc>
        <w:tc>
          <w:tcPr>
            <w:tcW w:w="60" w:type="dxa"/>
            <w:vAlign w:val="bottom"/>
          </w:tcPr>
          <w:p>
            <w:pPr>
              <w:spacing w:after="0"/>
              <w:rPr>
                <w:sz w:val="12"/>
                <w:szCs w:val="12"/>
                <w:color w:val="auto"/>
              </w:rPr>
            </w:pPr>
          </w:p>
        </w:tc>
        <w:tc>
          <w:tcPr>
            <w:tcW w:w="600" w:type="dxa"/>
            <w:vAlign w:val="bottom"/>
            <w:gridSpan w:val="2"/>
          </w:tcPr>
          <w:p>
            <w:pPr>
              <w:jc w:val="right"/>
              <w:ind w:right="180"/>
              <w:spacing w:after="0"/>
              <w:rPr>
                <w:sz w:val="20"/>
                <w:szCs w:val="20"/>
                <w:color w:val="auto"/>
              </w:rPr>
            </w:pPr>
            <w:r>
              <w:rPr>
                <w:rFonts w:ascii="Arial" w:cs="Arial" w:eastAsia="Arial" w:hAnsi="Arial"/>
                <w:sz w:val="13"/>
                <w:szCs w:val="13"/>
                <w:color w:val="auto"/>
              </w:rPr>
              <w:t>38</w:t>
            </w:r>
          </w:p>
        </w:tc>
        <w:tc>
          <w:tcPr>
            <w:tcW w:w="100" w:type="dxa"/>
            <w:vAlign w:val="bottom"/>
          </w:tcPr>
          <w:p>
            <w:pPr>
              <w:spacing w:after="0"/>
              <w:rPr>
                <w:sz w:val="12"/>
                <w:szCs w:val="12"/>
                <w:color w:val="auto"/>
              </w:rPr>
            </w:pPr>
          </w:p>
        </w:tc>
        <w:tc>
          <w:tcPr>
            <w:tcW w:w="540" w:type="dxa"/>
            <w:vAlign w:val="bottom"/>
          </w:tcPr>
          <w:p>
            <w:pPr>
              <w:jc w:val="right"/>
              <w:spacing w:after="0"/>
              <w:rPr>
                <w:sz w:val="20"/>
                <w:szCs w:val="20"/>
                <w:color w:val="auto"/>
              </w:rPr>
            </w:pPr>
            <w:r>
              <w:rPr>
                <w:rFonts w:ascii="Arial" w:cs="Arial" w:eastAsia="Arial" w:hAnsi="Arial"/>
                <w:sz w:val="13"/>
                <w:szCs w:val="13"/>
                <w:color w:val="auto"/>
              </w:rPr>
              <w:t>3,028</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gridSpan w:val="2"/>
          </w:tcPr>
          <w:p>
            <w:pPr>
              <w:jc w:val="right"/>
              <w:ind w:right="180"/>
              <w:spacing w:after="0"/>
              <w:rPr>
                <w:sz w:val="20"/>
                <w:szCs w:val="20"/>
                <w:color w:val="auto"/>
              </w:rPr>
            </w:pPr>
            <w:r>
              <w:rPr>
                <w:rFonts w:ascii="Arial" w:cs="Arial" w:eastAsia="Arial" w:hAnsi="Arial"/>
                <w:sz w:val="13"/>
                <w:szCs w:val="13"/>
                <w:color w:val="auto"/>
              </w:rPr>
              <w:t>40</w:t>
            </w:r>
          </w:p>
        </w:tc>
        <w:tc>
          <w:tcPr>
            <w:tcW w:w="80" w:type="dxa"/>
            <w:vAlign w:val="bottom"/>
          </w:tcPr>
          <w:p>
            <w:pPr>
              <w:spacing w:after="0"/>
              <w:rPr>
                <w:sz w:val="12"/>
                <w:szCs w:val="12"/>
                <w:color w:val="auto"/>
              </w:rPr>
            </w:pPr>
          </w:p>
        </w:tc>
        <w:tc>
          <w:tcPr>
            <w:tcW w:w="600" w:type="dxa"/>
            <w:vAlign w:val="bottom"/>
            <w:gridSpan w:val="2"/>
          </w:tcPr>
          <w:p>
            <w:pPr>
              <w:jc w:val="right"/>
              <w:ind w:right="200"/>
              <w:spacing w:after="0"/>
              <w:rPr>
                <w:sz w:val="20"/>
                <w:szCs w:val="20"/>
                <w:color w:val="auto"/>
              </w:rPr>
            </w:pPr>
            <w:r>
              <w:rPr>
                <w:rFonts w:ascii="Arial" w:cs="Arial" w:eastAsia="Arial" w:hAnsi="Arial"/>
                <w:sz w:val="13"/>
                <w:szCs w:val="13"/>
                <w:color w:val="auto"/>
              </w:rPr>
              <w:t>268</w:t>
            </w:r>
          </w:p>
        </w:tc>
        <w:tc>
          <w:tcPr>
            <w:tcW w:w="60" w:type="dxa"/>
            <w:vAlign w:val="bottom"/>
          </w:tcPr>
          <w:p>
            <w:pPr>
              <w:spacing w:after="0"/>
              <w:rPr>
                <w:sz w:val="12"/>
                <w:szCs w:val="12"/>
                <w:color w:val="auto"/>
              </w:rPr>
            </w:pPr>
          </w:p>
        </w:tc>
        <w:tc>
          <w:tcPr>
            <w:tcW w:w="620" w:type="dxa"/>
            <w:vAlign w:val="bottom"/>
            <w:gridSpan w:val="2"/>
          </w:tcPr>
          <w:p>
            <w:pPr>
              <w:jc w:val="right"/>
              <w:ind w:right="200"/>
              <w:spacing w:after="0"/>
              <w:rPr>
                <w:sz w:val="20"/>
                <w:szCs w:val="20"/>
                <w:color w:val="auto"/>
              </w:rPr>
            </w:pPr>
            <w:r>
              <w:rPr>
                <w:rFonts w:ascii="Arial" w:cs="Arial" w:eastAsia="Arial" w:hAnsi="Arial"/>
                <w:sz w:val="13"/>
                <w:szCs w:val="13"/>
                <w:color w:val="auto"/>
              </w:rPr>
              <w:t>440</w:t>
            </w:r>
          </w:p>
        </w:tc>
        <w:tc>
          <w:tcPr>
            <w:tcW w:w="100" w:type="dxa"/>
            <w:vAlign w:val="bottom"/>
          </w:tcPr>
          <w:p>
            <w:pPr>
              <w:spacing w:after="0"/>
              <w:rPr>
                <w:sz w:val="12"/>
                <w:szCs w:val="12"/>
                <w:color w:val="auto"/>
              </w:rPr>
            </w:pPr>
          </w:p>
        </w:tc>
        <w:tc>
          <w:tcPr>
            <w:tcW w:w="640" w:type="dxa"/>
            <w:vAlign w:val="bottom"/>
            <w:gridSpan w:val="2"/>
          </w:tcPr>
          <w:p>
            <w:pPr>
              <w:jc w:val="right"/>
              <w:ind w:right="60"/>
              <w:spacing w:after="0"/>
              <w:rPr>
                <w:sz w:val="20"/>
                <w:szCs w:val="20"/>
                <w:color w:val="auto"/>
              </w:rPr>
            </w:pPr>
            <w:r>
              <w:rPr>
                <w:rFonts w:ascii="Arial" w:cs="Arial" w:eastAsia="Arial" w:hAnsi="Arial"/>
                <w:sz w:val="13"/>
                <w:szCs w:val="13"/>
                <w:color w:val="auto"/>
              </w:rPr>
              <w:t>(678)</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tcBorders>
              <w:right w:val="single" w:sz="8" w:color="auto"/>
            </w:tcBorders>
            <w:gridSpan w:val="2"/>
          </w:tcPr>
          <w:p>
            <w:pPr>
              <w:jc w:val="right"/>
              <w:ind w:right="320"/>
              <w:spacing w:after="0"/>
              <w:rPr>
                <w:sz w:val="20"/>
                <w:szCs w:val="20"/>
                <w:color w:val="auto"/>
              </w:rPr>
            </w:pPr>
            <w:r>
              <w:rPr>
                <w:rFonts w:ascii="Arial" w:cs="Arial" w:eastAsia="Arial" w:hAnsi="Arial"/>
                <w:sz w:val="13"/>
                <w:szCs w:val="13"/>
                <w:color w:val="auto"/>
              </w:rPr>
              <w:t>15,381</w:t>
            </w:r>
          </w:p>
        </w:tc>
        <w:tc>
          <w:tcPr>
            <w:tcW w:w="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20" w:type="dxa"/>
            <w:vAlign w:val="bottom"/>
            <w:gridSpan w:val="2"/>
          </w:tcPr>
          <w:p>
            <w:pPr>
              <w:ind w:left="12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80" w:type="dxa"/>
            <w:vAlign w:val="bottom"/>
          </w:tcPr>
          <w:p>
            <w:pPr>
              <w:jc w:val="right"/>
              <w:spacing w:after="0"/>
              <w:rPr>
                <w:sz w:val="20"/>
                <w:szCs w:val="20"/>
                <w:color w:val="auto"/>
              </w:rPr>
            </w:pPr>
            <w:r>
              <w:rPr>
                <w:rFonts w:ascii="Arial" w:cs="Arial" w:eastAsia="Arial" w:hAnsi="Arial"/>
                <w:sz w:val="13"/>
                <w:szCs w:val="13"/>
                <w:color w:val="auto"/>
              </w:rPr>
              <w:t>1,019</w:t>
            </w: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20" w:type="dxa"/>
            <w:vAlign w:val="bottom"/>
          </w:tcPr>
          <w:p>
            <w:pPr>
              <w:jc w:val="right"/>
              <w:spacing w:after="0"/>
              <w:rPr>
                <w:sz w:val="20"/>
                <w:szCs w:val="20"/>
                <w:color w:val="auto"/>
              </w:rPr>
            </w:pPr>
            <w:r>
              <w:rPr>
                <w:rFonts w:ascii="Arial" w:cs="Arial" w:eastAsia="Arial" w:hAnsi="Arial"/>
                <w:sz w:val="13"/>
                <w:szCs w:val="13"/>
                <w:color w:val="auto"/>
              </w:rPr>
              <w:t>132</w:t>
            </w:r>
          </w:p>
        </w:tc>
        <w:tc>
          <w:tcPr>
            <w:tcW w:w="40" w:type="dxa"/>
            <w:vAlign w:val="bottom"/>
          </w:tcPr>
          <w:p>
            <w:pPr>
              <w:spacing w:after="0"/>
              <w:rPr>
                <w:sz w:val="12"/>
                <w:szCs w:val="12"/>
                <w:color w:val="auto"/>
              </w:rPr>
            </w:pPr>
          </w:p>
        </w:tc>
      </w:tr>
      <w:tr>
        <w:trPr>
          <w:trHeight w:val="148"/>
        </w:trPr>
        <w:tc>
          <w:tcPr>
            <w:tcW w:w="2940" w:type="dxa"/>
            <w:vAlign w:val="bottom"/>
            <w:shd w:val="clear" w:color="auto" w:fill="CCEEFF"/>
          </w:tcPr>
          <w:p>
            <w:pPr>
              <w:spacing w:after="0"/>
              <w:rPr>
                <w:sz w:val="20"/>
                <w:szCs w:val="20"/>
                <w:color w:val="auto"/>
              </w:rPr>
            </w:pPr>
            <w:r>
              <w:rPr>
                <w:rFonts w:ascii="Arial" w:cs="Arial" w:eastAsia="Arial" w:hAnsi="Arial"/>
                <w:sz w:val="13"/>
                <w:szCs w:val="13"/>
                <w:color w:val="auto"/>
              </w:rPr>
              <w:t>Other non-recurring adjustments</w:t>
            </w:r>
            <w:r>
              <w:rPr>
                <w:rFonts w:ascii="Arial" w:cs="Arial" w:eastAsia="Arial" w:hAnsi="Arial"/>
                <w:sz w:val="11"/>
                <w:szCs w:val="11"/>
                <w:color w:val="auto"/>
              </w:rPr>
              <w:t>(3)</w:t>
            </w:r>
          </w:p>
        </w:tc>
        <w:tc>
          <w:tcPr>
            <w:tcW w:w="60" w:type="dxa"/>
            <w:vAlign w:val="bottom"/>
            <w:tcBorders>
              <w:bottom w:val="single" w:sz="8" w:color="auto"/>
            </w:tcBorders>
            <w:shd w:val="clear" w:color="auto" w:fill="CCEEFF"/>
          </w:tcPr>
          <w:p>
            <w:pPr>
              <w:spacing w:after="0"/>
              <w:rPr>
                <w:sz w:val="12"/>
                <w:szCs w:val="12"/>
                <w:color w:val="auto"/>
              </w:rPr>
            </w:pPr>
          </w:p>
        </w:tc>
        <w:tc>
          <w:tcPr>
            <w:tcW w:w="620" w:type="dxa"/>
            <w:vAlign w:val="bottom"/>
            <w:tcBorders>
              <w:bottom w:val="single" w:sz="8" w:color="auto"/>
            </w:tcBorders>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1,069</w:t>
            </w:r>
          </w:p>
        </w:tc>
        <w:tc>
          <w:tcPr>
            <w:tcW w:w="60" w:type="dxa"/>
            <w:vAlign w:val="bottom"/>
            <w:tcBorders>
              <w:bottom w:val="single" w:sz="8" w:color="auto"/>
            </w:tcBorders>
            <w:shd w:val="clear" w:color="auto" w:fill="CCEEFF"/>
          </w:tcPr>
          <w:p>
            <w:pPr>
              <w:spacing w:after="0"/>
              <w:rPr>
                <w:sz w:val="12"/>
                <w:szCs w:val="12"/>
                <w:color w:val="auto"/>
              </w:rPr>
            </w:pPr>
          </w:p>
        </w:tc>
        <w:tc>
          <w:tcPr>
            <w:tcW w:w="600" w:type="dxa"/>
            <w:vAlign w:val="bottom"/>
            <w:tcBorders>
              <w:bottom w:val="single" w:sz="8" w:color="auto"/>
            </w:tcBorders>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1,095</w:t>
            </w:r>
          </w:p>
        </w:tc>
        <w:tc>
          <w:tcPr>
            <w:tcW w:w="100" w:type="dxa"/>
            <w:vAlign w:val="bottom"/>
            <w:tcBorders>
              <w:bottom w:val="single" w:sz="8" w:color="auto"/>
            </w:tcBorders>
            <w:shd w:val="clear" w:color="auto" w:fill="CCEEFF"/>
          </w:tcPr>
          <w:p>
            <w:pPr>
              <w:spacing w:after="0"/>
              <w:rPr>
                <w:sz w:val="12"/>
                <w:szCs w:val="12"/>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1,043</w:t>
            </w:r>
          </w:p>
        </w:tc>
        <w:tc>
          <w:tcPr>
            <w:tcW w:w="120" w:type="dxa"/>
            <w:vAlign w:val="bottom"/>
            <w:tcBorders>
              <w:bottom w:val="single" w:sz="8" w:color="auto"/>
            </w:tcBorders>
            <w:shd w:val="clear" w:color="auto" w:fill="CCEEFF"/>
          </w:tcPr>
          <w:p>
            <w:pPr>
              <w:spacing w:after="0"/>
              <w:rPr>
                <w:sz w:val="12"/>
                <w:szCs w:val="12"/>
                <w:color w:val="auto"/>
              </w:rPr>
            </w:pPr>
          </w:p>
        </w:tc>
        <w:tc>
          <w:tcPr>
            <w:tcW w:w="80" w:type="dxa"/>
            <w:vAlign w:val="bottom"/>
            <w:tcBorders>
              <w:bottom w:val="single" w:sz="8" w:color="auto"/>
            </w:tcBorders>
            <w:shd w:val="clear" w:color="auto" w:fill="CCEEFF"/>
          </w:tcPr>
          <w:p>
            <w:pPr>
              <w:spacing w:after="0"/>
              <w:rPr>
                <w:sz w:val="12"/>
                <w:szCs w:val="12"/>
                <w:color w:val="auto"/>
              </w:rPr>
            </w:pPr>
          </w:p>
        </w:tc>
        <w:tc>
          <w:tcPr>
            <w:tcW w:w="100" w:type="dxa"/>
            <w:vAlign w:val="bottom"/>
            <w:tcBorders>
              <w:bottom w:val="single" w:sz="8" w:color="auto"/>
            </w:tcBorders>
            <w:shd w:val="clear" w:color="auto" w:fill="CCEEFF"/>
          </w:tcPr>
          <w:p>
            <w:pPr>
              <w:spacing w:after="0"/>
              <w:rPr>
                <w:sz w:val="12"/>
                <w:szCs w:val="12"/>
                <w:color w:val="auto"/>
              </w:rPr>
            </w:pPr>
          </w:p>
        </w:tc>
        <w:tc>
          <w:tcPr>
            <w:tcW w:w="740" w:type="dxa"/>
            <w:vAlign w:val="bottom"/>
            <w:tcBorders>
              <w:bottom w:val="single" w:sz="8" w:color="auto"/>
            </w:tcBorders>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37</w:t>
            </w:r>
          </w:p>
        </w:tc>
        <w:tc>
          <w:tcPr>
            <w:tcW w:w="80" w:type="dxa"/>
            <w:vAlign w:val="bottom"/>
            <w:tcBorders>
              <w:bottom w:val="single" w:sz="8" w:color="auto"/>
            </w:tcBorders>
            <w:shd w:val="clear" w:color="auto" w:fill="CCEEFF"/>
          </w:tcPr>
          <w:p>
            <w:pPr>
              <w:spacing w:after="0"/>
              <w:rPr>
                <w:sz w:val="12"/>
                <w:szCs w:val="12"/>
                <w:color w:val="auto"/>
              </w:rPr>
            </w:pPr>
          </w:p>
        </w:tc>
        <w:tc>
          <w:tcPr>
            <w:tcW w:w="600" w:type="dxa"/>
            <w:vAlign w:val="bottom"/>
            <w:tcBorders>
              <w:bottom w:val="single" w:sz="8" w:color="auto"/>
            </w:tcBorders>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890</w:t>
            </w:r>
          </w:p>
        </w:tc>
        <w:tc>
          <w:tcPr>
            <w:tcW w:w="60" w:type="dxa"/>
            <w:vAlign w:val="bottom"/>
            <w:tcBorders>
              <w:bottom w:val="single" w:sz="8" w:color="auto"/>
            </w:tcBorders>
            <w:shd w:val="clear" w:color="auto" w:fill="CCEEFF"/>
          </w:tcPr>
          <w:p>
            <w:pPr>
              <w:spacing w:after="0"/>
              <w:rPr>
                <w:sz w:val="12"/>
                <w:szCs w:val="12"/>
                <w:color w:val="auto"/>
              </w:rPr>
            </w:pPr>
          </w:p>
        </w:tc>
        <w:tc>
          <w:tcPr>
            <w:tcW w:w="620" w:type="dxa"/>
            <w:vAlign w:val="bottom"/>
            <w:tcBorders>
              <w:bottom w:val="single" w:sz="8" w:color="auto"/>
            </w:tcBorders>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877</w:t>
            </w:r>
          </w:p>
        </w:tc>
        <w:tc>
          <w:tcPr>
            <w:tcW w:w="100" w:type="dxa"/>
            <w:vAlign w:val="bottom"/>
            <w:tcBorders>
              <w:bottom w:val="single" w:sz="8" w:color="auto"/>
            </w:tcBorders>
            <w:shd w:val="clear" w:color="auto" w:fill="CCEEFF"/>
          </w:tcPr>
          <w:p>
            <w:pPr>
              <w:spacing w:after="0"/>
              <w:rPr>
                <w:sz w:val="12"/>
                <w:szCs w:val="12"/>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2,622</w:t>
            </w:r>
          </w:p>
        </w:tc>
        <w:tc>
          <w:tcPr>
            <w:tcW w:w="120" w:type="dxa"/>
            <w:vAlign w:val="bottom"/>
            <w:tcBorders>
              <w:bottom w:val="single" w:sz="8" w:color="auto"/>
            </w:tcBorders>
            <w:shd w:val="clear" w:color="auto" w:fill="CCEEFF"/>
          </w:tcPr>
          <w:p>
            <w:pPr>
              <w:spacing w:after="0"/>
              <w:rPr>
                <w:sz w:val="12"/>
                <w:szCs w:val="12"/>
                <w:color w:val="auto"/>
              </w:rPr>
            </w:pPr>
          </w:p>
        </w:tc>
        <w:tc>
          <w:tcPr>
            <w:tcW w:w="80" w:type="dxa"/>
            <w:vAlign w:val="bottom"/>
            <w:tcBorders>
              <w:bottom w:val="single" w:sz="8" w:color="auto"/>
            </w:tcBorders>
            <w:shd w:val="clear" w:color="auto" w:fill="CCEEFF"/>
          </w:tcPr>
          <w:p>
            <w:pPr>
              <w:spacing w:after="0"/>
              <w:rPr>
                <w:sz w:val="12"/>
                <w:szCs w:val="12"/>
                <w:color w:val="auto"/>
              </w:rPr>
            </w:pPr>
          </w:p>
        </w:tc>
        <w:tc>
          <w:tcPr>
            <w:tcW w:w="100" w:type="dxa"/>
            <w:vAlign w:val="bottom"/>
            <w:tcBorders>
              <w:bottom w:val="single" w:sz="8" w:color="auto"/>
            </w:tcBorders>
            <w:shd w:val="clear" w:color="auto" w:fill="CCEEFF"/>
          </w:tcPr>
          <w:p>
            <w:pPr>
              <w:spacing w:after="0"/>
              <w:rPr>
                <w:sz w:val="12"/>
                <w:szCs w:val="12"/>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571</w:t>
            </w:r>
          </w:p>
        </w:tc>
        <w:tc>
          <w:tcPr>
            <w:tcW w:w="320" w:type="dxa"/>
            <w:vAlign w:val="bottom"/>
            <w:tcBorders>
              <w:right w:val="single" w:sz="8" w:color="auto"/>
            </w:tcBorders>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60" w:type="dxa"/>
            <w:vAlign w:val="bottom"/>
            <w:tcBorders>
              <w:bottom w:val="single" w:sz="8" w:color="auto"/>
            </w:tcBorders>
            <w:shd w:val="clear" w:color="auto" w:fill="CCEEFF"/>
          </w:tcPr>
          <w:p>
            <w:pPr>
              <w:spacing w:after="0"/>
              <w:rPr>
                <w:sz w:val="12"/>
                <w:szCs w:val="12"/>
                <w:color w:val="auto"/>
              </w:rPr>
            </w:pPr>
          </w:p>
        </w:tc>
        <w:tc>
          <w:tcPr>
            <w:tcW w:w="420" w:type="dxa"/>
            <w:vAlign w:val="bottom"/>
            <w:tcBorders>
              <w:bottom w:val="single" w:sz="8" w:color="auto"/>
            </w:tcBorders>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128</w:t>
            </w:r>
          </w:p>
        </w:tc>
        <w:tc>
          <w:tcPr>
            <w:tcW w:w="80" w:type="dxa"/>
            <w:vAlign w:val="bottom"/>
            <w:tcBorders>
              <w:bottom w:val="single" w:sz="8" w:color="auto"/>
            </w:tcBorders>
            <w:shd w:val="clear" w:color="auto" w:fill="CCEEFF"/>
          </w:tcPr>
          <w:p>
            <w:pPr>
              <w:spacing w:after="0"/>
              <w:rPr>
                <w:sz w:val="12"/>
                <w:szCs w:val="12"/>
                <w:color w:val="auto"/>
              </w:rPr>
            </w:pPr>
          </w:p>
        </w:tc>
        <w:tc>
          <w:tcPr>
            <w:tcW w:w="80" w:type="dxa"/>
            <w:vAlign w:val="bottom"/>
            <w:tcBorders>
              <w:bottom w:val="single" w:sz="8" w:color="auto"/>
            </w:tcBorders>
            <w:shd w:val="clear" w:color="auto" w:fill="CCEEFF"/>
          </w:tcPr>
          <w:p>
            <w:pPr>
              <w:spacing w:after="0"/>
              <w:rPr>
                <w:sz w:val="12"/>
                <w:szCs w:val="12"/>
                <w:color w:val="auto"/>
              </w:rPr>
            </w:pPr>
          </w:p>
        </w:tc>
        <w:tc>
          <w:tcPr>
            <w:tcW w:w="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546</w:t>
            </w:r>
          </w:p>
        </w:tc>
        <w:tc>
          <w:tcPr>
            <w:tcW w:w="140" w:type="dxa"/>
            <w:vAlign w:val="bottom"/>
            <w:tcBorders>
              <w:bottom w:val="single" w:sz="8" w:color="auto"/>
            </w:tcBorders>
            <w:shd w:val="clear" w:color="auto" w:fill="CCEEFF"/>
          </w:tcPr>
          <w:p>
            <w:pPr>
              <w:spacing w:after="0"/>
              <w:rPr>
                <w:sz w:val="12"/>
                <w:szCs w:val="12"/>
                <w:color w:val="auto"/>
              </w:rPr>
            </w:pPr>
          </w:p>
        </w:tc>
        <w:tc>
          <w:tcPr>
            <w:tcW w:w="60" w:type="dxa"/>
            <w:vAlign w:val="bottom"/>
            <w:tcBorders>
              <w:bottom w:val="single" w:sz="8" w:color="auto"/>
            </w:tcBorders>
            <w:shd w:val="clear" w:color="auto" w:fill="CCEEFF"/>
          </w:tcPr>
          <w:p>
            <w:pPr>
              <w:spacing w:after="0"/>
              <w:rPr>
                <w:sz w:val="12"/>
                <w:szCs w:val="12"/>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526</w:t>
            </w:r>
          </w:p>
        </w:tc>
        <w:tc>
          <w:tcPr>
            <w:tcW w:w="40" w:type="dxa"/>
            <w:vAlign w:val="bottom"/>
            <w:shd w:val="clear" w:color="auto" w:fill="CCEEFF"/>
          </w:tcPr>
          <w:p>
            <w:pPr>
              <w:spacing w:after="0"/>
              <w:rPr>
                <w:sz w:val="12"/>
                <w:szCs w:val="12"/>
                <w:color w:val="auto"/>
              </w:rPr>
            </w:pPr>
          </w:p>
        </w:tc>
      </w:tr>
      <w:tr>
        <w:trPr>
          <w:trHeight w:val="155"/>
        </w:trPr>
        <w:tc>
          <w:tcPr>
            <w:tcW w:w="2940" w:type="dxa"/>
            <w:vAlign w:val="bottom"/>
          </w:tcPr>
          <w:p>
            <w:pPr>
              <w:spacing w:after="0"/>
              <w:rPr>
                <w:sz w:val="20"/>
                <w:szCs w:val="20"/>
                <w:color w:val="auto"/>
              </w:rPr>
            </w:pPr>
            <w:r>
              <w:rPr>
                <w:rFonts w:ascii="Arial" w:cs="Arial" w:eastAsia="Arial" w:hAnsi="Arial"/>
                <w:sz w:val="13"/>
                <w:szCs w:val="13"/>
                <w:color w:val="auto"/>
              </w:rPr>
              <w:t>Adjusted Net Income (Loss)</w:t>
            </w:r>
          </w:p>
        </w:tc>
        <w:tc>
          <w:tcPr>
            <w:tcW w:w="6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620" w:type="dxa"/>
            <w:vAlign w:val="bottom"/>
            <w:gridSpan w:val="2"/>
          </w:tcPr>
          <w:p>
            <w:pPr>
              <w:jc w:val="right"/>
              <w:ind w:right="200"/>
              <w:spacing w:after="0"/>
              <w:rPr>
                <w:sz w:val="20"/>
                <w:szCs w:val="20"/>
                <w:color w:val="auto"/>
              </w:rPr>
            </w:pPr>
            <w:r>
              <w:rPr>
                <w:rFonts w:ascii="Arial" w:cs="Arial" w:eastAsia="Arial" w:hAnsi="Arial"/>
                <w:sz w:val="13"/>
                <w:szCs w:val="13"/>
                <w:color w:val="auto"/>
              </w:rPr>
              <w:t>5,326</w:t>
            </w:r>
          </w:p>
        </w:tc>
        <w:tc>
          <w:tcPr>
            <w:tcW w:w="6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600" w:type="dxa"/>
            <w:vAlign w:val="bottom"/>
            <w:gridSpan w:val="2"/>
          </w:tcPr>
          <w:p>
            <w:pPr>
              <w:jc w:val="right"/>
              <w:ind w:right="180"/>
              <w:spacing w:after="0"/>
              <w:rPr>
                <w:sz w:val="20"/>
                <w:szCs w:val="20"/>
                <w:color w:val="auto"/>
              </w:rPr>
            </w:pPr>
            <w:r>
              <w:rPr>
                <w:rFonts w:ascii="Arial" w:cs="Arial" w:eastAsia="Arial" w:hAnsi="Arial"/>
                <w:sz w:val="13"/>
                <w:szCs w:val="13"/>
                <w:color w:val="auto"/>
              </w:rPr>
              <w:t>5,143</w:t>
            </w:r>
          </w:p>
        </w:tc>
        <w:tc>
          <w:tcPr>
            <w:tcW w:w="10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540" w:type="dxa"/>
            <w:vAlign w:val="bottom"/>
          </w:tcPr>
          <w:p>
            <w:pPr>
              <w:jc w:val="right"/>
              <w:spacing w:after="0"/>
              <w:rPr>
                <w:sz w:val="20"/>
                <w:szCs w:val="20"/>
                <w:color w:val="auto"/>
              </w:rPr>
            </w:pPr>
            <w:r>
              <w:rPr>
                <w:rFonts w:ascii="Arial" w:cs="Arial" w:eastAsia="Arial" w:hAnsi="Arial"/>
                <w:sz w:val="13"/>
                <w:szCs w:val="13"/>
                <w:color w:val="auto"/>
              </w:rPr>
              <w:t>3,445</w:t>
            </w:r>
          </w:p>
        </w:tc>
        <w:tc>
          <w:tcPr>
            <w:tcW w:w="120" w:type="dxa"/>
            <w:vAlign w:val="bottom"/>
          </w:tcPr>
          <w:p>
            <w:pPr>
              <w:spacing w:after="0"/>
              <w:rPr>
                <w:sz w:val="13"/>
                <w:szCs w:val="13"/>
                <w:color w:val="auto"/>
              </w:rPr>
            </w:pPr>
          </w:p>
        </w:tc>
        <w:tc>
          <w:tcPr>
            <w:tcW w:w="18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740" w:type="dxa"/>
            <w:vAlign w:val="bottom"/>
            <w:gridSpan w:val="2"/>
          </w:tcPr>
          <w:p>
            <w:pPr>
              <w:jc w:val="right"/>
              <w:ind w:right="180"/>
              <w:spacing w:after="0"/>
              <w:rPr>
                <w:sz w:val="20"/>
                <w:szCs w:val="20"/>
                <w:color w:val="auto"/>
              </w:rPr>
            </w:pPr>
            <w:r>
              <w:rPr>
                <w:rFonts w:ascii="Arial" w:cs="Arial" w:eastAsia="Arial" w:hAnsi="Arial"/>
                <w:sz w:val="13"/>
                <w:szCs w:val="13"/>
                <w:color w:val="auto"/>
              </w:rPr>
              <w:t>5,143</w:t>
            </w:r>
          </w:p>
        </w:tc>
        <w:tc>
          <w:tcPr>
            <w:tcW w:w="8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600" w:type="dxa"/>
            <w:vAlign w:val="bottom"/>
            <w:gridSpan w:val="2"/>
          </w:tcPr>
          <w:p>
            <w:pPr>
              <w:jc w:val="right"/>
              <w:ind w:right="200"/>
              <w:spacing w:after="0"/>
              <w:rPr>
                <w:sz w:val="20"/>
                <w:szCs w:val="20"/>
                <w:color w:val="auto"/>
              </w:rPr>
            </w:pPr>
            <w:r>
              <w:rPr>
                <w:rFonts w:ascii="Arial" w:cs="Arial" w:eastAsia="Arial" w:hAnsi="Arial"/>
                <w:sz w:val="13"/>
                <w:szCs w:val="13"/>
                <w:color w:val="auto"/>
              </w:rPr>
              <w:t>4,515</w:t>
            </w:r>
          </w:p>
        </w:tc>
        <w:tc>
          <w:tcPr>
            <w:tcW w:w="6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620" w:type="dxa"/>
            <w:vAlign w:val="bottom"/>
            <w:gridSpan w:val="2"/>
          </w:tcPr>
          <w:p>
            <w:pPr>
              <w:jc w:val="right"/>
              <w:ind w:right="200"/>
              <w:spacing w:after="0"/>
              <w:rPr>
                <w:sz w:val="20"/>
                <w:szCs w:val="20"/>
                <w:color w:val="auto"/>
              </w:rPr>
            </w:pPr>
            <w:r>
              <w:rPr>
                <w:rFonts w:ascii="Arial" w:cs="Arial" w:eastAsia="Arial" w:hAnsi="Arial"/>
                <w:sz w:val="13"/>
                <w:szCs w:val="13"/>
                <w:color w:val="auto"/>
              </w:rPr>
              <w:t>2,324</w:t>
            </w: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520" w:type="dxa"/>
            <w:vAlign w:val="bottom"/>
          </w:tcPr>
          <w:p>
            <w:pPr>
              <w:jc w:val="right"/>
              <w:spacing w:after="0"/>
              <w:rPr>
                <w:sz w:val="20"/>
                <w:szCs w:val="20"/>
                <w:color w:val="auto"/>
              </w:rPr>
            </w:pPr>
            <w:r>
              <w:rPr>
                <w:rFonts w:ascii="Arial" w:cs="Arial" w:eastAsia="Arial" w:hAnsi="Arial"/>
                <w:sz w:val="13"/>
                <w:szCs w:val="13"/>
                <w:color w:val="auto"/>
              </w:rPr>
              <w:t>619</w:t>
            </w:r>
          </w:p>
        </w:tc>
        <w:tc>
          <w:tcPr>
            <w:tcW w:w="120" w:type="dxa"/>
            <w:vAlign w:val="bottom"/>
          </w:tcPr>
          <w:p>
            <w:pPr>
              <w:spacing w:after="0"/>
              <w:rPr>
                <w:sz w:val="13"/>
                <w:szCs w:val="13"/>
                <w:color w:val="auto"/>
              </w:rPr>
            </w:pPr>
          </w:p>
        </w:tc>
        <w:tc>
          <w:tcPr>
            <w:tcW w:w="18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880" w:type="dxa"/>
            <w:vAlign w:val="bottom"/>
            <w:tcBorders>
              <w:right w:val="single" w:sz="8" w:color="auto"/>
            </w:tcBorders>
            <w:gridSpan w:val="2"/>
          </w:tcPr>
          <w:p>
            <w:pPr>
              <w:jc w:val="right"/>
              <w:ind w:right="280"/>
              <w:spacing w:after="0"/>
              <w:rPr>
                <w:sz w:val="20"/>
                <w:szCs w:val="20"/>
                <w:color w:val="auto"/>
              </w:rPr>
            </w:pPr>
            <w:r>
              <w:rPr>
                <w:rFonts w:ascii="Arial" w:cs="Arial" w:eastAsia="Arial" w:hAnsi="Arial"/>
                <w:sz w:val="13"/>
                <w:szCs w:val="13"/>
                <w:color w:val="auto"/>
              </w:rPr>
              <w:t>(640)</w:t>
            </w:r>
          </w:p>
        </w:tc>
        <w:tc>
          <w:tcPr>
            <w:tcW w:w="220" w:type="dxa"/>
            <w:vAlign w:val="bottom"/>
          </w:tcPr>
          <w:p>
            <w:pPr>
              <w:spacing w:after="0"/>
              <w:rPr>
                <w:sz w:val="13"/>
                <w:szCs w:val="13"/>
                <w:color w:val="auto"/>
              </w:rPr>
            </w:pPr>
          </w:p>
        </w:tc>
        <w:tc>
          <w:tcPr>
            <w:tcW w:w="6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420" w:type="dxa"/>
            <w:vAlign w:val="bottom"/>
            <w:gridSpan w:val="2"/>
          </w:tcPr>
          <w:p>
            <w:pPr>
              <w:jc w:val="right"/>
              <w:ind w:right="100"/>
              <w:spacing w:after="0"/>
              <w:rPr>
                <w:sz w:val="20"/>
                <w:szCs w:val="20"/>
                <w:color w:val="auto"/>
              </w:rPr>
            </w:pPr>
            <w:r>
              <w:rPr>
                <w:rFonts w:ascii="Arial" w:cs="Arial" w:eastAsia="Arial" w:hAnsi="Arial"/>
                <w:sz w:val="13"/>
                <w:szCs w:val="13"/>
                <w:color w:val="auto"/>
                <w:w w:val="92"/>
              </w:rPr>
              <w:t>2,053</w:t>
            </w:r>
          </w:p>
        </w:tc>
        <w:tc>
          <w:tcPr>
            <w:tcW w:w="16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380" w:type="dxa"/>
            <w:vAlign w:val="bottom"/>
          </w:tcPr>
          <w:p>
            <w:pPr>
              <w:jc w:val="right"/>
              <w:spacing w:after="0"/>
              <w:rPr>
                <w:sz w:val="20"/>
                <w:szCs w:val="20"/>
                <w:color w:val="auto"/>
              </w:rPr>
            </w:pPr>
            <w:r>
              <w:rPr>
                <w:rFonts w:ascii="Arial" w:cs="Arial" w:eastAsia="Arial" w:hAnsi="Arial"/>
                <w:sz w:val="13"/>
                <w:szCs w:val="13"/>
                <w:color w:val="auto"/>
                <w:w w:val="90"/>
              </w:rPr>
              <w:t>12,213</w:t>
            </w:r>
          </w:p>
        </w:tc>
        <w:tc>
          <w:tcPr>
            <w:tcW w:w="140" w:type="dxa"/>
            <w:vAlign w:val="bottom"/>
          </w:tcPr>
          <w:p>
            <w:pPr>
              <w:spacing w:after="0"/>
              <w:rPr>
                <w:sz w:val="13"/>
                <w:szCs w:val="13"/>
                <w:color w:val="auto"/>
              </w:rPr>
            </w:pPr>
          </w:p>
        </w:tc>
        <w:tc>
          <w:tcPr>
            <w:tcW w:w="6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420" w:type="dxa"/>
            <w:vAlign w:val="bottom"/>
          </w:tcPr>
          <w:p>
            <w:pPr>
              <w:jc w:val="right"/>
              <w:spacing w:after="0"/>
              <w:rPr>
                <w:sz w:val="20"/>
                <w:szCs w:val="20"/>
                <w:color w:val="auto"/>
              </w:rPr>
            </w:pPr>
            <w:r>
              <w:rPr>
                <w:rFonts w:ascii="Arial" w:cs="Arial" w:eastAsia="Arial" w:hAnsi="Arial"/>
                <w:sz w:val="13"/>
                <w:szCs w:val="13"/>
                <w:color w:val="auto"/>
              </w:rPr>
              <w:t>8,802</w:t>
            </w:r>
          </w:p>
        </w:tc>
        <w:tc>
          <w:tcPr>
            <w:tcW w:w="40" w:type="dxa"/>
            <w:vAlign w:val="bottom"/>
          </w:tcPr>
          <w:p>
            <w:pPr>
              <w:spacing w:after="0"/>
              <w:rPr>
                <w:sz w:val="13"/>
                <w:szCs w:val="13"/>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85725</wp:posOffset>
            </wp:positionV>
            <wp:extent cx="771525" cy="889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71525" cy="8890"/>
                    </a:xfrm>
                    <a:prstGeom prst="rect">
                      <a:avLst/>
                    </a:prstGeom>
                    <a:noFill/>
                  </pic:spPr>
                </pic:pic>
              </a:graphicData>
            </a:graphic>
          </wp:anchor>
        </w:drawing>
      </w:r>
    </w:p>
    <w:p>
      <w:pPr>
        <w:spacing w:after="0" w:line="155" w:lineRule="exact"/>
        <w:rPr>
          <w:sz w:val="20"/>
          <w:szCs w:val="20"/>
          <w:color w:val="auto"/>
        </w:rPr>
      </w:pPr>
    </w:p>
    <w:p>
      <w:pPr>
        <w:ind w:left="540" w:right="560" w:hanging="424"/>
        <w:spacing w:after="0" w:line="258" w:lineRule="auto"/>
        <w:tabs>
          <w:tab w:leader="none" w:pos="540" w:val="left"/>
        </w:tabs>
        <w:numPr>
          <w:ilvl w:val="0"/>
          <w:numId w:val="85"/>
        </w:numPr>
        <w:rPr>
          <w:rFonts w:ascii="Arial" w:cs="Arial" w:eastAsia="Arial" w:hAnsi="Arial"/>
          <w:sz w:val="18"/>
          <w:szCs w:val="18"/>
          <w:color w:val="auto"/>
        </w:rPr>
      </w:pPr>
      <w:r>
        <w:rPr>
          <w:rFonts w:ascii="Arial" w:cs="Arial" w:eastAsia="Arial" w:hAnsi="Arial"/>
          <w:sz w:val="18"/>
          <w:szCs w:val="18"/>
          <w:color w:val="auto"/>
        </w:rPr>
        <w:t>Amortization of intangible assets resulting from purchase accounting adjustments represents non-cash amortization of acquired intangibles, primarily resulting from the Advent acquisition.</w:t>
      </w:r>
    </w:p>
    <w:p>
      <w:pPr>
        <w:spacing w:after="0" w:line="1" w:lineRule="exact"/>
        <w:rPr>
          <w:rFonts w:ascii="Arial" w:cs="Arial" w:eastAsia="Arial" w:hAnsi="Arial"/>
          <w:sz w:val="18"/>
          <w:szCs w:val="18"/>
          <w:color w:val="auto"/>
        </w:rPr>
      </w:pPr>
    </w:p>
    <w:p>
      <w:pPr>
        <w:ind w:left="540" w:right="80" w:hanging="424"/>
        <w:spacing w:after="0" w:line="281" w:lineRule="auto"/>
        <w:tabs>
          <w:tab w:leader="none" w:pos="540" w:val="left"/>
        </w:tabs>
        <w:numPr>
          <w:ilvl w:val="0"/>
          <w:numId w:val="85"/>
        </w:numPr>
        <w:rPr>
          <w:rFonts w:ascii="Arial" w:cs="Arial" w:eastAsia="Arial" w:hAnsi="Arial"/>
          <w:sz w:val="16"/>
          <w:szCs w:val="16"/>
          <w:color w:val="auto"/>
        </w:rPr>
      </w:pPr>
      <w:r>
        <w:rPr>
          <w:rFonts w:ascii="Arial" w:cs="Arial" w:eastAsia="Arial" w:hAnsi="Arial"/>
          <w:sz w:val="16"/>
          <w:szCs w:val="16"/>
          <w:color w:val="auto"/>
        </w:rPr>
        <w:t>Acquisition related expenses primarily represent legal, accounting, consulting expenses related to our acquisitions and changes in the fair value of contingent consideration. For the three months ended December 31, 2020, the amount included contingent consideration of $2.6 million. For the three months ended June 30, 2021, the amount included $3.4 million related the changes in the fair value of contingent consideration.</w:t>
      </w:r>
    </w:p>
    <w:p>
      <w:pPr>
        <w:spacing w:after="0" w:line="1" w:lineRule="exact"/>
        <w:rPr>
          <w:rFonts w:ascii="Arial" w:cs="Arial" w:eastAsia="Arial" w:hAnsi="Arial"/>
          <w:sz w:val="16"/>
          <w:szCs w:val="16"/>
          <w:color w:val="auto"/>
        </w:rPr>
      </w:pPr>
    </w:p>
    <w:p>
      <w:pPr>
        <w:ind w:left="540" w:right="20" w:hanging="424"/>
        <w:spacing w:after="0" w:line="271" w:lineRule="auto"/>
        <w:tabs>
          <w:tab w:leader="none" w:pos="540" w:val="left"/>
        </w:tabs>
        <w:numPr>
          <w:ilvl w:val="0"/>
          <w:numId w:val="85"/>
        </w:numPr>
        <w:rPr>
          <w:rFonts w:ascii="Arial" w:cs="Arial" w:eastAsia="Arial" w:hAnsi="Arial"/>
          <w:sz w:val="17"/>
          <w:szCs w:val="17"/>
          <w:color w:val="auto"/>
        </w:rPr>
      </w:pPr>
      <w:r>
        <w:rPr>
          <w:rFonts w:ascii="Arial" w:cs="Arial" w:eastAsia="Arial" w:hAnsi="Arial"/>
          <w:sz w:val="17"/>
          <w:szCs w:val="17"/>
          <w:color w:val="auto"/>
        </w:rPr>
        <w:t>Non-recurring items represent expenses that are typically one-time or non-operational in nature. One-time expenses are comprised primarily of the following items: professional fees related to IPO readiness in the six months ended June 30, 2021, a pricing study initiated by our sponsors and professional fees for the preparation for the IPO in the quarters ended June 30, 2021 and March 31, 2021 and the year ended December 31, 2020, a sales-tax voluntary disclosure agreement in the period from July 16, 2019 to December 31, 2019 and the costs of exiting certain contracts assumed as part of an acquisition in the period from January 1, 2019 to July 15, 2019.</w:t>
      </w:r>
    </w:p>
    <w:p>
      <w:pPr>
        <w:spacing w:after="0" w:line="111"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95</w:t>
      </w:r>
    </w:p>
    <w:p>
      <w:pPr>
        <w:sectPr>
          <w:pgSz w:w="11900" w:h="16838" w:orient="portrait"/>
          <w:cols w:equalWidth="0" w:num="1">
            <w:col w:w="11140"/>
          </w:cols>
          <w:pgMar w:left="320" w:top="459" w:right="439" w:bottom="1440" w:gutter="0" w:footer="0" w:header="0"/>
        </w:sectPr>
      </w:pPr>
    </w:p>
    <w:bookmarkStart w:id="102" w:name="page103"/>
    <w:bookmarkEnd w:id="10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Confidential Treatment Requested by Definitive Healthcare Corp.</w:t>
      </w:r>
    </w:p>
    <w:p>
      <w:pPr>
        <w:spacing w:after="0" w:line="27"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Pursuant to 17 C.F.R. Section 200.83</w:t>
      </w:r>
    </w:p>
    <w:p>
      <w:pPr>
        <w:spacing w:after="0" w:line="143"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Cash Flows</w:t>
      </w:r>
    </w:p>
    <w:p>
      <w:pPr>
        <w:spacing w:after="0" w:line="253" w:lineRule="exact"/>
        <w:rPr>
          <w:sz w:val="20"/>
          <w:szCs w:val="20"/>
          <w:color w:val="auto"/>
        </w:rPr>
      </w:pPr>
    </w:p>
    <w:tbl>
      <w:tblPr>
        <w:tblLayout w:type="fixed"/>
        <w:tblInd w:w="120" w:type="dxa"/>
        <w:tblCellMar>
          <w:top w:w="0" w:type="dxa"/>
          <w:left w:w="0" w:type="dxa"/>
          <w:bottom w:w="0" w:type="dxa"/>
          <w:right w:w="0" w:type="dxa"/>
        </w:tblCellMar>
      </w:tblPr>
      <w:tr>
        <w:trPr>
          <w:trHeight w:val="135"/>
        </w:trPr>
        <w:tc>
          <w:tcPr>
            <w:tcW w:w="30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460" w:type="dxa"/>
            <w:vAlign w:val="bottom"/>
            <w:tcBorders>
              <w:bottom w:val="single" w:sz="8" w:color="auto"/>
            </w:tcBorders>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40" w:type="dxa"/>
            <w:vAlign w:val="bottom"/>
            <w:tcBorders>
              <w:bottom w:val="single" w:sz="8" w:color="auto"/>
            </w:tcBorders>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1260" w:type="dxa"/>
            <w:vAlign w:val="bottom"/>
            <w:tcBorders>
              <w:bottom w:val="single" w:sz="8" w:color="auto"/>
            </w:tcBorders>
            <w:gridSpan w:val="5"/>
          </w:tcPr>
          <w:p>
            <w:pPr>
              <w:jc w:val="right"/>
              <w:ind w:right="400"/>
              <w:spacing w:after="0"/>
              <w:rPr>
                <w:sz w:val="20"/>
                <w:szCs w:val="20"/>
                <w:color w:val="auto"/>
              </w:rPr>
            </w:pPr>
            <w:r>
              <w:rPr>
                <w:rFonts w:ascii="Arial" w:cs="Arial" w:eastAsia="Arial" w:hAnsi="Arial"/>
                <w:sz w:val="11"/>
                <w:szCs w:val="11"/>
                <w:b w:val="1"/>
                <w:bCs w:val="1"/>
                <w:color w:val="auto"/>
              </w:rPr>
              <w:t>Successor</w:t>
            </w:r>
          </w:p>
        </w:tc>
        <w:tc>
          <w:tcPr>
            <w:tcW w:w="60" w:type="dxa"/>
            <w:vAlign w:val="bottom"/>
            <w:tcBorders>
              <w:bottom w:val="single" w:sz="8" w:color="auto"/>
            </w:tcBorders>
          </w:tcPr>
          <w:p>
            <w:pPr>
              <w:spacing w:after="0"/>
              <w:rPr>
                <w:sz w:val="11"/>
                <w:szCs w:val="11"/>
                <w:color w:val="auto"/>
              </w:rPr>
            </w:pPr>
          </w:p>
        </w:tc>
        <w:tc>
          <w:tcPr>
            <w:tcW w:w="480" w:type="dxa"/>
            <w:vAlign w:val="bottom"/>
            <w:tcBorders>
              <w:bottom w:val="single" w:sz="8" w:color="auto"/>
            </w:tcBorders>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540" w:type="dxa"/>
            <w:vAlign w:val="bottom"/>
            <w:tcBorders>
              <w:bottom w:val="single" w:sz="8" w:color="auto"/>
            </w:tcBorders>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580" w:type="dxa"/>
            <w:vAlign w:val="bottom"/>
            <w:tcBorders>
              <w:bottom w:val="single" w:sz="8" w:color="auto"/>
            </w:tcBorders>
          </w:tcPr>
          <w:p>
            <w:pPr>
              <w:spacing w:after="0"/>
              <w:rPr>
                <w:sz w:val="11"/>
                <w:szCs w:val="11"/>
                <w:color w:val="auto"/>
              </w:rPr>
            </w:pPr>
          </w:p>
        </w:tc>
        <w:tc>
          <w:tcPr>
            <w:tcW w:w="300" w:type="dxa"/>
            <w:vAlign w:val="bottom"/>
            <w:tcBorders>
              <w:right w:val="single" w:sz="8" w:color="auto"/>
            </w:tcBorders>
          </w:tcPr>
          <w:p>
            <w:pPr>
              <w:spacing w:after="0"/>
              <w:rPr>
                <w:sz w:val="11"/>
                <w:szCs w:val="11"/>
                <w:color w:val="auto"/>
              </w:rPr>
            </w:pPr>
          </w:p>
        </w:tc>
        <w:tc>
          <w:tcPr>
            <w:tcW w:w="180" w:type="dxa"/>
            <w:vAlign w:val="bottom"/>
          </w:tcPr>
          <w:p>
            <w:pPr>
              <w:spacing w:after="0"/>
              <w:rPr>
                <w:sz w:val="11"/>
                <w:szCs w:val="11"/>
                <w:color w:val="auto"/>
              </w:rPr>
            </w:pPr>
          </w:p>
        </w:tc>
        <w:tc>
          <w:tcPr>
            <w:tcW w:w="38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660" w:type="dxa"/>
            <w:vAlign w:val="bottom"/>
            <w:tcBorders>
              <w:bottom w:val="single" w:sz="8" w:color="auto"/>
            </w:tcBorders>
            <w:gridSpan w:val="2"/>
          </w:tcPr>
          <w:p>
            <w:pPr>
              <w:jc w:val="right"/>
              <w:ind w:right="80"/>
              <w:spacing w:after="0"/>
              <w:rPr>
                <w:sz w:val="20"/>
                <w:szCs w:val="20"/>
                <w:color w:val="auto"/>
              </w:rPr>
            </w:pPr>
            <w:r>
              <w:rPr>
                <w:rFonts w:ascii="Arial" w:cs="Arial" w:eastAsia="Arial" w:hAnsi="Arial"/>
                <w:sz w:val="11"/>
                <w:szCs w:val="11"/>
                <w:b w:val="1"/>
                <w:bCs w:val="1"/>
                <w:color w:val="auto"/>
                <w:w w:val="84"/>
              </w:rPr>
              <w:t>Predecessor</w:t>
            </w:r>
          </w:p>
        </w:tc>
        <w:tc>
          <w:tcPr>
            <w:tcW w:w="500" w:type="dxa"/>
            <w:vAlign w:val="bottom"/>
            <w:tcBorders>
              <w:bottom w:val="single" w:sz="8" w:color="auto"/>
            </w:tcBorders>
          </w:tcPr>
          <w:p>
            <w:pPr>
              <w:spacing w:after="0"/>
              <w:rPr>
                <w:sz w:val="11"/>
                <w:szCs w:val="11"/>
                <w:color w:val="auto"/>
              </w:rPr>
            </w:pPr>
          </w:p>
        </w:tc>
        <w:tc>
          <w:tcPr>
            <w:tcW w:w="80" w:type="dxa"/>
            <w:vAlign w:val="bottom"/>
          </w:tcPr>
          <w:p>
            <w:pPr>
              <w:spacing w:after="0"/>
              <w:rPr>
                <w:sz w:val="11"/>
                <w:szCs w:val="11"/>
                <w:color w:val="auto"/>
              </w:rPr>
            </w:pPr>
          </w:p>
        </w:tc>
      </w:tr>
      <w:tr>
        <w:trPr>
          <w:trHeight w:val="101"/>
        </w:trPr>
        <w:tc>
          <w:tcPr>
            <w:tcW w:w="3060" w:type="dxa"/>
            <w:vAlign w:val="bottom"/>
          </w:tcPr>
          <w:p>
            <w:pPr>
              <w:spacing w:after="0"/>
              <w:rPr>
                <w:sz w:val="8"/>
                <w:szCs w:val="8"/>
                <w:color w:val="auto"/>
              </w:rPr>
            </w:pPr>
          </w:p>
        </w:tc>
        <w:tc>
          <w:tcPr>
            <w:tcW w:w="80" w:type="dxa"/>
            <w:vAlign w:val="bottom"/>
          </w:tcPr>
          <w:p>
            <w:pPr>
              <w:spacing w:after="0"/>
              <w:rPr>
                <w:sz w:val="8"/>
                <w:szCs w:val="8"/>
                <w:color w:val="auto"/>
              </w:rPr>
            </w:pPr>
          </w:p>
        </w:tc>
        <w:tc>
          <w:tcPr>
            <w:tcW w:w="420" w:type="dxa"/>
            <w:vAlign w:val="bottom"/>
          </w:tcPr>
          <w:p>
            <w:pPr>
              <w:spacing w:after="0"/>
              <w:rPr>
                <w:sz w:val="8"/>
                <w:szCs w:val="8"/>
                <w:color w:val="auto"/>
              </w:rPr>
            </w:pPr>
          </w:p>
        </w:tc>
        <w:tc>
          <w:tcPr>
            <w:tcW w:w="120" w:type="dxa"/>
            <w:vAlign w:val="bottom"/>
          </w:tcPr>
          <w:p>
            <w:pPr>
              <w:spacing w:after="0"/>
              <w:rPr>
                <w:sz w:val="8"/>
                <w:szCs w:val="8"/>
                <w:color w:val="auto"/>
              </w:rPr>
            </w:pPr>
          </w:p>
        </w:tc>
        <w:tc>
          <w:tcPr>
            <w:tcW w:w="60" w:type="dxa"/>
            <w:vAlign w:val="bottom"/>
          </w:tcPr>
          <w:p>
            <w:pPr>
              <w:spacing w:after="0"/>
              <w:rPr>
                <w:sz w:val="8"/>
                <w:szCs w:val="8"/>
                <w:color w:val="auto"/>
              </w:rPr>
            </w:pPr>
          </w:p>
        </w:tc>
        <w:tc>
          <w:tcPr>
            <w:tcW w:w="460" w:type="dxa"/>
            <w:vAlign w:val="bottom"/>
          </w:tcPr>
          <w:p>
            <w:pPr>
              <w:spacing w:after="0"/>
              <w:rPr>
                <w:sz w:val="8"/>
                <w:szCs w:val="8"/>
                <w:color w:val="auto"/>
              </w:rPr>
            </w:pPr>
          </w:p>
        </w:tc>
        <w:tc>
          <w:tcPr>
            <w:tcW w:w="180" w:type="dxa"/>
            <w:vAlign w:val="bottom"/>
          </w:tcPr>
          <w:p>
            <w:pPr>
              <w:spacing w:after="0"/>
              <w:rPr>
                <w:sz w:val="8"/>
                <w:szCs w:val="8"/>
                <w:color w:val="auto"/>
              </w:rPr>
            </w:pPr>
          </w:p>
        </w:tc>
        <w:tc>
          <w:tcPr>
            <w:tcW w:w="100" w:type="dxa"/>
            <w:vAlign w:val="bottom"/>
          </w:tcPr>
          <w:p>
            <w:pPr>
              <w:spacing w:after="0"/>
              <w:rPr>
                <w:sz w:val="8"/>
                <w:szCs w:val="8"/>
                <w:color w:val="auto"/>
              </w:rPr>
            </w:pPr>
          </w:p>
        </w:tc>
        <w:tc>
          <w:tcPr>
            <w:tcW w:w="540" w:type="dxa"/>
            <w:vAlign w:val="bottom"/>
          </w:tcPr>
          <w:p>
            <w:pPr>
              <w:spacing w:after="0"/>
              <w:rPr>
                <w:sz w:val="8"/>
                <w:szCs w:val="8"/>
                <w:color w:val="auto"/>
              </w:rPr>
            </w:pPr>
          </w:p>
        </w:tc>
        <w:tc>
          <w:tcPr>
            <w:tcW w:w="18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 w:type="dxa"/>
            <w:vAlign w:val="bottom"/>
          </w:tcPr>
          <w:p>
            <w:pPr>
              <w:spacing w:after="0"/>
              <w:rPr>
                <w:sz w:val="8"/>
                <w:szCs w:val="8"/>
                <w:color w:val="auto"/>
              </w:rPr>
            </w:pPr>
          </w:p>
        </w:tc>
        <w:tc>
          <w:tcPr>
            <w:tcW w:w="400" w:type="dxa"/>
            <w:vAlign w:val="bottom"/>
          </w:tcPr>
          <w:p>
            <w:pPr>
              <w:spacing w:after="0"/>
              <w:rPr>
                <w:sz w:val="8"/>
                <w:szCs w:val="8"/>
                <w:color w:val="auto"/>
              </w:rPr>
            </w:pPr>
          </w:p>
        </w:tc>
        <w:tc>
          <w:tcPr>
            <w:tcW w:w="120" w:type="dxa"/>
            <w:vAlign w:val="bottom"/>
          </w:tcPr>
          <w:p>
            <w:pPr>
              <w:spacing w:after="0"/>
              <w:rPr>
                <w:sz w:val="8"/>
                <w:szCs w:val="8"/>
                <w:color w:val="auto"/>
              </w:rPr>
            </w:pPr>
          </w:p>
        </w:tc>
        <w:tc>
          <w:tcPr>
            <w:tcW w:w="60" w:type="dxa"/>
            <w:vAlign w:val="bottom"/>
          </w:tcPr>
          <w:p>
            <w:pPr>
              <w:spacing w:after="0"/>
              <w:rPr>
                <w:sz w:val="8"/>
                <w:szCs w:val="8"/>
                <w:color w:val="auto"/>
              </w:rPr>
            </w:pPr>
          </w:p>
        </w:tc>
        <w:tc>
          <w:tcPr>
            <w:tcW w:w="480" w:type="dxa"/>
            <w:vAlign w:val="bottom"/>
          </w:tcPr>
          <w:p>
            <w:pPr>
              <w:spacing w:after="0"/>
              <w:rPr>
                <w:sz w:val="8"/>
                <w:szCs w:val="8"/>
                <w:color w:val="auto"/>
              </w:rPr>
            </w:pPr>
          </w:p>
        </w:tc>
        <w:tc>
          <w:tcPr>
            <w:tcW w:w="180" w:type="dxa"/>
            <w:vAlign w:val="bottom"/>
          </w:tcPr>
          <w:p>
            <w:pPr>
              <w:spacing w:after="0"/>
              <w:rPr>
                <w:sz w:val="8"/>
                <w:szCs w:val="8"/>
                <w:color w:val="auto"/>
              </w:rPr>
            </w:pPr>
          </w:p>
        </w:tc>
        <w:tc>
          <w:tcPr>
            <w:tcW w:w="80" w:type="dxa"/>
            <w:vAlign w:val="bottom"/>
          </w:tcPr>
          <w:p>
            <w:pPr>
              <w:spacing w:after="0"/>
              <w:rPr>
                <w:sz w:val="8"/>
                <w:szCs w:val="8"/>
                <w:color w:val="auto"/>
              </w:rPr>
            </w:pPr>
          </w:p>
        </w:tc>
        <w:tc>
          <w:tcPr>
            <w:tcW w:w="540" w:type="dxa"/>
            <w:vAlign w:val="bottom"/>
          </w:tcPr>
          <w:p>
            <w:pPr>
              <w:spacing w:after="0"/>
              <w:rPr>
                <w:sz w:val="8"/>
                <w:szCs w:val="8"/>
                <w:color w:val="auto"/>
              </w:rPr>
            </w:pPr>
          </w:p>
        </w:tc>
        <w:tc>
          <w:tcPr>
            <w:tcW w:w="180" w:type="dxa"/>
            <w:vAlign w:val="bottom"/>
          </w:tcPr>
          <w:p>
            <w:pPr>
              <w:spacing w:after="0"/>
              <w:rPr>
                <w:sz w:val="8"/>
                <w:szCs w:val="8"/>
                <w:color w:val="auto"/>
              </w:rPr>
            </w:pPr>
          </w:p>
        </w:tc>
        <w:tc>
          <w:tcPr>
            <w:tcW w:w="80" w:type="dxa"/>
            <w:vAlign w:val="bottom"/>
          </w:tcPr>
          <w:p>
            <w:pPr>
              <w:spacing w:after="0"/>
              <w:rPr>
                <w:sz w:val="8"/>
                <w:szCs w:val="8"/>
                <w:color w:val="auto"/>
              </w:rPr>
            </w:pPr>
          </w:p>
        </w:tc>
        <w:tc>
          <w:tcPr>
            <w:tcW w:w="580" w:type="dxa"/>
            <w:vAlign w:val="bottom"/>
          </w:tcPr>
          <w:p>
            <w:pPr>
              <w:jc w:val="center"/>
              <w:ind w:right="42"/>
              <w:spacing w:after="0" w:line="102" w:lineRule="exact"/>
              <w:rPr>
                <w:sz w:val="20"/>
                <w:szCs w:val="20"/>
                <w:color w:val="auto"/>
              </w:rPr>
            </w:pPr>
            <w:r>
              <w:rPr>
                <w:rFonts w:ascii="Arial" w:cs="Arial" w:eastAsia="Arial" w:hAnsi="Arial"/>
                <w:sz w:val="11"/>
                <w:szCs w:val="11"/>
                <w:b w:val="1"/>
                <w:bCs w:val="1"/>
                <w:color w:val="auto"/>
                <w:w w:val="93"/>
              </w:rPr>
              <w:t>Period</w:t>
            </w:r>
          </w:p>
        </w:tc>
        <w:tc>
          <w:tcPr>
            <w:tcW w:w="300" w:type="dxa"/>
            <w:vAlign w:val="bottom"/>
            <w:tcBorders>
              <w:right w:val="single" w:sz="8" w:color="auto"/>
            </w:tcBorders>
          </w:tcPr>
          <w:p>
            <w:pPr>
              <w:spacing w:after="0"/>
              <w:rPr>
                <w:sz w:val="8"/>
                <w:szCs w:val="8"/>
                <w:color w:val="auto"/>
              </w:rPr>
            </w:pPr>
          </w:p>
        </w:tc>
        <w:tc>
          <w:tcPr>
            <w:tcW w:w="180" w:type="dxa"/>
            <w:vAlign w:val="bottom"/>
          </w:tcPr>
          <w:p>
            <w:pPr>
              <w:spacing w:after="0"/>
              <w:rPr>
                <w:sz w:val="8"/>
                <w:szCs w:val="8"/>
                <w:color w:val="auto"/>
              </w:rPr>
            </w:pPr>
          </w:p>
        </w:tc>
        <w:tc>
          <w:tcPr>
            <w:tcW w:w="500" w:type="dxa"/>
            <w:vAlign w:val="bottom"/>
            <w:gridSpan w:val="2"/>
          </w:tcPr>
          <w:p>
            <w:pPr>
              <w:jc w:val="center"/>
              <w:ind w:right="120"/>
              <w:spacing w:after="0" w:line="102" w:lineRule="exact"/>
              <w:rPr>
                <w:sz w:val="20"/>
                <w:szCs w:val="20"/>
                <w:color w:val="auto"/>
              </w:rPr>
            </w:pPr>
            <w:r>
              <w:rPr>
                <w:rFonts w:ascii="Arial" w:cs="Arial" w:eastAsia="Arial" w:hAnsi="Arial"/>
                <w:sz w:val="11"/>
                <w:szCs w:val="11"/>
                <w:b w:val="1"/>
                <w:bCs w:val="1"/>
                <w:color w:val="auto"/>
                <w:w w:val="87"/>
              </w:rPr>
              <w:t>Period</w:t>
            </w:r>
          </w:p>
        </w:tc>
        <w:tc>
          <w:tcPr>
            <w:tcW w:w="60" w:type="dxa"/>
            <w:vAlign w:val="bottom"/>
          </w:tcPr>
          <w:p>
            <w:pPr>
              <w:spacing w:after="0"/>
              <w:rPr>
                <w:sz w:val="8"/>
                <w:szCs w:val="8"/>
                <w:color w:val="auto"/>
              </w:rPr>
            </w:pPr>
          </w:p>
        </w:tc>
        <w:tc>
          <w:tcPr>
            <w:tcW w:w="480" w:type="dxa"/>
            <w:vAlign w:val="bottom"/>
          </w:tcPr>
          <w:p>
            <w:pPr>
              <w:spacing w:after="0"/>
              <w:rPr>
                <w:sz w:val="8"/>
                <w:szCs w:val="8"/>
                <w:color w:val="auto"/>
              </w:rPr>
            </w:pPr>
          </w:p>
        </w:tc>
        <w:tc>
          <w:tcPr>
            <w:tcW w:w="180" w:type="dxa"/>
            <w:vAlign w:val="bottom"/>
          </w:tcPr>
          <w:p>
            <w:pPr>
              <w:spacing w:after="0"/>
              <w:rPr>
                <w:sz w:val="8"/>
                <w:szCs w:val="8"/>
                <w:color w:val="auto"/>
              </w:rPr>
            </w:pPr>
          </w:p>
        </w:tc>
        <w:tc>
          <w:tcPr>
            <w:tcW w:w="500" w:type="dxa"/>
            <w:vAlign w:val="bottom"/>
          </w:tcPr>
          <w:p>
            <w:pPr>
              <w:spacing w:after="0"/>
              <w:rPr>
                <w:sz w:val="8"/>
                <w:szCs w:val="8"/>
                <w:color w:val="auto"/>
              </w:rPr>
            </w:pPr>
          </w:p>
        </w:tc>
        <w:tc>
          <w:tcPr>
            <w:tcW w:w="80" w:type="dxa"/>
            <w:vAlign w:val="bottom"/>
          </w:tcPr>
          <w:p>
            <w:pPr>
              <w:spacing w:after="0"/>
              <w:rPr>
                <w:sz w:val="8"/>
                <w:szCs w:val="8"/>
                <w:color w:val="auto"/>
              </w:rPr>
            </w:pPr>
          </w:p>
        </w:tc>
      </w:tr>
      <w:tr>
        <w:trPr>
          <w:trHeight w:val="122"/>
        </w:trPr>
        <w:tc>
          <w:tcPr>
            <w:tcW w:w="30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80" w:type="dxa"/>
            <w:vAlign w:val="bottom"/>
            <w:tcBorders>
              <w:right w:val="single" w:sz="8" w:color="auto"/>
            </w:tcBorders>
            <w:gridSpan w:val="2"/>
          </w:tcPr>
          <w:p>
            <w:pPr>
              <w:jc w:val="center"/>
              <w:ind w:right="400"/>
              <w:spacing w:after="0" w:line="122" w:lineRule="exact"/>
              <w:rPr>
                <w:sz w:val="20"/>
                <w:szCs w:val="20"/>
                <w:color w:val="auto"/>
              </w:rPr>
            </w:pPr>
            <w:r>
              <w:rPr>
                <w:rFonts w:ascii="Arial" w:cs="Arial" w:eastAsia="Arial" w:hAnsi="Arial"/>
                <w:sz w:val="11"/>
                <w:szCs w:val="11"/>
                <w:b w:val="1"/>
                <w:bCs w:val="1"/>
                <w:color w:val="auto"/>
                <w:w w:val="97"/>
              </w:rPr>
              <w:t>from</w:t>
            </w:r>
          </w:p>
        </w:tc>
        <w:tc>
          <w:tcPr>
            <w:tcW w:w="180" w:type="dxa"/>
            <w:vAlign w:val="bottom"/>
          </w:tcPr>
          <w:p>
            <w:pPr>
              <w:spacing w:after="0"/>
              <w:rPr>
                <w:sz w:val="10"/>
                <w:szCs w:val="10"/>
                <w:color w:val="auto"/>
              </w:rPr>
            </w:pPr>
          </w:p>
        </w:tc>
        <w:tc>
          <w:tcPr>
            <w:tcW w:w="500" w:type="dxa"/>
            <w:vAlign w:val="bottom"/>
            <w:gridSpan w:val="2"/>
          </w:tcPr>
          <w:p>
            <w:pPr>
              <w:jc w:val="center"/>
              <w:ind w:right="120"/>
              <w:spacing w:after="0" w:line="122" w:lineRule="exact"/>
              <w:rPr>
                <w:sz w:val="20"/>
                <w:szCs w:val="20"/>
                <w:color w:val="auto"/>
              </w:rPr>
            </w:pPr>
            <w:r>
              <w:rPr>
                <w:rFonts w:ascii="Arial" w:cs="Arial" w:eastAsia="Arial" w:hAnsi="Arial"/>
                <w:sz w:val="11"/>
                <w:szCs w:val="11"/>
                <w:b w:val="1"/>
                <w:bCs w:val="1"/>
                <w:color w:val="auto"/>
                <w:w w:val="89"/>
              </w:rPr>
              <w:t>from</w:t>
            </w:r>
          </w:p>
        </w:tc>
        <w:tc>
          <w:tcPr>
            <w:tcW w:w="6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80" w:type="dxa"/>
            <w:vAlign w:val="bottom"/>
          </w:tcPr>
          <w:p>
            <w:pPr>
              <w:spacing w:after="0"/>
              <w:rPr>
                <w:sz w:val="10"/>
                <w:szCs w:val="10"/>
                <w:color w:val="auto"/>
              </w:rPr>
            </w:pPr>
          </w:p>
        </w:tc>
      </w:tr>
      <w:tr>
        <w:trPr>
          <w:trHeight w:val="122"/>
        </w:trPr>
        <w:tc>
          <w:tcPr>
            <w:tcW w:w="30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40" w:type="dxa"/>
            <w:vAlign w:val="bottom"/>
            <w:gridSpan w:val="2"/>
          </w:tcPr>
          <w:p>
            <w:pPr>
              <w:jc w:val="center"/>
              <w:ind w:right="140"/>
              <w:spacing w:after="0" w:line="122" w:lineRule="exact"/>
              <w:rPr>
                <w:sz w:val="20"/>
                <w:szCs w:val="20"/>
                <w:color w:val="auto"/>
              </w:rPr>
            </w:pPr>
            <w:r>
              <w:rPr>
                <w:rFonts w:ascii="Arial" w:cs="Arial" w:eastAsia="Arial" w:hAnsi="Arial"/>
                <w:sz w:val="11"/>
                <w:szCs w:val="11"/>
                <w:b w:val="1"/>
                <w:bCs w:val="1"/>
                <w:color w:val="auto"/>
                <w:w w:val="93"/>
              </w:rPr>
              <w:t>Three</w:t>
            </w:r>
          </w:p>
        </w:tc>
        <w:tc>
          <w:tcPr>
            <w:tcW w:w="60" w:type="dxa"/>
            <w:vAlign w:val="bottom"/>
          </w:tcPr>
          <w:p>
            <w:pPr>
              <w:spacing w:after="0"/>
              <w:rPr>
                <w:sz w:val="10"/>
                <w:szCs w:val="10"/>
                <w:color w:val="auto"/>
              </w:rPr>
            </w:pPr>
          </w:p>
        </w:tc>
        <w:tc>
          <w:tcPr>
            <w:tcW w:w="640" w:type="dxa"/>
            <w:vAlign w:val="bottom"/>
            <w:gridSpan w:val="2"/>
          </w:tcPr>
          <w:p>
            <w:pPr>
              <w:jc w:val="center"/>
              <w:ind w:right="200"/>
              <w:spacing w:after="0" w:line="122" w:lineRule="exact"/>
              <w:rPr>
                <w:sz w:val="20"/>
                <w:szCs w:val="20"/>
                <w:color w:val="auto"/>
              </w:rPr>
            </w:pPr>
            <w:r>
              <w:rPr>
                <w:rFonts w:ascii="Arial" w:cs="Arial" w:eastAsia="Arial" w:hAnsi="Arial"/>
                <w:sz w:val="11"/>
                <w:szCs w:val="11"/>
                <w:b w:val="1"/>
                <w:bCs w:val="1"/>
                <w:color w:val="auto"/>
                <w:w w:val="93"/>
              </w:rPr>
              <w:t>Three</w:t>
            </w:r>
          </w:p>
        </w:tc>
        <w:tc>
          <w:tcPr>
            <w:tcW w:w="100" w:type="dxa"/>
            <w:vAlign w:val="bottom"/>
          </w:tcPr>
          <w:p>
            <w:pPr>
              <w:spacing w:after="0"/>
              <w:rPr>
                <w:sz w:val="10"/>
                <w:szCs w:val="10"/>
                <w:color w:val="auto"/>
              </w:rPr>
            </w:pPr>
          </w:p>
        </w:tc>
        <w:tc>
          <w:tcPr>
            <w:tcW w:w="720" w:type="dxa"/>
            <w:vAlign w:val="bottom"/>
            <w:gridSpan w:val="2"/>
          </w:tcPr>
          <w:p>
            <w:pPr>
              <w:jc w:val="center"/>
              <w:ind w:right="300"/>
              <w:spacing w:after="0" w:line="122" w:lineRule="exact"/>
              <w:rPr>
                <w:sz w:val="20"/>
                <w:szCs w:val="20"/>
                <w:color w:val="auto"/>
              </w:rPr>
            </w:pPr>
            <w:r>
              <w:rPr>
                <w:rFonts w:ascii="Arial" w:cs="Arial" w:eastAsia="Arial" w:hAnsi="Arial"/>
                <w:sz w:val="11"/>
                <w:szCs w:val="11"/>
                <w:b w:val="1"/>
                <w:bCs w:val="1"/>
                <w:color w:val="auto"/>
                <w:w w:val="86"/>
              </w:rPr>
              <w:t>Three</w:t>
            </w:r>
          </w:p>
        </w:tc>
        <w:tc>
          <w:tcPr>
            <w:tcW w:w="100" w:type="dxa"/>
            <w:vAlign w:val="bottom"/>
          </w:tcPr>
          <w:p>
            <w:pPr>
              <w:spacing w:after="0"/>
              <w:rPr>
                <w:sz w:val="10"/>
                <w:szCs w:val="10"/>
                <w:color w:val="auto"/>
              </w:rPr>
            </w:pPr>
          </w:p>
        </w:tc>
        <w:tc>
          <w:tcPr>
            <w:tcW w:w="660" w:type="dxa"/>
            <w:vAlign w:val="bottom"/>
            <w:gridSpan w:val="2"/>
          </w:tcPr>
          <w:p>
            <w:pPr>
              <w:jc w:val="center"/>
              <w:ind w:right="240"/>
              <w:spacing w:after="0" w:line="122" w:lineRule="exact"/>
              <w:rPr>
                <w:sz w:val="20"/>
                <w:szCs w:val="20"/>
                <w:color w:val="auto"/>
              </w:rPr>
            </w:pPr>
            <w:r>
              <w:rPr>
                <w:rFonts w:ascii="Arial" w:cs="Arial" w:eastAsia="Arial" w:hAnsi="Arial"/>
                <w:sz w:val="11"/>
                <w:szCs w:val="11"/>
                <w:b w:val="1"/>
                <w:bCs w:val="1"/>
                <w:color w:val="auto"/>
                <w:w w:val="86"/>
              </w:rPr>
              <w:t>Three</w:t>
            </w:r>
          </w:p>
        </w:tc>
        <w:tc>
          <w:tcPr>
            <w:tcW w:w="80" w:type="dxa"/>
            <w:vAlign w:val="bottom"/>
          </w:tcPr>
          <w:p>
            <w:pPr>
              <w:spacing w:after="0"/>
              <w:rPr>
                <w:sz w:val="10"/>
                <w:szCs w:val="10"/>
                <w:color w:val="auto"/>
              </w:rPr>
            </w:pPr>
          </w:p>
        </w:tc>
        <w:tc>
          <w:tcPr>
            <w:tcW w:w="520" w:type="dxa"/>
            <w:vAlign w:val="bottom"/>
            <w:gridSpan w:val="2"/>
          </w:tcPr>
          <w:p>
            <w:pPr>
              <w:jc w:val="center"/>
              <w:ind w:right="160"/>
              <w:spacing w:after="0" w:line="122" w:lineRule="exact"/>
              <w:rPr>
                <w:sz w:val="20"/>
                <w:szCs w:val="20"/>
                <w:color w:val="auto"/>
              </w:rPr>
            </w:pPr>
            <w:r>
              <w:rPr>
                <w:rFonts w:ascii="Arial" w:cs="Arial" w:eastAsia="Arial" w:hAnsi="Arial"/>
                <w:sz w:val="11"/>
                <w:szCs w:val="11"/>
                <w:b w:val="1"/>
                <w:bCs w:val="1"/>
                <w:color w:val="auto"/>
                <w:w w:val="93"/>
              </w:rPr>
              <w:t>Three</w:t>
            </w:r>
          </w:p>
        </w:tc>
        <w:tc>
          <w:tcPr>
            <w:tcW w:w="60" w:type="dxa"/>
            <w:vAlign w:val="bottom"/>
          </w:tcPr>
          <w:p>
            <w:pPr>
              <w:spacing w:after="0"/>
              <w:rPr>
                <w:sz w:val="10"/>
                <w:szCs w:val="10"/>
                <w:color w:val="auto"/>
              </w:rPr>
            </w:pPr>
          </w:p>
        </w:tc>
        <w:tc>
          <w:tcPr>
            <w:tcW w:w="660" w:type="dxa"/>
            <w:vAlign w:val="bottom"/>
            <w:gridSpan w:val="2"/>
          </w:tcPr>
          <w:p>
            <w:pPr>
              <w:jc w:val="center"/>
              <w:ind w:right="200"/>
              <w:spacing w:after="0" w:line="122" w:lineRule="exact"/>
              <w:rPr>
                <w:sz w:val="20"/>
                <w:szCs w:val="20"/>
                <w:color w:val="auto"/>
              </w:rPr>
            </w:pPr>
            <w:r>
              <w:rPr>
                <w:rFonts w:ascii="Arial" w:cs="Arial" w:eastAsia="Arial" w:hAnsi="Arial"/>
                <w:sz w:val="11"/>
                <w:szCs w:val="11"/>
                <w:b w:val="1"/>
                <w:bCs w:val="1"/>
                <w:color w:val="auto"/>
                <w:w w:val="86"/>
              </w:rPr>
              <w:t>Three</w:t>
            </w:r>
          </w:p>
        </w:tc>
        <w:tc>
          <w:tcPr>
            <w:tcW w:w="80" w:type="dxa"/>
            <w:vAlign w:val="bottom"/>
          </w:tcPr>
          <w:p>
            <w:pPr>
              <w:spacing w:after="0"/>
              <w:rPr>
                <w:sz w:val="10"/>
                <w:szCs w:val="10"/>
                <w:color w:val="auto"/>
              </w:rPr>
            </w:pPr>
          </w:p>
        </w:tc>
        <w:tc>
          <w:tcPr>
            <w:tcW w:w="720" w:type="dxa"/>
            <w:vAlign w:val="bottom"/>
            <w:gridSpan w:val="2"/>
          </w:tcPr>
          <w:p>
            <w:pPr>
              <w:jc w:val="center"/>
              <w:ind w:right="280"/>
              <w:spacing w:after="0" w:line="122" w:lineRule="exact"/>
              <w:rPr>
                <w:sz w:val="20"/>
                <w:szCs w:val="20"/>
                <w:color w:val="auto"/>
              </w:rPr>
            </w:pPr>
            <w:r>
              <w:rPr>
                <w:rFonts w:ascii="Arial" w:cs="Arial" w:eastAsia="Arial" w:hAnsi="Arial"/>
                <w:sz w:val="11"/>
                <w:szCs w:val="11"/>
                <w:b w:val="1"/>
                <w:bCs w:val="1"/>
                <w:color w:val="auto"/>
                <w:w w:val="93"/>
              </w:rPr>
              <w:t>Three</w:t>
            </w:r>
          </w:p>
        </w:tc>
        <w:tc>
          <w:tcPr>
            <w:tcW w:w="80" w:type="dxa"/>
            <w:vAlign w:val="bottom"/>
          </w:tcPr>
          <w:p>
            <w:pPr>
              <w:spacing w:after="0"/>
              <w:rPr>
                <w:sz w:val="10"/>
                <w:szCs w:val="10"/>
                <w:color w:val="auto"/>
              </w:rPr>
            </w:pPr>
          </w:p>
        </w:tc>
        <w:tc>
          <w:tcPr>
            <w:tcW w:w="880" w:type="dxa"/>
            <w:vAlign w:val="bottom"/>
            <w:tcBorders>
              <w:right w:val="single" w:sz="8" w:color="auto"/>
            </w:tcBorders>
            <w:gridSpan w:val="2"/>
          </w:tcPr>
          <w:p>
            <w:pPr>
              <w:jc w:val="center"/>
              <w:ind w:right="400"/>
              <w:spacing w:after="0" w:line="122" w:lineRule="exact"/>
              <w:rPr>
                <w:sz w:val="20"/>
                <w:szCs w:val="20"/>
                <w:color w:val="auto"/>
              </w:rPr>
            </w:pPr>
            <w:r>
              <w:rPr>
                <w:rFonts w:ascii="Arial" w:cs="Arial" w:eastAsia="Arial" w:hAnsi="Arial"/>
                <w:sz w:val="11"/>
                <w:szCs w:val="11"/>
                <w:b w:val="1"/>
                <w:bCs w:val="1"/>
                <w:color w:val="auto"/>
                <w:w w:val="89"/>
              </w:rPr>
              <w:t>July 16,</w:t>
            </w:r>
          </w:p>
        </w:tc>
        <w:tc>
          <w:tcPr>
            <w:tcW w:w="180" w:type="dxa"/>
            <w:vAlign w:val="bottom"/>
          </w:tcPr>
          <w:p>
            <w:pPr>
              <w:spacing w:after="0"/>
              <w:rPr>
                <w:sz w:val="10"/>
                <w:szCs w:val="10"/>
                <w:color w:val="auto"/>
              </w:rPr>
            </w:pPr>
          </w:p>
        </w:tc>
        <w:tc>
          <w:tcPr>
            <w:tcW w:w="500" w:type="dxa"/>
            <w:vAlign w:val="bottom"/>
            <w:gridSpan w:val="2"/>
          </w:tcPr>
          <w:p>
            <w:pPr>
              <w:jc w:val="center"/>
              <w:ind w:right="120"/>
              <w:spacing w:after="0" w:line="122" w:lineRule="exact"/>
              <w:rPr>
                <w:sz w:val="20"/>
                <w:szCs w:val="20"/>
                <w:color w:val="auto"/>
              </w:rPr>
            </w:pPr>
            <w:r>
              <w:rPr>
                <w:rFonts w:ascii="Arial" w:cs="Arial" w:eastAsia="Arial" w:hAnsi="Arial"/>
                <w:sz w:val="11"/>
                <w:szCs w:val="11"/>
                <w:b w:val="1"/>
                <w:bCs w:val="1"/>
                <w:color w:val="auto"/>
                <w:w w:val="87"/>
              </w:rPr>
              <w:t>July 1,</w:t>
            </w:r>
          </w:p>
        </w:tc>
        <w:tc>
          <w:tcPr>
            <w:tcW w:w="60" w:type="dxa"/>
            <w:vAlign w:val="bottom"/>
          </w:tcPr>
          <w:p>
            <w:pPr>
              <w:spacing w:after="0"/>
              <w:rPr>
                <w:sz w:val="10"/>
                <w:szCs w:val="10"/>
                <w:color w:val="auto"/>
              </w:rPr>
            </w:pPr>
          </w:p>
        </w:tc>
        <w:tc>
          <w:tcPr>
            <w:tcW w:w="660" w:type="dxa"/>
            <w:vAlign w:val="bottom"/>
            <w:gridSpan w:val="2"/>
          </w:tcPr>
          <w:p>
            <w:pPr>
              <w:jc w:val="center"/>
              <w:ind w:right="180"/>
              <w:spacing w:after="0" w:line="122" w:lineRule="exact"/>
              <w:rPr>
                <w:sz w:val="20"/>
                <w:szCs w:val="20"/>
                <w:color w:val="auto"/>
              </w:rPr>
            </w:pPr>
            <w:r>
              <w:rPr>
                <w:rFonts w:ascii="Arial" w:cs="Arial" w:eastAsia="Arial" w:hAnsi="Arial"/>
                <w:sz w:val="11"/>
                <w:szCs w:val="11"/>
                <w:b w:val="1"/>
                <w:bCs w:val="1"/>
                <w:color w:val="auto"/>
                <w:w w:val="93"/>
              </w:rPr>
              <w:t>Three</w:t>
            </w:r>
          </w:p>
        </w:tc>
        <w:tc>
          <w:tcPr>
            <w:tcW w:w="580" w:type="dxa"/>
            <w:vAlign w:val="bottom"/>
            <w:gridSpan w:val="2"/>
          </w:tcPr>
          <w:p>
            <w:pPr>
              <w:jc w:val="center"/>
              <w:ind w:right="100"/>
              <w:spacing w:after="0" w:line="122" w:lineRule="exact"/>
              <w:rPr>
                <w:sz w:val="20"/>
                <w:szCs w:val="20"/>
                <w:color w:val="auto"/>
              </w:rPr>
            </w:pPr>
            <w:r>
              <w:rPr>
                <w:rFonts w:ascii="Arial" w:cs="Arial" w:eastAsia="Arial" w:hAnsi="Arial"/>
                <w:sz w:val="11"/>
                <w:szCs w:val="11"/>
                <w:b w:val="1"/>
                <w:bCs w:val="1"/>
                <w:color w:val="auto"/>
                <w:w w:val="93"/>
              </w:rPr>
              <w:t>Three</w:t>
            </w:r>
          </w:p>
        </w:tc>
      </w:tr>
      <w:tr>
        <w:trPr>
          <w:trHeight w:val="122"/>
        </w:trPr>
        <w:tc>
          <w:tcPr>
            <w:tcW w:w="30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40" w:type="dxa"/>
            <w:vAlign w:val="bottom"/>
            <w:gridSpan w:val="2"/>
          </w:tcPr>
          <w:p>
            <w:pPr>
              <w:jc w:val="center"/>
              <w:ind w:right="140"/>
              <w:spacing w:after="0" w:line="122" w:lineRule="exact"/>
              <w:rPr>
                <w:sz w:val="20"/>
                <w:szCs w:val="20"/>
                <w:color w:val="auto"/>
              </w:rPr>
            </w:pPr>
            <w:r>
              <w:rPr>
                <w:rFonts w:ascii="Arial" w:cs="Arial" w:eastAsia="Arial" w:hAnsi="Arial"/>
                <w:sz w:val="11"/>
                <w:szCs w:val="11"/>
                <w:b w:val="1"/>
                <w:bCs w:val="1"/>
                <w:color w:val="auto"/>
                <w:w w:val="91"/>
              </w:rPr>
              <w:t>Months</w:t>
            </w:r>
          </w:p>
        </w:tc>
        <w:tc>
          <w:tcPr>
            <w:tcW w:w="60" w:type="dxa"/>
            <w:vAlign w:val="bottom"/>
          </w:tcPr>
          <w:p>
            <w:pPr>
              <w:spacing w:after="0"/>
              <w:rPr>
                <w:sz w:val="10"/>
                <w:szCs w:val="10"/>
                <w:color w:val="auto"/>
              </w:rPr>
            </w:pPr>
          </w:p>
        </w:tc>
        <w:tc>
          <w:tcPr>
            <w:tcW w:w="640" w:type="dxa"/>
            <w:vAlign w:val="bottom"/>
            <w:gridSpan w:val="2"/>
          </w:tcPr>
          <w:p>
            <w:pPr>
              <w:jc w:val="center"/>
              <w:ind w:right="200"/>
              <w:spacing w:after="0" w:line="122" w:lineRule="exact"/>
              <w:rPr>
                <w:sz w:val="20"/>
                <w:szCs w:val="20"/>
                <w:color w:val="auto"/>
              </w:rPr>
            </w:pPr>
            <w:r>
              <w:rPr>
                <w:rFonts w:ascii="Arial" w:cs="Arial" w:eastAsia="Arial" w:hAnsi="Arial"/>
                <w:sz w:val="11"/>
                <w:szCs w:val="11"/>
                <w:b w:val="1"/>
                <w:bCs w:val="1"/>
                <w:color w:val="auto"/>
                <w:w w:val="91"/>
              </w:rPr>
              <w:t>Months</w:t>
            </w:r>
          </w:p>
        </w:tc>
        <w:tc>
          <w:tcPr>
            <w:tcW w:w="100" w:type="dxa"/>
            <w:vAlign w:val="bottom"/>
          </w:tcPr>
          <w:p>
            <w:pPr>
              <w:spacing w:after="0"/>
              <w:rPr>
                <w:sz w:val="10"/>
                <w:szCs w:val="10"/>
                <w:color w:val="auto"/>
              </w:rPr>
            </w:pPr>
          </w:p>
        </w:tc>
        <w:tc>
          <w:tcPr>
            <w:tcW w:w="720" w:type="dxa"/>
            <w:vAlign w:val="bottom"/>
            <w:gridSpan w:val="2"/>
          </w:tcPr>
          <w:p>
            <w:pPr>
              <w:jc w:val="center"/>
              <w:ind w:right="300"/>
              <w:spacing w:after="0" w:line="122" w:lineRule="exact"/>
              <w:rPr>
                <w:sz w:val="20"/>
                <w:szCs w:val="20"/>
                <w:color w:val="auto"/>
              </w:rPr>
            </w:pPr>
            <w:r>
              <w:rPr>
                <w:rFonts w:ascii="Arial" w:cs="Arial" w:eastAsia="Arial" w:hAnsi="Arial"/>
                <w:sz w:val="11"/>
                <w:szCs w:val="11"/>
                <w:b w:val="1"/>
                <w:bCs w:val="1"/>
                <w:color w:val="auto"/>
                <w:w w:val="86"/>
              </w:rPr>
              <w:t>Months</w:t>
            </w:r>
          </w:p>
        </w:tc>
        <w:tc>
          <w:tcPr>
            <w:tcW w:w="100" w:type="dxa"/>
            <w:vAlign w:val="bottom"/>
          </w:tcPr>
          <w:p>
            <w:pPr>
              <w:spacing w:after="0"/>
              <w:rPr>
                <w:sz w:val="10"/>
                <w:szCs w:val="10"/>
                <w:color w:val="auto"/>
              </w:rPr>
            </w:pPr>
          </w:p>
        </w:tc>
        <w:tc>
          <w:tcPr>
            <w:tcW w:w="660" w:type="dxa"/>
            <w:vAlign w:val="bottom"/>
            <w:gridSpan w:val="2"/>
          </w:tcPr>
          <w:p>
            <w:pPr>
              <w:jc w:val="center"/>
              <w:ind w:right="240"/>
              <w:spacing w:after="0" w:line="122" w:lineRule="exact"/>
              <w:rPr>
                <w:sz w:val="20"/>
                <w:szCs w:val="20"/>
                <w:color w:val="auto"/>
              </w:rPr>
            </w:pPr>
            <w:r>
              <w:rPr>
                <w:rFonts w:ascii="Arial" w:cs="Arial" w:eastAsia="Arial" w:hAnsi="Arial"/>
                <w:sz w:val="11"/>
                <w:szCs w:val="11"/>
                <w:b w:val="1"/>
                <w:bCs w:val="1"/>
                <w:color w:val="auto"/>
                <w:w w:val="86"/>
              </w:rPr>
              <w:t>Months</w:t>
            </w:r>
          </w:p>
        </w:tc>
        <w:tc>
          <w:tcPr>
            <w:tcW w:w="80" w:type="dxa"/>
            <w:vAlign w:val="bottom"/>
          </w:tcPr>
          <w:p>
            <w:pPr>
              <w:spacing w:after="0"/>
              <w:rPr>
                <w:sz w:val="10"/>
                <w:szCs w:val="10"/>
                <w:color w:val="auto"/>
              </w:rPr>
            </w:pPr>
          </w:p>
        </w:tc>
        <w:tc>
          <w:tcPr>
            <w:tcW w:w="520" w:type="dxa"/>
            <w:vAlign w:val="bottom"/>
            <w:gridSpan w:val="2"/>
          </w:tcPr>
          <w:p>
            <w:pPr>
              <w:jc w:val="center"/>
              <w:ind w:right="160"/>
              <w:spacing w:after="0" w:line="122" w:lineRule="exact"/>
              <w:rPr>
                <w:sz w:val="20"/>
                <w:szCs w:val="20"/>
                <w:color w:val="auto"/>
              </w:rPr>
            </w:pPr>
            <w:r>
              <w:rPr>
                <w:rFonts w:ascii="Arial" w:cs="Arial" w:eastAsia="Arial" w:hAnsi="Arial"/>
                <w:sz w:val="11"/>
                <w:szCs w:val="11"/>
                <w:b w:val="1"/>
                <w:bCs w:val="1"/>
                <w:color w:val="auto"/>
                <w:w w:val="91"/>
              </w:rPr>
              <w:t>Months</w:t>
            </w:r>
          </w:p>
        </w:tc>
        <w:tc>
          <w:tcPr>
            <w:tcW w:w="60" w:type="dxa"/>
            <w:vAlign w:val="bottom"/>
          </w:tcPr>
          <w:p>
            <w:pPr>
              <w:spacing w:after="0"/>
              <w:rPr>
                <w:sz w:val="10"/>
                <w:szCs w:val="10"/>
                <w:color w:val="auto"/>
              </w:rPr>
            </w:pPr>
          </w:p>
        </w:tc>
        <w:tc>
          <w:tcPr>
            <w:tcW w:w="660" w:type="dxa"/>
            <w:vAlign w:val="bottom"/>
            <w:gridSpan w:val="2"/>
          </w:tcPr>
          <w:p>
            <w:pPr>
              <w:jc w:val="center"/>
              <w:ind w:right="200"/>
              <w:spacing w:after="0" w:line="122" w:lineRule="exact"/>
              <w:rPr>
                <w:sz w:val="20"/>
                <w:szCs w:val="20"/>
                <w:color w:val="auto"/>
              </w:rPr>
            </w:pPr>
            <w:r>
              <w:rPr>
                <w:rFonts w:ascii="Arial" w:cs="Arial" w:eastAsia="Arial" w:hAnsi="Arial"/>
                <w:sz w:val="11"/>
                <w:szCs w:val="11"/>
                <w:b w:val="1"/>
                <w:bCs w:val="1"/>
                <w:color w:val="auto"/>
                <w:w w:val="86"/>
              </w:rPr>
              <w:t>Months</w:t>
            </w:r>
          </w:p>
        </w:tc>
        <w:tc>
          <w:tcPr>
            <w:tcW w:w="80" w:type="dxa"/>
            <w:vAlign w:val="bottom"/>
          </w:tcPr>
          <w:p>
            <w:pPr>
              <w:spacing w:after="0"/>
              <w:rPr>
                <w:sz w:val="10"/>
                <w:szCs w:val="10"/>
                <w:color w:val="auto"/>
              </w:rPr>
            </w:pPr>
          </w:p>
        </w:tc>
        <w:tc>
          <w:tcPr>
            <w:tcW w:w="720" w:type="dxa"/>
            <w:vAlign w:val="bottom"/>
            <w:gridSpan w:val="2"/>
          </w:tcPr>
          <w:p>
            <w:pPr>
              <w:jc w:val="center"/>
              <w:ind w:right="280"/>
              <w:spacing w:after="0" w:line="122" w:lineRule="exact"/>
              <w:rPr>
                <w:sz w:val="20"/>
                <w:szCs w:val="20"/>
                <w:color w:val="auto"/>
              </w:rPr>
            </w:pPr>
            <w:r>
              <w:rPr>
                <w:rFonts w:ascii="Arial" w:cs="Arial" w:eastAsia="Arial" w:hAnsi="Arial"/>
                <w:sz w:val="11"/>
                <w:szCs w:val="11"/>
                <w:b w:val="1"/>
                <w:bCs w:val="1"/>
                <w:color w:val="auto"/>
                <w:w w:val="91"/>
              </w:rPr>
              <w:t>Months</w:t>
            </w:r>
          </w:p>
        </w:tc>
        <w:tc>
          <w:tcPr>
            <w:tcW w:w="80" w:type="dxa"/>
            <w:vAlign w:val="bottom"/>
          </w:tcPr>
          <w:p>
            <w:pPr>
              <w:spacing w:after="0"/>
              <w:rPr>
                <w:sz w:val="10"/>
                <w:szCs w:val="10"/>
                <w:color w:val="auto"/>
              </w:rPr>
            </w:pPr>
          </w:p>
        </w:tc>
        <w:tc>
          <w:tcPr>
            <w:tcW w:w="580" w:type="dxa"/>
            <w:vAlign w:val="bottom"/>
          </w:tcPr>
          <w:p>
            <w:pPr>
              <w:jc w:val="center"/>
              <w:ind w:right="42"/>
              <w:spacing w:after="0" w:line="122" w:lineRule="exact"/>
              <w:rPr>
                <w:sz w:val="20"/>
                <w:szCs w:val="20"/>
                <w:color w:val="auto"/>
              </w:rPr>
            </w:pPr>
            <w:r>
              <w:rPr>
                <w:rFonts w:ascii="Arial" w:cs="Arial" w:eastAsia="Arial" w:hAnsi="Arial"/>
                <w:sz w:val="11"/>
                <w:szCs w:val="11"/>
                <w:b w:val="1"/>
                <w:bCs w:val="1"/>
                <w:color w:val="auto"/>
                <w:w w:val="81"/>
              </w:rPr>
              <w:t>2019</w:t>
            </w:r>
          </w:p>
        </w:tc>
        <w:tc>
          <w:tcPr>
            <w:tcW w:w="300" w:type="dxa"/>
            <w:vAlign w:val="bottom"/>
            <w:tcBorders>
              <w:right w:val="single" w:sz="8" w:color="auto"/>
            </w:tcBorders>
          </w:tcPr>
          <w:p>
            <w:pPr>
              <w:spacing w:after="0"/>
              <w:rPr>
                <w:sz w:val="10"/>
                <w:szCs w:val="10"/>
                <w:color w:val="auto"/>
              </w:rPr>
            </w:pPr>
          </w:p>
        </w:tc>
        <w:tc>
          <w:tcPr>
            <w:tcW w:w="180" w:type="dxa"/>
            <w:vAlign w:val="bottom"/>
          </w:tcPr>
          <w:p>
            <w:pPr>
              <w:spacing w:after="0"/>
              <w:rPr>
                <w:sz w:val="10"/>
                <w:szCs w:val="10"/>
                <w:color w:val="auto"/>
              </w:rPr>
            </w:pPr>
          </w:p>
        </w:tc>
        <w:tc>
          <w:tcPr>
            <w:tcW w:w="380" w:type="dxa"/>
            <w:vAlign w:val="bottom"/>
          </w:tcPr>
          <w:p>
            <w:pPr>
              <w:jc w:val="center"/>
              <w:spacing w:after="0" w:line="122" w:lineRule="exact"/>
              <w:rPr>
                <w:sz w:val="20"/>
                <w:szCs w:val="20"/>
                <w:color w:val="auto"/>
              </w:rPr>
            </w:pPr>
            <w:r>
              <w:rPr>
                <w:rFonts w:ascii="Arial" w:cs="Arial" w:eastAsia="Arial" w:hAnsi="Arial"/>
                <w:sz w:val="11"/>
                <w:szCs w:val="11"/>
                <w:b w:val="1"/>
                <w:bCs w:val="1"/>
                <w:color w:val="auto"/>
                <w:w w:val="81"/>
              </w:rPr>
              <w:t>2019</w:t>
            </w:r>
          </w:p>
        </w:tc>
        <w:tc>
          <w:tcPr>
            <w:tcW w:w="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60" w:type="dxa"/>
            <w:vAlign w:val="bottom"/>
            <w:gridSpan w:val="2"/>
          </w:tcPr>
          <w:p>
            <w:pPr>
              <w:jc w:val="center"/>
              <w:ind w:right="180"/>
              <w:spacing w:after="0" w:line="122" w:lineRule="exact"/>
              <w:rPr>
                <w:sz w:val="20"/>
                <w:szCs w:val="20"/>
                <w:color w:val="auto"/>
              </w:rPr>
            </w:pPr>
            <w:r>
              <w:rPr>
                <w:rFonts w:ascii="Arial" w:cs="Arial" w:eastAsia="Arial" w:hAnsi="Arial"/>
                <w:sz w:val="11"/>
                <w:szCs w:val="11"/>
                <w:b w:val="1"/>
                <w:bCs w:val="1"/>
                <w:color w:val="auto"/>
                <w:w w:val="91"/>
              </w:rPr>
              <w:t>Months</w:t>
            </w:r>
          </w:p>
        </w:tc>
        <w:tc>
          <w:tcPr>
            <w:tcW w:w="580" w:type="dxa"/>
            <w:vAlign w:val="bottom"/>
            <w:gridSpan w:val="2"/>
          </w:tcPr>
          <w:p>
            <w:pPr>
              <w:jc w:val="center"/>
              <w:ind w:right="100"/>
              <w:spacing w:after="0" w:line="122" w:lineRule="exact"/>
              <w:rPr>
                <w:sz w:val="20"/>
                <w:szCs w:val="20"/>
                <w:color w:val="auto"/>
              </w:rPr>
            </w:pPr>
            <w:r>
              <w:rPr>
                <w:rFonts w:ascii="Arial" w:cs="Arial" w:eastAsia="Arial" w:hAnsi="Arial"/>
                <w:sz w:val="11"/>
                <w:szCs w:val="11"/>
                <w:b w:val="1"/>
                <w:bCs w:val="1"/>
                <w:color w:val="auto"/>
                <w:w w:val="91"/>
              </w:rPr>
              <w:t>Months</w:t>
            </w:r>
          </w:p>
        </w:tc>
      </w:tr>
      <w:tr>
        <w:trPr>
          <w:trHeight w:val="121"/>
        </w:trPr>
        <w:tc>
          <w:tcPr>
            <w:tcW w:w="30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40" w:type="dxa"/>
            <w:vAlign w:val="bottom"/>
            <w:gridSpan w:val="2"/>
          </w:tcPr>
          <w:p>
            <w:pPr>
              <w:jc w:val="center"/>
              <w:ind w:right="160"/>
              <w:spacing w:after="0" w:line="122" w:lineRule="exact"/>
              <w:rPr>
                <w:sz w:val="20"/>
                <w:szCs w:val="20"/>
                <w:color w:val="auto"/>
              </w:rPr>
            </w:pPr>
            <w:r>
              <w:rPr>
                <w:rFonts w:ascii="Arial" w:cs="Arial" w:eastAsia="Arial" w:hAnsi="Arial"/>
                <w:sz w:val="11"/>
                <w:szCs w:val="11"/>
                <w:b w:val="1"/>
                <w:bCs w:val="1"/>
                <w:color w:val="auto"/>
                <w:w w:val="89"/>
              </w:rPr>
              <w:t>Ended</w:t>
            </w:r>
          </w:p>
        </w:tc>
        <w:tc>
          <w:tcPr>
            <w:tcW w:w="60" w:type="dxa"/>
            <w:vAlign w:val="bottom"/>
          </w:tcPr>
          <w:p>
            <w:pPr>
              <w:spacing w:after="0"/>
              <w:rPr>
                <w:sz w:val="10"/>
                <w:szCs w:val="10"/>
                <w:color w:val="auto"/>
              </w:rPr>
            </w:pPr>
          </w:p>
        </w:tc>
        <w:tc>
          <w:tcPr>
            <w:tcW w:w="640" w:type="dxa"/>
            <w:vAlign w:val="bottom"/>
            <w:gridSpan w:val="2"/>
          </w:tcPr>
          <w:p>
            <w:pPr>
              <w:jc w:val="center"/>
              <w:ind w:right="220"/>
              <w:spacing w:after="0" w:line="122" w:lineRule="exact"/>
              <w:rPr>
                <w:sz w:val="20"/>
                <w:szCs w:val="20"/>
                <w:color w:val="auto"/>
              </w:rPr>
            </w:pPr>
            <w:r>
              <w:rPr>
                <w:rFonts w:ascii="Arial" w:cs="Arial" w:eastAsia="Arial" w:hAnsi="Arial"/>
                <w:sz w:val="11"/>
                <w:szCs w:val="11"/>
                <w:b w:val="1"/>
                <w:bCs w:val="1"/>
                <w:color w:val="auto"/>
                <w:w w:val="89"/>
              </w:rPr>
              <w:t>Ended</w:t>
            </w:r>
          </w:p>
        </w:tc>
        <w:tc>
          <w:tcPr>
            <w:tcW w:w="100" w:type="dxa"/>
            <w:vAlign w:val="bottom"/>
          </w:tcPr>
          <w:p>
            <w:pPr>
              <w:spacing w:after="0"/>
              <w:rPr>
                <w:sz w:val="10"/>
                <w:szCs w:val="10"/>
                <w:color w:val="auto"/>
              </w:rPr>
            </w:pPr>
          </w:p>
        </w:tc>
        <w:tc>
          <w:tcPr>
            <w:tcW w:w="720" w:type="dxa"/>
            <w:vAlign w:val="bottom"/>
            <w:gridSpan w:val="2"/>
          </w:tcPr>
          <w:p>
            <w:pPr>
              <w:jc w:val="center"/>
              <w:ind w:right="300"/>
              <w:spacing w:after="0" w:line="122" w:lineRule="exact"/>
              <w:rPr>
                <w:sz w:val="20"/>
                <w:szCs w:val="20"/>
                <w:color w:val="auto"/>
              </w:rPr>
            </w:pPr>
            <w:r>
              <w:rPr>
                <w:rFonts w:ascii="Arial" w:cs="Arial" w:eastAsia="Arial" w:hAnsi="Arial"/>
                <w:sz w:val="11"/>
                <w:szCs w:val="11"/>
                <w:b w:val="1"/>
                <w:bCs w:val="1"/>
                <w:color w:val="auto"/>
                <w:w w:val="89"/>
              </w:rPr>
              <w:t>Ended</w:t>
            </w:r>
          </w:p>
        </w:tc>
        <w:tc>
          <w:tcPr>
            <w:tcW w:w="100" w:type="dxa"/>
            <w:vAlign w:val="bottom"/>
          </w:tcPr>
          <w:p>
            <w:pPr>
              <w:spacing w:after="0"/>
              <w:rPr>
                <w:sz w:val="10"/>
                <w:szCs w:val="10"/>
                <w:color w:val="auto"/>
              </w:rPr>
            </w:pPr>
          </w:p>
        </w:tc>
        <w:tc>
          <w:tcPr>
            <w:tcW w:w="660" w:type="dxa"/>
            <w:vAlign w:val="bottom"/>
            <w:gridSpan w:val="2"/>
          </w:tcPr>
          <w:p>
            <w:pPr>
              <w:jc w:val="center"/>
              <w:ind w:right="240"/>
              <w:spacing w:after="0" w:line="122" w:lineRule="exact"/>
              <w:rPr>
                <w:sz w:val="20"/>
                <w:szCs w:val="20"/>
                <w:color w:val="auto"/>
              </w:rPr>
            </w:pPr>
            <w:r>
              <w:rPr>
                <w:rFonts w:ascii="Arial" w:cs="Arial" w:eastAsia="Arial" w:hAnsi="Arial"/>
                <w:sz w:val="11"/>
                <w:szCs w:val="11"/>
                <w:b w:val="1"/>
                <w:bCs w:val="1"/>
                <w:color w:val="auto"/>
                <w:w w:val="89"/>
              </w:rPr>
              <w:t>Ended</w:t>
            </w:r>
          </w:p>
        </w:tc>
        <w:tc>
          <w:tcPr>
            <w:tcW w:w="80" w:type="dxa"/>
            <w:vAlign w:val="bottom"/>
          </w:tcPr>
          <w:p>
            <w:pPr>
              <w:spacing w:after="0"/>
              <w:rPr>
                <w:sz w:val="10"/>
                <w:szCs w:val="10"/>
                <w:color w:val="auto"/>
              </w:rPr>
            </w:pPr>
          </w:p>
        </w:tc>
        <w:tc>
          <w:tcPr>
            <w:tcW w:w="520" w:type="dxa"/>
            <w:vAlign w:val="bottom"/>
            <w:gridSpan w:val="2"/>
          </w:tcPr>
          <w:p>
            <w:pPr>
              <w:jc w:val="center"/>
              <w:ind w:right="140"/>
              <w:spacing w:after="0" w:line="122" w:lineRule="exact"/>
              <w:rPr>
                <w:sz w:val="20"/>
                <w:szCs w:val="20"/>
                <w:color w:val="auto"/>
              </w:rPr>
            </w:pPr>
            <w:r>
              <w:rPr>
                <w:rFonts w:ascii="Arial" w:cs="Arial" w:eastAsia="Arial" w:hAnsi="Arial"/>
                <w:sz w:val="11"/>
                <w:szCs w:val="11"/>
                <w:b w:val="1"/>
                <w:bCs w:val="1"/>
                <w:color w:val="auto"/>
                <w:w w:val="89"/>
              </w:rPr>
              <w:t>Ended</w:t>
            </w:r>
          </w:p>
        </w:tc>
        <w:tc>
          <w:tcPr>
            <w:tcW w:w="60" w:type="dxa"/>
            <w:vAlign w:val="bottom"/>
          </w:tcPr>
          <w:p>
            <w:pPr>
              <w:spacing w:after="0"/>
              <w:rPr>
                <w:sz w:val="10"/>
                <w:szCs w:val="10"/>
                <w:color w:val="auto"/>
              </w:rPr>
            </w:pPr>
          </w:p>
        </w:tc>
        <w:tc>
          <w:tcPr>
            <w:tcW w:w="660" w:type="dxa"/>
            <w:vAlign w:val="bottom"/>
            <w:gridSpan w:val="2"/>
          </w:tcPr>
          <w:p>
            <w:pPr>
              <w:jc w:val="center"/>
              <w:ind w:right="200"/>
              <w:spacing w:after="0" w:line="122" w:lineRule="exact"/>
              <w:rPr>
                <w:sz w:val="20"/>
                <w:szCs w:val="20"/>
                <w:color w:val="auto"/>
              </w:rPr>
            </w:pPr>
            <w:r>
              <w:rPr>
                <w:rFonts w:ascii="Arial" w:cs="Arial" w:eastAsia="Arial" w:hAnsi="Arial"/>
                <w:sz w:val="11"/>
                <w:szCs w:val="11"/>
                <w:b w:val="1"/>
                <w:bCs w:val="1"/>
                <w:color w:val="auto"/>
                <w:w w:val="89"/>
              </w:rPr>
              <w:t>Ended</w:t>
            </w:r>
          </w:p>
        </w:tc>
        <w:tc>
          <w:tcPr>
            <w:tcW w:w="80" w:type="dxa"/>
            <w:vAlign w:val="bottom"/>
          </w:tcPr>
          <w:p>
            <w:pPr>
              <w:spacing w:after="0"/>
              <w:rPr>
                <w:sz w:val="10"/>
                <w:szCs w:val="10"/>
                <w:color w:val="auto"/>
              </w:rPr>
            </w:pPr>
          </w:p>
        </w:tc>
        <w:tc>
          <w:tcPr>
            <w:tcW w:w="720" w:type="dxa"/>
            <w:vAlign w:val="bottom"/>
            <w:gridSpan w:val="2"/>
          </w:tcPr>
          <w:p>
            <w:pPr>
              <w:jc w:val="center"/>
              <w:ind w:right="300"/>
              <w:spacing w:after="0" w:line="122" w:lineRule="exact"/>
              <w:rPr>
                <w:sz w:val="20"/>
                <w:szCs w:val="20"/>
                <w:color w:val="auto"/>
              </w:rPr>
            </w:pPr>
            <w:r>
              <w:rPr>
                <w:rFonts w:ascii="Arial" w:cs="Arial" w:eastAsia="Arial" w:hAnsi="Arial"/>
                <w:sz w:val="11"/>
                <w:szCs w:val="11"/>
                <w:b w:val="1"/>
                <w:bCs w:val="1"/>
                <w:color w:val="auto"/>
                <w:w w:val="89"/>
              </w:rPr>
              <w:t>Ended</w:t>
            </w:r>
          </w:p>
        </w:tc>
        <w:tc>
          <w:tcPr>
            <w:tcW w:w="80" w:type="dxa"/>
            <w:vAlign w:val="bottom"/>
          </w:tcPr>
          <w:p>
            <w:pPr>
              <w:spacing w:after="0"/>
              <w:rPr>
                <w:sz w:val="10"/>
                <w:szCs w:val="10"/>
                <w:color w:val="auto"/>
              </w:rPr>
            </w:pPr>
          </w:p>
        </w:tc>
        <w:tc>
          <w:tcPr>
            <w:tcW w:w="880" w:type="dxa"/>
            <w:vAlign w:val="bottom"/>
            <w:tcBorders>
              <w:right w:val="single" w:sz="8" w:color="auto"/>
            </w:tcBorders>
            <w:gridSpan w:val="2"/>
          </w:tcPr>
          <w:p>
            <w:pPr>
              <w:jc w:val="center"/>
              <w:ind w:right="400"/>
              <w:spacing w:after="0" w:line="122" w:lineRule="exact"/>
              <w:rPr>
                <w:sz w:val="20"/>
                <w:szCs w:val="20"/>
                <w:color w:val="auto"/>
              </w:rPr>
            </w:pPr>
            <w:r>
              <w:rPr>
                <w:rFonts w:ascii="Arial" w:cs="Arial" w:eastAsia="Arial" w:hAnsi="Arial"/>
                <w:sz w:val="11"/>
                <w:szCs w:val="11"/>
                <w:b w:val="1"/>
                <w:bCs w:val="1"/>
                <w:color w:val="auto"/>
                <w:w w:val="76"/>
              </w:rPr>
              <w:t>to</w:t>
            </w:r>
          </w:p>
        </w:tc>
        <w:tc>
          <w:tcPr>
            <w:tcW w:w="180" w:type="dxa"/>
            <w:vAlign w:val="bottom"/>
          </w:tcPr>
          <w:p>
            <w:pPr>
              <w:spacing w:after="0"/>
              <w:rPr>
                <w:sz w:val="10"/>
                <w:szCs w:val="10"/>
                <w:color w:val="auto"/>
              </w:rPr>
            </w:pPr>
          </w:p>
        </w:tc>
        <w:tc>
          <w:tcPr>
            <w:tcW w:w="500" w:type="dxa"/>
            <w:vAlign w:val="bottom"/>
            <w:gridSpan w:val="2"/>
          </w:tcPr>
          <w:p>
            <w:pPr>
              <w:jc w:val="center"/>
              <w:ind w:right="120"/>
              <w:spacing w:after="0" w:line="122" w:lineRule="exact"/>
              <w:rPr>
                <w:sz w:val="20"/>
                <w:szCs w:val="20"/>
                <w:color w:val="auto"/>
              </w:rPr>
            </w:pPr>
            <w:r>
              <w:rPr>
                <w:rFonts w:ascii="Arial" w:cs="Arial" w:eastAsia="Arial" w:hAnsi="Arial"/>
                <w:sz w:val="11"/>
                <w:szCs w:val="11"/>
                <w:b w:val="1"/>
                <w:bCs w:val="1"/>
                <w:color w:val="auto"/>
                <w:w w:val="95"/>
              </w:rPr>
              <w:t>to</w:t>
            </w:r>
          </w:p>
        </w:tc>
        <w:tc>
          <w:tcPr>
            <w:tcW w:w="60" w:type="dxa"/>
            <w:vAlign w:val="bottom"/>
          </w:tcPr>
          <w:p>
            <w:pPr>
              <w:spacing w:after="0"/>
              <w:rPr>
                <w:sz w:val="10"/>
                <w:szCs w:val="10"/>
                <w:color w:val="auto"/>
              </w:rPr>
            </w:pPr>
          </w:p>
        </w:tc>
        <w:tc>
          <w:tcPr>
            <w:tcW w:w="660" w:type="dxa"/>
            <w:vAlign w:val="bottom"/>
            <w:gridSpan w:val="2"/>
          </w:tcPr>
          <w:p>
            <w:pPr>
              <w:jc w:val="center"/>
              <w:ind w:right="200"/>
              <w:spacing w:after="0" w:line="122" w:lineRule="exact"/>
              <w:rPr>
                <w:sz w:val="20"/>
                <w:szCs w:val="20"/>
                <w:color w:val="auto"/>
              </w:rPr>
            </w:pPr>
            <w:r>
              <w:rPr>
                <w:rFonts w:ascii="Arial" w:cs="Arial" w:eastAsia="Arial" w:hAnsi="Arial"/>
                <w:sz w:val="11"/>
                <w:szCs w:val="11"/>
                <w:b w:val="1"/>
                <w:bCs w:val="1"/>
                <w:color w:val="auto"/>
                <w:w w:val="89"/>
              </w:rPr>
              <w:t>Ended</w:t>
            </w:r>
          </w:p>
        </w:tc>
        <w:tc>
          <w:tcPr>
            <w:tcW w:w="580" w:type="dxa"/>
            <w:vAlign w:val="bottom"/>
            <w:gridSpan w:val="2"/>
          </w:tcPr>
          <w:p>
            <w:pPr>
              <w:jc w:val="center"/>
              <w:ind w:right="120"/>
              <w:spacing w:after="0" w:line="122" w:lineRule="exact"/>
              <w:rPr>
                <w:sz w:val="20"/>
                <w:szCs w:val="20"/>
                <w:color w:val="auto"/>
              </w:rPr>
            </w:pPr>
            <w:r>
              <w:rPr>
                <w:rFonts w:ascii="Arial" w:cs="Arial" w:eastAsia="Arial" w:hAnsi="Arial"/>
                <w:sz w:val="11"/>
                <w:szCs w:val="11"/>
                <w:b w:val="1"/>
                <w:bCs w:val="1"/>
                <w:color w:val="auto"/>
                <w:w w:val="89"/>
              </w:rPr>
              <w:t>Ended</w:t>
            </w:r>
          </w:p>
        </w:tc>
      </w:tr>
      <w:tr>
        <w:trPr>
          <w:trHeight w:val="122"/>
        </w:trPr>
        <w:tc>
          <w:tcPr>
            <w:tcW w:w="30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40" w:type="dxa"/>
            <w:vAlign w:val="bottom"/>
            <w:gridSpan w:val="2"/>
          </w:tcPr>
          <w:p>
            <w:pPr>
              <w:jc w:val="center"/>
              <w:ind w:right="120"/>
              <w:spacing w:after="0" w:line="122" w:lineRule="exact"/>
              <w:rPr>
                <w:sz w:val="20"/>
                <w:szCs w:val="20"/>
                <w:color w:val="auto"/>
              </w:rPr>
            </w:pPr>
            <w:r>
              <w:rPr>
                <w:rFonts w:ascii="Arial" w:cs="Arial" w:eastAsia="Arial" w:hAnsi="Arial"/>
                <w:sz w:val="11"/>
                <w:szCs w:val="11"/>
                <w:b w:val="1"/>
                <w:bCs w:val="1"/>
                <w:color w:val="auto"/>
                <w:w w:val="86"/>
              </w:rPr>
              <w:t>June 30,</w:t>
            </w:r>
          </w:p>
        </w:tc>
        <w:tc>
          <w:tcPr>
            <w:tcW w:w="60" w:type="dxa"/>
            <w:vAlign w:val="bottom"/>
          </w:tcPr>
          <w:p>
            <w:pPr>
              <w:spacing w:after="0"/>
              <w:rPr>
                <w:sz w:val="10"/>
                <w:szCs w:val="10"/>
                <w:color w:val="auto"/>
              </w:rPr>
            </w:pPr>
          </w:p>
        </w:tc>
        <w:tc>
          <w:tcPr>
            <w:tcW w:w="640" w:type="dxa"/>
            <w:vAlign w:val="bottom"/>
            <w:gridSpan w:val="2"/>
          </w:tcPr>
          <w:p>
            <w:pPr>
              <w:spacing w:after="0" w:line="122" w:lineRule="exact"/>
              <w:rPr>
                <w:sz w:val="20"/>
                <w:szCs w:val="20"/>
                <w:color w:val="auto"/>
              </w:rPr>
            </w:pPr>
            <w:r>
              <w:rPr>
                <w:rFonts w:ascii="Arial" w:cs="Arial" w:eastAsia="Arial" w:hAnsi="Arial"/>
                <w:sz w:val="11"/>
                <w:szCs w:val="11"/>
                <w:b w:val="1"/>
                <w:bCs w:val="1"/>
                <w:color w:val="auto"/>
              </w:rPr>
              <w:t>March 31,</w:t>
            </w:r>
          </w:p>
        </w:tc>
        <w:tc>
          <w:tcPr>
            <w:tcW w:w="820" w:type="dxa"/>
            <w:vAlign w:val="bottom"/>
            <w:gridSpan w:val="3"/>
          </w:tcPr>
          <w:p>
            <w:pPr>
              <w:jc w:val="center"/>
              <w:ind w:right="180"/>
              <w:spacing w:after="0" w:line="122" w:lineRule="exact"/>
              <w:rPr>
                <w:sz w:val="20"/>
                <w:szCs w:val="20"/>
                <w:color w:val="auto"/>
              </w:rPr>
            </w:pPr>
            <w:r>
              <w:rPr>
                <w:rFonts w:ascii="Arial" w:cs="Arial" w:eastAsia="Arial" w:hAnsi="Arial"/>
                <w:sz w:val="11"/>
                <w:szCs w:val="11"/>
                <w:b w:val="1"/>
                <w:bCs w:val="1"/>
                <w:color w:val="auto"/>
                <w:w w:val="89"/>
              </w:rPr>
              <w:t>December 31,</w:t>
            </w:r>
          </w:p>
        </w:tc>
        <w:tc>
          <w:tcPr>
            <w:tcW w:w="760" w:type="dxa"/>
            <w:vAlign w:val="bottom"/>
            <w:gridSpan w:val="3"/>
          </w:tcPr>
          <w:p>
            <w:pPr>
              <w:spacing w:after="0" w:line="122" w:lineRule="exact"/>
              <w:rPr>
                <w:sz w:val="20"/>
                <w:szCs w:val="20"/>
                <w:color w:val="auto"/>
              </w:rPr>
            </w:pPr>
            <w:r>
              <w:rPr>
                <w:rFonts w:ascii="Arial" w:cs="Arial" w:eastAsia="Arial" w:hAnsi="Arial"/>
                <w:sz w:val="11"/>
                <w:szCs w:val="11"/>
                <w:b w:val="1"/>
                <w:bCs w:val="1"/>
                <w:color w:val="auto"/>
                <w:w w:val="98"/>
              </w:rPr>
              <w:t>September 30,</w:t>
            </w:r>
          </w:p>
        </w:tc>
        <w:tc>
          <w:tcPr>
            <w:tcW w:w="80" w:type="dxa"/>
            <w:vAlign w:val="bottom"/>
          </w:tcPr>
          <w:p>
            <w:pPr>
              <w:spacing w:after="0"/>
              <w:rPr>
                <w:sz w:val="10"/>
                <w:szCs w:val="10"/>
                <w:color w:val="auto"/>
              </w:rPr>
            </w:pPr>
          </w:p>
        </w:tc>
        <w:tc>
          <w:tcPr>
            <w:tcW w:w="520" w:type="dxa"/>
            <w:vAlign w:val="bottom"/>
            <w:gridSpan w:val="2"/>
          </w:tcPr>
          <w:p>
            <w:pPr>
              <w:jc w:val="center"/>
              <w:ind w:right="120"/>
              <w:spacing w:after="0" w:line="122" w:lineRule="exact"/>
              <w:rPr>
                <w:sz w:val="20"/>
                <w:szCs w:val="20"/>
                <w:color w:val="auto"/>
              </w:rPr>
            </w:pPr>
            <w:r>
              <w:rPr>
                <w:rFonts w:ascii="Arial" w:cs="Arial" w:eastAsia="Arial" w:hAnsi="Arial"/>
                <w:sz w:val="11"/>
                <w:szCs w:val="11"/>
                <w:b w:val="1"/>
                <w:bCs w:val="1"/>
                <w:color w:val="auto"/>
                <w:w w:val="90"/>
              </w:rPr>
              <w:t>June 30,</w:t>
            </w:r>
          </w:p>
        </w:tc>
        <w:tc>
          <w:tcPr>
            <w:tcW w:w="60" w:type="dxa"/>
            <w:vAlign w:val="bottom"/>
          </w:tcPr>
          <w:p>
            <w:pPr>
              <w:spacing w:after="0"/>
              <w:rPr>
                <w:sz w:val="10"/>
                <w:szCs w:val="10"/>
                <w:color w:val="auto"/>
              </w:rPr>
            </w:pPr>
          </w:p>
        </w:tc>
        <w:tc>
          <w:tcPr>
            <w:tcW w:w="660" w:type="dxa"/>
            <w:vAlign w:val="bottom"/>
            <w:gridSpan w:val="2"/>
          </w:tcPr>
          <w:p>
            <w:pPr>
              <w:jc w:val="center"/>
              <w:ind w:right="180"/>
              <w:spacing w:after="0" w:line="122" w:lineRule="exact"/>
              <w:rPr>
                <w:sz w:val="20"/>
                <w:szCs w:val="20"/>
                <w:color w:val="auto"/>
              </w:rPr>
            </w:pPr>
            <w:r>
              <w:rPr>
                <w:rFonts w:ascii="Arial" w:cs="Arial" w:eastAsia="Arial" w:hAnsi="Arial"/>
                <w:sz w:val="11"/>
                <w:szCs w:val="11"/>
                <w:b w:val="1"/>
                <w:bCs w:val="1"/>
                <w:color w:val="auto"/>
                <w:w w:val="94"/>
              </w:rPr>
              <w:t>March 31,</w:t>
            </w:r>
          </w:p>
        </w:tc>
        <w:tc>
          <w:tcPr>
            <w:tcW w:w="800" w:type="dxa"/>
            <w:vAlign w:val="bottom"/>
            <w:gridSpan w:val="3"/>
          </w:tcPr>
          <w:p>
            <w:pPr>
              <w:spacing w:after="0" w:line="122" w:lineRule="exact"/>
              <w:rPr>
                <w:sz w:val="20"/>
                <w:szCs w:val="20"/>
                <w:color w:val="auto"/>
              </w:rPr>
            </w:pPr>
            <w:r>
              <w:rPr>
                <w:rFonts w:ascii="Arial" w:cs="Arial" w:eastAsia="Arial" w:hAnsi="Arial"/>
                <w:sz w:val="11"/>
                <w:szCs w:val="11"/>
                <w:b w:val="1"/>
                <w:bCs w:val="1"/>
                <w:color w:val="auto"/>
              </w:rPr>
              <w:t>December 31,</w:t>
            </w:r>
          </w:p>
        </w:tc>
        <w:tc>
          <w:tcPr>
            <w:tcW w:w="960" w:type="dxa"/>
            <w:vAlign w:val="bottom"/>
            <w:tcBorders>
              <w:right w:val="single" w:sz="8" w:color="auto"/>
            </w:tcBorders>
            <w:gridSpan w:val="3"/>
          </w:tcPr>
          <w:p>
            <w:pPr>
              <w:jc w:val="center"/>
              <w:ind w:right="300"/>
              <w:spacing w:after="0" w:line="122" w:lineRule="exact"/>
              <w:rPr>
                <w:sz w:val="20"/>
                <w:szCs w:val="20"/>
                <w:color w:val="auto"/>
              </w:rPr>
            </w:pPr>
            <w:r>
              <w:rPr>
                <w:rFonts w:ascii="Arial" w:cs="Arial" w:eastAsia="Arial" w:hAnsi="Arial"/>
                <w:sz w:val="11"/>
                <w:szCs w:val="11"/>
                <w:b w:val="1"/>
                <w:bCs w:val="1"/>
                <w:color w:val="auto"/>
                <w:w w:val="87"/>
              </w:rPr>
              <w:t>September 30,</w:t>
            </w:r>
          </w:p>
        </w:tc>
        <w:tc>
          <w:tcPr>
            <w:tcW w:w="180" w:type="dxa"/>
            <w:vAlign w:val="bottom"/>
          </w:tcPr>
          <w:p>
            <w:pPr>
              <w:spacing w:after="0"/>
              <w:rPr>
                <w:sz w:val="10"/>
                <w:szCs w:val="10"/>
                <w:color w:val="auto"/>
              </w:rPr>
            </w:pPr>
          </w:p>
        </w:tc>
        <w:tc>
          <w:tcPr>
            <w:tcW w:w="500" w:type="dxa"/>
            <w:vAlign w:val="bottom"/>
            <w:gridSpan w:val="2"/>
          </w:tcPr>
          <w:p>
            <w:pPr>
              <w:jc w:val="center"/>
              <w:ind w:right="100"/>
              <w:spacing w:after="0" w:line="122" w:lineRule="exact"/>
              <w:rPr>
                <w:sz w:val="20"/>
                <w:szCs w:val="20"/>
                <w:color w:val="auto"/>
              </w:rPr>
            </w:pPr>
            <w:r>
              <w:rPr>
                <w:rFonts w:ascii="Arial" w:cs="Arial" w:eastAsia="Arial" w:hAnsi="Arial"/>
                <w:sz w:val="11"/>
                <w:szCs w:val="11"/>
                <w:b w:val="1"/>
                <w:bCs w:val="1"/>
                <w:color w:val="auto"/>
                <w:w w:val="89"/>
              </w:rPr>
              <w:t>July 15,</w:t>
            </w:r>
          </w:p>
        </w:tc>
        <w:tc>
          <w:tcPr>
            <w:tcW w:w="60" w:type="dxa"/>
            <w:vAlign w:val="bottom"/>
          </w:tcPr>
          <w:p>
            <w:pPr>
              <w:spacing w:after="0"/>
              <w:rPr>
                <w:sz w:val="10"/>
                <w:szCs w:val="10"/>
                <w:color w:val="auto"/>
              </w:rPr>
            </w:pPr>
          </w:p>
        </w:tc>
        <w:tc>
          <w:tcPr>
            <w:tcW w:w="660" w:type="dxa"/>
            <w:vAlign w:val="bottom"/>
            <w:gridSpan w:val="2"/>
          </w:tcPr>
          <w:p>
            <w:pPr>
              <w:jc w:val="center"/>
              <w:ind w:right="200"/>
              <w:spacing w:after="0" w:line="122" w:lineRule="exact"/>
              <w:rPr>
                <w:sz w:val="20"/>
                <w:szCs w:val="20"/>
                <w:color w:val="auto"/>
              </w:rPr>
            </w:pPr>
            <w:r>
              <w:rPr>
                <w:rFonts w:ascii="Arial" w:cs="Arial" w:eastAsia="Arial" w:hAnsi="Arial"/>
                <w:sz w:val="11"/>
                <w:szCs w:val="11"/>
                <w:b w:val="1"/>
                <w:bCs w:val="1"/>
                <w:color w:val="auto"/>
                <w:w w:val="86"/>
              </w:rPr>
              <w:t>June 30,</w:t>
            </w:r>
          </w:p>
        </w:tc>
        <w:tc>
          <w:tcPr>
            <w:tcW w:w="580" w:type="dxa"/>
            <w:vAlign w:val="bottom"/>
            <w:gridSpan w:val="2"/>
          </w:tcPr>
          <w:p>
            <w:pPr>
              <w:jc w:val="center"/>
              <w:ind w:right="80"/>
              <w:spacing w:after="0" w:line="122" w:lineRule="exact"/>
              <w:rPr>
                <w:sz w:val="20"/>
                <w:szCs w:val="20"/>
                <w:color w:val="auto"/>
              </w:rPr>
            </w:pPr>
            <w:r>
              <w:rPr>
                <w:rFonts w:ascii="Arial" w:cs="Arial" w:eastAsia="Arial" w:hAnsi="Arial"/>
                <w:sz w:val="11"/>
                <w:szCs w:val="11"/>
                <w:b w:val="1"/>
                <w:bCs w:val="1"/>
                <w:color w:val="auto"/>
                <w:w w:val="90"/>
              </w:rPr>
              <w:t>March 31,</w:t>
            </w:r>
          </w:p>
        </w:tc>
      </w:tr>
      <w:tr>
        <w:trPr>
          <w:trHeight w:val="135"/>
        </w:trPr>
        <w:tc>
          <w:tcPr>
            <w:tcW w:w="3060" w:type="dxa"/>
            <w:vAlign w:val="bottom"/>
          </w:tcPr>
          <w:p>
            <w:pPr>
              <w:spacing w:after="0"/>
              <w:rPr>
                <w:sz w:val="20"/>
                <w:szCs w:val="20"/>
                <w:color w:val="auto"/>
              </w:rPr>
            </w:pPr>
            <w:r>
              <w:rPr>
                <w:rFonts w:ascii="Arial" w:cs="Arial" w:eastAsia="Arial" w:hAnsi="Arial"/>
                <w:sz w:val="11"/>
                <w:szCs w:val="11"/>
                <w:b w:val="1"/>
                <w:bCs w:val="1"/>
                <w:color w:val="auto"/>
              </w:rPr>
              <w:t>($ in thousands)</w:t>
            </w:r>
          </w:p>
        </w:tc>
        <w:tc>
          <w:tcPr>
            <w:tcW w:w="500" w:type="dxa"/>
            <w:vAlign w:val="bottom"/>
            <w:gridSpan w:val="2"/>
          </w:tcPr>
          <w:p>
            <w:pPr>
              <w:jc w:val="center"/>
              <w:ind w:left="17"/>
              <w:spacing w:after="0"/>
              <w:rPr>
                <w:sz w:val="20"/>
                <w:szCs w:val="20"/>
                <w:color w:val="auto"/>
              </w:rPr>
            </w:pPr>
            <w:r>
              <w:rPr>
                <w:rFonts w:ascii="Arial" w:cs="Arial" w:eastAsia="Arial" w:hAnsi="Arial"/>
                <w:sz w:val="11"/>
                <w:szCs w:val="11"/>
                <w:b w:val="1"/>
                <w:bCs w:val="1"/>
                <w:color w:val="auto"/>
                <w:w w:val="89"/>
              </w:rPr>
              <w:t>2021</w:t>
            </w:r>
          </w:p>
        </w:tc>
        <w:tc>
          <w:tcPr>
            <w:tcW w:w="120" w:type="dxa"/>
            <w:vAlign w:val="bottom"/>
          </w:tcPr>
          <w:p>
            <w:pPr>
              <w:spacing w:after="0"/>
              <w:rPr>
                <w:sz w:val="11"/>
                <w:szCs w:val="11"/>
                <w:color w:val="auto"/>
              </w:rPr>
            </w:pPr>
          </w:p>
        </w:tc>
        <w:tc>
          <w:tcPr>
            <w:tcW w:w="520" w:type="dxa"/>
            <w:vAlign w:val="bottom"/>
            <w:gridSpan w:val="2"/>
          </w:tcPr>
          <w:p>
            <w:pPr>
              <w:ind w:left="180"/>
              <w:spacing w:after="0"/>
              <w:rPr>
                <w:sz w:val="20"/>
                <w:szCs w:val="20"/>
                <w:color w:val="auto"/>
              </w:rPr>
            </w:pPr>
            <w:r>
              <w:rPr>
                <w:rFonts w:ascii="Arial" w:cs="Arial" w:eastAsia="Arial" w:hAnsi="Arial"/>
                <w:sz w:val="11"/>
                <w:szCs w:val="11"/>
                <w:b w:val="1"/>
                <w:bCs w:val="1"/>
                <w:color w:val="auto"/>
              </w:rPr>
              <w:t>2021</w:t>
            </w: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40" w:type="dxa"/>
            <w:vAlign w:val="bottom"/>
          </w:tcPr>
          <w:p>
            <w:pPr>
              <w:jc w:val="center"/>
              <w:ind w:right="40"/>
              <w:spacing w:after="0"/>
              <w:rPr>
                <w:sz w:val="20"/>
                <w:szCs w:val="20"/>
                <w:color w:val="auto"/>
              </w:rPr>
            </w:pPr>
            <w:r>
              <w:rPr>
                <w:rFonts w:ascii="Arial" w:cs="Arial" w:eastAsia="Arial" w:hAnsi="Arial"/>
                <w:sz w:val="11"/>
                <w:szCs w:val="11"/>
                <w:b w:val="1"/>
                <w:bCs w:val="1"/>
                <w:color w:val="auto"/>
                <w:w w:val="81"/>
              </w:rPr>
              <w:t>2020</w:t>
            </w: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jc w:val="center"/>
              <w:ind w:right="41"/>
              <w:spacing w:after="0"/>
              <w:rPr>
                <w:sz w:val="20"/>
                <w:szCs w:val="20"/>
                <w:color w:val="auto"/>
              </w:rPr>
            </w:pPr>
            <w:r>
              <w:rPr>
                <w:rFonts w:ascii="Arial" w:cs="Arial" w:eastAsia="Arial" w:hAnsi="Arial"/>
                <w:sz w:val="11"/>
                <w:szCs w:val="11"/>
                <w:b w:val="1"/>
                <w:bCs w:val="1"/>
                <w:color w:val="auto"/>
                <w:w w:val="89"/>
              </w:rPr>
              <w:t>2020</w:t>
            </w:r>
          </w:p>
        </w:tc>
        <w:tc>
          <w:tcPr>
            <w:tcW w:w="100" w:type="dxa"/>
            <w:vAlign w:val="bottom"/>
          </w:tcPr>
          <w:p>
            <w:pPr>
              <w:spacing w:after="0"/>
              <w:rPr>
                <w:sz w:val="11"/>
                <w:szCs w:val="11"/>
                <w:color w:val="auto"/>
              </w:rPr>
            </w:pPr>
          </w:p>
        </w:tc>
        <w:tc>
          <w:tcPr>
            <w:tcW w:w="480" w:type="dxa"/>
            <w:vAlign w:val="bottom"/>
            <w:gridSpan w:val="2"/>
          </w:tcPr>
          <w:p>
            <w:pPr>
              <w:jc w:val="right"/>
              <w:ind w:right="43"/>
              <w:spacing w:after="0"/>
              <w:rPr>
                <w:sz w:val="20"/>
                <w:szCs w:val="20"/>
                <w:color w:val="auto"/>
              </w:rPr>
            </w:pPr>
            <w:r>
              <w:rPr>
                <w:rFonts w:ascii="Arial" w:cs="Arial" w:eastAsia="Arial" w:hAnsi="Arial"/>
                <w:sz w:val="11"/>
                <w:szCs w:val="11"/>
                <w:b w:val="1"/>
                <w:bCs w:val="1"/>
                <w:color w:val="auto"/>
              </w:rPr>
              <w:t>2020</w:t>
            </w:r>
          </w:p>
        </w:tc>
        <w:tc>
          <w:tcPr>
            <w:tcW w:w="120" w:type="dxa"/>
            <w:vAlign w:val="bottom"/>
          </w:tcPr>
          <w:p>
            <w:pPr>
              <w:spacing w:after="0"/>
              <w:rPr>
                <w:sz w:val="11"/>
                <w:szCs w:val="11"/>
                <w:color w:val="auto"/>
              </w:rPr>
            </w:pPr>
          </w:p>
        </w:tc>
        <w:tc>
          <w:tcPr>
            <w:tcW w:w="540" w:type="dxa"/>
            <w:vAlign w:val="bottom"/>
            <w:gridSpan w:val="2"/>
          </w:tcPr>
          <w:p>
            <w:pPr>
              <w:jc w:val="center"/>
              <w:spacing w:after="0"/>
              <w:rPr>
                <w:sz w:val="20"/>
                <w:szCs w:val="20"/>
                <w:color w:val="auto"/>
              </w:rPr>
            </w:pPr>
            <w:r>
              <w:rPr>
                <w:rFonts w:ascii="Arial" w:cs="Arial" w:eastAsia="Arial" w:hAnsi="Arial"/>
                <w:sz w:val="11"/>
                <w:szCs w:val="11"/>
                <w:b w:val="1"/>
                <w:bCs w:val="1"/>
                <w:color w:val="auto"/>
                <w:w w:val="81"/>
              </w:rPr>
              <w:t>2020</w:t>
            </w:r>
          </w:p>
        </w:tc>
        <w:tc>
          <w:tcPr>
            <w:tcW w:w="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jc w:val="center"/>
              <w:ind w:right="20"/>
              <w:spacing w:after="0"/>
              <w:rPr>
                <w:sz w:val="20"/>
                <w:szCs w:val="20"/>
                <w:color w:val="auto"/>
              </w:rPr>
            </w:pPr>
            <w:r>
              <w:rPr>
                <w:rFonts w:ascii="Arial" w:cs="Arial" w:eastAsia="Arial" w:hAnsi="Arial"/>
                <w:sz w:val="11"/>
                <w:szCs w:val="11"/>
                <w:b w:val="1"/>
                <w:bCs w:val="1"/>
                <w:color w:val="auto"/>
                <w:w w:val="89"/>
              </w:rPr>
              <w:t>2019</w:t>
            </w:r>
          </w:p>
        </w:tc>
        <w:tc>
          <w:tcPr>
            <w:tcW w:w="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jc w:val="center"/>
              <w:ind w:right="22"/>
              <w:spacing w:after="0"/>
              <w:rPr>
                <w:sz w:val="20"/>
                <w:szCs w:val="20"/>
                <w:color w:val="auto"/>
              </w:rPr>
            </w:pPr>
            <w:r>
              <w:rPr>
                <w:rFonts w:ascii="Arial" w:cs="Arial" w:eastAsia="Arial" w:hAnsi="Arial"/>
                <w:sz w:val="11"/>
                <w:szCs w:val="11"/>
                <w:b w:val="1"/>
                <w:bCs w:val="1"/>
                <w:color w:val="auto"/>
                <w:w w:val="89"/>
              </w:rPr>
              <w:t>2019</w:t>
            </w:r>
          </w:p>
        </w:tc>
        <w:tc>
          <w:tcPr>
            <w:tcW w:w="300" w:type="dxa"/>
            <w:vAlign w:val="bottom"/>
            <w:tcBorders>
              <w:right w:val="single" w:sz="8" w:color="auto"/>
            </w:tcBorders>
          </w:tcPr>
          <w:p>
            <w:pPr>
              <w:spacing w:after="0"/>
              <w:rPr>
                <w:sz w:val="11"/>
                <w:szCs w:val="11"/>
                <w:color w:val="auto"/>
              </w:rPr>
            </w:pPr>
          </w:p>
        </w:tc>
        <w:tc>
          <w:tcPr>
            <w:tcW w:w="180" w:type="dxa"/>
            <w:vAlign w:val="bottom"/>
          </w:tcPr>
          <w:p>
            <w:pPr>
              <w:spacing w:after="0"/>
              <w:rPr>
                <w:sz w:val="11"/>
                <w:szCs w:val="11"/>
                <w:color w:val="auto"/>
              </w:rPr>
            </w:pPr>
          </w:p>
        </w:tc>
        <w:tc>
          <w:tcPr>
            <w:tcW w:w="380" w:type="dxa"/>
            <w:vAlign w:val="bottom"/>
          </w:tcPr>
          <w:p>
            <w:pPr>
              <w:jc w:val="center"/>
              <w:spacing w:after="0"/>
              <w:rPr>
                <w:sz w:val="20"/>
                <w:szCs w:val="20"/>
                <w:color w:val="auto"/>
              </w:rPr>
            </w:pPr>
            <w:r>
              <w:rPr>
                <w:rFonts w:ascii="Arial" w:cs="Arial" w:eastAsia="Arial" w:hAnsi="Arial"/>
                <w:sz w:val="11"/>
                <w:szCs w:val="11"/>
                <w:b w:val="1"/>
                <w:bCs w:val="1"/>
                <w:color w:val="auto"/>
                <w:w w:val="81"/>
              </w:rPr>
              <w:t>2019</w:t>
            </w:r>
          </w:p>
        </w:tc>
        <w:tc>
          <w:tcPr>
            <w:tcW w:w="120" w:type="dxa"/>
            <w:vAlign w:val="bottom"/>
          </w:tcPr>
          <w:p>
            <w:pPr>
              <w:spacing w:after="0"/>
              <w:rPr>
                <w:sz w:val="11"/>
                <w:szCs w:val="11"/>
                <w:color w:val="auto"/>
              </w:rPr>
            </w:pPr>
          </w:p>
        </w:tc>
        <w:tc>
          <w:tcPr>
            <w:tcW w:w="540" w:type="dxa"/>
            <w:vAlign w:val="bottom"/>
            <w:gridSpan w:val="2"/>
          </w:tcPr>
          <w:p>
            <w:pPr>
              <w:jc w:val="center"/>
              <w:ind w:left="17"/>
              <w:spacing w:after="0"/>
              <w:rPr>
                <w:sz w:val="20"/>
                <w:szCs w:val="20"/>
                <w:color w:val="auto"/>
              </w:rPr>
            </w:pPr>
            <w:r>
              <w:rPr>
                <w:rFonts w:ascii="Arial" w:cs="Arial" w:eastAsia="Arial" w:hAnsi="Arial"/>
                <w:sz w:val="11"/>
                <w:szCs w:val="11"/>
                <w:b w:val="1"/>
                <w:bCs w:val="1"/>
                <w:color w:val="auto"/>
                <w:w w:val="89"/>
              </w:rPr>
              <w:t>2019</w:t>
            </w:r>
          </w:p>
        </w:tc>
        <w:tc>
          <w:tcPr>
            <w:tcW w:w="180" w:type="dxa"/>
            <w:vAlign w:val="bottom"/>
          </w:tcPr>
          <w:p>
            <w:pPr>
              <w:spacing w:after="0"/>
              <w:rPr>
                <w:sz w:val="11"/>
                <w:szCs w:val="11"/>
                <w:color w:val="auto"/>
              </w:rPr>
            </w:pPr>
          </w:p>
        </w:tc>
        <w:tc>
          <w:tcPr>
            <w:tcW w:w="500" w:type="dxa"/>
            <w:vAlign w:val="bottom"/>
          </w:tcPr>
          <w:p>
            <w:pPr>
              <w:jc w:val="center"/>
              <w:spacing w:after="0"/>
              <w:rPr>
                <w:sz w:val="20"/>
                <w:szCs w:val="20"/>
                <w:color w:val="auto"/>
              </w:rPr>
            </w:pPr>
            <w:r>
              <w:rPr>
                <w:rFonts w:ascii="Arial" w:cs="Arial" w:eastAsia="Arial" w:hAnsi="Arial"/>
                <w:sz w:val="11"/>
                <w:szCs w:val="11"/>
                <w:b w:val="1"/>
                <w:bCs w:val="1"/>
                <w:color w:val="auto"/>
                <w:w w:val="89"/>
              </w:rPr>
              <w:t>2019</w:t>
            </w:r>
          </w:p>
        </w:tc>
        <w:tc>
          <w:tcPr>
            <w:tcW w:w="80" w:type="dxa"/>
            <w:vAlign w:val="bottom"/>
          </w:tcPr>
          <w:p>
            <w:pPr>
              <w:spacing w:after="0"/>
              <w:rPr>
                <w:sz w:val="11"/>
                <w:szCs w:val="11"/>
                <w:color w:val="auto"/>
              </w:rPr>
            </w:pPr>
          </w:p>
        </w:tc>
      </w:tr>
      <w:tr>
        <w:trPr>
          <w:trHeight w:val="142"/>
        </w:trPr>
        <w:tc>
          <w:tcPr>
            <w:tcW w:w="3060" w:type="dxa"/>
            <w:vAlign w:val="bottom"/>
            <w:tcBorders>
              <w:top w:val="single" w:sz="8" w:color="CCEEFF"/>
            </w:tcBorders>
            <w:shd w:val="clear" w:color="auto" w:fill="CCEEFF"/>
          </w:tcPr>
          <w:p>
            <w:pPr>
              <w:spacing w:after="0" w:line="142" w:lineRule="exact"/>
              <w:rPr>
                <w:sz w:val="20"/>
                <w:szCs w:val="20"/>
                <w:color w:val="auto"/>
              </w:rPr>
            </w:pPr>
            <w:r>
              <w:rPr>
                <w:rFonts w:ascii="Arial" w:cs="Arial" w:eastAsia="Arial" w:hAnsi="Arial"/>
                <w:sz w:val="13"/>
                <w:szCs w:val="13"/>
                <w:color w:val="auto"/>
              </w:rPr>
              <w:t>Net cash provided by (used in) operating activities</w:t>
            </w:r>
            <w:r>
              <w:rPr>
                <w:rFonts w:ascii="Arial" w:cs="Arial" w:eastAsia="Arial" w:hAnsi="Arial"/>
                <w:sz w:val="11"/>
                <w:szCs w:val="11"/>
                <w:color w:val="auto"/>
              </w:rPr>
              <w:t>(1)</w:t>
            </w:r>
          </w:p>
        </w:tc>
        <w:tc>
          <w:tcPr>
            <w:tcW w:w="80" w:type="dxa"/>
            <w:vAlign w:val="bottom"/>
            <w:tcBorders>
              <w:top w:val="single" w:sz="8" w:color="CCEEFF"/>
            </w:tcBorders>
            <w:shd w:val="clear" w:color="auto" w:fill="CCEEFF"/>
          </w:tcPr>
          <w:p>
            <w:pPr>
              <w:spacing w:after="0"/>
              <w:rPr>
                <w:sz w:val="12"/>
                <w:szCs w:val="12"/>
                <w:color w:val="auto"/>
              </w:rPr>
            </w:pPr>
          </w:p>
        </w:tc>
        <w:tc>
          <w:tcPr>
            <w:tcW w:w="42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3"/>
                <w:szCs w:val="13"/>
                <w:color w:val="auto"/>
                <w:w w:val="92"/>
              </w:rPr>
              <w:t>$ 8,414</w:t>
            </w:r>
          </w:p>
        </w:tc>
        <w:tc>
          <w:tcPr>
            <w:tcW w:w="120" w:type="dxa"/>
            <w:vAlign w:val="bottom"/>
            <w:tcBorders>
              <w:top w:val="single" w:sz="8" w:color="CCEEFF"/>
            </w:tcBorders>
            <w:shd w:val="clear" w:color="auto" w:fill="CCEEFF"/>
          </w:tcPr>
          <w:p>
            <w:pPr>
              <w:spacing w:after="0"/>
              <w:rPr>
                <w:sz w:val="12"/>
                <w:szCs w:val="12"/>
                <w:color w:val="auto"/>
              </w:rPr>
            </w:pPr>
          </w:p>
        </w:tc>
        <w:tc>
          <w:tcPr>
            <w:tcW w:w="60" w:type="dxa"/>
            <w:vAlign w:val="bottom"/>
            <w:tcBorders>
              <w:top w:val="single" w:sz="8" w:color="CCEEFF"/>
            </w:tcBorders>
            <w:shd w:val="clear" w:color="auto" w:fill="CCEEFF"/>
          </w:tcPr>
          <w:p>
            <w:pPr>
              <w:spacing w:after="0"/>
              <w:rPr>
                <w:sz w:val="12"/>
                <w:szCs w:val="12"/>
                <w:color w:val="auto"/>
              </w:rPr>
            </w:pPr>
          </w:p>
        </w:tc>
        <w:tc>
          <w:tcPr>
            <w:tcW w:w="460" w:type="dxa"/>
            <w:vAlign w:val="bottom"/>
            <w:tcBorders>
              <w:top w:val="single" w:sz="8" w:color="auto"/>
            </w:tcBorders>
            <w:shd w:val="clear" w:color="auto" w:fill="CCEEFF"/>
          </w:tcPr>
          <w:p>
            <w:pPr>
              <w:jc w:val="center"/>
              <w:spacing w:after="0" w:line="142" w:lineRule="exact"/>
              <w:rPr>
                <w:sz w:val="20"/>
                <w:szCs w:val="20"/>
                <w:color w:val="auto"/>
              </w:rPr>
            </w:pPr>
            <w:r>
              <w:rPr>
                <w:rFonts w:ascii="Arial" w:cs="Arial" w:eastAsia="Arial" w:hAnsi="Arial"/>
                <w:sz w:val="13"/>
                <w:szCs w:val="13"/>
                <w:color w:val="auto"/>
                <w:w w:val="90"/>
              </w:rPr>
              <w:t>$ 13,527</w:t>
            </w:r>
          </w:p>
        </w:tc>
        <w:tc>
          <w:tcPr>
            <w:tcW w:w="18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3"/>
                <w:szCs w:val="13"/>
                <w:color w:val="auto"/>
                <w:w w:val="82"/>
              </w:rPr>
              <w:t>$</w:t>
            </w:r>
          </w:p>
        </w:tc>
        <w:tc>
          <w:tcPr>
            <w:tcW w:w="54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3"/>
                <w:szCs w:val="13"/>
                <w:color w:val="auto"/>
              </w:rPr>
              <w:t>8,673</w:t>
            </w:r>
          </w:p>
        </w:tc>
        <w:tc>
          <w:tcPr>
            <w:tcW w:w="18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line="142" w:lineRule="exact"/>
              <w:rPr>
                <w:sz w:val="20"/>
                <w:szCs w:val="20"/>
                <w:color w:val="auto"/>
              </w:rPr>
            </w:pPr>
            <w:r>
              <w:rPr>
                <w:rFonts w:ascii="Arial" w:cs="Arial" w:eastAsia="Arial" w:hAnsi="Arial"/>
                <w:sz w:val="13"/>
                <w:szCs w:val="13"/>
                <w:color w:val="auto"/>
              </w:rPr>
              <w:t>$</w:t>
            </w:r>
          </w:p>
        </w:tc>
        <w:tc>
          <w:tcPr>
            <w:tcW w:w="56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3"/>
                <w:szCs w:val="13"/>
                <w:color w:val="auto"/>
              </w:rPr>
              <w:t>795</w:t>
            </w:r>
          </w:p>
        </w:tc>
        <w:tc>
          <w:tcPr>
            <w:tcW w:w="10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40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3"/>
                <w:szCs w:val="13"/>
                <w:color w:val="auto"/>
                <w:w w:val="87"/>
              </w:rPr>
              <w:t>$ 5,551</w:t>
            </w:r>
          </w:p>
        </w:tc>
        <w:tc>
          <w:tcPr>
            <w:tcW w:w="120" w:type="dxa"/>
            <w:vAlign w:val="bottom"/>
            <w:tcBorders>
              <w:top w:val="single" w:sz="8" w:color="CCEEFF"/>
            </w:tcBorders>
            <w:shd w:val="clear" w:color="auto" w:fill="CCEEFF"/>
          </w:tcPr>
          <w:p>
            <w:pPr>
              <w:spacing w:after="0"/>
              <w:rPr>
                <w:sz w:val="12"/>
                <w:szCs w:val="12"/>
                <w:color w:val="auto"/>
              </w:rPr>
            </w:pPr>
          </w:p>
        </w:tc>
        <w:tc>
          <w:tcPr>
            <w:tcW w:w="60" w:type="dxa"/>
            <w:vAlign w:val="bottom"/>
            <w:tcBorders>
              <w:top w:val="single" w:sz="8" w:color="CCEEFF"/>
            </w:tcBorders>
            <w:shd w:val="clear" w:color="auto" w:fill="CCEEFF"/>
          </w:tcPr>
          <w:p>
            <w:pPr>
              <w:spacing w:after="0"/>
              <w:rPr>
                <w:sz w:val="12"/>
                <w:szCs w:val="12"/>
                <w:color w:val="auto"/>
              </w:rPr>
            </w:pPr>
          </w:p>
        </w:tc>
        <w:tc>
          <w:tcPr>
            <w:tcW w:w="48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3"/>
                <w:szCs w:val="13"/>
                <w:color w:val="auto"/>
                <w:w w:val="97"/>
              </w:rPr>
              <w:t>$  8,198</w:t>
            </w:r>
          </w:p>
        </w:tc>
        <w:tc>
          <w:tcPr>
            <w:tcW w:w="18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line="142" w:lineRule="exact"/>
              <w:rPr>
                <w:sz w:val="20"/>
                <w:szCs w:val="20"/>
                <w:color w:val="auto"/>
              </w:rPr>
            </w:pPr>
            <w:r>
              <w:rPr>
                <w:rFonts w:ascii="Arial" w:cs="Arial" w:eastAsia="Arial" w:hAnsi="Arial"/>
                <w:sz w:val="13"/>
                <w:szCs w:val="13"/>
                <w:color w:val="auto"/>
                <w:w w:val="82"/>
              </w:rPr>
              <w:t>$</w:t>
            </w:r>
          </w:p>
        </w:tc>
        <w:tc>
          <w:tcPr>
            <w:tcW w:w="540" w:type="dxa"/>
            <w:vAlign w:val="bottom"/>
            <w:tcBorders>
              <w:top w:val="single" w:sz="8" w:color="auto"/>
            </w:tcBorders>
            <w:shd w:val="clear" w:color="auto" w:fill="CCEEFF"/>
          </w:tcPr>
          <w:p>
            <w:pPr>
              <w:jc w:val="center"/>
              <w:ind w:left="180"/>
              <w:spacing w:after="0" w:line="142" w:lineRule="exact"/>
              <w:rPr>
                <w:sz w:val="20"/>
                <w:szCs w:val="20"/>
                <w:color w:val="auto"/>
              </w:rPr>
            </w:pPr>
            <w:r>
              <w:rPr>
                <w:rFonts w:ascii="Arial" w:cs="Arial" w:eastAsia="Arial" w:hAnsi="Arial"/>
                <w:sz w:val="13"/>
                <w:szCs w:val="13"/>
                <w:color w:val="auto"/>
                <w:w w:val="92"/>
              </w:rPr>
              <w:t>1,616</w:t>
            </w:r>
          </w:p>
        </w:tc>
        <w:tc>
          <w:tcPr>
            <w:tcW w:w="18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3"/>
                <w:szCs w:val="13"/>
                <w:color w:val="auto"/>
                <w:w w:val="82"/>
              </w:rPr>
              <w:t>$</w:t>
            </w:r>
          </w:p>
        </w:tc>
        <w:tc>
          <w:tcPr>
            <w:tcW w:w="58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3"/>
                <w:szCs w:val="13"/>
                <w:color w:val="auto"/>
              </w:rPr>
              <w:t>(8,749)</w:t>
            </w:r>
          </w:p>
        </w:tc>
        <w:tc>
          <w:tcPr>
            <w:tcW w:w="300" w:type="dxa"/>
            <w:vAlign w:val="bottom"/>
            <w:tcBorders>
              <w:top w:val="single" w:sz="8" w:color="CCEEFF"/>
              <w:right w:val="single" w:sz="8" w:color="auto"/>
            </w:tcBorders>
            <w:shd w:val="clear" w:color="auto" w:fill="CCEEFF"/>
          </w:tcPr>
          <w:p>
            <w:pPr>
              <w:spacing w:after="0"/>
              <w:rPr>
                <w:sz w:val="12"/>
                <w:szCs w:val="12"/>
                <w:color w:val="auto"/>
              </w:rPr>
            </w:pPr>
          </w:p>
        </w:tc>
        <w:tc>
          <w:tcPr>
            <w:tcW w:w="180" w:type="dxa"/>
            <w:vAlign w:val="bottom"/>
            <w:tcBorders>
              <w:top w:val="single" w:sz="8" w:color="CCEEFF"/>
            </w:tcBorders>
            <w:shd w:val="clear" w:color="auto" w:fill="CCEEFF"/>
          </w:tcPr>
          <w:p>
            <w:pPr>
              <w:spacing w:after="0"/>
              <w:rPr>
                <w:sz w:val="12"/>
                <w:szCs w:val="12"/>
                <w:color w:val="auto"/>
              </w:rPr>
            </w:pPr>
          </w:p>
        </w:tc>
        <w:tc>
          <w:tcPr>
            <w:tcW w:w="380" w:type="dxa"/>
            <w:vAlign w:val="bottom"/>
            <w:tcBorders>
              <w:top w:val="single" w:sz="8" w:color="auto"/>
            </w:tcBorders>
            <w:shd w:val="clear" w:color="auto" w:fill="CCEEFF"/>
          </w:tcPr>
          <w:p>
            <w:pPr>
              <w:jc w:val="center"/>
              <w:spacing w:after="0" w:line="142" w:lineRule="exact"/>
              <w:rPr>
                <w:sz w:val="20"/>
                <w:szCs w:val="20"/>
                <w:color w:val="auto"/>
              </w:rPr>
            </w:pPr>
            <w:r>
              <w:rPr>
                <w:rFonts w:ascii="Arial" w:cs="Arial" w:eastAsia="Arial" w:hAnsi="Arial"/>
                <w:sz w:val="13"/>
                <w:szCs w:val="13"/>
                <w:color w:val="auto"/>
                <w:w w:val="90"/>
              </w:rPr>
              <w:t>$2,674</w:t>
            </w:r>
          </w:p>
        </w:tc>
        <w:tc>
          <w:tcPr>
            <w:tcW w:w="120" w:type="dxa"/>
            <w:vAlign w:val="bottom"/>
            <w:tcBorders>
              <w:top w:val="single" w:sz="8" w:color="CCEEFF"/>
            </w:tcBorders>
            <w:shd w:val="clear" w:color="auto" w:fill="CCEEFF"/>
          </w:tcPr>
          <w:p>
            <w:pPr>
              <w:spacing w:after="0"/>
              <w:rPr>
                <w:sz w:val="12"/>
                <w:szCs w:val="12"/>
                <w:color w:val="auto"/>
              </w:rPr>
            </w:pPr>
          </w:p>
        </w:tc>
        <w:tc>
          <w:tcPr>
            <w:tcW w:w="60" w:type="dxa"/>
            <w:vAlign w:val="bottom"/>
            <w:tcBorders>
              <w:top w:val="single" w:sz="8" w:color="CCEEFF"/>
            </w:tcBorders>
            <w:shd w:val="clear" w:color="auto" w:fill="CCEEFF"/>
          </w:tcPr>
          <w:p>
            <w:pPr>
              <w:spacing w:after="0"/>
              <w:rPr>
                <w:sz w:val="12"/>
                <w:szCs w:val="12"/>
                <w:color w:val="auto"/>
              </w:rPr>
            </w:pPr>
          </w:p>
        </w:tc>
        <w:tc>
          <w:tcPr>
            <w:tcW w:w="480" w:type="dxa"/>
            <w:vAlign w:val="bottom"/>
            <w:tcBorders>
              <w:top w:val="single" w:sz="8" w:color="auto"/>
            </w:tcBorders>
            <w:shd w:val="clear" w:color="auto" w:fill="CCEEFF"/>
          </w:tcPr>
          <w:p>
            <w:pPr>
              <w:jc w:val="center"/>
              <w:spacing w:after="0" w:line="142" w:lineRule="exact"/>
              <w:rPr>
                <w:sz w:val="20"/>
                <w:szCs w:val="20"/>
                <w:color w:val="auto"/>
              </w:rPr>
            </w:pPr>
            <w:r>
              <w:rPr>
                <w:rFonts w:ascii="Arial" w:cs="Arial" w:eastAsia="Arial" w:hAnsi="Arial"/>
                <w:sz w:val="13"/>
                <w:szCs w:val="13"/>
                <w:color w:val="auto"/>
                <w:w w:val="94"/>
              </w:rPr>
              <w:t>$ 13,658</w:t>
            </w:r>
          </w:p>
        </w:tc>
        <w:tc>
          <w:tcPr>
            <w:tcW w:w="180" w:type="dxa"/>
            <w:vAlign w:val="bottom"/>
            <w:tcBorders>
              <w:top w:val="single" w:sz="8" w:color="CCEEFF"/>
            </w:tcBorders>
            <w:shd w:val="clear" w:color="auto" w:fill="CCEEFF"/>
          </w:tcPr>
          <w:p>
            <w:pPr>
              <w:spacing w:after="0"/>
              <w:rPr>
                <w:sz w:val="12"/>
                <w:szCs w:val="12"/>
                <w:color w:val="auto"/>
              </w:rPr>
            </w:pPr>
          </w:p>
        </w:tc>
        <w:tc>
          <w:tcPr>
            <w:tcW w:w="50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3"/>
                <w:szCs w:val="13"/>
                <w:color w:val="auto"/>
                <w:w w:val="94"/>
              </w:rPr>
              <w:t>$ 12,395</w:t>
            </w:r>
          </w:p>
        </w:tc>
        <w:tc>
          <w:tcPr>
            <w:tcW w:w="80" w:type="dxa"/>
            <w:vAlign w:val="bottom"/>
            <w:tcBorders>
              <w:top w:val="single" w:sz="8" w:color="CCEEFF"/>
            </w:tcBorders>
            <w:shd w:val="clear" w:color="auto" w:fill="CCEEFF"/>
          </w:tcPr>
          <w:p>
            <w:pPr>
              <w:spacing w:after="0"/>
              <w:rPr>
                <w:sz w:val="12"/>
                <w:szCs w:val="12"/>
                <w:color w:val="auto"/>
              </w:rPr>
            </w:pPr>
          </w:p>
        </w:tc>
      </w:tr>
      <w:tr>
        <w:trPr>
          <w:trHeight w:val="148"/>
        </w:trPr>
        <w:tc>
          <w:tcPr>
            <w:tcW w:w="3060" w:type="dxa"/>
            <w:vAlign w:val="bottom"/>
          </w:tcPr>
          <w:p>
            <w:pPr>
              <w:spacing w:after="0"/>
              <w:rPr>
                <w:sz w:val="20"/>
                <w:szCs w:val="20"/>
                <w:color w:val="auto"/>
              </w:rPr>
            </w:pPr>
            <w:r>
              <w:rPr>
                <w:rFonts w:ascii="Arial" w:cs="Arial" w:eastAsia="Arial" w:hAnsi="Arial"/>
                <w:sz w:val="13"/>
                <w:szCs w:val="13"/>
                <w:color w:val="auto"/>
                <w:w w:val="97"/>
              </w:rPr>
              <w:t>Net cash (used in) provided by investing activities</w:t>
            </w:r>
            <w:r>
              <w:rPr>
                <w:rFonts w:ascii="Arial" w:cs="Arial" w:eastAsia="Arial" w:hAnsi="Arial"/>
                <w:sz w:val="11"/>
                <w:szCs w:val="11"/>
                <w:color w:val="auto"/>
                <w:w w:val="97"/>
              </w:rPr>
              <w:t>(2)(3)</w:t>
            </w:r>
          </w:p>
        </w:tc>
        <w:tc>
          <w:tcPr>
            <w:tcW w:w="620" w:type="dxa"/>
            <w:vAlign w:val="bottom"/>
            <w:gridSpan w:val="3"/>
          </w:tcPr>
          <w:p>
            <w:pPr>
              <w:jc w:val="right"/>
              <w:ind w:right="80"/>
              <w:spacing w:after="0"/>
              <w:rPr>
                <w:sz w:val="20"/>
                <w:szCs w:val="20"/>
                <w:color w:val="auto"/>
              </w:rPr>
            </w:pPr>
            <w:r>
              <w:rPr>
                <w:rFonts w:ascii="Arial" w:cs="Arial" w:eastAsia="Arial" w:hAnsi="Arial"/>
                <w:sz w:val="13"/>
                <w:szCs w:val="13"/>
                <w:color w:val="auto"/>
              </w:rPr>
              <w:t>(1,380)</w:t>
            </w:r>
          </w:p>
        </w:tc>
        <w:tc>
          <w:tcPr>
            <w:tcW w:w="700" w:type="dxa"/>
            <w:vAlign w:val="bottom"/>
            <w:gridSpan w:val="3"/>
          </w:tcPr>
          <w:p>
            <w:pPr>
              <w:ind w:left="180"/>
              <w:spacing w:after="0"/>
              <w:rPr>
                <w:sz w:val="20"/>
                <w:szCs w:val="20"/>
                <w:color w:val="auto"/>
              </w:rPr>
            </w:pPr>
            <w:r>
              <w:rPr>
                <w:rFonts w:ascii="Arial" w:cs="Arial" w:eastAsia="Arial" w:hAnsi="Arial"/>
                <w:sz w:val="13"/>
                <w:szCs w:val="13"/>
                <w:color w:val="auto"/>
              </w:rPr>
              <w:t>(3,842)</w:t>
            </w:r>
          </w:p>
        </w:tc>
        <w:tc>
          <w:tcPr>
            <w:tcW w:w="100" w:type="dxa"/>
            <w:vAlign w:val="bottom"/>
          </w:tcPr>
          <w:p>
            <w:pPr>
              <w:spacing w:after="0"/>
              <w:rPr>
                <w:sz w:val="12"/>
                <w:szCs w:val="12"/>
                <w:color w:val="auto"/>
              </w:rPr>
            </w:pPr>
          </w:p>
        </w:tc>
        <w:tc>
          <w:tcPr>
            <w:tcW w:w="720" w:type="dxa"/>
            <w:vAlign w:val="bottom"/>
            <w:gridSpan w:val="2"/>
          </w:tcPr>
          <w:p>
            <w:pPr>
              <w:jc w:val="right"/>
              <w:ind w:right="140"/>
              <w:spacing w:after="0"/>
              <w:rPr>
                <w:sz w:val="20"/>
                <w:szCs w:val="20"/>
                <w:color w:val="auto"/>
              </w:rPr>
            </w:pPr>
            <w:r>
              <w:rPr>
                <w:rFonts w:ascii="Arial" w:cs="Arial" w:eastAsia="Arial" w:hAnsi="Arial"/>
                <w:sz w:val="13"/>
                <w:szCs w:val="13"/>
                <w:color w:val="auto"/>
              </w:rPr>
              <w:t>(15,866)</w:t>
            </w:r>
          </w:p>
        </w:tc>
        <w:tc>
          <w:tcPr>
            <w:tcW w:w="100" w:type="dxa"/>
            <w:vAlign w:val="bottom"/>
          </w:tcPr>
          <w:p>
            <w:pPr>
              <w:spacing w:after="0"/>
              <w:rPr>
                <w:sz w:val="12"/>
                <w:szCs w:val="12"/>
                <w:color w:val="auto"/>
              </w:rPr>
            </w:pPr>
          </w:p>
        </w:tc>
        <w:tc>
          <w:tcPr>
            <w:tcW w:w="660" w:type="dxa"/>
            <w:vAlign w:val="bottom"/>
            <w:gridSpan w:val="2"/>
          </w:tcPr>
          <w:p>
            <w:pPr>
              <w:jc w:val="right"/>
              <w:ind w:right="60"/>
              <w:spacing w:after="0"/>
              <w:rPr>
                <w:sz w:val="20"/>
                <w:szCs w:val="20"/>
                <w:color w:val="auto"/>
              </w:rPr>
            </w:pPr>
            <w:r>
              <w:rPr>
                <w:rFonts w:ascii="Arial" w:cs="Arial" w:eastAsia="Arial" w:hAnsi="Arial"/>
                <w:sz w:val="13"/>
                <w:szCs w:val="13"/>
                <w:color w:val="auto"/>
              </w:rPr>
              <w:t>(7,101)</w:t>
            </w:r>
          </w:p>
        </w:tc>
        <w:tc>
          <w:tcPr>
            <w:tcW w:w="600" w:type="dxa"/>
            <w:vAlign w:val="bottom"/>
            <w:gridSpan w:val="3"/>
          </w:tcPr>
          <w:p>
            <w:pPr>
              <w:jc w:val="right"/>
              <w:ind w:right="60"/>
              <w:spacing w:after="0"/>
              <w:rPr>
                <w:sz w:val="20"/>
                <w:szCs w:val="20"/>
                <w:color w:val="auto"/>
              </w:rPr>
            </w:pPr>
            <w:r>
              <w:rPr>
                <w:rFonts w:ascii="Arial" w:cs="Arial" w:eastAsia="Arial" w:hAnsi="Arial"/>
                <w:sz w:val="13"/>
                <w:szCs w:val="13"/>
                <w:color w:val="auto"/>
              </w:rPr>
              <w:t>(547)</w:t>
            </w:r>
          </w:p>
        </w:tc>
        <w:tc>
          <w:tcPr>
            <w:tcW w:w="720" w:type="dxa"/>
            <w:vAlign w:val="bottom"/>
            <w:gridSpan w:val="3"/>
          </w:tcPr>
          <w:p>
            <w:pPr>
              <w:jc w:val="right"/>
              <w:ind w:right="140"/>
              <w:spacing w:after="0"/>
              <w:rPr>
                <w:sz w:val="20"/>
                <w:szCs w:val="20"/>
                <w:color w:val="auto"/>
              </w:rPr>
            </w:pPr>
            <w:r>
              <w:rPr>
                <w:rFonts w:ascii="Arial" w:cs="Arial" w:eastAsia="Arial" w:hAnsi="Arial"/>
                <w:sz w:val="13"/>
                <w:szCs w:val="13"/>
                <w:color w:val="auto"/>
              </w:rPr>
              <w:t>(348)</w:t>
            </w:r>
          </w:p>
        </w:tc>
        <w:tc>
          <w:tcPr>
            <w:tcW w:w="80" w:type="dxa"/>
            <w:vAlign w:val="bottom"/>
          </w:tcPr>
          <w:p>
            <w:pPr>
              <w:spacing w:after="0"/>
              <w:rPr>
                <w:sz w:val="12"/>
                <w:szCs w:val="12"/>
                <w:color w:val="auto"/>
              </w:rPr>
            </w:pPr>
          </w:p>
        </w:tc>
        <w:tc>
          <w:tcPr>
            <w:tcW w:w="720" w:type="dxa"/>
            <w:vAlign w:val="bottom"/>
            <w:gridSpan w:val="2"/>
          </w:tcPr>
          <w:p>
            <w:pPr>
              <w:jc w:val="center"/>
              <w:ind w:left="20"/>
              <w:spacing w:after="0"/>
              <w:rPr>
                <w:sz w:val="20"/>
                <w:szCs w:val="20"/>
                <w:color w:val="auto"/>
              </w:rPr>
            </w:pPr>
            <w:r>
              <w:rPr>
                <w:rFonts w:ascii="Arial" w:cs="Arial" w:eastAsia="Arial" w:hAnsi="Arial"/>
                <w:sz w:val="13"/>
                <w:szCs w:val="13"/>
                <w:color w:val="auto"/>
                <w:w w:val="97"/>
              </w:rPr>
              <w:t>(3,974)</w:t>
            </w:r>
          </w:p>
        </w:tc>
        <w:tc>
          <w:tcPr>
            <w:tcW w:w="80" w:type="dxa"/>
            <w:vAlign w:val="bottom"/>
          </w:tcPr>
          <w:p>
            <w:pPr>
              <w:spacing w:after="0"/>
              <w:rPr>
                <w:sz w:val="12"/>
                <w:szCs w:val="12"/>
                <w:color w:val="auto"/>
              </w:rPr>
            </w:pPr>
          </w:p>
        </w:tc>
        <w:tc>
          <w:tcPr>
            <w:tcW w:w="880" w:type="dxa"/>
            <w:vAlign w:val="bottom"/>
            <w:tcBorders>
              <w:right w:val="single" w:sz="8" w:color="auto"/>
            </w:tcBorders>
            <w:gridSpan w:val="2"/>
          </w:tcPr>
          <w:p>
            <w:pPr>
              <w:jc w:val="right"/>
              <w:ind w:right="260"/>
              <w:spacing w:after="0"/>
              <w:rPr>
                <w:sz w:val="20"/>
                <w:szCs w:val="20"/>
                <w:color w:val="auto"/>
              </w:rPr>
            </w:pPr>
            <w:r>
              <w:rPr>
                <w:rFonts w:ascii="Arial" w:cs="Arial" w:eastAsia="Arial" w:hAnsi="Arial"/>
                <w:sz w:val="13"/>
                <w:szCs w:val="13"/>
                <w:color w:val="auto"/>
                <w:w w:val="90"/>
              </w:rPr>
              <w:t>(1,105,394)</w:t>
            </w:r>
          </w:p>
        </w:tc>
        <w:tc>
          <w:tcPr>
            <w:tcW w:w="180" w:type="dxa"/>
            <w:vAlign w:val="bottom"/>
          </w:tcPr>
          <w:p>
            <w:pPr>
              <w:spacing w:after="0"/>
              <w:rPr>
                <w:sz w:val="12"/>
                <w:szCs w:val="12"/>
                <w:color w:val="auto"/>
              </w:rPr>
            </w:pPr>
          </w:p>
        </w:tc>
        <w:tc>
          <w:tcPr>
            <w:tcW w:w="500" w:type="dxa"/>
            <w:vAlign w:val="bottom"/>
            <w:gridSpan w:val="2"/>
          </w:tcPr>
          <w:p>
            <w:pPr>
              <w:jc w:val="right"/>
              <w:ind w:right="60"/>
              <w:spacing w:after="0"/>
              <w:rPr>
                <w:sz w:val="20"/>
                <w:szCs w:val="20"/>
                <w:color w:val="auto"/>
              </w:rPr>
            </w:pPr>
            <w:r>
              <w:rPr>
                <w:rFonts w:ascii="Arial" w:cs="Arial" w:eastAsia="Arial" w:hAnsi="Arial"/>
                <w:sz w:val="13"/>
                <w:szCs w:val="13"/>
                <w:color w:val="auto"/>
              </w:rPr>
              <w:t>(11)</w:t>
            </w:r>
          </w:p>
        </w:tc>
        <w:tc>
          <w:tcPr>
            <w:tcW w:w="720" w:type="dxa"/>
            <w:vAlign w:val="bottom"/>
            <w:gridSpan w:val="3"/>
          </w:tcPr>
          <w:p>
            <w:pPr>
              <w:jc w:val="right"/>
              <w:ind w:right="120"/>
              <w:spacing w:after="0"/>
              <w:rPr>
                <w:sz w:val="20"/>
                <w:szCs w:val="20"/>
                <w:color w:val="auto"/>
              </w:rPr>
            </w:pPr>
            <w:r>
              <w:rPr>
                <w:rFonts w:ascii="Arial" w:cs="Arial" w:eastAsia="Arial" w:hAnsi="Arial"/>
                <w:sz w:val="13"/>
                <w:szCs w:val="13"/>
                <w:color w:val="auto"/>
              </w:rPr>
              <w:t>(539)</w:t>
            </w:r>
          </w:p>
        </w:tc>
        <w:tc>
          <w:tcPr>
            <w:tcW w:w="580" w:type="dxa"/>
            <w:vAlign w:val="bottom"/>
            <w:gridSpan w:val="2"/>
          </w:tcPr>
          <w:p>
            <w:pPr>
              <w:jc w:val="right"/>
              <w:ind w:right="40"/>
              <w:spacing w:after="0"/>
              <w:rPr>
                <w:sz w:val="20"/>
                <w:szCs w:val="20"/>
                <w:color w:val="auto"/>
              </w:rPr>
            </w:pPr>
            <w:r>
              <w:rPr>
                <w:rFonts w:ascii="Arial" w:cs="Arial" w:eastAsia="Arial" w:hAnsi="Arial"/>
                <w:sz w:val="13"/>
                <w:szCs w:val="13"/>
                <w:color w:val="auto"/>
              </w:rPr>
              <w:t>(30,010)</w:t>
            </w:r>
          </w:p>
        </w:tc>
      </w:tr>
      <w:tr>
        <w:trPr>
          <w:trHeight w:val="148"/>
        </w:trPr>
        <w:tc>
          <w:tcPr>
            <w:tcW w:w="3060" w:type="dxa"/>
            <w:vAlign w:val="bottom"/>
            <w:shd w:val="clear" w:color="auto" w:fill="CCEEFF"/>
          </w:tcPr>
          <w:p>
            <w:pPr>
              <w:spacing w:after="0"/>
              <w:rPr>
                <w:sz w:val="20"/>
                <w:szCs w:val="20"/>
                <w:color w:val="auto"/>
              </w:rPr>
            </w:pPr>
            <w:r>
              <w:rPr>
                <w:rFonts w:ascii="Arial" w:cs="Arial" w:eastAsia="Arial" w:hAnsi="Arial"/>
                <w:sz w:val="13"/>
                <w:szCs w:val="13"/>
                <w:color w:val="auto"/>
              </w:rPr>
              <w:t>Net cash (used in) provided by financing activities</w:t>
            </w:r>
          </w:p>
        </w:tc>
        <w:tc>
          <w:tcPr>
            <w:tcW w:w="620" w:type="dxa"/>
            <w:vAlign w:val="bottom"/>
            <w:gridSpan w:val="3"/>
            <w:shd w:val="clear" w:color="auto" w:fill="CCEEFF"/>
          </w:tcPr>
          <w:p>
            <w:pPr>
              <w:jc w:val="right"/>
              <w:ind w:right="80"/>
              <w:spacing w:after="0"/>
              <w:rPr>
                <w:sz w:val="20"/>
                <w:szCs w:val="20"/>
                <w:color w:val="auto"/>
              </w:rPr>
            </w:pPr>
            <w:r>
              <w:rPr>
                <w:rFonts w:ascii="Arial" w:cs="Arial" w:eastAsia="Arial" w:hAnsi="Arial"/>
                <w:sz w:val="13"/>
                <w:szCs w:val="13"/>
                <w:color w:val="auto"/>
              </w:rPr>
              <w:t>(1,766)</w:t>
            </w:r>
          </w:p>
        </w:tc>
        <w:tc>
          <w:tcPr>
            <w:tcW w:w="700" w:type="dxa"/>
            <w:vAlign w:val="bottom"/>
            <w:gridSpan w:val="3"/>
            <w:shd w:val="clear" w:color="auto" w:fill="CCEEFF"/>
          </w:tcPr>
          <w:p>
            <w:pPr>
              <w:ind w:left="180"/>
              <w:spacing w:after="0"/>
              <w:rPr>
                <w:sz w:val="20"/>
                <w:szCs w:val="20"/>
                <w:color w:val="auto"/>
              </w:rPr>
            </w:pPr>
            <w:r>
              <w:rPr>
                <w:rFonts w:ascii="Arial" w:cs="Arial" w:eastAsia="Arial" w:hAnsi="Arial"/>
                <w:sz w:val="13"/>
                <w:szCs w:val="13"/>
                <w:color w:val="auto"/>
              </w:rPr>
              <w:t>(1,296)</w:t>
            </w:r>
          </w:p>
        </w:tc>
        <w:tc>
          <w:tcPr>
            <w:tcW w:w="10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(2,861)</w:t>
            </w:r>
          </w:p>
        </w:tc>
        <w:tc>
          <w:tcPr>
            <w:tcW w:w="10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60"/>
              <w:spacing w:after="0"/>
              <w:rPr>
                <w:sz w:val="20"/>
                <w:szCs w:val="20"/>
                <w:color w:val="auto"/>
              </w:rPr>
            </w:pPr>
            <w:r>
              <w:rPr>
                <w:rFonts w:ascii="Arial" w:cs="Arial" w:eastAsia="Arial" w:hAnsi="Arial"/>
                <w:sz w:val="13"/>
                <w:szCs w:val="13"/>
                <w:color w:val="auto"/>
              </w:rPr>
              <w:t>(3,186)</w:t>
            </w:r>
          </w:p>
        </w:tc>
        <w:tc>
          <w:tcPr>
            <w:tcW w:w="600" w:type="dxa"/>
            <w:vAlign w:val="bottom"/>
            <w:gridSpan w:val="3"/>
            <w:shd w:val="clear" w:color="auto" w:fill="CCEEFF"/>
          </w:tcPr>
          <w:p>
            <w:pPr>
              <w:jc w:val="right"/>
              <w:ind w:right="60"/>
              <w:spacing w:after="0"/>
              <w:rPr>
                <w:sz w:val="20"/>
                <w:szCs w:val="20"/>
                <w:color w:val="auto"/>
              </w:rPr>
            </w:pPr>
            <w:r>
              <w:rPr>
                <w:rFonts w:ascii="Arial" w:cs="Arial" w:eastAsia="Arial" w:hAnsi="Arial"/>
                <w:sz w:val="13"/>
                <w:szCs w:val="13"/>
                <w:color w:val="auto"/>
              </w:rPr>
              <w:t>(1,173)</w:t>
            </w:r>
          </w:p>
        </w:tc>
        <w:tc>
          <w:tcPr>
            <w:tcW w:w="720" w:type="dxa"/>
            <w:vAlign w:val="bottom"/>
            <w:gridSpan w:val="3"/>
            <w:shd w:val="clear" w:color="auto" w:fill="CCEEFF"/>
          </w:tcPr>
          <w:p>
            <w:pPr>
              <w:jc w:val="right"/>
              <w:ind w:right="180"/>
              <w:spacing w:after="0"/>
              <w:rPr>
                <w:sz w:val="20"/>
                <w:szCs w:val="20"/>
                <w:color w:val="auto"/>
              </w:rPr>
            </w:pPr>
            <w:r>
              <w:rPr>
                <w:rFonts w:ascii="Arial" w:cs="Arial" w:eastAsia="Arial" w:hAnsi="Arial"/>
                <w:sz w:val="13"/>
                <w:szCs w:val="13"/>
                <w:color w:val="auto"/>
              </w:rPr>
              <w:t>23,875</w:t>
            </w:r>
          </w:p>
        </w:tc>
        <w:tc>
          <w:tcPr>
            <w:tcW w:w="8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center"/>
              <w:ind w:left="20"/>
              <w:spacing w:after="0"/>
              <w:rPr>
                <w:sz w:val="20"/>
                <w:szCs w:val="20"/>
                <w:color w:val="auto"/>
              </w:rPr>
            </w:pPr>
            <w:r>
              <w:rPr>
                <w:rFonts w:ascii="Arial" w:cs="Arial" w:eastAsia="Arial" w:hAnsi="Arial"/>
                <w:sz w:val="13"/>
                <w:szCs w:val="13"/>
                <w:color w:val="auto"/>
                <w:w w:val="97"/>
              </w:rPr>
              <w:t>(7,757)</w:t>
            </w:r>
          </w:p>
        </w:tc>
        <w:tc>
          <w:tcPr>
            <w:tcW w:w="80" w:type="dxa"/>
            <w:vAlign w:val="bottom"/>
            <w:shd w:val="clear" w:color="auto" w:fill="CCEEFF"/>
          </w:tcPr>
          <w:p>
            <w:pPr>
              <w:spacing w:after="0"/>
              <w:rPr>
                <w:sz w:val="12"/>
                <w:szCs w:val="12"/>
                <w:color w:val="auto"/>
              </w:rPr>
            </w:pPr>
          </w:p>
        </w:tc>
        <w:tc>
          <w:tcPr>
            <w:tcW w:w="880" w:type="dxa"/>
            <w:vAlign w:val="bottom"/>
            <w:tcBorders>
              <w:right w:val="single" w:sz="8" w:color="auto"/>
            </w:tcBorders>
            <w:gridSpan w:val="2"/>
            <w:shd w:val="clear" w:color="auto" w:fill="CCEEFF"/>
          </w:tcPr>
          <w:p>
            <w:pPr>
              <w:jc w:val="right"/>
              <w:ind w:right="300"/>
              <w:spacing w:after="0"/>
              <w:rPr>
                <w:sz w:val="20"/>
                <w:szCs w:val="20"/>
                <w:color w:val="auto"/>
              </w:rPr>
            </w:pPr>
            <w:r>
              <w:rPr>
                <w:rFonts w:ascii="Arial" w:cs="Arial" w:eastAsia="Arial" w:hAnsi="Arial"/>
                <w:sz w:val="13"/>
                <w:szCs w:val="13"/>
                <w:color w:val="auto"/>
                <w:w w:val="96"/>
              </w:rPr>
              <w:t>1,132,876</w:t>
            </w:r>
          </w:p>
        </w:tc>
        <w:tc>
          <w:tcPr>
            <w:tcW w:w="180" w:type="dxa"/>
            <w:vAlign w:val="bottom"/>
            <w:shd w:val="clear" w:color="auto" w:fill="CCEEFF"/>
          </w:tcPr>
          <w:p>
            <w:pPr>
              <w:spacing w:after="0"/>
              <w:rPr>
                <w:sz w:val="12"/>
                <w:szCs w:val="12"/>
                <w:color w:val="auto"/>
              </w:rPr>
            </w:pPr>
          </w:p>
        </w:tc>
        <w:tc>
          <w:tcPr>
            <w:tcW w:w="50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720" w:type="dxa"/>
            <w:vAlign w:val="bottom"/>
            <w:gridSpan w:val="3"/>
            <w:shd w:val="clear" w:color="auto" w:fill="CCEEFF"/>
          </w:tcPr>
          <w:p>
            <w:pPr>
              <w:jc w:val="right"/>
              <w:ind w:right="120"/>
              <w:spacing w:after="0"/>
              <w:rPr>
                <w:sz w:val="20"/>
                <w:szCs w:val="20"/>
                <w:color w:val="auto"/>
              </w:rPr>
            </w:pPr>
            <w:r>
              <w:rPr>
                <w:rFonts w:ascii="Arial" w:cs="Arial" w:eastAsia="Arial" w:hAnsi="Arial"/>
                <w:sz w:val="13"/>
                <w:szCs w:val="13"/>
                <w:color w:val="auto"/>
              </w:rPr>
              <w:t>(13,279)</w:t>
            </w:r>
          </w:p>
        </w:tc>
        <w:tc>
          <w:tcPr>
            <w:tcW w:w="58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12,811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85725</wp:posOffset>
            </wp:positionV>
            <wp:extent cx="771525" cy="889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71525" cy="8890"/>
                    </a:xfrm>
                    <a:prstGeom prst="rect">
                      <a:avLst/>
                    </a:prstGeom>
                    <a:noFill/>
                  </pic:spPr>
                </pic:pic>
              </a:graphicData>
            </a:graphic>
          </wp:anchor>
        </w:drawing>
      </w:r>
    </w:p>
    <w:p>
      <w:pPr>
        <w:spacing w:after="0" w:line="155" w:lineRule="exact"/>
        <w:rPr>
          <w:sz w:val="20"/>
          <w:szCs w:val="20"/>
          <w:color w:val="auto"/>
        </w:rPr>
      </w:pPr>
    </w:p>
    <w:p>
      <w:pPr>
        <w:ind w:left="540" w:hanging="424"/>
        <w:spacing w:after="0"/>
        <w:tabs>
          <w:tab w:leader="none" w:pos="540" w:val="left"/>
        </w:tabs>
        <w:numPr>
          <w:ilvl w:val="0"/>
          <w:numId w:val="86"/>
        </w:numPr>
        <w:rPr>
          <w:rFonts w:ascii="Arial" w:cs="Arial" w:eastAsia="Arial" w:hAnsi="Arial"/>
          <w:sz w:val="18"/>
          <w:szCs w:val="18"/>
          <w:color w:val="auto"/>
        </w:rPr>
      </w:pPr>
      <w:r>
        <w:rPr>
          <w:rFonts w:ascii="Arial" w:cs="Arial" w:eastAsia="Arial" w:hAnsi="Arial"/>
          <w:sz w:val="18"/>
          <w:szCs w:val="18"/>
          <w:color w:val="auto"/>
        </w:rPr>
        <w:t>Net cash provided by (used in) operating activities includes cash payments for interest as follows:</w:t>
      </w:r>
    </w:p>
    <w:p>
      <w:pPr>
        <w:spacing w:after="0" w:line="253" w:lineRule="exact"/>
        <w:rPr>
          <w:sz w:val="20"/>
          <w:szCs w:val="20"/>
          <w:color w:val="auto"/>
        </w:rPr>
      </w:pPr>
    </w:p>
    <w:tbl>
      <w:tblPr>
        <w:tblLayout w:type="fixed"/>
        <w:tblInd w:w="120" w:type="dxa"/>
        <w:tblCellMar>
          <w:top w:w="0" w:type="dxa"/>
          <w:left w:w="0" w:type="dxa"/>
          <w:bottom w:w="0" w:type="dxa"/>
          <w:right w:w="0" w:type="dxa"/>
        </w:tblCellMar>
      </w:tblPr>
      <w:tr>
        <w:trPr>
          <w:trHeight w:val="135"/>
        </w:trPr>
        <w:tc>
          <w:tcPr>
            <w:tcW w:w="2920" w:type="dxa"/>
            <w:vAlign w:val="bottom"/>
          </w:tcPr>
          <w:p>
            <w:pPr>
              <w:spacing w:after="0"/>
              <w:rPr>
                <w:sz w:val="11"/>
                <w:szCs w:val="11"/>
                <w:color w:val="auto"/>
              </w:rPr>
            </w:pPr>
          </w:p>
        </w:tc>
        <w:tc>
          <w:tcPr>
            <w:tcW w:w="380" w:type="dxa"/>
            <w:vAlign w:val="bottom"/>
            <w:tcBorders>
              <w:bottom w:val="single" w:sz="8" w:color="auto"/>
            </w:tcBorders>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480" w:type="dxa"/>
            <w:vAlign w:val="bottom"/>
            <w:tcBorders>
              <w:bottom w:val="single" w:sz="8" w:color="auto"/>
            </w:tcBorders>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40" w:type="dxa"/>
            <w:vAlign w:val="bottom"/>
            <w:tcBorders>
              <w:bottom w:val="single" w:sz="8" w:color="auto"/>
            </w:tcBorders>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1360" w:type="dxa"/>
            <w:vAlign w:val="bottom"/>
            <w:tcBorders>
              <w:bottom w:val="single" w:sz="8" w:color="auto"/>
            </w:tcBorders>
            <w:gridSpan w:val="4"/>
          </w:tcPr>
          <w:p>
            <w:pPr>
              <w:ind w:left="440"/>
              <w:spacing w:after="0"/>
              <w:rPr>
                <w:sz w:val="20"/>
                <w:szCs w:val="20"/>
                <w:color w:val="auto"/>
              </w:rPr>
            </w:pPr>
            <w:r>
              <w:rPr>
                <w:rFonts w:ascii="Arial" w:cs="Arial" w:eastAsia="Arial" w:hAnsi="Arial"/>
                <w:sz w:val="11"/>
                <w:szCs w:val="11"/>
                <w:b w:val="1"/>
                <w:bCs w:val="1"/>
                <w:color w:val="auto"/>
              </w:rPr>
              <w:t>Successor</w:t>
            </w:r>
          </w:p>
        </w:tc>
        <w:tc>
          <w:tcPr>
            <w:tcW w:w="460" w:type="dxa"/>
            <w:vAlign w:val="bottom"/>
            <w:tcBorders>
              <w:bottom w:val="single" w:sz="8" w:color="auto"/>
            </w:tcBorders>
          </w:tcPr>
          <w:p>
            <w:pPr>
              <w:spacing w:after="0"/>
              <w:rPr>
                <w:sz w:val="11"/>
                <w:szCs w:val="11"/>
                <w:color w:val="auto"/>
              </w:rPr>
            </w:pPr>
          </w:p>
        </w:tc>
        <w:tc>
          <w:tcPr>
            <w:tcW w:w="22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540" w:type="dxa"/>
            <w:vAlign w:val="bottom"/>
            <w:tcBorders>
              <w:bottom w:val="single" w:sz="8" w:color="auto"/>
            </w:tcBorders>
          </w:tcPr>
          <w:p>
            <w:pPr>
              <w:spacing w:after="0"/>
              <w:rPr>
                <w:sz w:val="11"/>
                <w:szCs w:val="11"/>
                <w:color w:val="auto"/>
              </w:rPr>
            </w:pPr>
          </w:p>
        </w:tc>
        <w:tc>
          <w:tcPr>
            <w:tcW w:w="22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60" w:type="dxa"/>
            <w:vAlign w:val="bottom"/>
            <w:tcBorders>
              <w:bottom w:val="single" w:sz="8" w:color="auto"/>
            </w:tcBorders>
          </w:tcPr>
          <w:p>
            <w:pPr>
              <w:spacing w:after="0"/>
              <w:rPr>
                <w:sz w:val="11"/>
                <w:szCs w:val="11"/>
                <w:color w:val="auto"/>
              </w:rPr>
            </w:pPr>
          </w:p>
        </w:tc>
        <w:tc>
          <w:tcPr>
            <w:tcW w:w="300" w:type="dxa"/>
            <w:vAlign w:val="bottom"/>
            <w:tcBorders>
              <w:right w:val="single" w:sz="8" w:color="auto"/>
            </w:tcBorders>
          </w:tcPr>
          <w:p>
            <w:pPr>
              <w:spacing w:after="0"/>
              <w:rPr>
                <w:sz w:val="11"/>
                <w:szCs w:val="11"/>
                <w:color w:val="auto"/>
              </w:rPr>
            </w:pPr>
          </w:p>
        </w:tc>
        <w:tc>
          <w:tcPr>
            <w:tcW w:w="360" w:type="dxa"/>
            <w:vAlign w:val="bottom"/>
          </w:tcPr>
          <w:p>
            <w:pPr>
              <w:spacing w:after="0"/>
              <w:rPr>
                <w:sz w:val="11"/>
                <w:szCs w:val="11"/>
                <w:color w:val="auto"/>
              </w:rPr>
            </w:pPr>
          </w:p>
        </w:tc>
        <w:tc>
          <w:tcPr>
            <w:tcW w:w="360" w:type="dxa"/>
            <w:vAlign w:val="bottom"/>
            <w:tcBorders>
              <w:bottom w:val="single" w:sz="8" w:color="auto"/>
            </w:tcBorders>
          </w:tcPr>
          <w:p>
            <w:pPr>
              <w:spacing w:after="0"/>
              <w:rPr>
                <w:sz w:val="11"/>
                <w:szCs w:val="11"/>
                <w:color w:val="auto"/>
              </w:rPr>
            </w:pPr>
          </w:p>
        </w:tc>
        <w:tc>
          <w:tcPr>
            <w:tcW w:w="820" w:type="dxa"/>
            <w:vAlign w:val="bottom"/>
            <w:tcBorders>
              <w:bottom w:val="single" w:sz="8" w:color="auto"/>
            </w:tcBorders>
            <w:gridSpan w:val="3"/>
          </w:tcPr>
          <w:p>
            <w:pPr>
              <w:ind w:left="180"/>
              <w:spacing w:after="0"/>
              <w:rPr>
                <w:sz w:val="20"/>
                <w:szCs w:val="20"/>
                <w:color w:val="auto"/>
              </w:rPr>
            </w:pPr>
            <w:r>
              <w:rPr>
                <w:rFonts w:ascii="Arial" w:cs="Arial" w:eastAsia="Arial" w:hAnsi="Arial"/>
                <w:sz w:val="11"/>
                <w:szCs w:val="11"/>
                <w:b w:val="1"/>
                <w:bCs w:val="1"/>
                <w:color w:val="auto"/>
                <w:w w:val="93"/>
              </w:rPr>
              <w:t>Predecessor</w:t>
            </w:r>
          </w:p>
        </w:tc>
        <w:tc>
          <w:tcPr>
            <w:tcW w:w="60" w:type="dxa"/>
            <w:vAlign w:val="bottom"/>
            <w:tcBorders>
              <w:bottom w:val="single" w:sz="8" w:color="auto"/>
            </w:tcBorders>
          </w:tcPr>
          <w:p>
            <w:pPr>
              <w:spacing w:after="0"/>
              <w:rPr>
                <w:sz w:val="11"/>
                <w:szCs w:val="11"/>
                <w:color w:val="auto"/>
              </w:rPr>
            </w:pPr>
          </w:p>
        </w:tc>
        <w:tc>
          <w:tcPr>
            <w:tcW w:w="420" w:type="dxa"/>
            <w:vAlign w:val="bottom"/>
            <w:tcBorders>
              <w:bottom w:val="single" w:sz="8" w:color="auto"/>
            </w:tcBorders>
          </w:tcPr>
          <w:p>
            <w:pPr>
              <w:spacing w:after="0"/>
              <w:rPr>
                <w:sz w:val="11"/>
                <w:szCs w:val="11"/>
                <w:color w:val="auto"/>
              </w:rPr>
            </w:pPr>
          </w:p>
        </w:tc>
        <w:tc>
          <w:tcPr>
            <w:tcW w:w="40" w:type="dxa"/>
            <w:vAlign w:val="bottom"/>
          </w:tcPr>
          <w:p>
            <w:pPr>
              <w:spacing w:after="0"/>
              <w:rPr>
                <w:sz w:val="11"/>
                <w:szCs w:val="11"/>
                <w:color w:val="auto"/>
              </w:rPr>
            </w:pPr>
          </w:p>
        </w:tc>
      </w:tr>
      <w:tr>
        <w:trPr>
          <w:trHeight w:val="101"/>
        </w:trPr>
        <w:tc>
          <w:tcPr>
            <w:tcW w:w="2920" w:type="dxa"/>
            <w:vAlign w:val="bottom"/>
          </w:tcPr>
          <w:p>
            <w:pPr>
              <w:spacing w:after="0"/>
              <w:rPr>
                <w:sz w:val="8"/>
                <w:szCs w:val="8"/>
                <w:color w:val="auto"/>
              </w:rPr>
            </w:pPr>
          </w:p>
        </w:tc>
        <w:tc>
          <w:tcPr>
            <w:tcW w:w="380" w:type="dxa"/>
            <w:vAlign w:val="bottom"/>
          </w:tcPr>
          <w:p>
            <w:pPr>
              <w:spacing w:after="0"/>
              <w:rPr>
                <w:sz w:val="8"/>
                <w:szCs w:val="8"/>
                <w:color w:val="auto"/>
              </w:rPr>
            </w:pPr>
          </w:p>
        </w:tc>
        <w:tc>
          <w:tcPr>
            <w:tcW w:w="200" w:type="dxa"/>
            <w:vAlign w:val="bottom"/>
          </w:tcPr>
          <w:p>
            <w:pPr>
              <w:spacing w:after="0"/>
              <w:rPr>
                <w:sz w:val="8"/>
                <w:szCs w:val="8"/>
                <w:color w:val="auto"/>
              </w:rPr>
            </w:pPr>
          </w:p>
        </w:tc>
        <w:tc>
          <w:tcPr>
            <w:tcW w:w="480" w:type="dxa"/>
            <w:vAlign w:val="bottom"/>
          </w:tcPr>
          <w:p>
            <w:pPr>
              <w:spacing w:after="0"/>
              <w:rPr>
                <w:sz w:val="8"/>
                <w:szCs w:val="8"/>
                <w:color w:val="auto"/>
              </w:rPr>
            </w:pPr>
          </w:p>
        </w:tc>
        <w:tc>
          <w:tcPr>
            <w:tcW w:w="2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40" w:type="dxa"/>
            <w:vAlign w:val="bottom"/>
          </w:tcPr>
          <w:p>
            <w:pPr>
              <w:spacing w:after="0"/>
              <w:rPr>
                <w:sz w:val="8"/>
                <w:szCs w:val="8"/>
                <w:color w:val="auto"/>
              </w:rPr>
            </w:pPr>
          </w:p>
        </w:tc>
        <w:tc>
          <w:tcPr>
            <w:tcW w:w="2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200" w:type="dxa"/>
            <w:vAlign w:val="bottom"/>
          </w:tcPr>
          <w:p>
            <w:pPr>
              <w:spacing w:after="0"/>
              <w:rPr>
                <w:sz w:val="8"/>
                <w:szCs w:val="8"/>
                <w:color w:val="auto"/>
              </w:rPr>
            </w:pPr>
          </w:p>
        </w:tc>
        <w:tc>
          <w:tcPr>
            <w:tcW w:w="400" w:type="dxa"/>
            <w:vAlign w:val="bottom"/>
          </w:tcPr>
          <w:p>
            <w:pPr>
              <w:spacing w:after="0"/>
              <w:rPr>
                <w:sz w:val="8"/>
                <w:szCs w:val="8"/>
                <w:color w:val="auto"/>
              </w:rPr>
            </w:pPr>
          </w:p>
        </w:tc>
        <w:tc>
          <w:tcPr>
            <w:tcW w:w="200" w:type="dxa"/>
            <w:vAlign w:val="bottom"/>
          </w:tcPr>
          <w:p>
            <w:pPr>
              <w:spacing w:after="0"/>
              <w:rPr>
                <w:sz w:val="8"/>
                <w:szCs w:val="8"/>
                <w:color w:val="auto"/>
              </w:rPr>
            </w:pPr>
          </w:p>
        </w:tc>
        <w:tc>
          <w:tcPr>
            <w:tcW w:w="460" w:type="dxa"/>
            <w:vAlign w:val="bottom"/>
          </w:tcPr>
          <w:p>
            <w:pPr>
              <w:spacing w:after="0"/>
              <w:rPr>
                <w:sz w:val="8"/>
                <w:szCs w:val="8"/>
                <w:color w:val="auto"/>
              </w:rPr>
            </w:pPr>
          </w:p>
        </w:tc>
        <w:tc>
          <w:tcPr>
            <w:tcW w:w="220" w:type="dxa"/>
            <w:vAlign w:val="bottom"/>
          </w:tcPr>
          <w:p>
            <w:pPr>
              <w:spacing w:after="0"/>
              <w:rPr>
                <w:sz w:val="8"/>
                <w:szCs w:val="8"/>
                <w:color w:val="auto"/>
              </w:rPr>
            </w:pPr>
          </w:p>
        </w:tc>
        <w:tc>
          <w:tcPr>
            <w:tcW w:w="80" w:type="dxa"/>
            <w:vAlign w:val="bottom"/>
          </w:tcPr>
          <w:p>
            <w:pPr>
              <w:spacing w:after="0"/>
              <w:rPr>
                <w:sz w:val="8"/>
                <w:szCs w:val="8"/>
                <w:color w:val="auto"/>
              </w:rPr>
            </w:pPr>
          </w:p>
        </w:tc>
        <w:tc>
          <w:tcPr>
            <w:tcW w:w="54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jc w:val="center"/>
              <w:ind w:right="64"/>
              <w:spacing w:after="0" w:line="102" w:lineRule="exact"/>
              <w:rPr>
                <w:sz w:val="20"/>
                <w:szCs w:val="20"/>
                <w:color w:val="auto"/>
              </w:rPr>
            </w:pPr>
            <w:r>
              <w:rPr>
                <w:rFonts w:ascii="Arial" w:cs="Arial" w:eastAsia="Arial" w:hAnsi="Arial"/>
                <w:sz w:val="11"/>
                <w:szCs w:val="11"/>
                <w:b w:val="1"/>
                <w:bCs w:val="1"/>
                <w:color w:val="auto"/>
                <w:w w:val="93"/>
              </w:rPr>
              <w:t>Period</w:t>
            </w:r>
          </w:p>
        </w:tc>
        <w:tc>
          <w:tcPr>
            <w:tcW w:w="300" w:type="dxa"/>
            <w:vAlign w:val="bottom"/>
            <w:tcBorders>
              <w:right w:val="single" w:sz="8" w:color="auto"/>
            </w:tcBorders>
          </w:tcPr>
          <w:p>
            <w:pPr>
              <w:spacing w:after="0"/>
              <w:rPr>
                <w:sz w:val="8"/>
                <w:szCs w:val="8"/>
                <w:color w:val="auto"/>
              </w:rPr>
            </w:pPr>
          </w:p>
        </w:tc>
        <w:tc>
          <w:tcPr>
            <w:tcW w:w="360" w:type="dxa"/>
            <w:vAlign w:val="bottom"/>
          </w:tcPr>
          <w:p>
            <w:pPr>
              <w:spacing w:after="0"/>
              <w:rPr>
                <w:sz w:val="8"/>
                <w:szCs w:val="8"/>
                <w:color w:val="auto"/>
              </w:rPr>
            </w:pPr>
          </w:p>
        </w:tc>
        <w:tc>
          <w:tcPr>
            <w:tcW w:w="360" w:type="dxa"/>
            <w:vAlign w:val="bottom"/>
          </w:tcPr>
          <w:p>
            <w:pPr>
              <w:jc w:val="center"/>
              <w:spacing w:after="0" w:line="102" w:lineRule="exact"/>
              <w:rPr>
                <w:sz w:val="20"/>
                <w:szCs w:val="20"/>
                <w:color w:val="auto"/>
              </w:rPr>
            </w:pPr>
            <w:r>
              <w:rPr>
                <w:rFonts w:ascii="Arial" w:cs="Arial" w:eastAsia="Arial" w:hAnsi="Arial"/>
                <w:sz w:val="11"/>
                <w:szCs w:val="11"/>
                <w:b w:val="1"/>
                <w:bCs w:val="1"/>
                <w:color w:val="auto"/>
                <w:w w:val="93"/>
              </w:rPr>
              <w:t>Period</w:t>
            </w:r>
          </w:p>
        </w:tc>
        <w:tc>
          <w:tcPr>
            <w:tcW w:w="220" w:type="dxa"/>
            <w:vAlign w:val="bottom"/>
          </w:tcPr>
          <w:p>
            <w:pPr>
              <w:spacing w:after="0"/>
              <w:rPr>
                <w:sz w:val="8"/>
                <w:szCs w:val="8"/>
                <w:color w:val="auto"/>
              </w:rPr>
            </w:pPr>
          </w:p>
        </w:tc>
        <w:tc>
          <w:tcPr>
            <w:tcW w:w="380" w:type="dxa"/>
            <w:vAlign w:val="bottom"/>
          </w:tcPr>
          <w:p>
            <w:pPr>
              <w:spacing w:after="0"/>
              <w:rPr>
                <w:sz w:val="8"/>
                <w:szCs w:val="8"/>
                <w:color w:val="auto"/>
              </w:rPr>
            </w:pPr>
          </w:p>
        </w:tc>
        <w:tc>
          <w:tcPr>
            <w:tcW w:w="220" w:type="dxa"/>
            <w:vAlign w:val="bottom"/>
          </w:tcPr>
          <w:p>
            <w:pPr>
              <w:spacing w:after="0"/>
              <w:rPr>
                <w:sz w:val="8"/>
                <w:szCs w:val="8"/>
                <w:color w:val="auto"/>
              </w:rPr>
            </w:pPr>
          </w:p>
        </w:tc>
        <w:tc>
          <w:tcPr>
            <w:tcW w:w="60" w:type="dxa"/>
            <w:vAlign w:val="bottom"/>
          </w:tcPr>
          <w:p>
            <w:pPr>
              <w:spacing w:after="0"/>
              <w:rPr>
                <w:sz w:val="8"/>
                <w:szCs w:val="8"/>
                <w:color w:val="auto"/>
              </w:rPr>
            </w:pPr>
          </w:p>
        </w:tc>
        <w:tc>
          <w:tcPr>
            <w:tcW w:w="420" w:type="dxa"/>
            <w:vAlign w:val="bottom"/>
          </w:tcPr>
          <w:p>
            <w:pPr>
              <w:spacing w:after="0"/>
              <w:rPr>
                <w:sz w:val="8"/>
                <w:szCs w:val="8"/>
                <w:color w:val="auto"/>
              </w:rPr>
            </w:pPr>
          </w:p>
        </w:tc>
        <w:tc>
          <w:tcPr>
            <w:tcW w:w="40" w:type="dxa"/>
            <w:vAlign w:val="bottom"/>
          </w:tcPr>
          <w:p>
            <w:pPr>
              <w:spacing w:after="0"/>
              <w:rPr>
                <w:sz w:val="8"/>
                <w:szCs w:val="8"/>
                <w:color w:val="auto"/>
              </w:rPr>
            </w:pPr>
          </w:p>
        </w:tc>
      </w:tr>
      <w:tr>
        <w:trPr>
          <w:trHeight w:val="122"/>
        </w:trPr>
        <w:tc>
          <w:tcPr>
            <w:tcW w:w="292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60" w:type="dxa"/>
            <w:vAlign w:val="bottom"/>
            <w:tcBorders>
              <w:right w:val="single" w:sz="8" w:color="auto"/>
            </w:tcBorders>
            <w:gridSpan w:val="2"/>
          </w:tcPr>
          <w:p>
            <w:pPr>
              <w:jc w:val="center"/>
              <w:ind w:right="420"/>
              <w:spacing w:after="0" w:line="122" w:lineRule="exact"/>
              <w:rPr>
                <w:sz w:val="20"/>
                <w:szCs w:val="20"/>
                <w:color w:val="auto"/>
              </w:rPr>
            </w:pPr>
            <w:r>
              <w:rPr>
                <w:rFonts w:ascii="Arial" w:cs="Arial" w:eastAsia="Arial" w:hAnsi="Arial"/>
                <w:sz w:val="11"/>
                <w:szCs w:val="11"/>
                <w:b w:val="1"/>
                <w:bCs w:val="1"/>
                <w:color w:val="auto"/>
                <w:w w:val="97"/>
              </w:rPr>
              <w:t>from</w:t>
            </w:r>
          </w:p>
        </w:tc>
        <w:tc>
          <w:tcPr>
            <w:tcW w:w="360" w:type="dxa"/>
            <w:vAlign w:val="bottom"/>
          </w:tcPr>
          <w:p>
            <w:pPr>
              <w:spacing w:after="0"/>
              <w:rPr>
                <w:sz w:val="10"/>
                <w:szCs w:val="10"/>
                <w:color w:val="auto"/>
              </w:rPr>
            </w:pPr>
          </w:p>
        </w:tc>
        <w:tc>
          <w:tcPr>
            <w:tcW w:w="360" w:type="dxa"/>
            <w:vAlign w:val="bottom"/>
          </w:tcPr>
          <w:p>
            <w:pPr>
              <w:jc w:val="center"/>
              <w:spacing w:after="0" w:line="122" w:lineRule="exact"/>
              <w:rPr>
                <w:sz w:val="20"/>
                <w:szCs w:val="20"/>
                <w:color w:val="auto"/>
              </w:rPr>
            </w:pPr>
            <w:r>
              <w:rPr>
                <w:rFonts w:ascii="Arial" w:cs="Arial" w:eastAsia="Arial" w:hAnsi="Arial"/>
                <w:sz w:val="11"/>
                <w:szCs w:val="11"/>
                <w:b w:val="1"/>
                <w:bCs w:val="1"/>
                <w:color w:val="auto"/>
                <w:w w:val="97"/>
              </w:rPr>
              <w:t>from</w:t>
            </w:r>
          </w:p>
        </w:tc>
        <w:tc>
          <w:tcPr>
            <w:tcW w:w="22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40" w:type="dxa"/>
            <w:vAlign w:val="bottom"/>
          </w:tcPr>
          <w:p>
            <w:pPr>
              <w:spacing w:after="0"/>
              <w:rPr>
                <w:sz w:val="10"/>
                <w:szCs w:val="10"/>
                <w:color w:val="auto"/>
              </w:rPr>
            </w:pPr>
          </w:p>
        </w:tc>
      </w:tr>
      <w:tr>
        <w:trPr>
          <w:trHeight w:val="122"/>
        </w:trPr>
        <w:tc>
          <w:tcPr>
            <w:tcW w:w="2920" w:type="dxa"/>
            <w:vAlign w:val="bottom"/>
          </w:tcPr>
          <w:p>
            <w:pPr>
              <w:spacing w:after="0"/>
              <w:rPr>
                <w:sz w:val="10"/>
                <w:szCs w:val="10"/>
                <w:color w:val="auto"/>
              </w:rPr>
            </w:pPr>
          </w:p>
        </w:tc>
        <w:tc>
          <w:tcPr>
            <w:tcW w:w="580" w:type="dxa"/>
            <w:vAlign w:val="bottom"/>
            <w:gridSpan w:val="2"/>
          </w:tcPr>
          <w:p>
            <w:pPr>
              <w:jc w:val="center"/>
              <w:ind w:right="220"/>
              <w:spacing w:after="0" w:line="122" w:lineRule="exact"/>
              <w:rPr>
                <w:sz w:val="20"/>
                <w:szCs w:val="20"/>
                <w:color w:val="auto"/>
              </w:rPr>
            </w:pPr>
            <w:r>
              <w:rPr>
                <w:rFonts w:ascii="Arial" w:cs="Arial" w:eastAsia="Arial" w:hAnsi="Arial"/>
                <w:sz w:val="11"/>
                <w:szCs w:val="11"/>
                <w:b w:val="1"/>
                <w:bCs w:val="1"/>
                <w:color w:val="auto"/>
                <w:w w:val="93"/>
              </w:rPr>
              <w:t>Three</w:t>
            </w:r>
          </w:p>
        </w:tc>
        <w:tc>
          <w:tcPr>
            <w:tcW w:w="680" w:type="dxa"/>
            <w:vAlign w:val="bottom"/>
            <w:gridSpan w:val="2"/>
          </w:tcPr>
          <w:p>
            <w:pPr>
              <w:jc w:val="center"/>
              <w:ind w:right="220"/>
              <w:spacing w:after="0" w:line="122" w:lineRule="exact"/>
              <w:rPr>
                <w:sz w:val="20"/>
                <w:szCs w:val="20"/>
                <w:color w:val="auto"/>
              </w:rPr>
            </w:pPr>
            <w:r>
              <w:rPr>
                <w:rFonts w:ascii="Arial" w:cs="Arial" w:eastAsia="Arial" w:hAnsi="Arial"/>
                <w:sz w:val="11"/>
                <w:szCs w:val="11"/>
                <w:b w:val="1"/>
                <w:bCs w:val="1"/>
                <w:color w:val="auto"/>
                <w:w w:val="86"/>
              </w:rPr>
              <w:t>Three</w:t>
            </w:r>
          </w:p>
        </w:tc>
        <w:tc>
          <w:tcPr>
            <w:tcW w:w="100" w:type="dxa"/>
            <w:vAlign w:val="bottom"/>
          </w:tcPr>
          <w:p>
            <w:pPr>
              <w:spacing w:after="0"/>
              <w:rPr>
                <w:sz w:val="10"/>
                <w:szCs w:val="10"/>
                <w:color w:val="auto"/>
              </w:rPr>
            </w:pPr>
          </w:p>
        </w:tc>
        <w:tc>
          <w:tcPr>
            <w:tcW w:w="740" w:type="dxa"/>
            <w:vAlign w:val="bottom"/>
            <w:gridSpan w:val="2"/>
          </w:tcPr>
          <w:p>
            <w:pPr>
              <w:jc w:val="center"/>
              <w:ind w:right="340"/>
              <w:spacing w:after="0" w:line="122" w:lineRule="exact"/>
              <w:rPr>
                <w:sz w:val="20"/>
                <w:szCs w:val="20"/>
                <w:color w:val="auto"/>
              </w:rPr>
            </w:pPr>
            <w:r>
              <w:rPr>
                <w:rFonts w:ascii="Arial" w:cs="Arial" w:eastAsia="Arial" w:hAnsi="Arial"/>
                <w:sz w:val="11"/>
                <w:szCs w:val="11"/>
                <w:b w:val="1"/>
                <w:bCs w:val="1"/>
                <w:color w:val="auto"/>
                <w:w w:val="93"/>
              </w:rPr>
              <w:t>Three</w:t>
            </w:r>
          </w:p>
        </w:tc>
        <w:tc>
          <w:tcPr>
            <w:tcW w:w="100" w:type="dxa"/>
            <w:vAlign w:val="bottom"/>
          </w:tcPr>
          <w:p>
            <w:pPr>
              <w:spacing w:after="0"/>
              <w:rPr>
                <w:sz w:val="10"/>
                <w:szCs w:val="10"/>
                <w:color w:val="auto"/>
              </w:rPr>
            </w:pPr>
          </w:p>
        </w:tc>
        <w:tc>
          <w:tcPr>
            <w:tcW w:w="760" w:type="dxa"/>
            <w:vAlign w:val="bottom"/>
            <w:gridSpan w:val="2"/>
          </w:tcPr>
          <w:p>
            <w:pPr>
              <w:jc w:val="center"/>
              <w:ind w:right="320"/>
              <w:spacing w:after="0" w:line="122" w:lineRule="exact"/>
              <w:rPr>
                <w:sz w:val="20"/>
                <w:szCs w:val="20"/>
                <w:color w:val="auto"/>
              </w:rPr>
            </w:pPr>
            <w:r>
              <w:rPr>
                <w:rFonts w:ascii="Arial" w:cs="Arial" w:eastAsia="Arial" w:hAnsi="Arial"/>
                <w:sz w:val="11"/>
                <w:szCs w:val="11"/>
                <w:b w:val="1"/>
                <w:bCs w:val="1"/>
                <w:color w:val="auto"/>
                <w:w w:val="93"/>
              </w:rPr>
              <w:t>Three</w:t>
            </w:r>
          </w:p>
        </w:tc>
        <w:tc>
          <w:tcPr>
            <w:tcW w:w="600" w:type="dxa"/>
            <w:vAlign w:val="bottom"/>
            <w:gridSpan w:val="2"/>
          </w:tcPr>
          <w:p>
            <w:pPr>
              <w:jc w:val="center"/>
              <w:ind w:right="240"/>
              <w:spacing w:after="0" w:line="122" w:lineRule="exact"/>
              <w:rPr>
                <w:sz w:val="20"/>
                <w:szCs w:val="20"/>
                <w:color w:val="auto"/>
              </w:rPr>
            </w:pPr>
            <w:r>
              <w:rPr>
                <w:rFonts w:ascii="Arial" w:cs="Arial" w:eastAsia="Arial" w:hAnsi="Arial"/>
                <w:sz w:val="11"/>
                <w:szCs w:val="11"/>
                <w:b w:val="1"/>
                <w:bCs w:val="1"/>
                <w:color w:val="auto"/>
                <w:w w:val="93"/>
              </w:rPr>
              <w:t>Three</w:t>
            </w:r>
          </w:p>
        </w:tc>
        <w:tc>
          <w:tcPr>
            <w:tcW w:w="680" w:type="dxa"/>
            <w:vAlign w:val="bottom"/>
            <w:gridSpan w:val="2"/>
          </w:tcPr>
          <w:p>
            <w:pPr>
              <w:jc w:val="center"/>
              <w:ind w:right="240"/>
              <w:spacing w:after="0" w:line="122" w:lineRule="exact"/>
              <w:rPr>
                <w:sz w:val="20"/>
                <w:szCs w:val="20"/>
                <w:color w:val="auto"/>
              </w:rPr>
            </w:pPr>
            <w:r>
              <w:rPr>
                <w:rFonts w:ascii="Arial" w:cs="Arial" w:eastAsia="Arial" w:hAnsi="Arial"/>
                <w:sz w:val="11"/>
                <w:szCs w:val="11"/>
                <w:b w:val="1"/>
                <w:bCs w:val="1"/>
                <w:color w:val="auto"/>
                <w:w w:val="93"/>
              </w:rPr>
              <w:t>Three</w:t>
            </w:r>
          </w:p>
        </w:tc>
        <w:tc>
          <w:tcPr>
            <w:tcW w:w="80" w:type="dxa"/>
            <w:vAlign w:val="bottom"/>
          </w:tcPr>
          <w:p>
            <w:pPr>
              <w:spacing w:after="0"/>
              <w:rPr>
                <w:sz w:val="10"/>
                <w:szCs w:val="10"/>
                <w:color w:val="auto"/>
              </w:rPr>
            </w:pPr>
          </w:p>
        </w:tc>
        <w:tc>
          <w:tcPr>
            <w:tcW w:w="540" w:type="dxa"/>
            <w:vAlign w:val="bottom"/>
          </w:tcPr>
          <w:p>
            <w:pPr>
              <w:jc w:val="center"/>
              <w:ind w:right="43"/>
              <w:spacing w:after="0" w:line="122" w:lineRule="exact"/>
              <w:rPr>
                <w:sz w:val="20"/>
                <w:szCs w:val="20"/>
                <w:color w:val="auto"/>
              </w:rPr>
            </w:pPr>
            <w:r>
              <w:rPr>
                <w:rFonts w:ascii="Arial" w:cs="Arial" w:eastAsia="Arial" w:hAnsi="Arial"/>
                <w:sz w:val="11"/>
                <w:szCs w:val="11"/>
                <w:b w:val="1"/>
                <w:bCs w:val="1"/>
                <w:color w:val="auto"/>
                <w:w w:val="93"/>
              </w:rPr>
              <w:t>Three</w:t>
            </w: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60" w:type="dxa"/>
            <w:vAlign w:val="bottom"/>
            <w:tcBorders>
              <w:right w:val="single" w:sz="8" w:color="auto"/>
            </w:tcBorders>
            <w:gridSpan w:val="2"/>
          </w:tcPr>
          <w:p>
            <w:pPr>
              <w:jc w:val="center"/>
              <w:ind w:right="420"/>
              <w:spacing w:after="0" w:line="122" w:lineRule="exact"/>
              <w:rPr>
                <w:sz w:val="20"/>
                <w:szCs w:val="20"/>
                <w:color w:val="auto"/>
              </w:rPr>
            </w:pPr>
            <w:r>
              <w:rPr>
                <w:rFonts w:ascii="Arial" w:cs="Arial" w:eastAsia="Arial" w:hAnsi="Arial"/>
                <w:sz w:val="11"/>
                <w:szCs w:val="11"/>
                <w:b w:val="1"/>
                <w:bCs w:val="1"/>
                <w:color w:val="auto"/>
                <w:w w:val="89"/>
              </w:rPr>
              <w:t>July 16,</w:t>
            </w:r>
          </w:p>
        </w:tc>
        <w:tc>
          <w:tcPr>
            <w:tcW w:w="360" w:type="dxa"/>
            <w:vAlign w:val="bottom"/>
          </w:tcPr>
          <w:p>
            <w:pPr>
              <w:spacing w:after="0"/>
              <w:rPr>
                <w:sz w:val="10"/>
                <w:szCs w:val="10"/>
                <w:color w:val="auto"/>
              </w:rPr>
            </w:pPr>
          </w:p>
        </w:tc>
        <w:tc>
          <w:tcPr>
            <w:tcW w:w="360" w:type="dxa"/>
            <w:vAlign w:val="bottom"/>
          </w:tcPr>
          <w:p>
            <w:pPr>
              <w:jc w:val="center"/>
              <w:spacing w:after="0" w:line="122" w:lineRule="exact"/>
              <w:rPr>
                <w:sz w:val="20"/>
                <w:szCs w:val="20"/>
                <w:color w:val="auto"/>
              </w:rPr>
            </w:pPr>
            <w:r>
              <w:rPr>
                <w:rFonts w:ascii="Arial" w:cs="Arial" w:eastAsia="Arial" w:hAnsi="Arial"/>
                <w:sz w:val="11"/>
                <w:szCs w:val="11"/>
                <w:b w:val="1"/>
                <w:bCs w:val="1"/>
                <w:color w:val="auto"/>
                <w:w w:val="93"/>
              </w:rPr>
              <w:t>July 1,</w:t>
            </w:r>
          </w:p>
        </w:tc>
        <w:tc>
          <w:tcPr>
            <w:tcW w:w="220" w:type="dxa"/>
            <w:vAlign w:val="bottom"/>
          </w:tcPr>
          <w:p>
            <w:pPr>
              <w:spacing w:after="0"/>
              <w:rPr>
                <w:sz w:val="10"/>
                <w:szCs w:val="10"/>
                <w:color w:val="auto"/>
              </w:rPr>
            </w:pPr>
          </w:p>
        </w:tc>
        <w:tc>
          <w:tcPr>
            <w:tcW w:w="600" w:type="dxa"/>
            <w:vAlign w:val="bottom"/>
            <w:gridSpan w:val="2"/>
          </w:tcPr>
          <w:p>
            <w:pPr>
              <w:jc w:val="center"/>
              <w:ind w:right="240"/>
              <w:spacing w:after="0" w:line="122" w:lineRule="exact"/>
              <w:rPr>
                <w:sz w:val="20"/>
                <w:szCs w:val="20"/>
                <w:color w:val="auto"/>
              </w:rPr>
            </w:pPr>
            <w:r>
              <w:rPr>
                <w:rFonts w:ascii="Arial" w:cs="Arial" w:eastAsia="Arial" w:hAnsi="Arial"/>
                <w:sz w:val="11"/>
                <w:szCs w:val="11"/>
                <w:b w:val="1"/>
                <w:bCs w:val="1"/>
                <w:color w:val="auto"/>
                <w:w w:val="93"/>
              </w:rPr>
              <w:t>Three</w:t>
            </w:r>
          </w:p>
        </w:tc>
        <w:tc>
          <w:tcPr>
            <w:tcW w:w="60" w:type="dxa"/>
            <w:vAlign w:val="bottom"/>
          </w:tcPr>
          <w:p>
            <w:pPr>
              <w:spacing w:after="0"/>
              <w:rPr>
                <w:sz w:val="10"/>
                <w:szCs w:val="10"/>
                <w:color w:val="auto"/>
              </w:rPr>
            </w:pPr>
          </w:p>
        </w:tc>
        <w:tc>
          <w:tcPr>
            <w:tcW w:w="460" w:type="dxa"/>
            <w:vAlign w:val="bottom"/>
            <w:gridSpan w:val="2"/>
          </w:tcPr>
          <w:p>
            <w:pPr>
              <w:jc w:val="center"/>
              <w:ind w:right="140"/>
              <w:spacing w:after="0" w:line="122" w:lineRule="exact"/>
              <w:rPr>
                <w:sz w:val="20"/>
                <w:szCs w:val="20"/>
                <w:color w:val="auto"/>
              </w:rPr>
            </w:pPr>
            <w:r>
              <w:rPr>
                <w:rFonts w:ascii="Arial" w:cs="Arial" w:eastAsia="Arial" w:hAnsi="Arial"/>
                <w:sz w:val="11"/>
                <w:szCs w:val="11"/>
                <w:b w:val="1"/>
                <w:bCs w:val="1"/>
                <w:color w:val="auto"/>
                <w:w w:val="93"/>
              </w:rPr>
              <w:t>Three</w:t>
            </w:r>
          </w:p>
        </w:tc>
      </w:tr>
      <w:tr>
        <w:trPr>
          <w:trHeight w:val="121"/>
        </w:trPr>
        <w:tc>
          <w:tcPr>
            <w:tcW w:w="2920" w:type="dxa"/>
            <w:vAlign w:val="bottom"/>
          </w:tcPr>
          <w:p>
            <w:pPr>
              <w:spacing w:after="0"/>
              <w:rPr>
                <w:sz w:val="10"/>
                <w:szCs w:val="10"/>
                <w:color w:val="auto"/>
              </w:rPr>
            </w:pPr>
          </w:p>
        </w:tc>
        <w:tc>
          <w:tcPr>
            <w:tcW w:w="580" w:type="dxa"/>
            <w:vAlign w:val="bottom"/>
            <w:gridSpan w:val="2"/>
          </w:tcPr>
          <w:p>
            <w:pPr>
              <w:jc w:val="center"/>
              <w:ind w:right="220"/>
              <w:spacing w:after="0" w:line="122" w:lineRule="exact"/>
              <w:rPr>
                <w:sz w:val="20"/>
                <w:szCs w:val="20"/>
                <w:color w:val="auto"/>
              </w:rPr>
            </w:pPr>
            <w:r>
              <w:rPr>
                <w:rFonts w:ascii="Arial" w:cs="Arial" w:eastAsia="Arial" w:hAnsi="Arial"/>
                <w:sz w:val="11"/>
                <w:szCs w:val="11"/>
                <w:b w:val="1"/>
                <w:bCs w:val="1"/>
                <w:color w:val="auto"/>
                <w:w w:val="91"/>
              </w:rPr>
              <w:t>Months</w:t>
            </w:r>
          </w:p>
        </w:tc>
        <w:tc>
          <w:tcPr>
            <w:tcW w:w="680" w:type="dxa"/>
            <w:vAlign w:val="bottom"/>
            <w:gridSpan w:val="2"/>
          </w:tcPr>
          <w:p>
            <w:pPr>
              <w:jc w:val="center"/>
              <w:ind w:right="220"/>
              <w:spacing w:after="0" w:line="122" w:lineRule="exact"/>
              <w:rPr>
                <w:sz w:val="20"/>
                <w:szCs w:val="20"/>
                <w:color w:val="auto"/>
              </w:rPr>
            </w:pPr>
            <w:r>
              <w:rPr>
                <w:rFonts w:ascii="Arial" w:cs="Arial" w:eastAsia="Arial" w:hAnsi="Arial"/>
                <w:sz w:val="11"/>
                <w:szCs w:val="11"/>
                <w:b w:val="1"/>
                <w:bCs w:val="1"/>
                <w:color w:val="auto"/>
                <w:w w:val="86"/>
              </w:rPr>
              <w:t>Months</w:t>
            </w:r>
          </w:p>
        </w:tc>
        <w:tc>
          <w:tcPr>
            <w:tcW w:w="100" w:type="dxa"/>
            <w:vAlign w:val="bottom"/>
          </w:tcPr>
          <w:p>
            <w:pPr>
              <w:spacing w:after="0"/>
              <w:rPr>
                <w:sz w:val="10"/>
                <w:szCs w:val="10"/>
                <w:color w:val="auto"/>
              </w:rPr>
            </w:pPr>
          </w:p>
        </w:tc>
        <w:tc>
          <w:tcPr>
            <w:tcW w:w="740" w:type="dxa"/>
            <w:vAlign w:val="bottom"/>
            <w:gridSpan w:val="2"/>
          </w:tcPr>
          <w:p>
            <w:pPr>
              <w:jc w:val="center"/>
              <w:ind w:right="340"/>
              <w:spacing w:after="0" w:line="122" w:lineRule="exact"/>
              <w:rPr>
                <w:sz w:val="20"/>
                <w:szCs w:val="20"/>
                <w:color w:val="auto"/>
              </w:rPr>
            </w:pPr>
            <w:r>
              <w:rPr>
                <w:rFonts w:ascii="Arial" w:cs="Arial" w:eastAsia="Arial" w:hAnsi="Arial"/>
                <w:sz w:val="11"/>
                <w:szCs w:val="11"/>
                <w:b w:val="1"/>
                <w:bCs w:val="1"/>
                <w:color w:val="auto"/>
                <w:w w:val="91"/>
              </w:rPr>
              <w:t>Months</w:t>
            </w:r>
          </w:p>
        </w:tc>
        <w:tc>
          <w:tcPr>
            <w:tcW w:w="100" w:type="dxa"/>
            <w:vAlign w:val="bottom"/>
          </w:tcPr>
          <w:p>
            <w:pPr>
              <w:spacing w:after="0"/>
              <w:rPr>
                <w:sz w:val="10"/>
                <w:szCs w:val="10"/>
                <w:color w:val="auto"/>
              </w:rPr>
            </w:pPr>
          </w:p>
        </w:tc>
        <w:tc>
          <w:tcPr>
            <w:tcW w:w="760" w:type="dxa"/>
            <w:vAlign w:val="bottom"/>
            <w:gridSpan w:val="2"/>
          </w:tcPr>
          <w:p>
            <w:pPr>
              <w:jc w:val="center"/>
              <w:ind w:right="320"/>
              <w:spacing w:after="0" w:line="122" w:lineRule="exact"/>
              <w:rPr>
                <w:sz w:val="20"/>
                <w:szCs w:val="20"/>
                <w:color w:val="auto"/>
              </w:rPr>
            </w:pPr>
            <w:r>
              <w:rPr>
                <w:rFonts w:ascii="Arial" w:cs="Arial" w:eastAsia="Arial" w:hAnsi="Arial"/>
                <w:sz w:val="11"/>
                <w:szCs w:val="11"/>
                <w:b w:val="1"/>
                <w:bCs w:val="1"/>
                <w:color w:val="auto"/>
                <w:w w:val="91"/>
              </w:rPr>
              <w:t>Months</w:t>
            </w:r>
          </w:p>
        </w:tc>
        <w:tc>
          <w:tcPr>
            <w:tcW w:w="600" w:type="dxa"/>
            <w:vAlign w:val="bottom"/>
            <w:gridSpan w:val="2"/>
          </w:tcPr>
          <w:p>
            <w:pPr>
              <w:jc w:val="center"/>
              <w:ind w:right="240"/>
              <w:spacing w:after="0" w:line="122" w:lineRule="exact"/>
              <w:rPr>
                <w:sz w:val="20"/>
                <w:szCs w:val="20"/>
                <w:color w:val="auto"/>
              </w:rPr>
            </w:pPr>
            <w:r>
              <w:rPr>
                <w:rFonts w:ascii="Arial" w:cs="Arial" w:eastAsia="Arial" w:hAnsi="Arial"/>
                <w:sz w:val="11"/>
                <w:szCs w:val="11"/>
                <w:b w:val="1"/>
                <w:bCs w:val="1"/>
                <w:color w:val="auto"/>
                <w:w w:val="91"/>
              </w:rPr>
              <w:t>Months</w:t>
            </w:r>
          </w:p>
        </w:tc>
        <w:tc>
          <w:tcPr>
            <w:tcW w:w="680" w:type="dxa"/>
            <w:vAlign w:val="bottom"/>
            <w:gridSpan w:val="2"/>
          </w:tcPr>
          <w:p>
            <w:pPr>
              <w:jc w:val="center"/>
              <w:ind w:right="240"/>
              <w:spacing w:after="0" w:line="122" w:lineRule="exact"/>
              <w:rPr>
                <w:sz w:val="20"/>
                <w:szCs w:val="20"/>
                <w:color w:val="auto"/>
              </w:rPr>
            </w:pPr>
            <w:r>
              <w:rPr>
                <w:rFonts w:ascii="Arial" w:cs="Arial" w:eastAsia="Arial" w:hAnsi="Arial"/>
                <w:sz w:val="11"/>
                <w:szCs w:val="11"/>
                <w:b w:val="1"/>
                <w:bCs w:val="1"/>
                <w:color w:val="auto"/>
                <w:w w:val="91"/>
              </w:rPr>
              <w:t>Months</w:t>
            </w:r>
          </w:p>
        </w:tc>
        <w:tc>
          <w:tcPr>
            <w:tcW w:w="80" w:type="dxa"/>
            <w:vAlign w:val="bottom"/>
          </w:tcPr>
          <w:p>
            <w:pPr>
              <w:spacing w:after="0"/>
              <w:rPr>
                <w:sz w:val="10"/>
                <w:szCs w:val="10"/>
                <w:color w:val="auto"/>
              </w:rPr>
            </w:pPr>
          </w:p>
        </w:tc>
        <w:tc>
          <w:tcPr>
            <w:tcW w:w="540" w:type="dxa"/>
            <w:vAlign w:val="bottom"/>
          </w:tcPr>
          <w:p>
            <w:pPr>
              <w:jc w:val="center"/>
              <w:ind w:right="43"/>
              <w:spacing w:after="0" w:line="122" w:lineRule="exact"/>
              <w:rPr>
                <w:sz w:val="20"/>
                <w:szCs w:val="20"/>
                <w:color w:val="auto"/>
              </w:rPr>
            </w:pPr>
            <w:r>
              <w:rPr>
                <w:rFonts w:ascii="Arial" w:cs="Arial" w:eastAsia="Arial" w:hAnsi="Arial"/>
                <w:sz w:val="11"/>
                <w:szCs w:val="11"/>
                <w:b w:val="1"/>
                <w:bCs w:val="1"/>
                <w:color w:val="auto"/>
                <w:w w:val="91"/>
              </w:rPr>
              <w:t>Months</w:t>
            </w: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60" w:type="dxa"/>
            <w:vAlign w:val="bottom"/>
          </w:tcPr>
          <w:p>
            <w:pPr>
              <w:jc w:val="center"/>
              <w:ind w:right="64"/>
              <w:spacing w:after="0" w:line="122" w:lineRule="exact"/>
              <w:rPr>
                <w:sz w:val="20"/>
                <w:szCs w:val="20"/>
                <w:color w:val="auto"/>
              </w:rPr>
            </w:pPr>
            <w:r>
              <w:rPr>
                <w:rFonts w:ascii="Arial" w:cs="Arial" w:eastAsia="Arial" w:hAnsi="Arial"/>
                <w:sz w:val="11"/>
                <w:szCs w:val="11"/>
                <w:b w:val="1"/>
                <w:bCs w:val="1"/>
                <w:color w:val="auto"/>
                <w:w w:val="81"/>
              </w:rPr>
              <w:t>2019</w:t>
            </w:r>
          </w:p>
        </w:tc>
        <w:tc>
          <w:tcPr>
            <w:tcW w:w="300" w:type="dxa"/>
            <w:vAlign w:val="bottom"/>
            <w:tcBorders>
              <w:right w:val="single" w:sz="8" w:color="auto"/>
            </w:tcBorders>
          </w:tcPr>
          <w:p>
            <w:pPr>
              <w:spacing w:after="0"/>
              <w:rPr>
                <w:sz w:val="10"/>
                <w:szCs w:val="10"/>
                <w:color w:val="auto"/>
              </w:rPr>
            </w:pPr>
          </w:p>
        </w:tc>
        <w:tc>
          <w:tcPr>
            <w:tcW w:w="360" w:type="dxa"/>
            <w:vAlign w:val="bottom"/>
          </w:tcPr>
          <w:p>
            <w:pPr>
              <w:spacing w:after="0"/>
              <w:rPr>
                <w:sz w:val="10"/>
                <w:szCs w:val="10"/>
                <w:color w:val="auto"/>
              </w:rPr>
            </w:pPr>
          </w:p>
        </w:tc>
        <w:tc>
          <w:tcPr>
            <w:tcW w:w="360" w:type="dxa"/>
            <w:vAlign w:val="bottom"/>
          </w:tcPr>
          <w:p>
            <w:pPr>
              <w:jc w:val="center"/>
              <w:spacing w:after="0" w:line="122" w:lineRule="exact"/>
              <w:rPr>
                <w:sz w:val="20"/>
                <w:szCs w:val="20"/>
                <w:color w:val="auto"/>
              </w:rPr>
            </w:pPr>
            <w:r>
              <w:rPr>
                <w:rFonts w:ascii="Arial" w:cs="Arial" w:eastAsia="Arial" w:hAnsi="Arial"/>
                <w:sz w:val="11"/>
                <w:szCs w:val="11"/>
                <w:b w:val="1"/>
                <w:bCs w:val="1"/>
                <w:color w:val="auto"/>
                <w:w w:val="89"/>
              </w:rPr>
              <w:t>2019</w:t>
            </w:r>
          </w:p>
        </w:tc>
        <w:tc>
          <w:tcPr>
            <w:tcW w:w="220" w:type="dxa"/>
            <w:vAlign w:val="bottom"/>
          </w:tcPr>
          <w:p>
            <w:pPr>
              <w:spacing w:after="0"/>
              <w:rPr>
                <w:sz w:val="10"/>
                <w:szCs w:val="10"/>
                <w:color w:val="auto"/>
              </w:rPr>
            </w:pPr>
          </w:p>
        </w:tc>
        <w:tc>
          <w:tcPr>
            <w:tcW w:w="600" w:type="dxa"/>
            <w:vAlign w:val="bottom"/>
            <w:gridSpan w:val="2"/>
          </w:tcPr>
          <w:p>
            <w:pPr>
              <w:jc w:val="center"/>
              <w:ind w:right="240"/>
              <w:spacing w:after="0" w:line="122" w:lineRule="exact"/>
              <w:rPr>
                <w:sz w:val="20"/>
                <w:szCs w:val="20"/>
                <w:color w:val="auto"/>
              </w:rPr>
            </w:pPr>
            <w:r>
              <w:rPr>
                <w:rFonts w:ascii="Arial" w:cs="Arial" w:eastAsia="Arial" w:hAnsi="Arial"/>
                <w:sz w:val="11"/>
                <w:szCs w:val="11"/>
                <w:b w:val="1"/>
                <w:bCs w:val="1"/>
                <w:color w:val="auto"/>
                <w:w w:val="91"/>
              </w:rPr>
              <w:t>Months</w:t>
            </w:r>
          </w:p>
        </w:tc>
        <w:tc>
          <w:tcPr>
            <w:tcW w:w="520" w:type="dxa"/>
            <w:vAlign w:val="bottom"/>
            <w:gridSpan w:val="3"/>
          </w:tcPr>
          <w:p>
            <w:pPr>
              <w:jc w:val="center"/>
              <w:ind w:right="80"/>
              <w:spacing w:after="0" w:line="122" w:lineRule="exact"/>
              <w:rPr>
                <w:sz w:val="20"/>
                <w:szCs w:val="20"/>
                <w:color w:val="auto"/>
              </w:rPr>
            </w:pPr>
            <w:r>
              <w:rPr>
                <w:rFonts w:ascii="Arial" w:cs="Arial" w:eastAsia="Arial" w:hAnsi="Arial"/>
                <w:sz w:val="11"/>
                <w:szCs w:val="11"/>
                <w:b w:val="1"/>
                <w:bCs w:val="1"/>
                <w:color w:val="auto"/>
                <w:w w:val="91"/>
              </w:rPr>
              <w:t>Months</w:t>
            </w:r>
          </w:p>
        </w:tc>
      </w:tr>
      <w:tr>
        <w:trPr>
          <w:trHeight w:val="122"/>
        </w:trPr>
        <w:tc>
          <w:tcPr>
            <w:tcW w:w="2920" w:type="dxa"/>
            <w:vAlign w:val="bottom"/>
          </w:tcPr>
          <w:p>
            <w:pPr>
              <w:spacing w:after="0"/>
              <w:rPr>
                <w:sz w:val="10"/>
                <w:szCs w:val="10"/>
                <w:color w:val="auto"/>
              </w:rPr>
            </w:pPr>
          </w:p>
        </w:tc>
        <w:tc>
          <w:tcPr>
            <w:tcW w:w="580" w:type="dxa"/>
            <w:vAlign w:val="bottom"/>
            <w:gridSpan w:val="2"/>
          </w:tcPr>
          <w:p>
            <w:pPr>
              <w:jc w:val="center"/>
              <w:ind w:right="240"/>
              <w:spacing w:after="0" w:line="122" w:lineRule="exact"/>
              <w:rPr>
                <w:sz w:val="20"/>
                <w:szCs w:val="20"/>
                <w:color w:val="auto"/>
              </w:rPr>
            </w:pPr>
            <w:r>
              <w:rPr>
                <w:rFonts w:ascii="Arial" w:cs="Arial" w:eastAsia="Arial" w:hAnsi="Arial"/>
                <w:sz w:val="11"/>
                <w:szCs w:val="11"/>
                <w:b w:val="1"/>
                <w:bCs w:val="1"/>
                <w:color w:val="auto"/>
                <w:w w:val="89"/>
              </w:rPr>
              <w:t>Ended</w:t>
            </w:r>
          </w:p>
        </w:tc>
        <w:tc>
          <w:tcPr>
            <w:tcW w:w="680" w:type="dxa"/>
            <w:vAlign w:val="bottom"/>
            <w:gridSpan w:val="2"/>
          </w:tcPr>
          <w:p>
            <w:pPr>
              <w:jc w:val="center"/>
              <w:ind w:right="220"/>
              <w:spacing w:after="0" w:line="122" w:lineRule="exact"/>
              <w:rPr>
                <w:sz w:val="20"/>
                <w:szCs w:val="20"/>
                <w:color w:val="auto"/>
              </w:rPr>
            </w:pPr>
            <w:r>
              <w:rPr>
                <w:rFonts w:ascii="Arial" w:cs="Arial" w:eastAsia="Arial" w:hAnsi="Arial"/>
                <w:sz w:val="11"/>
                <w:szCs w:val="11"/>
                <w:b w:val="1"/>
                <w:bCs w:val="1"/>
                <w:color w:val="auto"/>
                <w:w w:val="89"/>
              </w:rPr>
              <w:t>Ended</w:t>
            </w:r>
          </w:p>
        </w:tc>
        <w:tc>
          <w:tcPr>
            <w:tcW w:w="100" w:type="dxa"/>
            <w:vAlign w:val="bottom"/>
          </w:tcPr>
          <w:p>
            <w:pPr>
              <w:spacing w:after="0"/>
              <w:rPr>
                <w:sz w:val="10"/>
                <w:szCs w:val="10"/>
                <w:color w:val="auto"/>
              </w:rPr>
            </w:pPr>
          </w:p>
        </w:tc>
        <w:tc>
          <w:tcPr>
            <w:tcW w:w="740" w:type="dxa"/>
            <w:vAlign w:val="bottom"/>
            <w:gridSpan w:val="2"/>
          </w:tcPr>
          <w:p>
            <w:pPr>
              <w:jc w:val="center"/>
              <w:ind w:right="320"/>
              <w:spacing w:after="0" w:line="122" w:lineRule="exact"/>
              <w:rPr>
                <w:sz w:val="20"/>
                <w:szCs w:val="20"/>
                <w:color w:val="auto"/>
              </w:rPr>
            </w:pPr>
            <w:r>
              <w:rPr>
                <w:rFonts w:ascii="Arial" w:cs="Arial" w:eastAsia="Arial" w:hAnsi="Arial"/>
                <w:sz w:val="11"/>
                <w:szCs w:val="11"/>
                <w:b w:val="1"/>
                <w:bCs w:val="1"/>
                <w:color w:val="auto"/>
                <w:w w:val="89"/>
              </w:rPr>
              <w:t>Ended</w:t>
            </w:r>
          </w:p>
        </w:tc>
        <w:tc>
          <w:tcPr>
            <w:tcW w:w="100" w:type="dxa"/>
            <w:vAlign w:val="bottom"/>
          </w:tcPr>
          <w:p>
            <w:pPr>
              <w:spacing w:after="0"/>
              <w:rPr>
                <w:sz w:val="10"/>
                <w:szCs w:val="10"/>
                <w:color w:val="auto"/>
              </w:rPr>
            </w:pPr>
          </w:p>
        </w:tc>
        <w:tc>
          <w:tcPr>
            <w:tcW w:w="760" w:type="dxa"/>
            <w:vAlign w:val="bottom"/>
            <w:gridSpan w:val="2"/>
          </w:tcPr>
          <w:p>
            <w:pPr>
              <w:jc w:val="center"/>
              <w:ind w:right="340"/>
              <w:spacing w:after="0" w:line="122" w:lineRule="exact"/>
              <w:rPr>
                <w:sz w:val="20"/>
                <w:szCs w:val="20"/>
                <w:color w:val="auto"/>
              </w:rPr>
            </w:pPr>
            <w:r>
              <w:rPr>
                <w:rFonts w:ascii="Arial" w:cs="Arial" w:eastAsia="Arial" w:hAnsi="Arial"/>
                <w:sz w:val="11"/>
                <w:szCs w:val="11"/>
                <w:b w:val="1"/>
                <w:bCs w:val="1"/>
                <w:color w:val="auto"/>
                <w:w w:val="89"/>
              </w:rPr>
              <w:t>Ended</w:t>
            </w:r>
          </w:p>
        </w:tc>
        <w:tc>
          <w:tcPr>
            <w:tcW w:w="600" w:type="dxa"/>
            <w:vAlign w:val="bottom"/>
            <w:gridSpan w:val="2"/>
          </w:tcPr>
          <w:p>
            <w:pPr>
              <w:jc w:val="center"/>
              <w:ind w:right="220"/>
              <w:spacing w:after="0" w:line="122" w:lineRule="exact"/>
              <w:rPr>
                <w:sz w:val="20"/>
                <w:szCs w:val="20"/>
                <w:color w:val="auto"/>
              </w:rPr>
            </w:pPr>
            <w:r>
              <w:rPr>
                <w:rFonts w:ascii="Arial" w:cs="Arial" w:eastAsia="Arial" w:hAnsi="Arial"/>
                <w:sz w:val="11"/>
                <w:szCs w:val="11"/>
                <w:b w:val="1"/>
                <w:bCs w:val="1"/>
                <w:color w:val="auto"/>
                <w:w w:val="89"/>
              </w:rPr>
              <w:t>Ended</w:t>
            </w:r>
          </w:p>
        </w:tc>
        <w:tc>
          <w:tcPr>
            <w:tcW w:w="680" w:type="dxa"/>
            <w:vAlign w:val="bottom"/>
            <w:gridSpan w:val="2"/>
          </w:tcPr>
          <w:p>
            <w:pPr>
              <w:jc w:val="center"/>
              <w:ind w:right="260"/>
              <w:spacing w:after="0" w:line="122" w:lineRule="exact"/>
              <w:rPr>
                <w:sz w:val="20"/>
                <w:szCs w:val="20"/>
                <w:color w:val="auto"/>
              </w:rPr>
            </w:pPr>
            <w:r>
              <w:rPr>
                <w:rFonts w:ascii="Arial" w:cs="Arial" w:eastAsia="Arial" w:hAnsi="Arial"/>
                <w:sz w:val="11"/>
                <w:szCs w:val="11"/>
                <w:b w:val="1"/>
                <w:bCs w:val="1"/>
                <w:color w:val="auto"/>
                <w:w w:val="89"/>
              </w:rPr>
              <w:t>Ended</w:t>
            </w:r>
          </w:p>
        </w:tc>
        <w:tc>
          <w:tcPr>
            <w:tcW w:w="80" w:type="dxa"/>
            <w:vAlign w:val="bottom"/>
          </w:tcPr>
          <w:p>
            <w:pPr>
              <w:spacing w:after="0"/>
              <w:rPr>
                <w:sz w:val="10"/>
                <w:szCs w:val="10"/>
                <w:color w:val="auto"/>
              </w:rPr>
            </w:pPr>
          </w:p>
        </w:tc>
        <w:tc>
          <w:tcPr>
            <w:tcW w:w="540" w:type="dxa"/>
            <w:vAlign w:val="bottom"/>
          </w:tcPr>
          <w:p>
            <w:pPr>
              <w:jc w:val="center"/>
              <w:ind w:right="63"/>
              <w:spacing w:after="0" w:line="122" w:lineRule="exact"/>
              <w:rPr>
                <w:sz w:val="20"/>
                <w:szCs w:val="20"/>
                <w:color w:val="auto"/>
              </w:rPr>
            </w:pPr>
            <w:r>
              <w:rPr>
                <w:rFonts w:ascii="Arial" w:cs="Arial" w:eastAsia="Arial" w:hAnsi="Arial"/>
                <w:sz w:val="11"/>
                <w:szCs w:val="11"/>
                <w:b w:val="1"/>
                <w:bCs w:val="1"/>
                <w:color w:val="auto"/>
                <w:w w:val="89"/>
              </w:rPr>
              <w:t>Ended</w:t>
            </w: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60" w:type="dxa"/>
            <w:vAlign w:val="bottom"/>
            <w:tcBorders>
              <w:right w:val="single" w:sz="8" w:color="auto"/>
            </w:tcBorders>
            <w:gridSpan w:val="2"/>
          </w:tcPr>
          <w:p>
            <w:pPr>
              <w:jc w:val="center"/>
              <w:ind w:right="420"/>
              <w:spacing w:after="0" w:line="122" w:lineRule="exact"/>
              <w:rPr>
                <w:sz w:val="20"/>
                <w:szCs w:val="20"/>
                <w:color w:val="auto"/>
              </w:rPr>
            </w:pPr>
            <w:r>
              <w:rPr>
                <w:rFonts w:ascii="Arial" w:cs="Arial" w:eastAsia="Arial" w:hAnsi="Arial"/>
                <w:sz w:val="11"/>
                <w:szCs w:val="11"/>
                <w:b w:val="1"/>
                <w:bCs w:val="1"/>
                <w:color w:val="auto"/>
                <w:w w:val="76"/>
              </w:rPr>
              <w:t>to</w:t>
            </w:r>
          </w:p>
        </w:tc>
        <w:tc>
          <w:tcPr>
            <w:tcW w:w="360" w:type="dxa"/>
            <w:vAlign w:val="bottom"/>
          </w:tcPr>
          <w:p>
            <w:pPr>
              <w:spacing w:after="0"/>
              <w:rPr>
                <w:sz w:val="10"/>
                <w:szCs w:val="10"/>
                <w:color w:val="auto"/>
              </w:rPr>
            </w:pPr>
          </w:p>
        </w:tc>
        <w:tc>
          <w:tcPr>
            <w:tcW w:w="360" w:type="dxa"/>
            <w:vAlign w:val="bottom"/>
          </w:tcPr>
          <w:p>
            <w:pPr>
              <w:jc w:val="center"/>
              <w:spacing w:after="0" w:line="122" w:lineRule="exact"/>
              <w:rPr>
                <w:sz w:val="20"/>
                <w:szCs w:val="20"/>
                <w:color w:val="auto"/>
              </w:rPr>
            </w:pPr>
            <w:r>
              <w:rPr>
                <w:rFonts w:ascii="Arial" w:cs="Arial" w:eastAsia="Arial" w:hAnsi="Arial"/>
                <w:sz w:val="11"/>
                <w:szCs w:val="11"/>
                <w:b w:val="1"/>
                <w:bCs w:val="1"/>
                <w:color w:val="auto"/>
                <w:w w:val="76"/>
              </w:rPr>
              <w:t>to</w:t>
            </w:r>
          </w:p>
        </w:tc>
        <w:tc>
          <w:tcPr>
            <w:tcW w:w="220" w:type="dxa"/>
            <w:vAlign w:val="bottom"/>
          </w:tcPr>
          <w:p>
            <w:pPr>
              <w:spacing w:after="0"/>
              <w:rPr>
                <w:sz w:val="10"/>
                <w:szCs w:val="10"/>
                <w:color w:val="auto"/>
              </w:rPr>
            </w:pPr>
          </w:p>
        </w:tc>
        <w:tc>
          <w:tcPr>
            <w:tcW w:w="600" w:type="dxa"/>
            <w:vAlign w:val="bottom"/>
            <w:gridSpan w:val="2"/>
          </w:tcPr>
          <w:p>
            <w:pPr>
              <w:jc w:val="center"/>
              <w:ind w:right="260"/>
              <w:spacing w:after="0" w:line="122" w:lineRule="exact"/>
              <w:rPr>
                <w:sz w:val="20"/>
                <w:szCs w:val="20"/>
                <w:color w:val="auto"/>
              </w:rPr>
            </w:pPr>
            <w:r>
              <w:rPr>
                <w:rFonts w:ascii="Arial" w:cs="Arial" w:eastAsia="Arial" w:hAnsi="Arial"/>
                <w:sz w:val="11"/>
                <w:szCs w:val="11"/>
                <w:b w:val="1"/>
                <w:bCs w:val="1"/>
                <w:color w:val="auto"/>
                <w:w w:val="89"/>
              </w:rPr>
              <w:t>Ended</w:t>
            </w:r>
          </w:p>
        </w:tc>
        <w:tc>
          <w:tcPr>
            <w:tcW w:w="60" w:type="dxa"/>
            <w:vAlign w:val="bottom"/>
          </w:tcPr>
          <w:p>
            <w:pPr>
              <w:spacing w:after="0"/>
              <w:rPr>
                <w:sz w:val="10"/>
                <w:szCs w:val="10"/>
                <w:color w:val="auto"/>
              </w:rPr>
            </w:pPr>
          </w:p>
        </w:tc>
        <w:tc>
          <w:tcPr>
            <w:tcW w:w="460" w:type="dxa"/>
            <w:vAlign w:val="bottom"/>
            <w:gridSpan w:val="2"/>
          </w:tcPr>
          <w:p>
            <w:pPr>
              <w:jc w:val="center"/>
              <w:ind w:right="120"/>
              <w:spacing w:after="0" w:line="122" w:lineRule="exact"/>
              <w:rPr>
                <w:sz w:val="20"/>
                <w:szCs w:val="20"/>
                <w:color w:val="auto"/>
              </w:rPr>
            </w:pPr>
            <w:r>
              <w:rPr>
                <w:rFonts w:ascii="Arial" w:cs="Arial" w:eastAsia="Arial" w:hAnsi="Arial"/>
                <w:sz w:val="11"/>
                <w:szCs w:val="11"/>
                <w:b w:val="1"/>
                <w:bCs w:val="1"/>
                <w:color w:val="auto"/>
                <w:w w:val="89"/>
              </w:rPr>
              <w:t>Ended</w:t>
            </w:r>
          </w:p>
        </w:tc>
      </w:tr>
      <w:tr>
        <w:trPr>
          <w:trHeight w:val="122"/>
        </w:trPr>
        <w:tc>
          <w:tcPr>
            <w:tcW w:w="2920" w:type="dxa"/>
            <w:vAlign w:val="bottom"/>
          </w:tcPr>
          <w:p>
            <w:pPr>
              <w:spacing w:after="0"/>
              <w:rPr>
                <w:sz w:val="10"/>
                <w:szCs w:val="10"/>
                <w:color w:val="auto"/>
              </w:rPr>
            </w:pPr>
          </w:p>
        </w:tc>
        <w:tc>
          <w:tcPr>
            <w:tcW w:w="580" w:type="dxa"/>
            <w:vAlign w:val="bottom"/>
            <w:gridSpan w:val="2"/>
          </w:tcPr>
          <w:p>
            <w:pPr>
              <w:spacing w:after="0" w:line="122" w:lineRule="exact"/>
              <w:rPr>
                <w:sz w:val="20"/>
                <w:szCs w:val="20"/>
                <w:color w:val="auto"/>
              </w:rPr>
            </w:pPr>
            <w:r>
              <w:rPr>
                <w:rFonts w:ascii="Arial" w:cs="Arial" w:eastAsia="Arial" w:hAnsi="Arial"/>
                <w:sz w:val="11"/>
                <w:szCs w:val="11"/>
                <w:b w:val="1"/>
                <w:bCs w:val="1"/>
                <w:color w:val="auto"/>
              </w:rPr>
              <w:t>June 30,</w:t>
            </w:r>
          </w:p>
        </w:tc>
        <w:tc>
          <w:tcPr>
            <w:tcW w:w="680" w:type="dxa"/>
            <w:vAlign w:val="bottom"/>
            <w:gridSpan w:val="2"/>
          </w:tcPr>
          <w:p>
            <w:pPr>
              <w:jc w:val="center"/>
              <w:ind w:right="200"/>
              <w:spacing w:after="0" w:line="122" w:lineRule="exact"/>
              <w:rPr>
                <w:sz w:val="20"/>
                <w:szCs w:val="20"/>
                <w:color w:val="auto"/>
              </w:rPr>
            </w:pPr>
            <w:r>
              <w:rPr>
                <w:rFonts w:ascii="Arial" w:cs="Arial" w:eastAsia="Arial" w:hAnsi="Arial"/>
                <w:sz w:val="11"/>
                <w:szCs w:val="11"/>
                <w:b w:val="1"/>
                <w:bCs w:val="1"/>
                <w:color w:val="auto"/>
                <w:w w:val="94"/>
              </w:rPr>
              <w:t>March 31,</w:t>
            </w:r>
          </w:p>
        </w:tc>
        <w:tc>
          <w:tcPr>
            <w:tcW w:w="840" w:type="dxa"/>
            <w:vAlign w:val="bottom"/>
            <w:gridSpan w:val="3"/>
          </w:tcPr>
          <w:p>
            <w:pPr>
              <w:jc w:val="center"/>
              <w:ind w:right="200"/>
              <w:spacing w:after="0" w:line="122" w:lineRule="exact"/>
              <w:rPr>
                <w:sz w:val="20"/>
                <w:szCs w:val="20"/>
                <w:color w:val="auto"/>
              </w:rPr>
            </w:pPr>
            <w:r>
              <w:rPr>
                <w:rFonts w:ascii="Arial" w:cs="Arial" w:eastAsia="Arial" w:hAnsi="Arial"/>
                <w:sz w:val="11"/>
                <w:szCs w:val="11"/>
                <w:b w:val="1"/>
                <w:bCs w:val="1"/>
                <w:color w:val="auto"/>
                <w:w w:val="89"/>
              </w:rPr>
              <w:t>December 31,</w:t>
            </w:r>
          </w:p>
        </w:tc>
        <w:tc>
          <w:tcPr>
            <w:tcW w:w="860" w:type="dxa"/>
            <w:vAlign w:val="bottom"/>
            <w:gridSpan w:val="3"/>
          </w:tcPr>
          <w:p>
            <w:pPr>
              <w:jc w:val="center"/>
              <w:ind w:right="200"/>
              <w:spacing w:after="0" w:line="122" w:lineRule="exact"/>
              <w:rPr>
                <w:sz w:val="20"/>
                <w:szCs w:val="20"/>
                <w:color w:val="auto"/>
              </w:rPr>
            </w:pPr>
            <w:r>
              <w:rPr>
                <w:rFonts w:ascii="Arial" w:cs="Arial" w:eastAsia="Arial" w:hAnsi="Arial"/>
                <w:sz w:val="11"/>
                <w:szCs w:val="11"/>
                <w:b w:val="1"/>
                <w:bCs w:val="1"/>
                <w:color w:val="auto"/>
                <w:w w:val="87"/>
              </w:rPr>
              <w:t>September 30,</w:t>
            </w:r>
          </w:p>
        </w:tc>
        <w:tc>
          <w:tcPr>
            <w:tcW w:w="600" w:type="dxa"/>
            <w:vAlign w:val="bottom"/>
            <w:gridSpan w:val="2"/>
          </w:tcPr>
          <w:p>
            <w:pPr>
              <w:jc w:val="center"/>
              <w:ind w:right="220"/>
              <w:spacing w:after="0" w:line="122" w:lineRule="exact"/>
              <w:rPr>
                <w:sz w:val="20"/>
                <w:szCs w:val="20"/>
                <w:color w:val="auto"/>
              </w:rPr>
            </w:pPr>
            <w:r>
              <w:rPr>
                <w:rFonts w:ascii="Arial" w:cs="Arial" w:eastAsia="Arial" w:hAnsi="Arial"/>
                <w:sz w:val="11"/>
                <w:szCs w:val="11"/>
                <w:b w:val="1"/>
                <w:bCs w:val="1"/>
                <w:color w:val="auto"/>
                <w:w w:val="86"/>
              </w:rPr>
              <w:t>June 30,</w:t>
            </w:r>
          </w:p>
        </w:tc>
        <w:tc>
          <w:tcPr>
            <w:tcW w:w="680" w:type="dxa"/>
            <w:vAlign w:val="bottom"/>
            <w:gridSpan w:val="2"/>
          </w:tcPr>
          <w:p>
            <w:pPr>
              <w:spacing w:after="0" w:line="122" w:lineRule="exact"/>
              <w:rPr>
                <w:sz w:val="20"/>
                <w:szCs w:val="20"/>
                <w:color w:val="auto"/>
              </w:rPr>
            </w:pPr>
            <w:r>
              <w:rPr>
                <w:rFonts w:ascii="Arial" w:cs="Arial" w:eastAsia="Arial" w:hAnsi="Arial"/>
                <w:sz w:val="11"/>
                <w:szCs w:val="11"/>
                <w:b w:val="1"/>
                <w:bCs w:val="1"/>
                <w:color w:val="auto"/>
              </w:rPr>
              <w:t>March 31,</w:t>
            </w:r>
          </w:p>
        </w:tc>
        <w:tc>
          <w:tcPr>
            <w:tcW w:w="620" w:type="dxa"/>
            <w:vAlign w:val="bottom"/>
            <w:gridSpan w:val="2"/>
          </w:tcPr>
          <w:p>
            <w:pPr>
              <w:spacing w:after="0" w:line="122" w:lineRule="exact"/>
              <w:rPr>
                <w:sz w:val="20"/>
                <w:szCs w:val="20"/>
                <w:color w:val="auto"/>
              </w:rPr>
            </w:pPr>
            <w:r>
              <w:rPr>
                <w:rFonts w:ascii="Arial" w:cs="Arial" w:eastAsia="Arial" w:hAnsi="Arial"/>
                <w:sz w:val="11"/>
                <w:szCs w:val="11"/>
                <w:b w:val="1"/>
                <w:bCs w:val="1"/>
                <w:color w:val="auto"/>
                <w:w w:val="83"/>
              </w:rPr>
              <w:t>December 31,</w:t>
            </w:r>
          </w:p>
        </w:tc>
        <w:tc>
          <w:tcPr>
            <w:tcW w:w="220" w:type="dxa"/>
            <w:vAlign w:val="bottom"/>
          </w:tcPr>
          <w:p>
            <w:pPr>
              <w:spacing w:after="0"/>
              <w:rPr>
                <w:sz w:val="10"/>
                <w:szCs w:val="10"/>
                <w:color w:val="auto"/>
              </w:rPr>
            </w:pPr>
          </w:p>
        </w:tc>
        <w:tc>
          <w:tcPr>
            <w:tcW w:w="960" w:type="dxa"/>
            <w:vAlign w:val="bottom"/>
            <w:tcBorders>
              <w:right w:val="single" w:sz="8" w:color="auto"/>
            </w:tcBorders>
            <w:gridSpan w:val="3"/>
          </w:tcPr>
          <w:p>
            <w:pPr>
              <w:jc w:val="center"/>
              <w:ind w:right="300"/>
              <w:spacing w:after="0" w:line="122" w:lineRule="exact"/>
              <w:rPr>
                <w:sz w:val="20"/>
                <w:szCs w:val="20"/>
                <w:color w:val="auto"/>
              </w:rPr>
            </w:pPr>
            <w:r>
              <w:rPr>
                <w:rFonts w:ascii="Arial" w:cs="Arial" w:eastAsia="Arial" w:hAnsi="Arial"/>
                <w:sz w:val="11"/>
                <w:szCs w:val="11"/>
                <w:b w:val="1"/>
                <w:bCs w:val="1"/>
                <w:color w:val="auto"/>
                <w:w w:val="87"/>
              </w:rPr>
              <w:t>September 30,</w:t>
            </w:r>
          </w:p>
        </w:tc>
        <w:tc>
          <w:tcPr>
            <w:tcW w:w="360" w:type="dxa"/>
            <w:vAlign w:val="bottom"/>
          </w:tcPr>
          <w:p>
            <w:pPr>
              <w:spacing w:after="0"/>
              <w:rPr>
                <w:sz w:val="10"/>
                <w:szCs w:val="10"/>
                <w:color w:val="auto"/>
              </w:rPr>
            </w:pPr>
          </w:p>
        </w:tc>
        <w:tc>
          <w:tcPr>
            <w:tcW w:w="360" w:type="dxa"/>
            <w:vAlign w:val="bottom"/>
          </w:tcPr>
          <w:p>
            <w:pPr>
              <w:spacing w:after="0" w:line="122" w:lineRule="exact"/>
              <w:rPr>
                <w:sz w:val="20"/>
                <w:szCs w:val="20"/>
                <w:color w:val="auto"/>
              </w:rPr>
            </w:pPr>
            <w:r>
              <w:rPr>
                <w:rFonts w:ascii="Arial" w:cs="Arial" w:eastAsia="Arial" w:hAnsi="Arial"/>
                <w:sz w:val="11"/>
                <w:szCs w:val="11"/>
                <w:b w:val="1"/>
                <w:bCs w:val="1"/>
                <w:color w:val="auto"/>
                <w:w w:val="84"/>
              </w:rPr>
              <w:t>July 15,</w:t>
            </w:r>
          </w:p>
        </w:tc>
        <w:tc>
          <w:tcPr>
            <w:tcW w:w="220" w:type="dxa"/>
            <w:vAlign w:val="bottom"/>
          </w:tcPr>
          <w:p>
            <w:pPr>
              <w:spacing w:after="0"/>
              <w:rPr>
                <w:sz w:val="10"/>
                <w:szCs w:val="10"/>
                <w:color w:val="auto"/>
              </w:rPr>
            </w:pPr>
          </w:p>
        </w:tc>
        <w:tc>
          <w:tcPr>
            <w:tcW w:w="600" w:type="dxa"/>
            <w:vAlign w:val="bottom"/>
            <w:gridSpan w:val="2"/>
          </w:tcPr>
          <w:p>
            <w:pPr>
              <w:spacing w:after="0" w:line="122" w:lineRule="exact"/>
              <w:rPr>
                <w:sz w:val="20"/>
                <w:szCs w:val="20"/>
                <w:color w:val="auto"/>
              </w:rPr>
            </w:pPr>
            <w:r>
              <w:rPr>
                <w:rFonts w:ascii="Arial" w:cs="Arial" w:eastAsia="Arial" w:hAnsi="Arial"/>
                <w:sz w:val="11"/>
                <w:szCs w:val="11"/>
                <w:b w:val="1"/>
                <w:bCs w:val="1"/>
                <w:color w:val="auto"/>
              </w:rPr>
              <w:t>June 30,</w:t>
            </w:r>
          </w:p>
        </w:tc>
        <w:tc>
          <w:tcPr>
            <w:tcW w:w="520" w:type="dxa"/>
            <w:vAlign w:val="bottom"/>
            <w:gridSpan w:val="3"/>
          </w:tcPr>
          <w:p>
            <w:pPr>
              <w:jc w:val="center"/>
              <w:ind w:right="40"/>
              <w:spacing w:after="0" w:line="122" w:lineRule="exact"/>
              <w:rPr>
                <w:sz w:val="20"/>
                <w:szCs w:val="20"/>
                <w:color w:val="auto"/>
              </w:rPr>
            </w:pPr>
            <w:r>
              <w:rPr>
                <w:rFonts w:ascii="Arial" w:cs="Arial" w:eastAsia="Arial" w:hAnsi="Arial"/>
                <w:sz w:val="11"/>
                <w:szCs w:val="11"/>
                <w:b w:val="1"/>
                <w:bCs w:val="1"/>
                <w:color w:val="auto"/>
                <w:w w:val="94"/>
              </w:rPr>
              <w:t>March 31,</w:t>
            </w:r>
          </w:p>
        </w:tc>
      </w:tr>
      <w:tr>
        <w:trPr>
          <w:trHeight w:val="135"/>
        </w:trPr>
        <w:tc>
          <w:tcPr>
            <w:tcW w:w="2920" w:type="dxa"/>
            <w:vAlign w:val="bottom"/>
          </w:tcPr>
          <w:p>
            <w:pPr>
              <w:spacing w:after="0"/>
              <w:rPr>
                <w:sz w:val="20"/>
                <w:szCs w:val="20"/>
                <w:color w:val="auto"/>
              </w:rPr>
            </w:pPr>
            <w:r>
              <w:rPr>
                <w:rFonts w:ascii="Arial" w:cs="Arial" w:eastAsia="Arial" w:hAnsi="Arial"/>
                <w:sz w:val="11"/>
                <w:szCs w:val="11"/>
                <w:b w:val="1"/>
                <w:bCs w:val="1"/>
                <w:color w:val="auto"/>
              </w:rPr>
              <w:t>($ in thousands)</w:t>
            </w:r>
          </w:p>
        </w:tc>
        <w:tc>
          <w:tcPr>
            <w:tcW w:w="380" w:type="dxa"/>
            <w:vAlign w:val="bottom"/>
          </w:tcPr>
          <w:p>
            <w:pPr>
              <w:jc w:val="right"/>
              <w:ind w:right="24"/>
              <w:spacing w:after="0"/>
              <w:rPr>
                <w:sz w:val="20"/>
                <w:szCs w:val="20"/>
                <w:color w:val="auto"/>
              </w:rPr>
            </w:pPr>
            <w:r>
              <w:rPr>
                <w:rFonts w:ascii="Arial" w:cs="Arial" w:eastAsia="Arial" w:hAnsi="Arial"/>
                <w:sz w:val="11"/>
                <w:szCs w:val="11"/>
                <w:b w:val="1"/>
                <w:bCs w:val="1"/>
                <w:color w:val="auto"/>
              </w:rPr>
              <w:t>2021</w:t>
            </w:r>
          </w:p>
        </w:tc>
        <w:tc>
          <w:tcPr>
            <w:tcW w:w="200" w:type="dxa"/>
            <w:vAlign w:val="bottom"/>
          </w:tcPr>
          <w:p>
            <w:pPr>
              <w:spacing w:after="0"/>
              <w:rPr>
                <w:sz w:val="11"/>
                <w:szCs w:val="11"/>
                <w:color w:val="auto"/>
              </w:rPr>
            </w:pPr>
          </w:p>
        </w:tc>
        <w:tc>
          <w:tcPr>
            <w:tcW w:w="480" w:type="dxa"/>
            <w:vAlign w:val="bottom"/>
          </w:tcPr>
          <w:p>
            <w:pPr>
              <w:jc w:val="right"/>
              <w:ind w:right="64"/>
              <w:spacing w:after="0"/>
              <w:rPr>
                <w:sz w:val="20"/>
                <w:szCs w:val="20"/>
                <w:color w:val="auto"/>
              </w:rPr>
            </w:pPr>
            <w:r>
              <w:rPr>
                <w:rFonts w:ascii="Arial" w:cs="Arial" w:eastAsia="Arial" w:hAnsi="Arial"/>
                <w:sz w:val="11"/>
                <w:szCs w:val="11"/>
                <w:b w:val="1"/>
                <w:bCs w:val="1"/>
                <w:color w:val="auto"/>
              </w:rPr>
              <w:t>2021</w:t>
            </w: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40" w:type="dxa"/>
            <w:vAlign w:val="bottom"/>
          </w:tcPr>
          <w:p>
            <w:pPr>
              <w:jc w:val="center"/>
              <w:ind w:right="43"/>
              <w:spacing w:after="0"/>
              <w:rPr>
                <w:sz w:val="20"/>
                <w:szCs w:val="20"/>
                <w:color w:val="auto"/>
              </w:rPr>
            </w:pPr>
            <w:r>
              <w:rPr>
                <w:rFonts w:ascii="Arial" w:cs="Arial" w:eastAsia="Arial" w:hAnsi="Arial"/>
                <w:sz w:val="11"/>
                <w:szCs w:val="11"/>
                <w:b w:val="1"/>
                <w:bCs w:val="1"/>
                <w:color w:val="auto"/>
                <w:w w:val="81"/>
              </w:rPr>
              <w:t>2020</w:t>
            </w: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jc w:val="center"/>
              <w:ind w:right="44"/>
              <w:spacing w:after="0"/>
              <w:rPr>
                <w:sz w:val="20"/>
                <w:szCs w:val="20"/>
                <w:color w:val="auto"/>
              </w:rPr>
            </w:pPr>
            <w:r>
              <w:rPr>
                <w:rFonts w:ascii="Arial" w:cs="Arial" w:eastAsia="Arial" w:hAnsi="Arial"/>
                <w:sz w:val="11"/>
                <w:szCs w:val="11"/>
                <w:b w:val="1"/>
                <w:bCs w:val="1"/>
                <w:color w:val="auto"/>
                <w:w w:val="89"/>
              </w:rPr>
              <w:t>2020</w:t>
            </w:r>
          </w:p>
        </w:tc>
        <w:tc>
          <w:tcPr>
            <w:tcW w:w="200" w:type="dxa"/>
            <w:vAlign w:val="bottom"/>
          </w:tcPr>
          <w:p>
            <w:pPr>
              <w:spacing w:after="0"/>
              <w:rPr>
                <w:sz w:val="11"/>
                <w:szCs w:val="11"/>
                <w:color w:val="auto"/>
              </w:rPr>
            </w:pPr>
          </w:p>
        </w:tc>
        <w:tc>
          <w:tcPr>
            <w:tcW w:w="400" w:type="dxa"/>
            <w:vAlign w:val="bottom"/>
          </w:tcPr>
          <w:p>
            <w:pPr>
              <w:jc w:val="right"/>
              <w:ind w:right="44"/>
              <w:spacing w:after="0"/>
              <w:rPr>
                <w:sz w:val="20"/>
                <w:szCs w:val="20"/>
                <w:color w:val="auto"/>
              </w:rPr>
            </w:pPr>
            <w:r>
              <w:rPr>
                <w:rFonts w:ascii="Arial" w:cs="Arial" w:eastAsia="Arial" w:hAnsi="Arial"/>
                <w:sz w:val="11"/>
                <w:szCs w:val="11"/>
                <w:b w:val="1"/>
                <w:bCs w:val="1"/>
                <w:color w:val="auto"/>
              </w:rPr>
              <w:t>2020</w:t>
            </w:r>
          </w:p>
        </w:tc>
        <w:tc>
          <w:tcPr>
            <w:tcW w:w="200" w:type="dxa"/>
            <w:vAlign w:val="bottom"/>
          </w:tcPr>
          <w:p>
            <w:pPr>
              <w:spacing w:after="0"/>
              <w:rPr>
                <w:sz w:val="11"/>
                <w:szCs w:val="11"/>
                <w:color w:val="auto"/>
              </w:rPr>
            </w:pPr>
          </w:p>
        </w:tc>
        <w:tc>
          <w:tcPr>
            <w:tcW w:w="460" w:type="dxa"/>
            <w:vAlign w:val="bottom"/>
          </w:tcPr>
          <w:p>
            <w:pPr>
              <w:jc w:val="right"/>
              <w:ind w:right="64"/>
              <w:spacing w:after="0"/>
              <w:rPr>
                <w:sz w:val="20"/>
                <w:szCs w:val="20"/>
                <w:color w:val="auto"/>
              </w:rPr>
            </w:pPr>
            <w:r>
              <w:rPr>
                <w:rFonts w:ascii="Arial" w:cs="Arial" w:eastAsia="Arial" w:hAnsi="Arial"/>
                <w:sz w:val="11"/>
                <w:szCs w:val="11"/>
                <w:b w:val="1"/>
                <w:bCs w:val="1"/>
                <w:color w:val="auto"/>
              </w:rPr>
              <w:t>2020</w:t>
            </w: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jc w:val="center"/>
              <w:ind w:right="23"/>
              <w:spacing w:after="0"/>
              <w:rPr>
                <w:sz w:val="20"/>
                <w:szCs w:val="20"/>
                <w:color w:val="auto"/>
              </w:rPr>
            </w:pPr>
            <w:r>
              <w:rPr>
                <w:rFonts w:ascii="Arial" w:cs="Arial" w:eastAsia="Arial" w:hAnsi="Arial"/>
                <w:sz w:val="11"/>
                <w:szCs w:val="11"/>
                <w:b w:val="1"/>
                <w:bCs w:val="1"/>
                <w:color w:val="auto"/>
                <w:w w:val="89"/>
              </w:rPr>
              <w:t>2019</w:t>
            </w: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jc w:val="center"/>
              <w:ind w:right="44"/>
              <w:spacing w:after="0"/>
              <w:rPr>
                <w:sz w:val="20"/>
                <w:szCs w:val="20"/>
                <w:color w:val="auto"/>
              </w:rPr>
            </w:pPr>
            <w:r>
              <w:rPr>
                <w:rFonts w:ascii="Arial" w:cs="Arial" w:eastAsia="Arial" w:hAnsi="Arial"/>
                <w:sz w:val="11"/>
                <w:szCs w:val="11"/>
                <w:b w:val="1"/>
                <w:bCs w:val="1"/>
                <w:color w:val="auto"/>
                <w:w w:val="89"/>
              </w:rPr>
              <w:t>2019</w:t>
            </w:r>
          </w:p>
        </w:tc>
        <w:tc>
          <w:tcPr>
            <w:tcW w:w="300" w:type="dxa"/>
            <w:vAlign w:val="bottom"/>
            <w:tcBorders>
              <w:right w:val="single" w:sz="8" w:color="auto"/>
            </w:tcBorders>
          </w:tcPr>
          <w:p>
            <w:pPr>
              <w:spacing w:after="0"/>
              <w:rPr>
                <w:sz w:val="11"/>
                <w:szCs w:val="11"/>
                <w:color w:val="auto"/>
              </w:rPr>
            </w:pPr>
          </w:p>
        </w:tc>
        <w:tc>
          <w:tcPr>
            <w:tcW w:w="360" w:type="dxa"/>
            <w:vAlign w:val="bottom"/>
          </w:tcPr>
          <w:p>
            <w:pPr>
              <w:spacing w:after="0"/>
              <w:rPr>
                <w:sz w:val="11"/>
                <w:szCs w:val="11"/>
                <w:color w:val="auto"/>
              </w:rPr>
            </w:pPr>
          </w:p>
        </w:tc>
        <w:tc>
          <w:tcPr>
            <w:tcW w:w="360" w:type="dxa"/>
            <w:vAlign w:val="bottom"/>
          </w:tcPr>
          <w:p>
            <w:pPr>
              <w:jc w:val="center"/>
              <w:spacing w:after="0"/>
              <w:rPr>
                <w:sz w:val="20"/>
                <w:szCs w:val="20"/>
                <w:color w:val="auto"/>
              </w:rPr>
            </w:pPr>
            <w:r>
              <w:rPr>
                <w:rFonts w:ascii="Arial" w:cs="Arial" w:eastAsia="Arial" w:hAnsi="Arial"/>
                <w:sz w:val="11"/>
                <w:szCs w:val="11"/>
                <w:b w:val="1"/>
                <w:bCs w:val="1"/>
                <w:color w:val="auto"/>
                <w:w w:val="89"/>
              </w:rPr>
              <w:t>2019</w:t>
            </w:r>
          </w:p>
        </w:tc>
        <w:tc>
          <w:tcPr>
            <w:tcW w:w="600" w:type="dxa"/>
            <w:vAlign w:val="bottom"/>
            <w:gridSpan w:val="2"/>
          </w:tcPr>
          <w:p>
            <w:pPr>
              <w:jc w:val="right"/>
              <w:ind w:right="23"/>
              <w:spacing w:after="0"/>
              <w:rPr>
                <w:sz w:val="20"/>
                <w:szCs w:val="20"/>
                <w:color w:val="auto"/>
              </w:rPr>
            </w:pPr>
            <w:r>
              <w:rPr>
                <w:rFonts w:ascii="Arial" w:cs="Arial" w:eastAsia="Arial" w:hAnsi="Arial"/>
                <w:sz w:val="11"/>
                <w:szCs w:val="11"/>
                <w:b w:val="1"/>
                <w:bCs w:val="1"/>
                <w:color w:val="auto"/>
              </w:rPr>
              <w:t>2019</w:t>
            </w:r>
          </w:p>
        </w:tc>
        <w:tc>
          <w:tcPr>
            <w:tcW w:w="2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20" w:type="dxa"/>
            <w:vAlign w:val="bottom"/>
          </w:tcPr>
          <w:p>
            <w:pPr>
              <w:jc w:val="center"/>
              <w:ind w:right="23"/>
              <w:spacing w:after="0"/>
              <w:rPr>
                <w:sz w:val="20"/>
                <w:szCs w:val="20"/>
                <w:color w:val="auto"/>
              </w:rPr>
            </w:pPr>
            <w:r>
              <w:rPr>
                <w:rFonts w:ascii="Arial" w:cs="Arial" w:eastAsia="Arial" w:hAnsi="Arial"/>
                <w:sz w:val="11"/>
                <w:szCs w:val="11"/>
                <w:b w:val="1"/>
                <w:bCs w:val="1"/>
                <w:color w:val="auto"/>
                <w:w w:val="89"/>
              </w:rPr>
              <w:t>2019</w:t>
            </w:r>
          </w:p>
        </w:tc>
        <w:tc>
          <w:tcPr>
            <w:tcW w:w="40" w:type="dxa"/>
            <w:vAlign w:val="bottom"/>
          </w:tcPr>
          <w:p>
            <w:pPr>
              <w:spacing w:after="0"/>
              <w:rPr>
                <w:sz w:val="11"/>
                <w:szCs w:val="11"/>
                <w:color w:val="auto"/>
              </w:rPr>
            </w:pPr>
          </w:p>
        </w:tc>
      </w:tr>
      <w:tr>
        <w:trPr>
          <w:trHeight w:val="142"/>
        </w:trPr>
        <w:tc>
          <w:tcPr>
            <w:tcW w:w="2920" w:type="dxa"/>
            <w:vAlign w:val="bottom"/>
            <w:tcBorders>
              <w:top w:val="single" w:sz="8" w:color="CCEEFF"/>
            </w:tcBorders>
            <w:shd w:val="clear" w:color="auto" w:fill="CCEEFF"/>
          </w:tcPr>
          <w:p>
            <w:pPr>
              <w:spacing w:after="0" w:line="142" w:lineRule="exact"/>
              <w:rPr>
                <w:sz w:val="20"/>
                <w:szCs w:val="20"/>
                <w:color w:val="auto"/>
              </w:rPr>
            </w:pPr>
            <w:r>
              <w:rPr>
                <w:rFonts w:ascii="Arial" w:cs="Arial" w:eastAsia="Arial" w:hAnsi="Arial"/>
                <w:sz w:val="13"/>
                <w:szCs w:val="13"/>
                <w:color w:val="auto"/>
              </w:rPr>
              <w:t>Cash paid for interest</w:t>
            </w:r>
          </w:p>
        </w:tc>
        <w:tc>
          <w:tcPr>
            <w:tcW w:w="38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3"/>
                <w:szCs w:val="13"/>
                <w:color w:val="auto"/>
                <w:w w:val="82"/>
              </w:rPr>
              <w:t>$ 7,933</w:t>
            </w:r>
          </w:p>
        </w:tc>
        <w:tc>
          <w:tcPr>
            <w:tcW w:w="200" w:type="dxa"/>
            <w:vAlign w:val="bottom"/>
            <w:tcBorders>
              <w:top w:val="single" w:sz="8" w:color="CCEEFF"/>
            </w:tcBorders>
            <w:shd w:val="clear" w:color="auto" w:fill="CCEEFF"/>
          </w:tcPr>
          <w:p>
            <w:pPr>
              <w:spacing w:after="0"/>
              <w:rPr>
                <w:sz w:val="12"/>
                <w:szCs w:val="12"/>
                <w:color w:val="auto"/>
              </w:rPr>
            </w:pPr>
          </w:p>
        </w:tc>
        <w:tc>
          <w:tcPr>
            <w:tcW w:w="48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3"/>
                <w:szCs w:val="13"/>
                <w:color w:val="auto"/>
                <w:w w:val="97"/>
              </w:rPr>
              <w:t>$  8,039</w:t>
            </w:r>
          </w:p>
        </w:tc>
        <w:tc>
          <w:tcPr>
            <w:tcW w:w="20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54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3"/>
                <w:szCs w:val="13"/>
                <w:color w:val="auto"/>
              </w:rPr>
              <w:t>2,915</w:t>
            </w:r>
          </w:p>
        </w:tc>
        <w:tc>
          <w:tcPr>
            <w:tcW w:w="20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56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3"/>
                <w:szCs w:val="13"/>
                <w:color w:val="auto"/>
              </w:rPr>
              <w:t>9,157</w:t>
            </w:r>
          </w:p>
        </w:tc>
        <w:tc>
          <w:tcPr>
            <w:tcW w:w="200" w:type="dxa"/>
            <w:vAlign w:val="bottom"/>
            <w:tcBorders>
              <w:top w:val="single" w:sz="8" w:color="CCEEFF"/>
            </w:tcBorders>
            <w:shd w:val="clear" w:color="auto" w:fill="CCEEFF"/>
          </w:tcPr>
          <w:p>
            <w:pPr>
              <w:spacing w:after="0"/>
              <w:rPr>
                <w:sz w:val="12"/>
                <w:szCs w:val="12"/>
                <w:color w:val="auto"/>
              </w:rPr>
            </w:pPr>
          </w:p>
        </w:tc>
        <w:tc>
          <w:tcPr>
            <w:tcW w:w="40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3"/>
                <w:szCs w:val="13"/>
                <w:color w:val="auto"/>
                <w:w w:val="87"/>
              </w:rPr>
              <w:t>$ 6,970</w:t>
            </w:r>
          </w:p>
        </w:tc>
        <w:tc>
          <w:tcPr>
            <w:tcW w:w="200" w:type="dxa"/>
            <w:vAlign w:val="bottom"/>
            <w:tcBorders>
              <w:top w:val="single" w:sz="8" w:color="CCEEFF"/>
            </w:tcBorders>
            <w:shd w:val="clear" w:color="auto" w:fill="CCEEFF"/>
          </w:tcPr>
          <w:p>
            <w:pPr>
              <w:spacing w:after="0"/>
              <w:rPr>
                <w:sz w:val="12"/>
                <w:szCs w:val="12"/>
                <w:color w:val="auto"/>
              </w:rPr>
            </w:pPr>
          </w:p>
        </w:tc>
        <w:tc>
          <w:tcPr>
            <w:tcW w:w="46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3"/>
                <w:szCs w:val="13"/>
                <w:color w:val="auto"/>
                <w:w w:val="93"/>
              </w:rPr>
              <w:t>$  6,916</w:t>
            </w:r>
          </w:p>
        </w:tc>
        <w:tc>
          <w:tcPr>
            <w:tcW w:w="22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line="142" w:lineRule="exact"/>
              <w:rPr>
                <w:sz w:val="20"/>
                <w:szCs w:val="20"/>
                <w:color w:val="auto"/>
              </w:rPr>
            </w:pPr>
            <w:r>
              <w:rPr>
                <w:rFonts w:ascii="Arial" w:cs="Arial" w:eastAsia="Arial" w:hAnsi="Arial"/>
                <w:sz w:val="13"/>
                <w:szCs w:val="13"/>
                <w:color w:val="auto"/>
                <w:w w:val="82"/>
              </w:rPr>
              <w:t>$</w:t>
            </w:r>
          </w:p>
        </w:tc>
        <w:tc>
          <w:tcPr>
            <w:tcW w:w="54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3"/>
                <w:szCs w:val="13"/>
                <w:color w:val="auto"/>
              </w:rPr>
              <w:t>7,326</w:t>
            </w:r>
          </w:p>
        </w:tc>
        <w:tc>
          <w:tcPr>
            <w:tcW w:w="22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56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3"/>
                <w:szCs w:val="13"/>
                <w:color w:val="auto"/>
              </w:rPr>
              <w:t>2,613</w:t>
            </w:r>
          </w:p>
        </w:tc>
        <w:tc>
          <w:tcPr>
            <w:tcW w:w="300" w:type="dxa"/>
            <w:vAlign w:val="bottom"/>
            <w:tcBorders>
              <w:top w:val="single" w:sz="8" w:color="CCEEFF"/>
              <w:right w:val="single" w:sz="8" w:color="auto"/>
            </w:tcBorders>
            <w:shd w:val="clear" w:color="auto" w:fill="CCEEFF"/>
          </w:tcPr>
          <w:p>
            <w:pPr>
              <w:spacing w:after="0"/>
              <w:rPr>
                <w:sz w:val="12"/>
                <w:szCs w:val="12"/>
                <w:color w:val="auto"/>
              </w:rPr>
            </w:pPr>
          </w:p>
        </w:tc>
        <w:tc>
          <w:tcPr>
            <w:tcW w:w="360" w:type="dxa"/>
            <w:vAlign w:val="bottom"/>
            <w:tcBorders>
              <w:top w:val="single" w:sz="8" w:color="CCEEFF"/>
            </w:tcBorders>
            <w:shd w:val="clear" w:color="auto" w:fill="CCEEFF"/>
          </w:tcPr>
          <w:p>
            <w:pPr>
              <w:spacing w:after="0"/>
              <w:rPr>
                <w:sz w:val="12"/>
                <w:szCs w:val="12"/>
                <w:color w:val="auto"/>
              </w:rPr>
            </w:pPr>
          </w:p>
        </w:tc>
        <w:tc>
          <w:tcPr>
            <w:tcW w:w="360" w:type="dxa"/>
            <w:vAlign w:val="bottom"/>
            <w:tcBorders>
              <w:top w:val="single" w:sz="8" w:color="auto"/>
            </w:tcBorders>
            <w:shd w:val="clear" w:color="auto" w:fill="CCEEFF"/>
          </w:tcPr>
          <w:p>
            <w:pPr>
              <w:ind w:left="160"/>
              <w:spacing w:after="0" w:line="142" w:lineRule="exact"/>
              <w:rPr>
                <w:sz w:val="20"/>
                <w:szCs w:val="20"/>
                <w:color w:val="auto"/>
              </w:rPr>
            </w:pPr>
            <w:r>
              <w:rPr>
                <w:rFonts w:ascii="Arial" w:cs="Arial" w:eastAsia="Arial" w:hAnsi="Arial"/>
                <w:sz w:val="13"/>
                <w:szCs w:val="13"/>
                <w:color w:val="auto"/>
              </w:rPr>
              <w:t>—</w:t>
            </w:r>
          </w:p>
        </w:tc>
        <w:tc>
          <w:tcPr>
            <w:tcW w:w="220" w:type="dxa"/>
            <w:vAlign w:val="bottom"/>
            <w:tcBorders>
              <w:top w:val="single" w:sz="8" w:color="CCEEFF"/>
            </w:tcBorders>
            <w:shd w:val="clear" w:color="auto" w:fill="CCEEFF"/>
          </w:tcPr>
          <w:p>
            <w:pPr>
              <w:spacing w:after="0"/>
              <w:rPr>
                <w:sz w:val="12"/>
                <w:szCs w:val="12"/>
                <w:color w:val="auto"/>
              </w:rPr>
            </w:pPr>
          </w:p>
        </w:tc>
        <w:tc>
          <w:tcPr>
            <w:tcW w:w="38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3"/>
                <w:szCs w:val="13"/>
                <w:color w:val="auto"/>
                <w:w w:val="99"/>
              </w:rPr>
              <w:t>$  138</w:t>
            </w:r>
          </w:p>
        </w:tc>
        <w:tc>
          <w:tcPr>
            <w:tcW w:w="220" w:type="dxa"/>
            <w:vAlign w:val="bottom"/>
            <w:tcBorders>
              <w:top w:val="single" w:sz="8" w:color="CCEEFF"/>
            </w:tcBorders>
            <w:shd w:val="clear" w:color="auto" w:fill="CCEEFF"/>
          </w:tcPr>
          <w:p>
            <w:pPr>
              <w:spacing w:after="0"/>
              <w:rPr>
                <w:sz w:val="12"/>
                <w:szCs w:val="12"/>
                <w:color w:val="auto"/>
              </w:rPr>
            </w:pPr>
          </w:p>
        </w:tc>
        <w:tc>
          <w:tcPr>
            <w:tcW w:w="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42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3"/>
                <w:szCs w:val="13"/>
                <w:color w:val="auto"/>
              </w:rPr>
              <w:t>139</w:t>
            </w:r>
          </w:p>
        </w:tc>
        <w:tc>
          <w:tcPr>
            <w:tcW w:w="40" w:type="dxa"/>
            <w:vAlign w:val="bottom"/>
            <w:tcBorders>
              <w:top w:val="single" w:sz="8" w:color="CCEEFF"/>
            </w:tcBorders>
            <w:shd w:val="clear" w:color="auto" w:fill="CCEEFF"/>
          </w:tcPr>
          <w:p>
            <w:pPr>
              <w:spacing w:after="0"/>
              <w:rPr>
                <w:sz w:val="12"/>
                <w:szCs w:val="1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85725</wp:posOffset>
            </wp:positionV>
            <wp:extent cx="771525" cy="825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55" w:lineRule="exact"/>
        <w:rPr>
          <w:sz w:val="20"/>
          <w:szCs w:val="20"/>
          <w:color w:val="auto"/>
        </w:rPr>
      </w:pPr>
    </w:p>
    <w:p>
      <w:pPr>
        <w:ind w:left="540" w:hanging="424"/>
        <w:spacing w:after="0"/>
        <w:tabs>
          <w:tab w:leader="none" w:pos="540" w:val="left"/>
        </w:tabs>
        <w:numPr>
          <w:ilvl w:val="0"/>
          <w:numId w:val="87"/>
        </w:numPr>
        <w:rPr>
          <w:rFonts w:ascii="Arial" w:cs="Arial" w:eastAsia="Arial" w:hAnsi="Arial"/>
          <w:sz w:val="18"/>
          <w:szCs w:val="18"/>
          <w:color w:val="auto"/>
        </w:rPr>
      </w:pPr>
      <w:r>
        <w:rPr>
          <w:rFonts w:ascii="Arial" w:cs="Arial" w:eastAsia="Arial" w:hAnsi="Arial"/>
          <w:sz w:val="18"/>
          <w:szCs w:val="18"/>
          <w:color w:val="auto"/>
        </w:rPr>
        <w:t>Net cash provided by (used in) investing activities includes purchases of property, equipment and other assets as follows:</w:t>
      </w:r>
    </w:p>
    <w:p>
      <w:pPr>
        <w:spacing w:after="0" w:line="253" w:lineRule="exact"/>
        <w:rPr>
          <w:sz w:val="20"/>
          <w:szCs w:val="20"/>
          <w:color w:val="auto"/>
        </w:rPr>
      </w:pPr>
    </w:p>
    <w:tbl>
      <w:tblPr>
        <w:tblLayout w:type="fixed"/>
        <w:tblInd w:w="120" w:type="dxa"/>
        <w:tblCellMar>
          <w:top w:w="0" w:type="dxa"/>
          <w:left w:w="0" w:type="dxa"/>
          <w:bottom w:w="0" w:type="dxa"/>
          <w:right w:w="0" w:type="dxa"/>
        </w:tblCellMar>
      </w:tblPr>
      <w:tr>
        <w:trPr>
          <w:trHeight w:val="135"/>
        </w:trPr>
        <w:tc>
          <w:tcPr>
            <w:tcW w:w="29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80" w:type="dxa"/>
            <w:vAlign w:val="bottom"/>
            <w:tcBorders>
              <w:bottom w:val="single" w:sz="8" w:color="auto"/>
            </w:tcBorders>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460" w:type="dxa"/>
            <w:vAlign w:val="bottom"/>
            <w:tcBorders>
              <w:bottom w:val="single" w:sz="8" w:color="auto"/>
            </w:tcBorders>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40" w:type="dxa"/>
            <w:vAlign w:val="bottom"/>
            <w:tcBorders>
              <w:bottom w:val="single" w:sz="8" w:color="auto"/>
            </w:tcBorders>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1340" w:type="dxa"/>
            <w:vAlign w:val="bottom"/>
            <w:tcBorders>
              <w:bottom w:val="single" w:sz="8" w:color="auto"/>
            </w:tcBorders>
            <w:gridSpan w:val="4"/>
          </w:tcPr>
          <w:p>
            <w:pPr>
              <w:ind w:left="440"/>
              <w:spacing w:after="0"/>
              <w:rPr>
                <w:sz w:val="20"/>
                <w:szCs w:val="20"/>
                <w:color w:val="auto"/>
              </w:rPr>
            </w:pPr>
            <w:r>
              <w:rPr>
                <w:rFonts w:ascii="Arial" w:cs="Arial" w:eastAsia="Arial" w:hAnsi="Arial"/>
                <w:sz w:val="11"/>
                <w:szCs w:val="11"/>
                <w:b w:val="1"/>
                <w:bCs w:val="1"/>
                <w:color w:val="auto"/>
              </w:rPr>
              <w:t>Successor</w:t>
            </w:r>
          </w:p>
        </w:tc>
        <w:tc>
          <w:tcPr>
            <w:tcW w:w="60" w:type="dxa"/>
            <w:vAlign w:val="bottom"/>
            <w:tcBorders>
              <w:bottom w:val="single" w:sz="8" w:color="auto"/>
            </w:tcBorders>
          </w:tcPr>
          <w:p>
            <w:pPr>
              <w:spacing w:after="0"/>
              <w:rPr>
                <w:sz w:val="11"/>
                <w:szCs w:val="11"/>
                <w:color w:val="auto"/>
              </w:rPr>
            </w:pPr>
          </w:p>
        </w:tc>
        <w:tc>
          <w:tcPr>
            <w:tcW w:w="400" w:type="dxa"/>
            <w:vAlign w:val="bottom"/>
            <w:tcBorders>
              <w:bottom w:val="single" w:sz="8" w:color="auto"/>
            </w:tcBorders>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540" w:type="dxa"/>
            <w:vAlign w:val="bottom"/>
            <w:tcBorders>
              <w:bottom w:val="single" w:sz="8" w:color="auto"/>
            </w:tcBorders>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60" w:type="dxa"/>
            <w:vAlign w:val="bottom"/>
            <w:tcBorders>
              <w:bottom w:val="single" w:sz="8" w:color="auto"/>
            </w:tcBorders>
          </w:tcPr>
          <w:p>
            <w:pPr>
              <w:spacing w:after="0"/>
              <w:rPr>
                <w:sz w:val="11"/>
                <w:szCs w:val="11"/>
                <w:color w:val="auto"/>
              </w:rPr>
            </w:pPr>
          </w:p>
        </w:tc>
        <w:tc>
          <w:tcPr>
            <w:tcW w:w="260" w:type="dxa"/>
            <w:vAlign w:val="bottom"/>
            <w:tcBorders>
              <w:right w:val="single" w:sz="8" w:color="auto"/>
            </w:tcBorders>
          </w:tcPr>
          <w:p>
            <w:pPr>
              <w:spacing w:after="0"/>
              <w:rPr>
                <w:sz w:val="11"/>
                <w:szCs w:val="11"/>
                <w:color w:val="auto"/>
              </w:rPr>
            </w:pPr>
          </w:p>
        </w:tc>
        <w:tc>
          <w:tcPr>
            <w:tcW w:w="320" w:type="dxa"/>
            <w:vAlign w:val="bottom"/>
          </w:tcPr>
          <w:p>
            <w:pPr>
              <w:spacing w:after="0"/>
              <w:rPr>
                <w:sz w:val="11"/>
                <w:szCs w:val="11"/>
                <w:color w:val="auto"/>
              </w:rPr>
            </w:pPr>
          </w:p>
        </w:tc>
        <w:tc>
          <w:tcPr>
            <w:tcW w:w="36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700" w:type="dxa"/>
            <w:vAlign w:val="bottom"/>
            <w:tcBorders>
              <w:bottom w:val="single" w:sz="8" w:color="auto"/>
            </w:tcBorders>
            <w:gridSpan w:val="3"/>
          </w:tcPr>
          <w:p>
            <w:pPr>
              <w:ind w:left="80"/>
              <w:spacing w:after="0"/>
              <w:rPr>
                <w:sz w:val="20"/>
                <w:szCs w:val="20"/>
                <w:color w:val="auto"/>
              </w:rPr>
            </w:pPr>
            <w:r>
              <w:rPr>
                <w:rFonts w:ascii="Arial" w:cs="Arial" w:eastAsia="Arial" w:hAnsi="Arial"/>
                <w:sz w:val="11"/>
                <w:szCs w:val="11"/>
                <w:b w:val="1"/>
                <w:bCs w:val="1"/>
                <w:color w:val="auto"/>
                <w:w w:val="90"/>
              </w:rPr>
              <w:t>Predecessor</w:t>
            </w:r>
          </w:p>
        </w:tc>
        <w:tc>
          <w:tcPr>
            <w:tcW w:w="60" w:type="dxa"/>
            <w:vAlign w:val="bottom"/>
            <w:tcBorders>
              <w:bottom w:val="single" w:sz="8" w:color="auto"/>
            </w:tcBorders>
          </w:tcPr>
          <w:p>
            <w:pPr>
              <w:spacing w:after="0"/>
              <w:rPr>
                <w:sz w:val="11"/>
                <w:szCs w:val="11"/>
                <w:color w:val="auto"/>
              </w:rPr>
            </w:pPr>
          </w:p>
        </w:tc>
        <w:tc>
          <w:tcPr>
            <w:tcW w:w="420" w:type="dxa"/>
            <w:vAlign w:val="bottom"/>
            <w:tcBorders>
              <w:bottom w:val="single" w:sz="8" w:color="auto"/>
            </w:tcBorders>
          </w:tcPr>
          <w:p>
            <w:pPr>
              <w:spacing w:after="0"/>
              <w:rPr>
                <w:sz w:val="11"/>
                <w:szCs w:val="11"/>
                <w:color w:val="auto"/>
              </w:rPr>
            </w:pPr>
          </w:p>
        </w:tc>
        <w:tc>
          <w:tcPr>
            <w:tcW w:w="40" w:type="dxa"/>
            <w:vAlign w:val="bottom"/>
          </w:tcPr>
          <w:p>
            <w:pPr>
              <w:spacing w:after="0"/>
              <w:rPr>
                <w:sz w:val="11"/>
                <w:szCs w:val="11"/>
                <w:color w:val="auto"/>
              </w:rPr>
            </w:pPr>
          </w:p>
        </w:tc>
      </w:tr>
      <w:tr>
        <w:trPr>
          <w:trHeight w:val="101"/>
        </w:trPr>
        <w:tc>
          <w:tcPr>
            <w:tcW w:w="2900" w:type="dxa"/>
            <w:vAlign w:val="bottom"/>
          </w:tcPr>
          <w:p>
            <w:pPr>
              <w:spacing w:after="0"/>
              <w:rPr>
                <w:sz w:val="8"/>
                <w:szCs w:val="8"/>
                <w:color w:val="auto"/>
              </w:rPr>
            </w:pPr>
          </w:p>
        </w:tc>
        <w:tc>
          <w:tcPr>
            <w:tcW w:w="220" w:type="dxa"/>
            <w:vAlign w:val="bottom"/>
          </w:tcPr>
          <w:p>
            <w:pPr>
              <w:spacing w:after="0"/>
              <w:rPr>
                <w:sz w:val="8"/>
                <w:szCs w:val="8"/>
                <w:color w:val="auto"/>
              </w:rPr>
            </w:pPr>
          </w:p>
        </w:tc>
        <w:tc>
          <w:tcPr>
            <w:tcW w:w="380" w:type="dxa"/>
            <w:vAlign w:val="bottom"/>
          </w:tcPr>
          <w:p>
            <w:pPr>
              <w:spacing w:after="0"/>
              <w:rPr>
                <w:sz w:val="8"/>
                <w:szCs w:val="8"/>
                <w:color w:val="auto"/>
              </w:rPr>
            </w:pPr>
          </w:p>
        </w:tc>
        <w:tc>
          <w:tcPr>
            <w:tcW w:w="200" w:type="dxa"/>
            <w:vAlign w:val="bottom"/>
          </w:tcPr>
          <w:p>
            <w:pPr>
              <w:spacing w:after="0"/>
              <w:rPr>
                <w:sz w:val="8"/>
                <w:szCs w:val="8"/>
                <w:color w:val="auto"/>
              </w:rPr>
            </w:pPr>
          </w:p>
        </w:tc>
        <w:tc>
          <w:tcPr>
            <w:tcW w:w="460" w:type="dxa"/>
            <w:vAlign w:val="bottom"/>
          </w:tcPr>
          <w:p>
            <w:pPr>
              <w:spacing w:after="0"/>
              <w:rPr>
                <w:sz w:val="8"/>
                <w:szCs w:val="8"/>
                <w:color w:val="auto"/>
              </w:rPr>
            </w:pPr>
          </w:p>
        </w:tc>
        <w:tc>
          <w:tcPr>
            <w:tcW w:w="2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40" w:type="dxa"/>
            <w:vAlign w:val="bottom"/>
          </w:tcPr>
          <w:p>
            <w:pPr>
              <w:spacing w:after="0"/>
              <w:rPr>
                <w:sz w:val="8"/>
                <w:szCs w:val="8"/>
                <w:color w:val="auto"/>
              </w:rPr>
            </w:pPr>
          </w:p>
        </w:tc>
        <w:tc>
          <w:tcPr>
            <w:tcW w:w="18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200" w:type="dxa"/>
            <w:vAlign w:val="bottom"/>
          </w:tcPr>
          <w:p>
            <w:pPr>
              <w:spacing w:after="0"/>
              <w:rPr>
                <w:sz w:val="8"/>
                <w:szCs w:val="8"/>
                <w:color w:val="auto"/>
              </w:rPr>
            </w:pPr>
          </w:p>
        </w:tc>
        <w:tc>
          <w:tcPr>
            <w:tcW w:w="380" w:type="dxa"/>
            <w:vAlign w:val="bottom"/>
          </w:tcPr>
          <w:p>
            <w:pPr>
              <w:spacing w:after="0"/>
              <w:rPr>
                <w:sz w:val="8"/>
                <w:szCs w:val="8"/>
                <w:color w:val="auto"/>
              </w:rPr>
            </w:pPr>
          </w:p>
        </w:tc>
        <w:tc>
          <w:tcPr>
            <w:tcW w:w="200" w:type="dxa"/>
            <w:vAlign w:val="bottom"/>
          </w:tcPr>
          <w:p>
            <w:pPr>
              <w:spacing w:after="0"/>
              <w:rPr>
                <w:sz w:val="8"/>
                <w:szCs w:val="8"/>
                <w:color w:val="auto"/>
              </w:rPr>
            </w:pPr>
          </w:p>
        </w:tc>
        <w:tc>
          <w:tcPr>
            <w:tcW w:w="60" w:type="dxa"/>
            <w:vAlign w:val="bottom"/>
          </w:tcPr>
          <w:p>
            <w:pPr>
              <w:spacing w:after="0"/>
              <w:rPr>
                <w:sz w:val="8"/>
                <w:szCs w:val="8"/>
                <w:color w:val="auto"/>
              </w:rPr>
            </w:pPr>
          </w:p>
        </w:tc>
        <w:tc>
          <w:tcPr>
            <w:tcW w:w="40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540" w:type="dxa"/>
            <w:vAlign w:val="bottom"/>
          </w:tcPr>
          <w:p>
            <w:pPr>
              <w:spacing w:after="0"/>
              <w:rPr>
                <w:sz w:val="8"/>
                <w:szCs w:val="8"/>
                <w:color w:val="auto"/>
              </w:rPr>
            </w:pPr>
          </w:p>
        </w:tc>
        <w:tc>
          <w:tcPr>
            <w:tcW w:w="2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jc w:val="center"/>
              <w:ind w:right="84"/>
              <w:spacing w:after="0" w:line="102" w:lineRule="exact"/>
              <w:rPr>
                <w:sz w:val="20"/>
                <w:szCs w:val="20"/>
                <w:color w:val="auto"/>
              </w:rPr>
            </w:pPr>
            <w:r>
              <w:rPr>
                <w:rFonts w:ascii="Arial" w:cs="Arial" w:eastAsia="Arial" w:hAnsi="Arial"/>
                <w:sz w:val="11"/>
                <w:szCs w:val="11"/>
                <w:b w:val="1"/>
                <w:bCs w:val="1"/>
                <w:color w:val="auto"/>
                <w:w w:val="87"/>
              </w:rPr>
              <w:t>Period</w:t>
            </w:r>
          </w:p>
        </w:tc>
        <w:tc>
          <w:tcPr>
            <w:tcW w:w="260" w:type="dxa"/>
            <w:vAlign w:val="bottom"/>
            <w:tcBorders>
              <w:right w:val="single" w:sz="8" w:color="auto"/>
            </w:tcBorders>
          </w:tcPr>
          <w:p>
            <w:pPr>
              <w:spacing w:after="0"/>
              <w:rPr>
                <w:sz w:val="8"/>
                <w:szCs w:val="8"/>
                <w:color w:val="auto"/>
              </w:rPr>
            </w:pPr>
          </w:p>
        </w:tc>
        <w:tc>
          <w:tcPr>
            <w:tcW w:w="320" w:type="dxa"/>
            <w:vAlign w:val="bottom"/>
          </w:tcPr>
          <w:p>
            <w:pPr>
              <w:spacing w:after="0"/>
              <w:rPr>
                <w:sz w:val="8"/>
                <w:szCs w:val="8"/>
                <w:color w:val="auto"/>
              </w:rPr>
            </w:pPr>
          </w:p>
        </w:tc>
        <w:tc>
          <w:tcPr>
            <w:tcW w:w="460" w:type="dxa"/>
            <w:vAlign w:val="bottom"/>
            <w:gridSpan w:val="2"/>
          </w:tcPr>
          <w:p>
            <w:pPr>
              <w:jc w:val="center"/>
              <w:ind w:right="120"/>
              <w:spacing w:after="0" w:line="102" w:lineRule="exact"/>
              <w:rPr>
                <w:sz w:val="20"/>
                <w:szCs w:val="20"/>
                <w:color w:val="auto"/>
              </w:rPr>
            </w:pPr>
            <w:r>
              <w:rPr>
                <w:rFonts w:ascii="Arial" w:cs="Arial" w:eastAsia="Arial" w:hAnsi="Arial"/>
                <w:sz w:val="11"/>
                <w:szCs w:val="11"/>
                <w:b w:val="1"/>
                <w:bCs w:val="1"/>
                <w:color w:val="auto"/>
                <w:w w:val="87"/>
              </w:rPr>
              <w:t>Period</w:t>
            </w:r>
          </w:p>
        </w:tc>
        <w:tc>
          <w:tcPr>
            <w:tcW w:w="100" w:type="dxa"/>
            <w:vAlign w:val="bottom"/>
          </w:tcPr>
          <w:p>
            <w:pPr>
              <w:spacing w:after="0"/>
              <w:rPr>
                <w:sz w:val="8"/>
                <w:szCs w:val="8"/>
                <w:color w:val="auto"/>
              </w:rPr>
            </w:pPr>
          </w:p>
        </w:tc>
        <w:tc>
          <w:tcPr>
            <w:tcW w:w="400" w:type="dxa"/>
            <w:vAlign w:val="bottom"/>
          </w:tcPr>
          <w:p>
            <w:pPr>
              <w:spacing w:after="0"/>
              <w:rPr>
                <w:sz w:val="8"/>
                <w:szCs w:val="8"/>
                <w:color w:val="auto"/>
              </w:rPr>
            </w:pPr>
          </w:p>
        </w:tc>
        <w:tc>
          <w:tcPr>
            <w:tcW w:w="200" w:type="dxa"/>
            <w:vAlign w:val="bottom"/>
          </w:tcPr>
          <w:p>
            <w:pPr>
              <w:spacing w:after="0"/>
              <w:rPr>
                <w:sz w:val="8"/>
                <w:szCs w:val="8"/>
                <w:color w:val="auto"/>
              </w:rPr>
            </w:pPr>
          </w:p>
        </w:tc>
        <w:tc>
          <w:tcPr>
            <w:tcW w:w="60" w:type="dxa"/>
            <w:vAlign w:val="bottom"/>
          </w:tcPr>
          <w:p>
            <w:pPr>
              <w:spacing w:after="0"/>
              <w:rPr>
                <w:sz w:val="8"/>
                <w:szCs w:val="8"/>
                <w:color w:val="auto"/>
              </w:rPr>
            </w:pPr>
          </w:p>
        </w:tc>
        <w:tc>
          <w:tcPr>
            <w:tcW w:w="420" w:type="dxa"/>
            <w:vAlign w:val="bottom"/>
          </w:tcPr>
          <w:p>
            <w:pPr>
              <w:spacing w:after="0"/>
              <w:rPr>
                <w:sz w:val="8"/>
                <w:szCs w:val="8"/>
                <w:color w:val="auto"/>
              </w:rPr>
            </w:pPr>
          </w:p>
        </w:tc>
        <w:tc>
          <w:tcPr>
            <w:tcW w:w="40" w:type="dxa"/>
            <w:vAlign w:val="bottom"/>
          </w:tcPr>
          <w:p>
            <w:pPr>
              <w:spacing w:after="0"/>
              <w:rPr>
                <w:sz w:val="8"/>
                <w:szCs w:val="8"/>
                <w:color w:val="auto"/>
              </w:rPr>
            </w:pPr>
          </w:p>
        </w:tc>
      </w:tr>
      <w:tr>
        <w:trPr>
          <w:trHeight w:val="121"/>
        </w:trPr>
        <w:tc>
          <w:tcPr>
            <w:tcW w:w="29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20" w:type="dxa"/>
            <w:vAlign w:val="bottom"/>
            <w:tcBorders>
              <w:right w:val="single" w:sz="8" w:color="auto"/>
            </w:tcBorders>
            <w:gridSpan w:val="2"/>
          </w:tcPr>
          <w:p>
            <w:pPr>
              <w:jc w:val="center"/>
              <w:ind w:right="400"/>
              <w:spacing w:after="0" w:line="122" w:lineRule="exact"/>
              <w:rPr>
                <w:sz w:val="20"/>
                <w:szCs w:val="20"/>
                <w:color w:val="auto"/>
              </w:rPr>
            </w:pPr>
            <w:r>
              <w:rPr>
                <w:rFonts w:ascii="Arial" w:cs="Arial" w:eastAsia="Arial" w:hAnsi="Arial"/>
                <w:sz w:val="11"/>
                <w:szCs w:val="11"/>
                <w:b w:val="1"/>
                <w:bCs w:val="1"/>
                <w:color w:val="auto"/>
                <w:w w:val="89"/>
              </w:rPr>
              <w:t>from</w:t>
            </w:r>
          </w:p>
        </w:tc>
        <w:tc>
          <w:tcPr>
            <w:tcW w:w="320" w:type="dxa"/>
            <w:vAlign w:val="bottom"/>
          </w:tcPr>
          <w:p>
            <w:pPr>
              <w:spacing w:after="0"/>
              <w:rPr>
                <w:sz w:val="10"/>
                <w:szCs w:val="10"/>
                <w:color w:val="auto"/>
              </w:rPr>
            </w:pPr>
          </w:p>
        </w:tc>
        <w:tc>
          <w:tcPr>
            <w:tcW w:w="460" w:type="dxa"/>
            <w:vAlign w:val="bottom"/>
            <w:gridSpan w:val="2"/>
          </w:tcPr>
          <w:p>
            <w:pPr>
              <w:jc w:val="center"/>
              <w:ind w:right="120"/>
              <w:spacing w:after="0" w:line="122" w:lineRule="exact"/>
              <w:rPr>
                <w:sz w:val="20"/>
                <w:szCs w:val="20"/>
                <w:color w:val="auto"/>
              </w:rPr>
            </w:pPr>
            <w:r>
              <w:rPr>
                <w:rFonts w:ascii="Arial" w:cs="Arial" w:eastAsia="Arial" w:hAnsi="Arial"/>
                <w:sz w:val="11"/>
                <w:szCs w:val="11"/>
                <w:b w:val="1"/>
                <w:bCs w:val="1"/>
                <w:color w:val="auto"/>
                <w:w w:val="89"/>
              </w:rPr>
              <w:t>from</w:t>
            </w:r>
          </w:p>
        </w:tc>
        <w:tc>
          <w:tcPr>
            <w:tcW w:w="10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40" w:type="dxa"/>
            <w:vAlign w:val="bottom"/>
          </w:tcPr>
          <w:p>
            <w:pPr>
              <w:spacing w:after="0"/>
              <w:rPr>
                <w:sz w:val="10"/>
                <w:szCs w:val="10"/>
                <w:color w:val="auto"/>
              </w:rPr>
            </w:pPr>
          </w:p>
        </w:tc>
      </w:tr>
      <w:tr>
        <w:trPr>
          <w:trHeight w:val="122"/>
        </w:trPr>
        <w:tc>
          <w:tcPr>
            <w:tcW w:w="29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580" w:type="dxa"/>
            <w:vAlign w:val="bottom"/>
            <w:gridSpan w:val="2"/>
          </w:tcPr>
          <w:p>
            <w:pPr>
              <w:jc w:val="center"/>
              <w:ind w:right="220"/>
              <w:spacing w:after="0" w:line="122" w:lineRule="exact"/>
              <w:rPr>
                <w:sz w:val="20"/>
                <w:szCs w:val="20"/>
                <w:color w:val="auto"/>
              </w:rPr>
            </w:pPr>
            <w:r>
              <w:rPr>
                <w:rFonts w:ascii="Arial" w:cs="Arial" w:eastAsia="Arial" w:hAnsi="Arial"/>
                <w:sz w:val="11"/>
                <w:szCs w:val="11"/>
                <w:b w:val="1"/>
                <w:bCs w:val="1"/>
                <w:color w:val="auto"/>
                <w:w w:val="93"/>
              </w:rPr>
              <w:t>Three</w:t>
            </w:r>
          </w:p>
        </w:tc>
        <w:tc>
          <w:tcPr>
            <w:tcW w:w="460" w:type="dxa"/>
            <w:vAlign w:val="bottom"/>
          </w:tcPr>
          <w:p>
            <w:pPr>
              <w:jc w:val="center"/>
              <w:spacing w:after="0" w:line="122" w:lineRule="exact"/>
              <w:rPr>
                <w:sz w:val="20"/>
                <w:szCs w:val="20"/>
                <w:color w:val="auto"/>
              </w:rPr>
            </w:pPr>
            <w:r>
              <w:rPr>
                <w:rFonts w:ascii="Arial" w:cs="Arial" w:eastAsia="Arial" w:hAnsi="Arial"/>
                <w:sz w:val="11"/>
                <w:szCs w:val="11"/>
                <w:b w:val="1"/>
                <w:bCs w:val="1"/>
                <w:color w:val="auto"/>
                <w:w w:val="93"/>
              </w:rPr>
              <w:t>Three</w:t>
            </w:r>
          </w:p>
        </w:tc>
        <w:tc>
          <w:tcPr>
            <w:tcW w:w="2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20" w:type="dxa"/>
            <w:vAlign w:val="bottom"/>
            <w:gridSpan w:val="2"/>
          </w:tcPr>
          <w:p>
            <w:pPr>
              <w:jc w:val="center"/>
              <w:ind w:right="320"/>
              <w:spacing w:after="0" w:line="122" w:lineRule="exact"/>
              <w:rPr>
                <w:sz w:val="20"/>
                <w:szCs w:val="20"/>
                <w:color w:val="auto"/>
              </w:rPr>
            </w:pPr>
            <w:r>
              <w:rPr>
                <w:rFonts w:ascii="Arial" w:cs="Arial" w:eastAsia="Arial" w:hAnsi="Arial"/>
                <w:sz w:val="11"/>
                <w:szCs w:val="11"/>
                <w:b w:val="1"/>
                <w:bCs w:val="1"/>
                <w:color w:val="auto"/>
                <w:w w:val="93"/>
              </w:rPr>
              <w:t>Three</w:t>
            </w:r>
          </w:p>
        </w:tc>
        <w:tc>
          <w:tcPr>
            <w:tcW w:w="100" w:type="dxa"/>
            <w:vAlign w:val="bottom"/>
          </w:tcPr>
          <w:p>
            <w:pPr>
              <w:spacing w:after="0"/>
              <w:rPr>
                <w:sz w:val="10"/>
                <w:szCs w:val="10"/>
                <w:color w:val="auto"/>
              </w:rPr>
            </w:pPr>
          </w:p>
        </w:tc>
        <w:tc>
          <w:tcPr>
            <w:tcW w:w="560" w:type="dxa"/>
            <w:vAlign w:val="bottom"/>
          </w:tcPr>
          <w:p>
            <w:pPr>
              <w:jc w:val="center"/>
              <w:ind w:right="64"/>
              <w:spacing w:after="0" w:line="122" w:lineRule="exact"/>
              <w:rPr>
                <w:sz w:val="20"/>
                <w:szCs w:val="20"/>
                <w:color w:val="auto"/>
              </w:rPr>
            </w:pPr>
            <w:r>
              <w:rPr>
                <w:rFonts w:ascii="Arial" w:cs="Arial" w:eastAsia="Arial" w:hAnsi="Arial"/>
                <w:sz w:val="11"/>
                <w:szCs w:val="11"/>
                <w:b w:val="1"/>
                <w:bCs w:val="1"/>
                <w:color w:val="auto"/>
                <w:w w:val="93"/>
              </w:rPr>
              <w:t>Three</w:t>
            </w:r>
          </w:p>
        </w:tc>
        <w:tc>
          <w:tcPr>
            <w:tcW w:w="200" w:type="dxa"/>
            <w:vAlign w:val="bottom"/>
          </w:tcPr>
          <w:p>
            <w:pPr>
              <w:spacing w:after="0"/>
              <w:rPr>
                <w:sz w:val="10"/>
                <w:szCs w:val="10"/>
                <w:color w:val="auto"/>
              </w:rPr>
            </w:pPr>
          </w:p>
        </w:tc>
        <w:tc>
          <w:tcPr>
            <w:tcW w:w="580" w:type="dxa"/>
            <w:vAlign w:val="bottom"/>
            <w:gridSpan w:val="2"/>
          </w:tcPr>
          <w:p>
            <w:pPr>
              <w:ind w:left="40"/>
              <w:spacing w:after="0" w:line="122" w:lineRule="exact"/>
              <w:rPr>
                <w:sz w:val="20"/>
                <w:szCs w:val="20"/>
                <w:color w:val="auto"/>
              </w:rPr>
            </w:pPr>
            <w:r>
              <w:rPr>
                <w:rFonts w:ascii="Arial" w:cs="Arial" w:eastAsia="Arial" w:hAnsi="Arial"/>
                <w:sz w:val="11"/>
                <w:szCs w:val="11"/>
                <w:b w:val="1"/>
                <w:bCs w:val="1"/>
                <w:color w:val="auto"/>
              </w:rPr>
              <w:t>Three</w:t>
            </w:r>
          </w:p>
        </w:tc>
        <w:tc>
          <w:tcPr>
            <w:tcW w:w="60" w:type="dxa"/>
            <w:vAlign w:val="bottom"/>
          </w:tcPr>
          <w:p>
            <w:pPr>
              <w:spacing w:after="0"/>
              <w:rPr>
                <w:sz w:val="10"/>
                <w:szCs w:val="10"/>
                <w:color w:val="auto"/>
              </w:rPr>
            </w:pPr>
          </w:p>
        </w:tc>
        <w:tc>
          <w:tcPr>
            <w:tcW w:w="400" w:type="dxa"/>
            <w:vAlign w:val="bottom"/>
          </w:tcPr>
          <w:p>
            <w:pPr>
              <w:jc w:val="center"/>
              <w:ind w:right="23"/>
              <w:spacing w:after="0" w:line="122" w:lineRule="exact"/>
              <w:rPr>
                <w:sz w:val="20"/>
                <w:szCs w:val="20"/>
                <w:color w:val="auto"/>
              </w:rPr>
            </w:pPr>
            <w:r>
              <w:rPr>
                <w:rFonts w:ascii="Arial" w:cs="Arial" w:eastAsia="Arial" w:hAnsi="Arial"/>
                <w:sz w:val="11"/>
                <w:szCs w:val="11"/>
                <w:b w:val="1"/>
                <w:bCs w:val="1"/>
                <w:color w:val="auto"/>
                <w:w w:val="93"/>
              </w:rPr>
              <w:t>Three</w:t>
            </w:r>
          </w:p>
        </w:tc>
        <w:tc>
          <w:tcPr>
            <w:tcW w:w="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40" w:type="dxa"/>
            <w:vAlign w:val="bottom"/>
            <w:gridSpan w:val="2"/>
          </w:tcPr>
          <w:p>
            <w:pPr>
              <w:jc w:val="center"/>
              <w:ind w:right="300"/>
              <w:spacing w:after="0" w:line="122" w:lineRule="exact"/>
              <w:rPr>
                <w:sz w:val="20"/>
                <w:szCs w:val="20"/>
                <w:color w:val="auto"/>
              </w:rPr>
            </w:pPr>
            <w:r>
              <w:rPr>
                <w:rFonts w:ascii="Arial" w:cs="Arial" w:eastAsia="Arial" w:hAnsi="Arial"/>
                <w:sz w:val="11"/>
                <w:szCs w:val="11"/>
                <w:b w:val="1"/>
                <w:bCs w:val="1"/>
                <w:color w:val="auto"/>
                <w:w w:val="93"/>
              </w:rPr>
              <w:t>Three</w:t>
            </w:r>
          </w:p>
        </w:tc>
        <w:tc>
          <w:tcPr>
            <w:tcW w:w="100" w:type="dxa"/>
            <w:vAlign w:val="bottom"/>
          </w:tcPr>
          <w:p>
            <w:pPr>
              <w:spacing w:after="0"/>
              <w:rPr>
                <w:sz w:val="10"/>
                <w:szCs w:val="10"/>
                <w:color w:val="auto"/>
              </w:rPr>
            </w:pPr>
          </w:p>
        </w:tc>
        <w:tc>
          <w:tcPr>
            <w:tcW w:w="820" w:type="dxa"/>
            <w:vAlign w:val="bottom"/>
            <w:tcBorders>
              <w:right w:val="single" w:sz="8" w:color="auto"/>
            </w:tcBorders>
            <w:gridSpan w:val="2"/>
          </w:tcPr>
          <w:p>
            <w:pPr>
              <w:jc w:val="center"/>
              <w:ind w:right="380"/>
              <w:spacing w:after="0" w:line="122" w:lineRule="exact"/>
              <w:rPr>
                <w:sz w:val="20"/>
                <w:szCs w:val="20"/>
                <w:color w:val="auto"/>
              </w:rPr>
            </w:pPr>
            <w:r>
              <w:rPr>
                <w:rFonts w:ascii="Arial" w:cs="Arial" w:eastAsia="Arial" w:hAnsi="Arial"/>
                <w:sz w:val="11"/>
                <w:szCs w:val="11"/>
                <w:b w:val="1"/>
                <w:bCs w:val="1"/>
                <w:color w:val="auto"/>
                <w:w w:val="89"/>
              </w:rPr>
              <w:t>July 16,</w:t>
            </w:r>
          </w:p>
        </w:tc>
        <w:tc>
          <w:tcPr>
            <w:tcW w:w="320" w:type="dxa"/>
            <w:vAlign w:val="bottom"/>
          </w:tcPr>
          <w:p>
            <w:pPr>
              <w:spacing w:after="0"/>
              <w:rPr>
                <w:sz w:val="10"/>
                <w:szCs w:val="10"/>
                <w:color w:val="auto"/>
              </w:rPr>
            </w:pPr>
          </w:p>
        </w:tc>
        <w:tc>
          <w:tcPr>
            <w:tcW w:w="460" w:type="dxa"/>
            <w:vAlign w:val="bottom"/>
            <w:gridSpan w:val="2"/>
          </w:tcPr>
          <w:p>
            <w:pPr>
              <w:jc w:val="center"/>
              <w:ind w:right="120"/>
              <w:spacing w:after="0" w:line="122" w:lineRule="exact"/>
              <w:rPr>
                <w:sz w:val="20"/>
                <w:szCs w:val="20"/>
                <w:color w:val="auto"/>
              </w:rPr>
            </w:pPr>
            <w:r>
              <w:rPr>
                <w:rFonts w:ascii="Arial" w:cs="Arial" w:eastAsia="Arial" w:hAnsi="Arial"/>
                <w:sz w:val="11"/>
                <w:szCs w:val="11"/>
                <w:b w:val="1"/>
                <w:bCs w:val="1"/>
                <w:color w:val="auto"/>
                <w:w w:val="87"/>
              </w:rPr>
              <w:t>July 1,</w:t>
            </w:r>
          </w:p>
        </w:tc>
        <w:tc>
          <w:tcPr>
            <w:tcW w:w="100" w:type="dxa"/>
            <w:vAlign w:val="bottom"/>
          </w:tcPr>
          <w:p>
            <w:pPr>
              <w:spacing w:after="0"/>
              <w:rPr>
                <w:sz w:val="10"/>
                <w:szCs w:val="10"/>
                <w:color w:val="auto"/>
              </w:rPr>
            </w:pPr>
          </w:p>
        </w:tc>
        <w:tc>
          <w:tcPr>
            <w:tcW w:w="600" w:type="dxa"/>
            <w:vAlign w:val="bottom"/>
            <w:gridSpan w:val="2"/>
          </w:tcPr>
          <w:p>
            <w:pPr>
              <w:jc w:val="center"/>
              <w:ind w:right="220"/>
              <w:spacing w:after="0" w:line="122" w:lineRule="exact"/>
              <w:rPr>
                <w:sz w:val="20"/>
                <w:szCs w:val="20"/>
                <w:color w:val="auto"/>
              </w:rPr>
            </w:pPr>
            <w:r>
              <w:rPr>
                <w:rFonts w:ascii="Arial" w:cs="Arial" w:eastAsia="Arial" w:hAnsi="Arial"/>
                <w:sz w:val="11"/>
                <w:szCs w:val="11"/>
                <w:b w:val="1"/>
                <w:bCs w:val="1"/>
                <w:color w:val="auto"/>
                <w:w w:val="86"/>
              </w:rPr>
              <w:t>Three</w:t>
            </w:r>
          </w:p>
        </w:tc>
        <w:tc>
          <w:tcPr>
            <w:tcW w:w="60" w:type="dxa"/>
            <w:vAlign w:val="bottom"/>
          </w:tcPr>
          <w:p>
            <w:pPr>
              <w:spacing w:after="0"/>
              <w:rPr>
                <w:sz w:val="10"/>
                <w:szCs w:val="10"/>
                <w:color w:val="auto"/>
              </w:rPr>
            </w:pPr>
          </w:p>
        </w:tc>
        <w:tc>
          <w:tcPr>
            <w:tcW w:w="460" w:type="dxa"/>
            <w:vAlign w:val="bottom"/>
            <w:gridSpan w:val="2"/>
          </w:tcPr>
          <w:p>
            <w:pPr>
              <w:jc w:val="center"/>
              <w:ind w:right="140"/>
              <w:spacing w:after="0" w:line="122" w:lineRule="exact"/>
              <w:rPr>
                <w:sz w:val="20"/>
                <w:szCs w:val="20"/>
                <w:color w:val="auto"/>
              </w:rPr>
            </w:pPr>
            <w:r>
              <w:rPr>
                <w:rFonts w:ascii="Arial" w:cs="Arial" w:eastAsia="Arial" w:hAnsi="Arial"/>
                <w:sz w:val="11"/>
                <w:szCs w:val="11"/>
                <w:b w:val="1"/>
                <w:bCs w:val="1"/>
                <w:color w:val="auto"/>
                <w:w w:val="93"/>
              </w:rPr>
              <w:t>Three</w:t>
            </w:r>
          </w:p>
        </w:tc>
      </w:tr>
      <w:tr>
        <w:trPr>
          <w:trHeight w:val="122"/>
        </w:trPr>
        <w:tc>
          <w:tcPr>
            <w:tcW w:w="29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580" w:type="dxa"/>
            <w:vAlign w:val="bottom"/>
            <w:gridSpan w:val="2"/>
          </w:tcPr>
          <w:p>
            <w:pPr>
              <w:jc w:val="center"/>
              <w:ind w:right="220"/>
              <w:spacing w:after="0" w:line="122" w:lineRule="exact"/>
              <w:rPr>
                <w:sz w:val="20"/>
                <w:szCs w:val="20"/>
                <w:color w:val="auto"/>
              </w:rPr>
            </w:pPr>
            <w:r>
              <w:rPr>
                <w:rFonts w:ascii="Arial" w:cs="Arial" w:eastAsia="Arial" w:hAnsi="Arial"/>
                <w:sz w:val="11"/>
                <w:szCs w:val="11"/>
                <w:b w:val="1"/>
                <w:bCs w:val="1"/>
                <w:color w:val="auto"/>
                <w:w w:val="91"/>
              </w:rPr>
              <w:t>Months</w:t>
            </w:r>
          </w:p>
        </w:tc>
        <w:tc>
          <w:tcPr>
            <w:tcW w:w="460" w:type="dxa"/>
            <w:vAlign w:val="bottom"/>
          </w:tcPr>
          <w:p>
            <w:pPr>
              <w:jc w:val="center"/>
              <w:spacing w:after="0" w:line="122" w:lineRule="exact"/>
              <w:rPr>
                <w:sz w:val="20"/>
                <w:szCs w:val="20"/>
                <w:color w:val="auto"/>
              </w:rPr>
            </w:pPr>
            <w:r>
              <w:rPr>
                <w:rFonts w:ascii="Arial" w:cs="Arial" w:eastAsia="Arial" w:hAnsi="Arial"/>
                <w:sz w:val="11"/>
                <w:szCs w:val="11"/>
                <w:b w:val="1"/>
                <w:bCs w:val="1"/>
                <w:color w:val="auto"/>
                <w:w w:val="91"/>
              </w:rPr>
              <w:t>Months</w:t>
            </w:r>
          </w:p>
        </w:tc>
        <w:tc>
          <w:tcPr>
            <w:tcW w:w="2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20" w:type="dxa"/>
            <w:vAlign w:val="bottom"/>
            <w:gridSpan w:val="2"/>
          </w:tcPr>
          <w:p>
            <w:pPr>
              <w:jc w:val="center"/>
              <w:ind w:right="320"/>
              <w:spacing w:after="0" w:line="122" w:lineRule="exact"/>
              <w:rPr>
                <w:sz w:val="20"/>
                <w:szCs w:val="20"/>
                <w:color w:val="auto"/>
              </w:rPr>
            </w:pPr>
            <w:r>
              <w:rPr>
                <w:rFonts w:ascii="Arial" w:cs="Arial" w:eastAsia="Arial" w:hAnsi="Arial"/>
                <w:sz w:val="11"/>
                <w:szCs w:val="11"/>
                <w:b w:val="1"/>
                <w:bCs w:val="1"/>
                <w:color w:val="auto"/>
                <w:w w:val="91"/>
              </w:rPr>
              <w:t>Months</w:t>
            </w:r>
          </w:p>
        </w:tc>
        <w:tc>
          <w:tcPr>
            <w:tcW w:w="100" w:type="dxa"/>
            <w:vAlign w:val="bottom"/>
          </w:tcPr>
          <w:p>
            <w:pPr>
              <w:spacing w:after="0"/>
              <w:rPr>
                <w:sz w:val="10"/>
                <w:szCs w:val="10"/>
                <w:color w:val="auto"/>
              </w:rPr>
            </w:pPr>
          </w:p>
        </w:tc>
        <w:tc>
          <w:tcPr>
            <w:tcW w:w="560" w:type="dxa"/>
            <w:vAlign w:val="bottom"/>
          </w:tcPr>
          <w:p>
            <w:pPr>
              <w:jc w:val="center"/>
              <w:ind w:right="64"/>
              <w:spacing w:after="0" w:line="122" w:lineRule="exact"/>
              <w:rPr>
                <w:sz w:val="20"/>
                <w:szCs w:val="20"/>
                <w:color w:val="auto"/>
              </w:rPr>
            </w:pPr>
            <w:r>
              <w:rPr>
                <w:rFonts w:ascii="Arial" w:cs="Arial" w:eastAsia="Arial" w:hAnsi="Arial"/>
                <w:sz w:val="11"/>
                <w:szCs w:val="11"/>
                <w:b w:val="1"/>
                <w:bCs w:val="1"/>
                <w:color w:val="auto"/>
                <w:w w:val="91"/>
              </w:rPr>
              <w:t>Months</w:t>
            </w:r>
          </w:p>
        </w:tc>
        <w:tc>
          <w:tcPr>
            <w:tcW w:w="200" w:type="dxa"/>
            <w:vAlign w:val="bottom"/>
          </w:tcPr>
          <w:p>
            <w:pPr>
              <w:spacing w:after="0"/>
              <w:rPr>
                <w:sz w:val="10"/>
                <w:szCs w:val="10"/>
                <w:color w:val="auto"/>
              </w:rPr>
            </w:pPr>
          </w:p>
        </w:tc>
        <w:tc>
          <w:tcPr>
            <w:tcW w:w="580" w:type="dxa"/>
            <w:vAlign w:val="bottom"/>
            <w:gridSpan w:val="2"/>
          </w:tcPr>
          <w:p>
            <w:pPr>
              <w:jc w:val="center"/>
              <w:ind w:right="240"/>
              <w:spacing w:after="0" w:line="122" w:lineRule="exact"/>
              <w:rPr>
                <w:sz w:val="20"/>
                <w:szCs w:val="20"/>
                <w:color w:val="auto"/>
              </w:rPr>
            </w:pPr>
            <w:r>
              <w:rPr>
                <w:rFonts w:ascii="Arial" w:cs="Arial" w:eastAsia="Arial" w:hAnsi="Arial"/>
                <w:sz w:val="11"/>
                <w:szCs w:val="11"/>
                <w:b w:val="1"/>
                <w:bCs w:val="1"/>
                <w:color w:val="auto"/>
                <w:w w:val="86"/>
              </w:rPr>
              <w:t>Months</w:t>
            </w:r>
          </w:p>
        </w:tc>
        <w:tc>
          <w:tcPr>
            <w:tcW w:w="460" w:type="dxa"/>
            <w:vAlign w:val="bottom"/>
            <w:gridSpan w:val="2"/>
          </w:tcPr>
          <w:p>
            <w:pPr>
              <w:jc w:val="center"/>
              <w:spacing w:after="0" w:line="122" w:lineRule="exact"/>
              <w:rPr>
                <w:sz w:val="20"/>
                <w:szCs w:val="20"/>
                <w:color w:val="auto"/>
              </w:rPr>
            </w:pPr>
            <w:r>
              <w:rPr>
                <w:rFonts w:ascii="Arial" w:cs="Arial" w:eastAsia="Arial" w:hAnsi="Arial"/>
                <w:sz w:val="11"/>
                <w:szCs w:val="11"/>
                <w:b w:val="1"/>
                <w:bCs w:val="1"/>
                <w:color w:val="auto"/>
                <w:w w:val="91"/>
              </w:rPr>
              <w:t>Months</w:t>
            </w:r>
          </w:p>
        </w:tc>
        <w:tc>
          <w:tcPr>
            <w:tcW w:w="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40" w:type="dxa"/>
            <w:vAlign w:val="bottom"/>
            <w:gridSpan w:val="2"/>
          </w:tcPr>
          <w:p>
            <w:pPr>
              <w:jc w:val="center"/>
              <w:ind w:right="300"/>
              <w:spacing w:after="0" w:line="122" w:lineRule="exact"/>
              <w:rPr>
                <w:sz w:val="20"/>
                <w:szCs w:val="20"/>
                <w:color w:val="auto"/>
              </w:rPr>
            </w:pPr>
            <w:r>
              <w:rPr>
                <w:rFonts w:ascii="Arial" w:cs="Arial" w:eastAsia="Arial" w:hAnsi="Arial"/>
                <w:sz w:val="11"/>
                <w:szCs w:val="11"/>
                <w:b w:val="1"/>
                <w:bCs w:val="1"/>
                <w:color w:val="auto"/>
                <w:w w:val="91"/>
              </w:rPr>
              <w:t>Months</w:t>
            </w:r>
          </w:p>
        </w:tc>
        <w:tc>
          <w:tcPr>
            <w:tcW w:w="100" w:type="dxa"/>
            <w:vAlign w:val="bottom"/>
          </w:tcPr>
          <w:p>
            <w:pPr>
              <w:spacing w:after="0"/>
              <w:rPr>
                <w:sz w:val="10"/>
                <w:szCs w:val="10"/>
                <w:color w:val="auto"/>
              </w:rPr>
            </w:pPr>
          </w:p>
        </w:tc>
        <w:tc>
          <w:tcPr>
            <w:tcW w:w="560" w:type="dxa"/>
            <w:vAlign w:val="bottom"/>
          </w:tcPr>
          <w:p>
            <w:pPr>
              <w:jc w:val="center"/>
              <w:ind w:right="84"/>
              <w:spacing w:after="0" w:line="122" w:lineRule="exact"/>
              <w:rPr>
                <w:sz w:val="20"/>
                <w:szCs w:val="20"/>
                <w:color w:val="auto"/>
              </w:rPr>
            </w:pPr>
            <w:r>
              <w:rPr>
                <w:rFonts w:ascii="Arial" w:cs="Arial" w:eastAsia="Arial" w:hAnsi="Arial"/>
                <w:sz w:val="11"/>
                <w:szCs w:val="11"/>
                <w:b w:val="1"/>
                <w:bCs w:val="1"/>
                <w:color w:val="auto"/>
                <w:w w:val="89"/>
              </w:rPr>
              <w:t>2019</w:t>
            </w:r>
          </w:p>
        </w:tc>
        <w:tc>
          <w:tcPr>
            <w:tcW w:w="260" w:type="dxa"/>
            <w:vAlign w:val="bottom"/>
            <w:tcBorders>
              <w:right w:val="single" w:sz="8" w:color="auto"/>
            </w:tcBorders>
          </w:tcPr>
          <w:p>
            <w:pPr>
              <w:spacing w:after="0"/>
              <w:rPr>
                <w:sz w:val="10"/>
                <w:szCs w:val="10"/>
                <w:color w:val="auto"/>
              </w:rPr>
            </w:pPr>
          </w:p>
        </w:tc>
        <w:tc>
          <w:tcPr>
            <w:tcW w:w="320" w:type="dxa"/>
            <w:vAlign w:val="bottom"/>
          </w:tcPr>
          <w:p>
            <w:pPr>
              <w:spacing w:after="0"/>
              <w:rPr>
                <w:sz w:val="10"/>
                <w:szCs w:val="10"/>
                <w:color w:val="auto"/>
              </w:rPr>
            </w:pPr>
          </w:p>
        </w:tc>
        <w:tc>
          <w:tcPr>
            <w:tcW w:w="360" w:type="dxa"/>
            <w:vAlign w:val="bottom"/>
          </w:tcPr>
          <w:p>
            <w:pPr>
              <w:jc w:val="center"/>
              <w:spacing w:after="0" w:line="122" w:lineRule="exact"/>
              <w:rPr>
                <w:sz w:val="20"/>
                <w:szCs w:val="20"/>
                <w:color w:val="auto"/>
              </w:rPr>
            </w:pPr>
            <w:r>
              <w:rPr>
                <w:rFonts w:ascii="Arial" w:cs="Arial" w:eastAsia="Arial" w:hAnsi="Arial"/>
                <w:sz w:val="11"/>
                <w:szCs w:val="11"/>
                <w:b w:val="1"/>
                <w:bCs w:val="1"/>
                <w:color w:val="auto"/>
                <w:w w:val="81"/>
              </w:rPr>
              <w:t>2019</w:t>
            </w: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0" w:type="dxa"/>
            <w:vAlign w:val="bottom"/>
            <w:gridSpan w:val="2"/>
          </w:tcPr>
          <w:p>
            <w:pPr>
              <w:jc w:val="center"/>
              <w:ind w:right="220"/>
              <w:spacing w:after="0" w:line="122" w:lineRule="exact"/>
              <w:rPr>
                <w:sz w:val="20"/>
                <w:szCs w:val="20"/>
                <w:color w:val="auto"/>
              </w:rPr>
            </w:pPr>
            <w:r>
              <w:rPr>
                <w:rFonts w:ascii="Arial" w:cs="Arial" w:eastAsia="Arial" w:hAnsi="Arial"/>
                <w:sz w:val="11"/>
                <w:szCs w:val="11"/>
                <w:b w:val="1"/>
                <w:bCs w:val="1"/>
                <w:color w:val="auto"/>
                <w:w w:val="86"/>
              </w:rPr>
              <w:t>Months</w:t>
            </w:r>
          </w:p>
        </w:tc>
        <w:tc>
          <w:tcPr>
            <w:tcW w:w="520" w:type="dxa"/>
            <w:vAlign w:val="bottom"/>
            <w:gridSpan w:val="3"/>
          </w:tcPr>
          <w:p>
            <w:pPr>
              <w:jc w:val="center"/>
              <w:ind w:right="80"/>
              <w:spacing w:after="0" w:line="122" w:lineRule="exact"/>
              <w:rPr>
                <w:sz w:val="20"/>
                <w:szCs w:val="20"/>
                <w:color w:val="auto"/>
              </w:rPr>
            </w:pPr>
            <w:r>
              <w:rPr>
                <w:rFonts w:ascii="Arial" w:cs="Arial" w:eastAsia="Arial" w:hAnsi="Arial"/>
                <w:sz w:val="11"/>
                <w:szCs w:val="11"/>
                <w:b w:val="1"/>
                <w:bCs w:val="1"/>
                <w:color w:val="auto"/>
                <w:w w:val="91"/>
              </w:rPr>
              <w:t>Months</w:t>
            </w:r>
          </w:p>
        </w:tc>
      </w:tr>
      <w:tr>
        <w:trPr>
          <w:trHeight w:val="121"/>
        </w:trPr>
        <w:tc>
          <w:tcPr>
            <w:tcW w:w="29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580" w:type="dxa"/>
            <w:vAlign w:val="bottom"/>
            <w:gridSpan w:val="2"/>
          </w:tcPr>
          <w:p>
            <w:pPr>
              <w:jc w:val="center"/>
              <w:ind w:right="240"/>
              <w:spacing w:after="0" w:line="122" w:lineRule="exact"/>
              <w:rPr>
                <w:sz w:val="20"/>
                <w:szCs w:val="20"/>
                <w:color w:val="auto"/>
              </w:rPr>
            </w:pPr>
            <w:r>
              <w:rPr>
                <w:rFonts w:ascii="Arial" w:cs="Arial" w:eastAsia="Arial" w:hAnsi="Arial"/>
                <w:sz w:val="11"/>
                <w:szCs w:val="11"/>
                <w:b w:val="1"/>
                <w:bCs w:val="1"/>
                <w:color w:val="auto"/>
                <w:w w:val="89"/>
              </w:rPr>
              <w:t>Ended</w:t>
            </w:r>
          </w:p>
        </w:tc>
        <w:tc>
          <w:tcPr>
            <w:tcW w:w="460" w:type="dxa"/>
            <w:vAlign w:val="bottom"/>
          </w:tcPr>
          <w:p>
            <w:pPr>
              <w:jc w:val="center"/>
              <w:spacing w:after="0" w:line="122" w:lineRule="exact"/>
              <w:rPr>
                <w:sz w:val="20"/>
                <w:szCs w:val="20"/>
                <w:color w:val="auto"/>
              </w:rPr>
            </w:pPr>
            <w:r>
              <w:rPr>
                <w:rFonts w:ascii="Arial" w:cs="Arial" w:eastAsia="Arial" w:hAnsi="Arial"/>
                <w:sz w:val="11"/>
                <w:szCs w:val="11"/>
                <w:b w:val="1"/>
                <w:bCs w:val="1"/>
                <w:color w:val="auto"/>
                <w:w w:val="89"/>
              </w:rPr>
              <w:t>Ended</w:t>
            </w:r>
          </w:p>
        </w:tc>
        <w:tc>
          <w:tcPr>
            <w:tcW w:w="2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20" w:type="dxa"/>
            <w:vAlign w:val="bottom"/>
            <w:gridSpan w:val="2"/>
          </w:tcPr>
          <w:p>
            <w:pPr>
              <w:jc w:val="center"/>
              <w:ind w:right="300"/>
              <w:spacing w:after="0" w:line="122" w:lineRule="exact"/>
              <w:rPr>
                <w:sz w:val="20"/>
                <w:szCs w:val="20"/>
                <w:color w:val="auto"/>
              </w:rPr>
            </w:pPr>
            <w:r>
              <w:rPr>
                <w:rFonts w:ascii="Arial" w:cs="Arial" w:eastAsia="Arial" w:hAnsi="Arial"/>
                <w:sz w:val="11"/>
                <w:szCs w:val="11"/>
                <w:b w:val="1"/>
                <w:bCs w:val="1"/>
                <w:color w:val="auto"/>
                <w:w w:val="89"/>
              </w:rPr>
              <w:t>Ended</w:t>
            </w:r>
          </w:p>
        </w:tc>
        <w:tc>
          <w:tcPr>
            <w:tcW w:w="100" w:type="dxa"/>
            <w:vAlign w:val="bottom"/>
          </w:tcPr>
          <w:p>
            <w:pPr>
              <w:spacing w:after="0"/>
              <w:rPr>
                <w:sz w:val="10"/>
                <w:szCs w:val="10"/>
                <w:color w:val="auto"/>
              </w:rPr>
            </w:pPr>
          </w:p>
        </w:tc>
        <w:tc>
          <w:tcPr>
            <w:tcW w:w="560" w:type="dxa"/>
            <w:vAlign w:val="bottom"/>
          </w:tcPr>
          <w:p>
            <w:pPr>
              <w:jc w:val="center"/>
              <w:ind w:right="84"/>
              <w:spacing w:after="0" w:line="122" w:lineRule="exact"/>
              <w:rPr>
                <w:sz w:val="20"/>
                <w:szCs w:val="20"/>
                <w:color w:val="auto"/>
              </w:rPr>
            </w:pPr>
            <w:r>
              <w:rPr>
                <w:rFonts w:ascii="Arial" w:cs="Arial" w:eastAsia="Arial" w:hAnsi="Arial"/>
                <w:sz w:val="11"/>
                <w:szCs w:val="11"/>
                <w:b w:val="1"/>
                <w:bCs w:val="1"/>
                <w:color w:val="auto"/>
                <w:w w:val="89"/>
              </w:rPr>
              <w:t>Ended</w:t>
            </w:r>
          </w:p>
        </w:tc>
        <w:tc>
          <w:tcPr>
            <w:tcW w:w="200" w:type="dxa"/>
            <w:vAlign w:val="bottom"/>
          </w:tcPr>
          <w:p>
            <w:pPr>
              <w:spacing w:after="0"/>
              <w:rPr>
                <w:sz w:val="10"/>
                <w:szCs w:val="10"/>
                <w:color w:val="auto"/>
              </w:rPr>
            </w:pPr>
          </w:p>
        </w:tc>
        <w:tc>
          <w:tcPr>
            <w:tcW w:w="580" w:type="dxa"/>
            <w:vAlign w:val="bottom"/>
            <w:gridSpan w:val="2"/>
          </w:tcPr>
          <w:p>
            <w:pPr>
              <w:jc w:val="center"/>
              <w:ind w:right="240"/>
              <w:spacing w:after="0" w:line="122" w:lineRule="exact"/>
              <w:rPr>
                <w:sz w:val="20"/>
                <w:szCs w:val="20"/>
                <w:color w:val="auto"/>
              </w:rPr>
            </w:pPr>
            <w:r>
              <w:rPr>
                <w:rFonts w:ascii="Arial" w:cs="Arial" w:eastAsia="Arial" w:hAnsi="Arial"/>
                <w:sz w:val="11"/>
                <w:szCs w:val="11"/>
                <w:b w:val="1"/>
                <w:bCs w:val="1"/>
                <w:color w:val="auto"/>
                <w:w w:val="89"/>
              </w:rPr>
              <w:t>Ended</w:t>
            </w:r>
          </w:p>
        </w:tc>
        <w:tc>
          <w:tcPr>
            <w:tcW w:w="60" w:type="dxa"/>
            <w:vAlign w:val="bottom"/>
          </w:tcPr>
          <w:p>
            <w:pPr>
              <w:spacing w:after="0"/>
              <w:rPr>
                <w:sz w:val="10"/>
                <w:szCs w:val="10"/>
                <w:color w:val="auto"/>
              </w:rPr>
            </w:pPr>
          </w:p>
        </w:tc>
        <w:tc>
          <w:tcPr>
            <w:tcW w:w="400" w:type="dxa"/>
            <w:vAlign w:val="bottom"/>
          </w:tcPr>
          <w:p>
            <w:pPr>
              <w:jc w:val="center"/>
              <w:ind w:right="43"/>
              <w:spacing w:after="0" w:line="122" w:lineRule="exact"/>
              <w:rPr>
                <w:sz w:val="20"/>
                <w:szCs w:val="20"/>
                <w:color w:val="auto"/>
              </w:rPr>
            </w:pPr>
            <w:r>
              <w:rPr>
                <w:rFonts w:ascii="Arial" w:cs="Arial" w:eastAsia="Arial" w:hAnsi="Arial"/>
                <w:sz w:val="11"/>
                <w:szCs w:val="11"/>
                <w:b w:val="1"/>
                <w:bCs w:val="1"/>
                <w:color w:val="auto"/>
                <w:w w:val="89"/>
              </w:rPr>
              <w:t>Ended</w:t>
            </w:r>
          </w:p>
        </w:tc>
        <w:tc>
          <w:tcPr>
            <w:tcW w:w="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40" w:type="dxa"/>
            <w:vAlign w:val="bottom"/>
            <w:gridSpan w:val="2"/>
          </w:tcPr>
          <w:p>
            <w:pPr>
              <w:jc w:val="center"/>
              <w:ind w:right="320"/>
              <w:spacing w:after="0" w:line="122" w:lineRule="exact"/>
              <w:rPr>
                <w:sz w:val="20"/>
                <w:szCs w:val="20"/>
                <w:color w:val="auto"/>
              </w:rPr>
            </w:pPr>
            <w:r>
              <w:rPr>
                <w:rFonts w:ascii="Arial" w:cs="Arial" w:eastAsia="Arial" w:hAnsi="Arial"/>
                <w:sz w:val="11"/>
                <w:szCs w:val="11"/>
                <w:b w:val="1"/>
                <w:bCs w:val="1"/>
                <w:color w:val="auto"/>
                <w:w w:val="89"/>
              </w:rPr>
              <w:t>Ended</w:t>
            </w:r>
          </w:p>
        </w:tc>
        <w:tc>
          <w:tcPr>
            <w:tcW w:w="100" w:type="dxa"/>
            <w:vAlign w:val="bottom"/>
          </w:tcPr>
          <w:p>
            <w:pPr>
              <w:spacing w:after="0"/>
              <w:rPr>
                <w:sz w:val="10"/>
                <w:szCs w:val="10"/>
                <w:color w:val="auto"/>
              </w:rPr>
            </w:pPr>
          </w:p>
        </w:tc>
        <w:tc>
          <w:tcPr>
            <w:tcW w:w="820" w:type="dxa"/>
            <w:vAlign w:val="bottom"/>
            <w:tcBorders>
              <w:right w:val="single" w:sz="8" w:color="auto"/>
            </w:tcBorders>
            <w:gridSpan w:val="2"/>
          </w:tcPr>
          <w:p>
            <w:pPr>
              <w:jc w:val="center"/>
              <w:ind w:right="400"/>
              <w:spacing w:after="0" w:line="122" w:lineRule="exact"/>
              <w:rPr>
                <w:sz w:val="20"/>
                <w:szCs w:val="20"/>
                <w:color w:val="auto"/>
              </w:rPr>
            </w:pPr>
            <w:r>
              <w:rPr>
                <w:rFonts w:ascii="Arial" w:cs="Arial" w:eastAsia="Arial" w:hAnsi="Arial"/>
                <w:sz w:val="11"/>
                <w:szCs w:val="11"/>
                <w:b w:val="1"/>
                <w:bCs w:val="1"/>
                <w:color w:val="auto"/>
                <w:w w:val="95"/>
              </w:rPr>
              <w:t>to</w:t>
            </w:r>
          </w:p>
        </w:tc>
        <w:tc>
          <w:tcPr>
            <w:tcW w:w="320" w:type="dxa"/>
            <w:vAlign w:val="bottom"/>
          </w:tcPr>
          <w:p>
            <w:pPr>
              <w:spacing w:after="0"/>
              <w:rPr>
                <w:sz w:val="10"/>
                <w:szCs w:val="10"/>
                <w:color w:val="auto"/>
              </w:rPr>
            </w:pPr>
          </w:p>
        </w:tc>
        <w:tc>
          <w:tcPr>
            <w:tcW w:w="460" w:type="dxa"/>
            <w:vAlign w:val="bottom"/>
            <w:gridSpan w:val="2"/>
          </w:tcPr>
          <w:p>
            <w:pPr>
              <w:jc w:val="center"/>
              <w:ind w:right="120"/>
              <w:spacing w:after="0" w:line="122" w:lineRule="exact"/>
              <w:rPr>
                <w:sz w:val="20"/>
                <w:szCs w:val="20"/>
                <w:color w:val="auto"/>
              </w:rPr>
            </w:pPr>
            <w:r>
              <w:rPr>
                <w:rFonts w:ascii="Arial" w:cs="Arial" w:eastAsia="Arial" w:hAnsi="Arial"/>
                <w:sz w:val="11"/>
                <w:szCs w:val="11"/>
                <w:b w:val="1"/>
                <w:bCs w:val="1"/>
                <w:color w:val="auto"/>
                <w:w w:val="95"/>
              </w:rPr>
              <w:t>to</w:t>
            </w:r>
          </w:p>
        </w:tc>
        <w:tc>
          <w:tcPr>
            <w:tcW w:w="100" w:type="dxa"/>
            <w:vAlign w:val="bottom"/>
          </w:tcPr>
          <w:p>
            <w:pPr>
              <w:spacing w:after="0"/>
              <w:rPr>
                <w:sz w:val="10"/>
                <w:szCs w:val="10"/>
                <w:color w:val="auto"/>
              </w:rPr>
            </w:pPr>
          </w:p>
        </w:tc>
        <w:tc>
          <w:tcPr>
            <w:tcW w:w="600" w:type="dxa"/>
            <w:vAlign w:val="bottom"/>
            <w:gridSpan w:val="2"/>
          </w:tcPr>
          <w:p>
            <w:pPr>
              <w:jc w:val="center"/>
              <w:ind w:right="220"/>
              <w:spacing w:after="0" w:line="122" w:lineRule="exact"/>
              <w:rPr>
                <w:sz w:val="20"/>
                <w:szCs w:val="20"/>
                <w:color w:val="auto"/>
              </w:rPr>
            </w:pPr>
            <w:r>
              <w:rPr>
                <w:rFonts w:ascii="Arial" w:cs="Arial" w:eastAsia="Arial" w:hAnsi="Arial"/>
                <w:sz w:val="11"/>
                <w:szCs w:val="11"/>
                <w:b w:val="1"/>
                <w:bCs w:val="1"/>
                <w:color w:val="auto"/>
                <w:w w:val="89"/>
              </w:rPr>
              <w:t>Ended</w:t>
            </w:r>
          </w:p>
        </w:tc>
        <w:tc>
          <w:tcPr>
            <w:tcW w:w="60" w:type="dxa"/>
            <w:vAlign w:val="bottom"/>
          </w:tcPr>
          <w:p>
            <w:pPr>
              <w:spacing w:after="0"/>
              <w:rPr>
                <w:sz w:val="10"/>
                <w:szCs w:val="10"/>
                <w:color w:val="auto"/>
              </w:rPr>
            </w:pPr>
          </w:p>
        </w:tc>
        <w:tc>
          <w:tcPr>
            <w:tcW w:w="460" w:type="dxa"/>
            <w:vAlign w:val="bottom"/>
            <w:gridSpan w:val="2"/>
          </w:tcPr>
          <w:p>
            <w:pPr>
              <w:jc w:val="center"/>
              <w:ind w:right="120"/>
              <w:spacing w:after="0" w:line="122" w:lineRule="exact"/>
              <w:rPr>
                <w:sz w:val="20"/>
                <w:szCs w:val="20"/>
                <w:color w:val="auto"/>
              </w:rPr>
            </w:pPr>
            <w:r>
              <w:rPr>
                <w:rFonts w:ascii="Arial" w:cs="Arial" w:eastAsia="Arial" w:hAnsi="Arial"/>
                <w:sz w:val="11"/>
                <w:szCs w:val="11"/>
                <w:b w:val="1"/>
                <w:bCs w:val="1"/>
                <w:color w:val="auto"/>
                <w:w w:val="89"/>
              </w:rPr>
              <w:t>Ended</w:t>
            </w:r>
          </w:p>
        </w:tc>
      </w:tr>
      <w:tr>
        <w:trPr>
          <w:trHeight w:val="122"/>
        </w:trPr>
        <w:tc>
          <w:tcPr>
            <w:tcW w:w="29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580" w:type="dxa"/>
            <w:vAlign w:val="bottom"/>
            <w:gridSpan w:val="2"/>
          </w:tcPr>
          <w:p>
            <w:pPr>
              <w:jc w:val="center"/>
              <w:ind w:right="200"/>
              <w:spacing w:after="0" w:line="122" w:lineRule="exact"/>
              <w:rPr>
                <w:sz w:val="20"/>
                <w:szCs w:val="20"/>
                <w:color w:val="auto"/>
              </w:rPr>
            </w:pPr>
            <w:r>
              <w:rPr>
                <w:rFonts w:ascii="Arial" w:cs="Arial" w:eastAsia="Arial" w:hAnsi="Arial"/>
                <w:sz w:val="11"/>
                <w:szCs w:val="11"/>
                <w:b w:val="1"/>
                <w:bCs w:val="1"/>
                <w:color w:val="auto"/>
                <w:w w:val="86"/>
              </w:rPr>
              <w:t>June 30,</w:t>
            </w:r>
          </w:p>
        </w:tc>
        <w:tc>
          <w:tcPr>
            <w:tcW w:w="460" w:type="dxa"/>
            <w:vAlign w:val="bottom"/>
          </w:tcPr>
          <w:p>
            <w:pPr>
              <w:jc w:val="center"/>
              <w:spacing w:after="0" w:line="122" w:lineRule="exact"/>
              <w:rPr>
                <w:sz w:val="20"/>
                <w:szCs w:val="20"/>
                <w:color w:val="auto"/>
              </w:rPr>
            </w:pPr>
            <w:r>
              <w:rPr>
                <w:rFonts w:ascii="Arial" w:cs="Arial" w:eastAsia="Arial" w:hAnsi="Arial"/>
                <w:sz w:val="11"/>
                <w:szCs w:val="11"/>
                <w:b w:val="1"/>
                <w:bCs w:val="1"/>
                <w:color w:val="auto"/>
                <w:w w:val="90"/>
              </w:rPr>
              <w:t>March 31,</w:t>
            </w:r>
          </w:p>
        </w:tc>
        <w:tc>
          <w:tcPr>
            <w:tcW w:w="200" w:type="dxa"/>
            <w:vAlign w:val="bottom"/>
          </w:tcPr>
          <w:p>
            <w:pPr>
              <w:spacing w:after="0"/>
              <w:rPr>
                <w:sz w:val="10"/>
                <w:szCs w:val="10"/>
                <w:color w:val="auto"/>
              </w:rPr>
            </w:pPr>
          </w:p>
        </w:tc>
        <w:tc>
          <w:tcPr>
            <w:tcW w:w="820" w:type="dxa"/>
            <w:vAlign w:val="bottom"/>
            <w:gridSpan w:val="3"/>
          </w:tcPr>
          <w:p>
            <w:pPr>
              <w:jc w:val="center"/>
              <w:ind w:right="200"/>
              <w:spacing w:after="0" w:line="122" w:lineRule="exact"/>
              <w:rPr>
                <w:sz w:val="20"/>
                <w:szCs w:val="20"/>
                <w:color w:val="auto"/>
              </w:rPr>
            </w:pPr>
            <w:r>
              <w:rPr>
                <w:rFonts w:ascii="Arial" w:cs="Arial" w:eastAsia="Arial" w:hAnsi="Arial"/>
                <w:sz w:val="11"/>
                <w:szCs w:val="11"/>
                <w:b w:val="1"/>
                <w:bCs w:val="1"/>
                <w:color w:val="auto"/>
                <w:w w:val="86"/>
              </w:rPr>
              <w:t>December 31,</w:t>
            </w:r>
          </w:p>
        </w:tc>
        <w:tc>
          <w:tcPr>
            <w:tcW w:w="660" w:type="dxa"/>
            <w:vAlign w:val="bottom"/>
            <w:gridSpan w:val="2"/>
          </w:tcPr>
          <w:p>
            <w:pPr>
              <w:jc w:val="center"/>
              <w:spacing w:after="0" w:line="122" w:lineRule="exact"/>
              <w:rPr>
                <w:sz w:val="20"/>
                <w:szCs w:val="20"/>
                <w:color w:val="auto"/>
              </w:rPr>
            </w:pPr>
            <w:r>
              <w:rPr>
                <w:rFonts w:ascii="Arial" w:cs="Arial" w:eastAsia="Arial" w:hAnsi="Arial"/>
                <w:sz w:val="11"/>
                <w:szCs w:val="11"/>
                <w:b w:val="1"/>
                <w:bCs w:val="1"/>
                <w:color w:val="auto"/>
                <w:w w:val="87"/>
              </w:rPr>
              <w:t>September 30,</w:t>
            </w:r>
          </w:p>
        </w:tc>
        <w:tc>
          <w:tcPr>
            <w:tcW w:w="200" w:type="dxa"/>
            <w:vAlign w:val="bottom"/>
          </w:tcPr>
          <w:p>
            <w:pPr>
              <w:spacing w:after="0"/>
              <w:rPr>
                <w:sz w:val="10"/>
                <w:szCs w:val="10"/>
                <w:color w:val="auto"/>
              </w:rPr>
            </w:pPr>
          </w:p>
        </w:tc>
        <w:tc>
          <w:tcPr>
            <w:tcW w:w="580" w:type="dxa"/>
            <w:vAlign w:val="bottom"/>
            <w:gridSpan w:val="2"/>
          </w:tcPr>
          <w:p>
            <w:pPr>
              <w:jc w:val="center"/>
              <w:ind w:right="200"/>
              <w:spacing w:after="0" w:line="122" w:lineRule="exact"/>
              <w:rPr>
                <w:sz w:val="20"/>
                <w:szCs w:val="20"/>
                <w:color w:val="auto"/>
              </w:rPr>
            </w:pPr>
            <w:r>
              <w:rPr>
                <w:rFonts w:ascii="Arial" w:cs="Arial" w:eastAsia="Arial" w:hAnsi="Arial"/>
                <w:sz w:val="11"/>
                <w:szCs w:val="11"/>
                <w:b w:val="1"/>
                <w:bCs w:val="1"/>
                <w:color w:val="auto"/>
                <w:w w:val="86"/>
              </w:rPr>
              <w:t>June 30,</w:t>
            </w:r>
          </w:p>
        </w:tc>
        <w:tc>
          <w:tcPr>
            <w:tcW w:w="460" w:type="dxa"/>
            <w:vAlign w:val="bottom"/>
            <w:gridSpan w:val="2"/>
          </w:tcPr>
          <w:p>
            <w:pPr>
              <w:spacing w:after="0" w:line="122" w:lineRule="exact"/>
              <w:rPr>
                <w:sz w:val="20"/>
                <w:szCs w:val="20"/>
                <w:color w:val="auto"/>
              </w:rPr>
            </w:pPr>
            <w:r>
              <w:rPr>
                <w:rFonts w:ascii="Arial" w:cs="Arial" w:eastAsia="Arial" w:hAnsi="Arial"/>
                <w:sz w:val="11"/>
                <w:szCs w:val="11"/>
                <w:b w:val="1"/>
                <w:bCs w:val="1"/>
                <w:color w:val="auto"/>
                <w:w w:val="86"/>
              </w:rPr>
              <w:t>March 31,</w:t>
            </w:r>
          </w:p>
        </w:tc>
        <w:tc>
          <w:tcPr>
            <w:tcW w:w="200" w:type="dxa"/>
            <w:vAlign w:val="bottom"/>
          </w:tcPr>
          <w:p>
            <w:pPr>
              <w:spacing w:after="0"/>
              <w:rPr>
                <w:sz w:val="10"/>
                <w:szCs w:val="10"/>
                <w:color w:val="auto"/>
              </w:rPr>
            </w:pPr>
          </w:p>
        </w:tc>
        <w:tc>
          <w:tcPr>
            <w:tcW w:w="820" w:type="dxa"/>
            <w:vAlign w:val="bottom"/>
            <w:gridSpan w:val="3"/>
          </w:tcPr>
          <w:p>
            <w:pPr>
              <w:spacing w:after="0" w:line="122" w:lineRule="exact"/>
              <w:rPr>
                <w:sz w:val="20"/>
                <w:szCs w:val="20"/>
                <w:color w:val="auto"/>
              </w:rPr>
            </w:pPr>
            <w:r>
              <w:rPr>
                <w:rFonts w:ascii="Arial" w:cs="Arial" w:eastAsia="Arial" w:hAnsi="Arial"/>
                <w:sz w:val="11"/>
                <w:szCs w:val="11"/>
                <w:b w:val="1"/>
                <w:bCs w:val="1"/>
                <w:color w:val="auto"/>
              </w:rPr>
              <w:t>December 31,</w:t>
            </w:r>
          </w:p>
        </w:tc>
        <w:tc>
          <w:tcPr>
            <w:tcW w:w="920" w:type="dxa"/>
            <w:vAlign w:val="bottom"/>
            <w:tcBorders>
              <w:right w:val="single" w:sz="8" w:color="auto"/>
            </w:tcBorders>
            <w:gridSpan w:val="3"/>
          </w:tcPr>
          <w:p>
            <w:pPr>
              <w:jc w:val="center"/>
              <w:ind w:right="260"/>
              <w:spacing w:after="0" w:line="122" w:lineRule="exact"/>
              <w:rPr>
                <w:sz w:val="20"/>
                <w:szCs w:val="20"/>
                <w:color w:val="auto"/>
              </w:rPr>
            </w:pPr>
            <w:r>
              <w:rPr>
                <w:rFonts w:ascii="Arial" w:cs="Arial" w:eastAsia="Arial" w:hAnsi="Arial"/>
                <w:sz w:val="11"/>
                <w:szCs w:val="11"/>
                <w:b w:val="1"/>
                <w:bCs w:val="1"/>
                <w:color w:val="auto"/>
                <w:w w:val="87"/>
              </w:rPr>
              <w:t>September 30,</w:t>
            </w:r>
          </w:p>
        </w:tc>
        <w:tc>
          <w:tcPr>
            <w:tcW w:w="320" w:type="dxa"/>
            <w:vAlign w:val="bottom"/>
          </w:tcPr>
          <w:p>
            <w:pPr>
              <w:spacing w:after="0"/>
              <w:rPr>
                <w:sz w:val="10"/>
                <w:szCs w:val="10"/>
                <w:color w:val="auto"/>
              </w:rPr>
            </w:pPr>
          </w:p>
        </w:tc>
        <w:tc>
          <w:tcPr>
            <w:tcW w:w="460" w:type="dxa"/>
            <w:vAlign w:val="bottom"/>
            <w:gridSpan w:val="2"/>
          </w:tcPr>
          <w:p>
            <w:pPr>
              <w:jc w:val="center"/>
              <w:ind w:right="100"/>
              <w:spacing w:after="0" w:line="122" w:lineRule="exact"/>
              <w:rPr>
                <w:sz w:val="20"/>
                <w:szCs w:val="20"/>
                <w:color w:val="auto"/>
              </w:rPr>
            </w:pPr>
            <w:r>
              <w:rPr>
                <w:rFonts w:ascii="Arial" w:cs="Arial" w:eastAsia="Arial" w:hAnsi="Arial"/>
                <w:sz w:val="11"/>
                <w:szCs w:val="11"/>
                <w:b w:val="1"/>
                <w:bCs w:val="1"/>
                <w:color w:val="auto"/>
                <w:w w:val="89"/>
              </w:rPr>
              <w:t>July 15,</w:t>
            </w:r>
          </w:p>
        </w:tc>
        <w:tc>
          <w:tcPr>
            <w:tcW w:w="100" w:type="dxa"/>
            <w:vAlign w:val="bottom"/>
          </w:tcPr>
          <w:p>
            <w:pPr>
              <w:spacing w:after="0"/>
              <w:rPr>
                <w:sz w:val="10"/>
                <w:szCs w:val="10"/>
                <w:color w:val="auto"/>
              </w:rPr>
            </w:pPr>
          </w:p>
        </w:tc>
        <w:tc>
          <w:tcPr>
            <w:tcW w:w="600" w:type="dxa"/>
            <w:vAlign w:val="bottom"/>
            <w:gridSpan w:val="2"/>
          </w:tcPr>
          <w:p>
            <w:pPr>
              <w:jc w:val="center"/>
              <w:ind w:right="200"/>
              <w:spacing w:after="0" w:line="122" w:lineRule="exact"/>
              <w:rPr>
                <w:sz w:val="20"/>
                <w:szCs w:val="20"/>
                <w:color w:val="auto"/>
              </w:rPr>
            </w:pPr>
            <w:r>
              <w:rPr>
                <w:rFonts w:ascii="Arial" w:cs="Arial" w:eastAsia="Arial" w:hAnsi="Arial"/>
                <w:sz w:val="11"/>
                <w:szCs w:val="11"/>
                <w:b w:val="1"/>
                <w:bCs w:val="1"/>
                <w:color w:val="auto"/>
                <w:w w:val="90"/>
              </w:rPr>
              <w:t>June 30,</w:t>
            </w:r>
          </w:p>
        </w:tc>
        <w:tc>
          <w:tcPr>
            <w:tcW w:w="520" w:type="dxa"/>
            <w:vAlign w:val="bottom"/>
            <w:gridSpan w:val="3"/>
          </w:tcPr>
          <w:p>
            <w:pPr>
              <w:jc w:val="center"/>
              <w:ind w:right="40"/>
              <w:spacing w:after="0" w:line="122" w:lineRule="exact"/>
              <w:rPr>
                <w:sz w:val="20"/>
                <w:szCs w:val="20"/>
                <w:color w:val="auto"/>
              </w:rPr>
            </w:pPr>
            <w:r>
              <w:rPr>
                <w:rFonts w:ascii="Arial" w:cs="Arial" w:eastAsia="Arial" w:hAnsi="Arial"/>
                <w:sz w:val="11"/>
                <w:szCs w:val="11"/>
                <w:b w:val="1"/>
                <w:bCs w:val="1"/>
                <w:color w:val="auto"/>
                <w:w w:val="94"/>
              </w:rPr>
              <w:t>March 31,</w:t>
            </w:r>
          </w:p>
        </w:tc>
      </w:tr>
      <w:tr>
        <w:trPr>
          <w:trHeight w:val="135"/>
        </w:trPr>
        <w:tc>
          <w:tcPr>
            <w:tcW w:w="2900" w:type="dxa"/>
            <w:vAlign w:val="bottom"/>
          </w:tcPr>
          <w:p>
            <w:pPr>
              <w:spacing w:after="0"/>
              <w:rPr>
                <w:sz w:val="20"/>
                <w:szCs w:val="20"/>
                <w:color w:val="auto"/>
              </w:rPr>
            </w:pPr>
            <w:r>
              <w:rPr>
                <w:rFonts w:ascii="Arial" w:cs="Arial" w:eastAsia="Arial" w:hAnsi="Arial"/>
                <w:sz w:val="11"/>
                <w:szCs w:val="11"/>
                <w:b w:val="1"/>
                <w:bCs w:val="1"/>
                <w:color w:val="auto"/>
              </w:rPr>
              <w:t>($ in thousands)</w:t>
            </w:r>
          </w:p>
        </w:tc>
        <w:tc>
          <w:tcPr>
            <w:tcW w:w="600" w:type="dxa"/>
            <w:vAlign w:val="bottom"/>
            <w:gridSpan w:val="2"/>
          </w:tcPr>
          <w:p>
            <w:pPr>
              <w:jc w:val="right"/>
              <w:ind w:right="23"/>
              <w:spacing w:after="0"/>
              <w:rPr>
                <w:sz w:val="20"/>
                <w:szCs w:val="20"/>
                <w:color w:val="auto"/>
              </w:rPr>
            </w:pPr>
            <w:r>
              <w:rPr>
                <w:rFonts w:ascii="Arial" w:cs="Arial" w:eastAsia="Arial" w:hAnsi="Arial"/>
                <w:sz w:val="11"/>
                <w:szCs w:val="11"/>
                <w:b w:val="1"/>
                <w:bCs w:val="1"/>
                <w:color w:val="auto"/>
              </w:rPr>
              <w:t>2021</w:t>
            </w:r>
          </w:p>
        </w:tc>
        <w:tc>
          <w:tcPr>
            <w:tcW w:w="200" w:type="dxa"/>
            <w:vAlign w:val="bottom"/>
          </w:tcPr>
          <w:p>
            <w:pPr>
              <w:spacing w:after="0"/>
              <w:rPr>
                <w:sz w:val="11"/>
                <w:szCs w:val="11"/>
                <w:color w:val="auto"/>
              </w:rPr>
            </w:pPr>
          </w:p>
        </w:tc>
        <w:tc>
          <w:tcPr>
            <w:tcW w:w="460" w:type="dxa"/>
            <w:vAlign w:val="bottom"/>
          </w:tcPr>
          <w:p>
            <w:pPr>
              <w:jc w:val="right"/>
              <w:ind w:right="64"/>
              <w:spacing w:after="0"/>
              <w:rPr>
                <w:sz w:val="20"/>
                <w:szCs w:val="20"/>
                <w:color w:val="auto"/>
              </w:rPr>
            </w:pPr>
            <w:r>
              <w:rPr>
                <w:rFonts w:ascii="Arial" w:cs="Arial" w:eastAsia="Arial" w:hAnsi="Arial"/>
                <w:sz w:val="11"/>
                <w:szCs w:val="11"/>
                <w:b w:val="1"/>
                <w:bCs w:val="1"/>
                <w:color w:val="auto"/>
              </w:rPr>
              <w:t>2021</w:t>
            </w: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40" w:type="dxa"/>
            <w:vAlign w:val="bottom"/>
          </w:tcPr>
          <w:p>
            <w:pPr>
              <w:jc w:val="center"/>
              <w:ind w:right="63"/>
              <w:spacing w:after="0"/>
              <w:rPr>
                <w:sz w:val="20"/>
                <w:szCs w:val="20"/>
                <w:color w:val="auto"/>
              </w:rPr>
            </w:pPr>
            <w:r>
              <w:rPr>
                <w:rFonts w:ascii="Arial" w:cs="Arial" w:eastAsia="Arial" w:hAnsi="Arial"/>
                <w:sz w:val="11"/>
                <w:szCs w:val="11"/>
                <w:b w:val="1"/>
                <w:bCs w:val="1"/>
                <w:color w:val="auto"/>
                <w:w w:val="89"/>
              </w:rPr>
              <w:t>2020</w:t>
            </w: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jc w:val="center"/>
              <w:ind w:right="44"/>
              <w:spacing w:after="0"/>
              <w:rPr>
                <w:sz w:val="20"/>
                <w:szCs w:val="20"/>
                <w:color w:val="auto"/>
              </w:rPr>
            </w:pPr>
            <w:r>
              <w:rPr>
                <w:rFonts w:ascii="Arial" w:cs="Arial" w:eastAsia="Arial" w:hAnsi="Arial"/>
                <w:sz w:val="11"/>
                <w:szCs w:val="11"/>
                <w:b w:val="1"/>
                <w:bCs w:val="1"/>
                <w:color w:val="auto"/>
                <w:w w:val="89"/>
              </w:rPr>
              <w:t>2020</w:t>
            </w:r>
          </w:p>
        </w:tc>
        <w:tc>
          <w:tcPr>
            <w:tcW w:w="580" w:type="dxa"/>
            <w:vAlign w:val="bottom"/>
            <w:gridSpan w:val="2"/>
          </w:tcPr>
          <w:p>
            <w:pPr>
              <w:jc w:val="center"/>
              <w:ind w:left="146"/>
              <w:spacing w:after="0"/>
              <w:rPr>
                <w:sz w:val="20"/>
                <w:szCs w:val="20"/>
                <w:color w:val="auto"/>
              </w:rPr>
            </w:pPr>
            <w:r>
              <w:rPr>
                <w:rFonts w:ascii="Arial" w:cs="Arial" w:eastAsia="Arial" w:hAnsi="Arial"/>
                <w:sz w:val="11"/>
                <w:szCs w:val="11"/>
                <w:b w:val="1"/>
                <w:bCs w:val="1"/>
                <w:color w:val="auto"/>
                <w:w w:val="89"/>
              </w:rPr>
              <w:t>2020</w:t>
            </w:r>
          </w:p>
        </w:tc>
        <w:tc>
          <w:tcPr>
            <w:tcW w:w="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0" w:type="dxa"/>
            <w:vAlign w:val="bottom"/>
          </w:tcPr>
          <w:p>
            <w:pPr>
              <w:jc w:val="center"/>
              <w:ind w:right="3"/>
              <w:spacing w:after="0"/>
              <w:rPr>
                <w:sz w:val="20"/>
                <w:szCs w:val="20"/>
                <w:color w:val="auto"/>
              </w:rPr>
            </w:pPr>
            <w:r>
              <w:rPr>
                <w:rFonts w:ascii="Arial" w:cs="Arial" w:eastAsia="Arial" w:hAnsi="Arial"/>
                <w:sz w:val="11"/>
                <w:szCs w:val="11"/>
                <w:b w:val="1"/>
                <w:bCs w:val="1"/>
                <w:color w:val="auto"/>
                <w:w w:val="89"/>
              </w:rPr>
              <w:t>2020</w:t>
            </w: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jc w:val="center"/>
              <w:ind w:right="23"/>
              <w:spacing w:after="0"/>
              <w:rPr>
                <w:sz w:val="20"/>
                <w:szCs w:val="20"/>
                <w:color w:val="auto"/>
              </w:rPr>
            </w:pPr>
            <w:r>
              <w:rPr>
                <w:rFonts w:ascii="Arial" w:cs="Arial" w:eastAsia="Arial" w:hAnsi="Arial"/>
                <w:sz w:val="11"/>
                <w:szCs w:val="11"/>
                <w:b w:val="1"/>
                <w:bCs w:val="1"/>
                <w:color w:val="auto"/>
                <w:w w:val="89"/>
              </w:rPr>
              <w:t>2019</w:t>
            </w: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jc w:val="center"/>
              <w:ind w:right="44"/>
              <w:spacing w:after="0"/>
              <w:rPr>
                <w:sz w:val="20"/>
                <w:szCs w:val="20"/>
                <w:color w:val="auto"/>
              </w:rPr>
            </w:pPr>
            <w:r>
              <w:rPr>
                <w:rFonts w:ascii="Arial" w:cs="Arial" w:eastAsia="Arial" w:hAnsi="Arial"/>
                <w:sz w:val="11"/>
                <w:szCs w:val="11"/>
                <w:b w:val="1"/>
                <w:bCs w:val="1"/>
                <w:color w:val="auto"/>
                <w:w w:val="89"/>
              </w:rPr>
              <w:t>2019</w:t>
            </w:r>
          </w:p>
        </w:tc>
        <w:tc>
          <w:tcPr>
            <w:tcW w:w="260" w:type="dxa"/>
            <w:vAlign w:val="bottom"/>
            <w:tcBorders>
              <w:right w:val="single" w:sz="8" w:color="auto"/>
            </w:tcBorders>
          </w:tcPr>
          <w:p>
            <w:pPr>
              <w:spacing w:after="0"/>
              <w:rPr>
                <w:sz w:val="11"/>
                <w:szCs w:val="11"/>
                <w:color w:val="auto"/>
              </w:rPr>
            </w:pPr>
          </w:p>
        </w:tc>
        <w:tc>
          <w:tcPr>
            <w:tcW w:w="320" w:type="dxa"/>
            <w:vAlign w:val="bottom"/>
          </w:tcPr>
          <w:p>
            <w:pPr>
              <w:spacing w:after="0"/>
              <w:rPr>
                <w:sz w:val="11"/>
                <w:szCs w:val="11"/>
                <w:color w:val="auto"/>
              </w:rPr>
            </w:pPr>
          </w:p>
        </w:tc>
        <w:tc>
          <w:tcPr>
            <w:tcW w:w="360" w:type="dxa"/>
            <w:vAlign w:val="bottom"/>
          </w:tcPr>
          <w:p>
            <w:pPr>
              <w:jc w:val="center"/>
              <w:spacing w:after="0"/>
              <w:rPr>
                <w:sz w:val="20"/>
                <w:szCs w:val="20"/>
                <w:color w:val="auto"/>
              </w:rPr>
            </w:pPr>
            <w:r>
              <w:rPr>
                <w:rFonts w:ascii="Arial" w:cs="Arial" w:eastAsia="Arial" w:hAnsi="Arial"/>
                <w:sz w:val="11"/>
                <w:szCs w:val="11"/>
                <w:b w:val="1"/>
                <w:bCs w:val="1"/>
                <w:color w:val="auto"/>
                <w:w w:val="81"/>
              </w:rPr>
              <w:t>2019</w:t>
            </w:r>
          </w:p>
        </w:tc>
        <w:tc>
          <w:tcPr>
            <w:tcW w:w="100" w:type="dxa"/>
            <w:vAlign w:val="bottom"/>
          </w:tcPr>
          <w:p>
            <w:pPr>
              <w:spacing w:after="0"/>
              <w:rPr>
                <w:sz w:val="11"/>
                <w:szCs w:val="11"/>
                <w:color w:val="auto"/>
              </w:rPr>
            </w:pPr>
          </w:p>
        </w:tc>
        <w:tc>
          <w:tcPr>
            <w:tcW w:w="500" w:type="dxa"/>
            <w:vAlign w:val="bottom"/>
            <w:gridSpan w:val="2"/>
          </w:tcPr>
          <w:p>
            <w:pPr>
              <w:jc w:val="right"/>
              <w:ind w:right="43"/>
              <w:spacing w:after="0"/>
              <w:rPr>
                <w:sz w:val="20"/>
                <w:szCs w:val="20"/>
                <w:color w:val="auto"/>
              </w:rPr>
            </w:pPr>
            <w:r>
              <w:rPr>
                <w:rFonts w:ascii="Arial" w:cs="Arial" w:eastAsia="Arial" w:hAnsi="Arial"/>
                <w:sz w:val="11"/>
                <w:szCs w:val="11"/>
                <w:b w:val="1"/>
                <w:bCs w:val="1"/>
                <w:color w:val="auto"/>
              </w:rPr>
              <w:t>2019</w:t>
            </w:r>
          </w:p>
        </w:tc>
        <w:tc>
          <w:tcPr>
            <w:tcW w:w="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20" w:type="dxa"/>
            <w:vAlign w:val="bottom"/>
          </w:tcPr>
          <w:p>
            <w:pPr>
              <w:jc w:val="center"/>
              <w:ind w:right="23"/>
              <w:spacing w:after="0"/>
              <w:rPr>
                <w:sz w:val="20"/>
                <w:szCs w:val="20"/>
                <w:color w:val="auto"/>
              </w:rPr>
            </w:pPr>
            <w:r>
              <w:rPr>
                <w:rFonts w:ascii="Arial" w:cs="Arial" w:eastAsia="Arial" w:hAnsi="Arial"/>
                <w:sz w:val="11"/>
                <w:szCs w:val="11"/>
                <w:b w:val="1"/>
                <w:bCs w:val="1"/>
                <w:color w:val="auto"/>
                <w:w w:val="89"/>
              </w:rPr>
              <w:t>2019</w:t>
            </w:r>
          </w:p>
        </w:tc>
        <w:tc>
          <w:tcPr>
            <w:tcW w:w="40" w:type="dxa"/>
            <w:vAlign w:val="bottom"/>
          </w:tcPr>
          <w:p>
            <w:pPr>
              <w:spacing w:after="0"/>
              <w:rPr>
                <w:sz w:val="11"/>
                <w:szCs w:val="11"/>
                <w:color w:val="auto"/>
              </w:rPr>
            </w:pPr>
          </w:p>
        </w:tc>
      </w:tr>
      <w:tr>
        <w:trPr>
          <w:trHeight w:val="142"/>
        </w:trPr>
        <w:tc>
          <w:tcPr>
            <w:tcW w:w="2900" w:type="dxa"/>
            <w:vAlign w:val="bottom"/>
            <w:tcBorders>
              <w:top w:val="single" w:sz="8" w:color="CCEEFF"/>
            </w:tcBorders>
            <w:shd w:val="clear" w:color="auto" w:fill="CCEEFF"/>
          </w:tcPr>
          <w:p>
            <w:pPr>
              <w:spacing w:after="0" w:line="142" w:lineRule="exact"/>
              <w:rPr>
                <w:sz w:val="20"/>
                <w:szCs w:val="20"/>
                <w:color w:val="auto"/>
              </w:rPr>
            </w:pPr>
            <w:r>
              <w:rPr>
                <w:rFonts w:ascii="Arial" w:cs="Arial" w:eastAsia="Arial" w:hAnsi="Arial"/>
                <w:sz w:val="13"/>
                <w:szCs w:val="13"/>
                <w:color w:val="auto"/>
                <w:w w:val="97"/>
              </w:rPr>
              <w:t>Purchases of property, equipment and other assets</w:t>
            </w:r>
          </w:p>
        </w:tc>
        <w:tc>
          <w:tcPr>
            <w:tcW w:w="220" w:type="dxa"/>
            <w:vAlign w:val="bottom"/>
            <w:tcBorders>
              <w:top w:val="single" w:sz="8" w:color="CCEEFF"/>
            </w:tcBorders>
            <w:shd w:val="clear" w:color="auto" w:fill="CCEEFF"/>
          </w:tcPr>
          <w:p>
            <w:pPr>
              <w:spacing w:after="0"/>
              <w:rPr>
                <w:sz w:val="12"/>
                <w:szCs w:val="12"/>
                <w:color w:val="auto"/>
              </w:rPr>
            </w:pPr>
          </w:p>
        </w:tc>
        <w:tc>
          <w:tcPr>
            <w:tcW w:w="38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3"/>
                <w:szCs w:val="13"/>
                <w:color w:val="auto"/>
                <w:w w:val="82"/>
              </w:rPr>
              <w:t>$ 1,380</w:t>
            </w:r>
          </w:p>
        </w:tc>
        <w:tc>
          <w:tcPr>
            <w:tcW w:w="200" w:type="dxa"/>
            <w:vAlign w:val="bottom"/>
            <w:tcBorders>
              <w:top w:val="single" w:sz="8" w:color="CCEEFF"/>
            </w:tcBorders>
            <w:shd w:val="clear" w:color="auto" w:fill="CCEEFF"/>
          </w:tcPr>
          <w:p>
            <w:pPr>
              <w:spacing w:after="0"/>
              <w:rPr>
                <w:sz w:val="12"/>
                <w:szCs w:val="12"/>
                <w:color w:val="auto"/>
              </w:rPr>
            </w:pPr>
          </w:p>
        </w:tc>
        <w:tc>
          <w:tcPr>
            <w:tcW w:w="46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3"/>
                <w:szCs w:val="13"/>
                <w:color w:val="auto"/>
                <w:w w:val="93"/>
              </w:rPr>
              <w:t>$  3,842</w:t>
            </w:r>
          </w:p>
        </w:tc>
        <w:tc>
          <w:tcPr>
            <w:tcW w:w="20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54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3"/>
                <w:szCs w:val="13"/>
                <w:color w:val="auto"/>
              </w:rPr>
              <w:t>334</w:t>
            </w:r>
          </w:p>
        </w:tc>
        <w:tc>
          <w:tcPr>
            <w:tcW w:w="18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56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3"/>
                <w:szCs w:val="13"/>
                <w:color w:val="auto"/>
              </w:rPr>
              <w:t>166</w:t>
            </w:r>
          </w:p>
        </w:tc>
        <w:tc>
          <w:tcPr>
            <w:tcW w:w="200" w:type="dxa"/>
            <w:vAlign w:val="bottom"/>
            <w:tcBorders>
              <w:top w:val="single" w:sz="8" w:color="CCEEFF"/>
            </w:tcBorders>
            <w:shd w:val="clear" w:color="auto" w:fill="CCEEFF"/>
          </w:tcPr>
          <w:p>
            <w:pPr>
              <w:spacing w:after="0"/>
              <w:rPr>
                <w:sz w:val="12"/>
                <w:szCs w:val="12"/>
                <w:color w:val="auto"/>
              </w:rPr>
            </w:pPr>
          </w:p>
        </w:tc>
        <w:tc>
          <w:tcPr>
            <w:tcW w:w="380" w:type="dxa"/>
            <w:vAlign w:val="bottom"/>
            <w:tcBorders>
              <w:top w:val="single" w:sz="8" w:color="auto"/>
            </w:tcBorders>
            <w:shd w:val="clear" w:color="auto" w:fill="CCEEFF"/>
          </w:tcPr>
          <w:p>
            <w:pPr>
              <w:jc w:val="center"/>
              <w:spacing w:after="0" w:line="142" w:lineRule="exact"/>
              <w:rPr>
                <w:sz w:val="20"/>
                <w:szCs w:val="20"/>
                <w:color w:val="auto"/>
              </w:rPr>
            </w:pPr>
            <w:r>
              <w:rPr>
                <w:rFonts w:ascii="Arial" w:cs="Arial" w:eastAsia="Arial" w:hAnsi="Arial"/>
                <w:sz w:val="13"/>
                <w:szCs w:val="13"/>
                <w:color w:val="auto"/>
              </w:rPr>
              <w:t>$  547</w:t>
            </w:r>
          </w:p>
        </w:tc>
        <w:tc>
          <w:tcPr>
            <w:tcW w:w="200" w:type="dxa"/>
            <w:vAlign w:val="bottom"/>
            <w:tcBorders>
              <w:top w:val="single" w:sz="8" w:color="CCEEFF"/>
            </w:tcBorders>
            <w:shd w:val="clear" w:color="auto" w:fill="CCEEFF"/>
          </w:tcPr>
          <w:p>
            <w:pPr>
              <w:spacing w:after="0"/>
              <w:rPr>
                <w:sz w:val="12"/>
                <w:szCs w:val="12"/>
                <w:color w:val="auto"/>
              </w:rPr>
            </w:pPr>
          </w:p>
        </w:tc>
        <w:tc>
          <w:tcPr>
            <w:tcW w:w="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0"/>
                <w:szCs w:val="10"/>
                <w:color w:val="auto"/>
                <w:w w:val="71"/>
              </w:rPr>
              <w:t>$</w:t>
            </w:r>
          </w:p>
        </w:tc>
        <w:tc>
          <w:tcPr>
            <w:tcW w:w="40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3"/>
                <w:szCs w:val="13"/>
                <w:color w:val="auto"/>
              </w:rPr>
              <w:t>348</w:t>
            </w:r>
          </w:p>
        </w:tc>
        <w:tc>
          <w:tcPr>
            <w:tcW w:w="20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line="142" w:lineRule="exact"/>
              <w:rPr>
                <w:sz w:val="20"/>
                <w:szCs w:val="20"/>
                <w:color w:val="auto"/>
              </w:rPr>
            </w:pPr>
            <w:r>
              <w:rPr>
                <w:rFonts w:ascii="Arial" w:cs="Arial" w:eastAsia="Arial" w:hAnsi="Arial"/>
                <w:sz w:val="13"/>
                <w:szCs w:val="13"/>
                <w:color w:val="auto"/>
                <w:w w:val="82"/>
              </w:rPr>
              <w:t>$</w:t>
            </w:r>
          </w:p>
        </w:tc>
        <w:tc>
          <w:tcPr>
            <w:tcW w:w="54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3"/>
                <w:szCs w:val="13"/>
                <w:color w:val="auto"/>
              </w:rPr>
              <w:t>1,130</w:t>
            </w:r>
          </w:p>
        </w:tc>
        <w:tc>
          <w:tcPr>
            <w:tcW w:w="20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56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3"/>
                <w:szCs w:val="13"/>
                <w:color w:val="auto"/>
              </w:rPr>
              <w:t>41</w:t>
            </w:r>
          </w:p>
        </w:tc>
        <w:tc>
          <w:tcPr>
            <w:tcW w:w="260" w:type="dxa"/>
            <w:vAlign w:val="bottom"/>
            <w:tcBorders>
              <w:top w:val="single" w:sz="8" w:color="CCEEFF"/>
              <w:right w:val="single" w:sz="8" w:color="auto"/>
            </w:tcBorders>
            <w:shd w:val="clear" w:color="auto" w:fill="CCEEFF"/>
          </w:tcPr>
          <w:p>
            <w:pPr>
              <w:spacing w:after="0"/>
              <w:rPr>
                <w:sz w:val="12"/>
                <w:szCs w:val="12"/>
                <w:color w:val="auto"/>
              </w:rPr>
            </w:pPr>
          </w:p>
        </w:tc>
        <w:tc>
          <w:tcPr>
            <w:tcW w:w="320" w:type="dxa"/>
            <w:vAlign w:val="bottom"/>
            <w:tcBorders>
              <w:top w:val="single" w:sz="8" w:color="CCEEFF"/>
            </w:tcBorders>
            <w:shd w:val="clear" w:color="auto" w:fill="CCEEFF"/>
          </w:tcPr>
          <w:p>
            <w:pPr>
              <w:spacing w:after="0"/>
              <w:rPr>
                <w:sz w:val="12"/>
                <w:szCs w:val="12"/>
                <w:color w:val="auto"/>
              </w:rPr>
            </w:pPr>
          </w:p>
        </w:tc>
        <w:tc>
          <w:tcPr>
            <w:tcW w:w="360" w:type="dxa"/>
            <w:vAlign w:val="bottom"/>
            <w:tcBorders>
              <w:top w:val="single" w:sz="8" w:color="auto"/>
            </w:tcBorders>
            <w:shd w:val="clear" w:color="auto" w:fill="CCEEFF"/>
          </w:tcPr>
          <w:p>
            <w:pPr>
              <w:jc w:val="center"/>
              <w:spacing w:after="0" w:line="142" w:lineRule="exact"/>
              <w:rPr>
                <w:sz w:val="20"/>
                <w:szCs w:val="20"/>
                <w:color w:val="auto"/>
              </w:rPr>
            </w:pPr>
            <w:r>
              <w:rPr>
                <w:rFonts w:ascii="Arial" w:cs="Arial" w:eastAsia="Arial" w:hAnsi="Arial"/>
                <w:sz w:val="13"/>
                <w:szCs w:val="13"/>
                <w:color w:val="auto"/>
              </w:rPr>
              <w:t>$   11</w:t>
            </w:r>
          </w:p>
        </w:tc>
        <w:tc>
          <w:tcPr>
            <w:tcW w:w="10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40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3"/>
                <w:szCs w:val="13"/>
                <w:color w:val="auto"/>
              </w:rPr>
              <w:t>$  539</w:t>
            </w:r>
          </w:p>
        </w:tc>
        <w:tc>
          <w:tcPr>
            <w:tcW w:w="200" w:type="dxa"/>
            <w:vAlign w:val="bottom"/>
            <w:tcBorders>
              <w:top w:val="single" w:sz="8" w:color="CCEEFF"/>
            </w:tcBorders>
            <w:shd w:val="clear" w:color="auto" w:fill="CCEEFF"/>
          </w:tcPr>
          <w:p>
            <w:pPr>
              <w:spacing w:after="0"/>
              <w:rPr>
                <w:sz w:val="12"/>
                <w:szCs w:val="12"/>
                <w:color w:val="auto"/>
              </w:rPr>
            </w:pPr>
          </w:p>
        </w:tc>
        <w:tc>
          <w:tcPr>
            <w:tcW w:w="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42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3"/>
                <w:szCs w:val="13"/>
                <w:color w:val="auto"/>
              </w:rPr>
              <w:t>179</w:t>
            </w:r>
          </w:p>
        </w:tc>
        <w:tc>
          <w:tcPr>
            <w:tcW w:w="40" w:type="dxa"/>
            <w:vAlign w:val="bottom"/>
            <w:tcBorders>
              <w:top w:val="single" w:sz="8" w:color="CCEEFF"/>
            </w:tcBorders>
            <w:shd w:val="clear" w:color="auto" w:fill="CCEEFF"/>
          </w:tcPr>
          <w:p>
            <w:pPr>
              <w:spacing w:after="0"/>
              <w:rPr>
                <w:sz w:val="12"/>
                <w:szCs w:val="1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85725</wp:posOffset>
            </wp:positionV>
            <wp:extent cx="771525" cy="889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71525" cy="8890"/>
                    </a:xfrm>
                    <a:prstGeom prst="rect">
                      <a:avLst/>
                    </a:prstGeom>
                    <a:noFill/>
                  </pic:spPr>
                </pic:pic>
              </a:graphicData>
            </a:graphic>
          </wp:anchor>
        </w:drawing>
      </w:r>
    </w:p>
    <w:p>
      <w:pPr>
        <w:spacing w:after="0" w:line="141" w:lineRule="exact"/>
        <w:rPr>
          <w:sz w:val="20"/>
          <w:szCs w:val="20"/>
          <w:color w:val="auto"/>
        </w:rPr>
      </w:pPr>
    </w:p>
    <w:p>
      <w:pPr>
        <w:ind w:left="540" w:right="600" w:hanging="424"/>
        <w:spacing w:after="0" w:line="277" w:lineRule="auto"/>
        <w:tabs>
          <w:tab w:leader="none" w:pos="540" w:val="left"/>
        </w:tabs>
        <w:numPr>
          <w:ilvl w:val="0"/>
          <w:numId w:val="88"/>
        </w:numPr>
        <w:rPr>
          <w:rFonts w:ascii="Arial" w:cs="Arial" w:eastAsia="Arial" w:hAnsi="Arial"/>
          <w:sz w:val="18"/>
          <w:szCs w:val="18"/>
          <w:color w:val="auto"/>
        </w:rPr>
      </w:pPr>
      <w:r>
        <w:rPr>
          <w:rFonts w:ascii="Arial" w:cs="Arial" w:eastAsia="Arial" w:hAnsi="Arial"/>
          <w:sz w:val="18"/>
          <w:szCs w:val="18"/>
          <w:color w:val="auto"/>
        </w:rPr>
        <w:t>Net cash (used in) investing activities for the period from July 16, 2019 to September 30, 2019 primarily includes cash paid for the Advent Acquisition.</w:t>
      </w:r>
    </w:p>
    <w:p>
      <w:pPr>
        <w:spacing w:after="0" w:line="27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Balance Sheet Items</w:t>
      </w:r>
    </w:p>
    <w:p>
      <w:pPr>
        <w:spacing w:after="0" w:line="248" w:lineRule="exact"/>
        <w:rPr>
          <w:sz w:val="20"/>
          <w:szCs w:val="20"/>
          <w:color w:val="auto"/>
        </w:rPr>
      </w:pPr>
    </w:p>
    <w:tbl>
      <w:tblPr>
        <w:tblLayout w:type="fixed"/>
        <w:tblInd w:w="120" w:type="dxa"/>
        <w:tblCellMar>
          <w:top w:w="0" w:type="dxa"/>
          <w:left w:w="0" w:type="dxa"/>
          <w:bottom w:w="0" w:type="dxa"/>
          <w:right w:w="0" w:type="dxa"/>
        </w:tblCellMar>
      </w:tblPr>
      <w:tr>
        <w:trPr>
          <w:trHeight w:val="153"/>
        </w:trPr>
        <w:tc>
          <w:tcPr>
            <w:tcW w:w="2580" w:type="dxa"/>
            <w:vAlign w:val="bottom"/>
            <w:gridSpan w:val="2"/>
            <w:vMerge w:val="restart"/>
          </w:tcPr>
          <w:p>
            <w:pPr>
              <w:spacing w:after="0"/>
              <w:rPr>
                <w:sz w:val="20"/>
                <w:szCs w:val="20"/>
                <w:color w:val="auto"/>
              </w:rPr>
            </w:pPr>
            <w:r>
              <w:rPr>
                <w:rFonts w:ascii="Arial" w:cs="Arial" w:eastAsia="Arial" w:hAnsi="Arial"/>
                <w:sz w:val="13"/>
                <w:szCs w:val="13"/>
                <w:b w:val="1"/>
                <w:bCs w:val="1"/>
                <w:color w:val="auto"/>
              </w:rPr>
              <w:t>($ in</w:t>
            </w:r>
          </w:p>
        </w:tc>
        <w:tc>
          <w:tcPr>
            <w:tcW w:w="3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420" w:type="dxa"/>
            <w:vAlign w:val="bottom"/>
            <w:gridSpan w:val="5"/>
          </w:tcPr>
          <w:p>
            <w:pPr>
              <w:ind w:left="420"/>
              <w:spacing w:after="0"/>
              <w:rPr>
                <w:sz w:val="20"/>
                <w:szCs w:val="20"/>
                <w:color w:val="auto"/>
              </w:rPr>
            </w:pPr>
            <w:r>
              <w:rPr>
                <w:rFonts w:ascii="Arial" w:cs="Arial" w:eastAsia="Arial" w:hAnsi="Arial"/>
                <w:sz w:val="13"/>
                <w:szCs w:val="13"/>
                <w:b w:val="1"/>
                <w:bCs w:val="1"/>
                <w:color w:val="auto"/>
              </w:rPr>
              <w:t>Successor</w:t>
            </w:r>
          </w:p>
        </w:tc>
        <w:tc>
          <w:tcPr>
            <w:tcW w:w="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40" w:type="dxa"/>
            <w:vAlign w:val="bottom"/>
            <w:tcBorders>
              <w:right w:val="single" w:sz="8" w:color="auto"/>
            </w:tcBorders>
          </w:tcPr>
          <w:p>
            <w:pPr>
              <w:spacing w:after="0"/>
              <w:rPr>
                <w:sz w:val="13"/>
                <w:szCs w:val="13"/>
                <w:color w:val="auto"/>
              </w:rPr>
            </w:pPr>
          </w:p>
        </w:tc>
        <w:tc>
          <w:tcPr>
            <w:tcW w:w="280" w:type="dxa"/>
            <w:vAlign w:val="bottom"/>
          </w:tcPr>
          <w:p>
            <w:pPr>
              <w:spacing w:after="0"/>
              <w:rPr>
                <w:sz w:val="13"/>
                <w:szCs w:val="13"/>
                <w:color w:val="auto"/>
              </w:rPr>
            </w:pPr>
          </w:p>
        </w:tc>
        <w:tc>
          <w:tcPr>
            <w:tcW w:w="1240" w:type="dxa"/>
            <w:vAlign w:val="bottom"/>
            <w:gridSpan w:val="4"/>
          </w:tcPr>
          <w:p>
            <w:pPr>
              <w:ind w:left="280"/>
              <w:spacing w:after="0"/>
              <w:rPr>
                <w:sz w:val="20"/>
                <w:szCs w:val="20"/>
                <w:color w:val="auto"/>
              </w:rPr>
            </w:pPr>
            <w:r>
              <w:rPr>
                <w:rFonts w:ascii="Arial" w:cs="Arial" w:eastAsia="Arial" w:hAnsi="Arial"/>
                <w:sz w:val="13"/>
                <w:szCs w:val="13"/>
                <w:b w:val="1"/>
                <w:bCs w:val="1"/>
                <w:color w:val="auto"/>
              </w:rPr>
              <w:t>Predecessor</w:t>
            </w:r>
          </w:p>
        </w:tc>
        <w:tc>
          <w:tcPr>
            <w:tcW w:w="0" w:type="dxa"/>
            <w:vAlign w:val="bottom"/>
          </w:tcPr>
          <w:p>
            <w:pPr>
              <w:spacing w:after="0"/>
              <w:rPr>
                <w:sz w:val="1"/>
                <w:szCs w:val="1"/>
                <w:color w:val="auto"/>
              </w:rPr>
            </w:pPr>
          </w:p>
        </w:tc>
      </w:tr>
      <w:tr>
        <w:trPr>
          <w:trHeight w:val="102"/>
        </w:trPr>
        <w:tc>
          <w:tcPr>
            <w:tcW w:w="2580" w:type="dxa"/>
            <w:vAlign w:val="bottom"/>
            <w:gridSpan w:val="2"/>
            <w:vMerge w:val="continue"/>
          </w:tcPr>
          <w:p>
            <w:pPr>
              <w:spacing w:after="0"/>
              <w:rPr>
                <w:sz w:val="8"/>
                <w:szCs w:val="8"/>
                <w:color w:val="auto"/>
              </w:rPr>
            </w:pPr>
          </w:p>
        </w:tc>
        <w:tc>
          <w:tcPr>
            <w:tcW w:w="300" w:type="dxa"/>
            <w:vAlign w:val="bottom"/>
          </w:tcPr>
          <w:p>
            <w:pPr>
              <w:spacing w:after="0"/>
              <w:rPr>
                <w:sz w:val="8"/>
                <w:szCs w:val="8"/>
                <w:color w:val="auto"/>
              </w:rPr>
            </w:pPr>
          </w:p>
        </w:tc>
        <w:tc>
          <w:tcPr>
            <w:tcW w:w="640" w:type="dxa"/>
            <w:vAlign w:val="bottom"/>
            <w:tcBorders>
              <w:top w:val="single" w:sz="8" w:color="auto"/>
            </w:tcBorders>
            <w:gridSpan w:val="2"/>
          </w:tcPr>
          <w:p>
            <w:pPr>
              <w:ind w:left="40"/>
              <w:spacing w:after="0" w:line="102" w:lineRule="exact"/>
              <w:rPr>
                <w:sz w:val="20"/>
                <w:szCs w:val="20"/>
                <w:color w:val="auto"/>
              </w:rPr>
            </w:pPr>
            <w:r>
              <w:rPr>
                <w:rFonts w:ascii="Arial" w:cs="Arial" w:eastAsia="Arial" w:hAnsi="Arial"/>
                <w:sz w:val="10"/>
                <w:szCs w:val="10"/>
                <w:b w:val="1"/>
                <w:bCs w:val="1"/>
                <w:color w:val="auto"/>
              </w:rPr>
              <w:t>June 30,</w:t>
            </w:r>
          </w:p>
        </w:tc>
        <w:tc>
          <w:tcPr>
            <w:tcW w:w="80" w:type="dxa"/>
            <w:vAlign w:val="bottom"/>
            <w:tcBorders>
              <w:top w:val="single" w:sz="8" w:color="auto"/>
            </w:tcBorders>
          </w:tcPr>
          <w:p>
            <w:pPr>
              <w:spacing w:after="0"/>
              <w:rPr>
                <w:sz w:val="8"/>
                <w:szCs w:val="8"/>
                <w:color w:val="auto"/>
              </w:rPr>
            </w:pPr>
          </w:p>
        </w:tc>
        <w:tc>
          <w:tcPr>
            <w:tcW w:w="660" w:type="dxa"/>
            <w:vAlign w:val="bottom"/>
            <w:tcBorders>
              <w:top w:val="single" w:sz="8" w:color="auto"/>
            </w:tcBorders>
            <w:gridSpan w:val="2"/>
          </w:tcPr>
          <w:p>
            <w:pPr>
              <w:jc w:val="right"/>
              <w:ind w:right="100"/>
              <w:spacing w:after="0" w:line="102" w:lineRule="exact"/>
              <w:rPr>
                <w:sz w:val="20"/>
                <w:szCs w:val="20"/>
                <w:color w:val="auto"/>
              </w:rPr>
            </w:pPr>
            <w:r>
              <w:rPr>
                <w:rFonts w:ascii="Arial" w:cs="Arial" w:eastAsia="Arial" w:hAnsi="Arial"/>
                <w:sz w:val="10"/>
                <w:szCs w:val="10"/>
                <w:b w:val="1"/>
                <w:bCs w:val="1"/>
                <w:color w:val="auto"/>
              </w:rPr>
              <w:t>March 31,</w:t>
            </w:r>
          </w:p>
        </w:tc>
        <w:tc>
          <w:tcPr>
            <w:tcW w:w="60" w:type="dxa"/>
            <w:vAlign w:val="bottom"/>
            <w:tcBorders>
              <w:top w:val="single" w:sz="8" w:color="auto"/>
            </w:tcBorders>
          </w:tcPr>
          <w:p>
            <w:pPr>
              <w:spacing w:after="0"/>
              <w:rPr>
                <w:sz w:val="8"/>
                <w:szCs w:val="8"/>
                <w:color w:val="auto"/>
              </w:rPr>
            </w:pPr>
          </w:p>
        </w:tc>
        <w:tc>
          <w:tcPr>
            <w:tcW w:w="900" w:type="dxa"/>
            <w:vAlign w:val="bottom"/>
            <w:tcBorders>
              <w:top w:val="single" w:sz="8" w:color="auto"/>
            </w:tcBorders>
            <w:gridSpan w:val="2"/>
          </w:tcPr>
          <w:p>
            <w:pPr>
              <w:ind w:left="20"/>
              <w:spacing w:after="0" w:line="102" w:lineRule="exact"/>
              <w:rPr>
                <w:sz w:val="20"/>
                <w:szCs w:val="20"/>
                <w:color w:val="auto"/>
              </w:rPr>
            </w:pPr>
            <w:r>
              <w:rPr>
                <w:rFonts w:ascii="Arial" w:cs="Arial" w:eastAsia="Arial" w:hAnsi="Arial"/>
                <w:sz w:val="10"/>
                <w:szCs w:val="10"/>
                <w:b w:val="1"/>
                <w:bCs w:val="1"/>
                <w:color w:val="auto"/>
              </w:rPr>
              <w:t>December 31,</w:t>
            </w:r>
          </w:p>
        </w:tc>
        <w:tc>
          <w:tcPr>
            <w:tcW w:w="840" w:type="dxa"/>
            <w:vAlign w:val="bottom"/>
            <w:tcBorders>
              <w:top w:val="single" w:sz="8" w:color="auto"/>
            </w:tcBorders>
            <w:gridSpan w:val="3"/>
          </w:tcPr>
          <w:p>
            <w:pPr>
              <w:spacing w:after="0" w:line="102" w:lineRule="exact"/>
              <w:rPr>
                <w:sz w:val="20"/>
                <w:szCs w:val="20"/>
                <w:color w:val="auto"/>
              </w:rPr>
            </w:pPr>
            <w:r>
              <w:rPr>
                <w:rFonts w:ascii="Arial" w:cs="Arial" w:eastAsia="Arial" w:hAnsi="Arial"/>
                <w:sz w:val="10"/>
                <w:szCs w:val="10"/>
                <w:b w:val="1"/>
                <w:bCs w:val="1"/>
                <w:color w:val="auto"/>
              </w:rPr>
              <w:t>September 30,</w:t>
            </w:r>
          </w:p>
        </w:tc>
        <w:tc>
          <w:tcPr>
            <w:tcW w:w="80" w:type="dxa"/>
            <w:vAlign w:val="bottom"/>
            <w:tcBorders>
              <w:top w:val="single" w:sz="8" w:color="auto"/>
            </w:tcBorders>
          </w:tcPr>
          <w:p>
            <w:pPr>
              <w:spacing w:after="0"/>
              <w:rPr>
                <w:sz w:val="8"/>
                <w:szCs w:val="8"/>
                <w:color w:val="auto"/>
              </w:rPr>
            </w:pPr>
          </w:p>
        </w:tc>
        <w:tc>
          <w:tcPr>
            <w:tcW w:w="660" w:type="dxa"/>
            <w:vAlign w:val="bottom"/>
            <w:tcBorders>
              <w:top w:val="single" w:sz="8" w:color="auto"/>
            </w:tcBorders>
            <w:gridSpan w:val="2"/>
          </w:tcPr>
          <w:p>
            <w:pPr>
              <w:ind w:left="80"/>
              <w:spacing w:after="0" w:line="102" w:lineRule="exact"/>
              <w:rPr>
                <w:sz w:val="20"/>
                <w:szCs w:val="20"/>
                <w:color w:val="auto"/>
              </w:rPr>
            </w:pPr>
            <w:r>
              <w:rPr>
                <w:rFonts w:ascii="Arial" w:cs="Arial" w:eastAsia="Arial" w:hAnsi="Arial"/>
                <w:sz w:val="10"/>
                <w:szCs w:val="10"/>
                <w:b w:val="1"/>
                <w:bCs w:val="1"/>
                <w:color w:val="auto"/>
              </w:rPr>
              <w:t>June 30</w:t>
            </w:r>
          </w:p>
        </w:tc>
        <w:tc>
          <w:tcPr>
            <w:tcW w:w="60" w:type="dxa"/>
            <w:vAlign w:val="bottom"/>
            <w:tcBorders>
              <w:top w:val="single" w:sz="8" w:color="auto"/>
            </w:tcBorders>
          </w:tcPr>
          <w:p>
            <w:pPr>
              <w:spacing w:after="0"/>
              <w:rPr>
                <w:sz w:val="8"/>
                <w:szCs w:val="8"/>
                <w:color w:val="auto"/>
              </w:rPr>
            </w:pPr>
          </w:p>
        </w:tc>
        <w:tc>
          <w:tcPr>
            <w:tcW w:w="660" w:type="dxa"/>
            <w:vAlign w:val="bottom"/>
            <w:tcBorders>
              <w:top w:val="single" w:sz="8" w:color="auto"/>
            </w:tcBorders>
            <w:gridSpan w:val="2"/>
          </w:tcPr>
          <w:p>
            <w:pPr>
              <w:jc w:val="center"/>
              <w:ind w:right="60"/>
              <w:spacing w:after="0" w:line="102" w:lineRule="exact"/>
              <w:rPr>
                <w:sz w:val="20"/>
                <w:szCs w:val="20"/>
                <w:color w:val="auto"/>
              </w:rPr>
            </w:pPr>
            <w:r>
              <w:rPr>
                <w:rFonts w:ascii="Arial" w:cs="Arial" w:eastAsia="Arial" w:hAnsi="Arial"/>
                <w:sz w:val="10"/>
                <w:szCs w:val="10"/>
                <w:b w:val="1"/>
                <w:bCs w:val="1"/>
                <w:color w:val="auto"/>
              </w:rPr>
              <w:t>March 31,</w:t>
            </w:r>
          </w:p>
        </w:tc>
        <w:tc>
          <w:tcPr>
            <w:tcW w:w="80" w:type="dxa"/>
            <w:vAlign w:val="bottom"/>
            <w:tcBorders>
              <w:top w:val="single" w:sz="8" w:color="auto"/>
            </w:tcBorders>
          </w:tcPr>
          <w:p>
            <w:pPr>
              <w:spacing w:after="0"/>
              <w:rPr>
                <w:sz w:val="8"/>
                <w:szCs w:val="8"/>
                <w:color w:val="auto"/>
              </w:rPr>
            </w:pPr>
          </w:p>
        </w:tc>
        <w:tc>
          <w:tcPr>
            <w:tcW w:w="880" w:type="dxa"/>
            <w:vAlign w:val="bottom"/>
            <w:tcBorders>
              <w:top w:val="single" w:sz="8" w:color="auto"/>
            </w:tcBorders>
            <w:gridSpan w:val="2"/>
          </w:tcPr>
          <w:p>
            <w:pPr>
              <w:spacing w:after="0" w:line="102" w:lineRule="exact"/>
              <w:rPr>
                <w:sz w:val="20"/>
                <w:szCs w:val="20"/>
                <w:color w:val="auto"/>
              </w:rPr>
            </w:pPr>
            <w:r>
              <w:rPr>
                <w:rFonts w:ascii="Arial" w:cs="Arial" w:eastAsia="Arial" w:hAnsi="Arial"/>
                <w:sz w:val="10"/>
                <w:szCs w:val="10"/>
                <w:b w:val="1"/>
                <w:bCs w:val="1"/>
                <w:color w:val="auto"/>
              </w:rPr>
              <w:t>December 31,</w:t>
            </w:r>
          </w:p>
        </w:tc>
        <w:tc>
          <w:tcPr>
            <w:tcW w:w="780" w:type="dxa"/>
            <w:vAlign w:val="bottom"/>
            <w:tcBorders>
              <w:top w:val="single" w:sz="8" w:color="auto"/>
            </w:tcBorders>
            <w:gridSpan w:val="2"/>
          </w:tcPr>
          <w:p>
            <w:pPr>
              <w:spacing w:after="0" w:line="102" w:lineRule="exact"/>
              <w:rPr>
                <w:sz w:val="20"/>
                <w:szCs w:val="20"/>
                <w:color w:val="auto"/>
              </w:rPr>
            </w:pPr>
            <w:r>
              <w:rPr>
                <w:rFonts w:ascii="Arial" w:cs="Arial" w:eastAsia="Arial" w:hAnsi="Arial"/>
                <w:sz w:val="10"/>
                <w:szCs w:val="10"/>
                <w:b w:val="1"/>
                <w:bCs w:val="1"/>
                <w:color w:val="auto"/>
              </w:rPr>
              <w:t>September 30,</w:t>
            </w:r>
          </w:p>
        </w:tc>
        <w:tc>
          <w:tcPr>
            <w:tcW w:w="240" w:type="dxa"/>
            <w:vAlign w:val="bottom"/>
            <w:tcBorders>
              <w:right w:val="single" w:sz="8" w:color="auto"/>
            </w:tcBorders>
          </w:tcPr>
          <w:p>
            <w:pPr>
              <w:spacing w:after="0"/>
              <w:rPr>
                <w:sz w:val="8"/>
                <w:szCs w:val="8"/>
                <w:color w:val="auto"/>
              </w:rPr>
            </w:pPr>
          </w:p>
        </w:tc>
        <w:tc>
          <w:tcPr>
            <w:tcW w:w="280" w:type="dxa"/>
            <w:vAlign w:val="bottom"/>
          </w:tcPr>
          <w:p>
            <w:pPr>
              <w:spacing w:after="0"/>
              <w:rPr>
                <w:sz w:val="8"/>
                <w:szCs w:val="8"/>
                <w:color w:val="auto"/>
              </w:rPr>
            </w:pPr>
          </w:p>
        </w:tc>
        <w:tc>
          <w:tcPr>
            <w:tcW w:w="640" w:type="dxa"/>
            <w:vAlign w:val="bottom"/>
            <w:tcBorders>
              <w:top w:val="single" w:sz="8" w:color="auto"/>
            </w:tcBorders>
            <w:gridSpan w:val="2"/>
          </w:tcPr>
          <w:p>
            <w:pPr>
              <w:jc w:val="right"/>
              <w:ind w:right="160"/>
              <w:spacing w:after="0" w:line="102" w:lineRule="exact"/>
              <w:rPr>
                <w:sz w:val="20"/>
                <w:szCs w:val="20"/>
                <w:color w:val="auto"/>
              </w:rPr>
            </w:pPr>
            <w:r>
              <w:rPr>
                <w:rFonts w:ascii="Arial" w:cs="Arial" w:eastAsia="Arial" w:hAnsi="Arial"/>
                <w:sz w:val="10"/>
                <w:szCs w:val="10"/>
                <w:b w:val="1"/>
                <w:bCs w:val="1"/>
                <w:color w:val="auto"/>
              </w:rPr>
              <w:t>June 30,</w:t>
            </w:r>
          </w:p>
        </w:tc>
        <w:tc>
          <w:tcPr>
            <w:tcW w:w="560" w:type="dxa"/>
            <w:vAlign w:val="bottom"/>
            <w:tcBorders>
              <w:top w:val="single" w:sz="8" w:color="auto"/>
            </w:tcBorders>
          </w:tcPr>
          <w:p>
            <w:pPr>
              <w:jc w:val="right"/>
              <w:spacing w:after="0" w:line="102" w:lineRule="exact"/>
              <w:rPr>
                <w:sz w:val="20"/>
                <w:szCs w:val="20"/>
                <w:color w:val="auto"/>
              </w:rPr>
            </w:pPr>
            <w:r>
              <w:rPr>
                <w:rFonts w:ascii="Arial" w:cs="Arial" w:eastAsia="Arial" w:hAnsi="Arial"/>
                <w:sz w:val="10"/>
                <w:szCs w:val="10"/>
                <w:b w:val="1"/>
                <w:bCs w:val="1"/>
                <w:color w:val="auto"/>
              </w:rPr>
              <w:t>March 31,</w:t>
            </w: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68"/>
        </w:trPr>
        <w:tc>
          <w:tcPr>
            <w:tcW w:w="2580" w:type="dxa"/>
            <w:vAlign w:val="bottom"/>
            <w:gridSpan w:val="2"/>
          </w:tcPr>
          <w:p>
            <w:pPr>
              <w:spacing w:after="0"/>
              <w:rPr>
                <w:sz w:val="20"/>
                <w:szCs w:val="20"/>
                <w:color w:val="auto"/>
              </w:rPr>
            </w:pPr>
            <w:r>
              <w:rPr>
                <w:rFonts w:ascii="Arial" w:cs="Arial" w:eastAsia="Arial" w:hAnsi="Arial"/>
                <w:sz w:val="13"/>
                <w:szCs w:val="13"/>
                <w:b w:val="1"/>
                <w:bCs w:val="1"/>
                <w:color w:val="auto"/>
              </w:rPr>
              <w:t>thousands)</w:t>
            </w:r>
          </w:p>
        </w:tc>
        <w:tc>
          <w:tcPr>
            <w:tcW w:w="880" w:type="dxa"/>
            <w:vAlign w:val="bottom"/>
            <w:gridSpan w:val="2"/>
          </w:tcPr>
          <w:p>
            <w:pPr>
              <w:jc w:val="right"/>
              <w:ind w:right="122"/>
              <w:spacing w:after="0"/>
              <w:rPr>
                <w:sz w:val="20"/>
                <w:szCs w:val="20"/>
                <w:color w:val="auto"/>
              </w:rPr>
            </w:pPr>
            <w:r>
              <w:rPr>
                <w:rFonts w:ascii="Arial" w:cs="Arial" w:eastAsia="Arial" w:hAnsi="Arial"/>
                <w:sz w:val="13"/>
                <w:szCs w:val="13"/>
                <w:b w:val="1"/>
                <w:bCs w:val="1"/>
                <w:color w:val="auto"/>
              </w:rPr>
              <w:t>2021</w:t>
            </w:r>
          </w:p>
        </w:tc>
        <w:tc>
          <w:tcPr>
            <w:tcW w:w="60" w:type="dxa"/>
            <w:vAlign w:val="bottom"/>
          </w:tcPr>
          <w:p>
            <w:pPr>
              <w:spacing w:after="0"/>
              <w:rPr>
                <w:sz w:val="14"/>
                <w:szCs w:val="14"/>
                <w:color w:val="auto"/>
              </w:rPr>
            </w:pPr>
          </w:p>
        </w:tc>
        <w:tc>
          <w:tcPr>
            <w:tcW w:w="660" w:type="dxa"/>
            <w:vAlign w:val="bottom"/>
            <w:gridSpan w:val="2"/>
          </w:tcPr>
          <w:p>
            <w:pPr>
              <w:jc w:val="right"/>
              <w:ind w:right="102"/>
              <w:spacing w:after="0"/>
              <w:rPr>
                <w:sz w:val="20"/>
                <w:szCs w:val="20"/>
                <w:color w:val="auto"/>
              </w:rPr>
            </w:pPr>
            <w:r>
              <w:rPr>
                <w:rFonts w:ascii="Arial" w:cs="Arial" w:eastAsia="Arial" w:hAnsi="Arial"/>
                <w:sz w:val="13"/>
                <w:szCs w:val="13"/>
                <w:b w:val="1"/>
                <w:bCs w:val="1"/>
                <w:color w:val="auto"/>
              </w:rPr>
              <w:t>2021</w:t>
            </w:r>
          </w:p>
        </w:tc>
        <w:tc>
          <w:tcPr>
            <w:tcW w:w="80" w:type="dxa"/>
            <w:vAlign w:val="bottom"/>
          </w:tcPr>
          <w:p>
            <w:pPr>
              <w:spacing w:after="0"/>
              <w:rPr>
                <w:sz w:val="14"/>
                <w:szCs w:val="14"/>
                <w:color w:val="auto"/>
              </w:rPr>
            </w:pPr>
          </w:p>
        </w:tc>
        <w:tc>
          <w:tcPr>
            <w:tcW w:w="820" w:type="dxa"/>
            <w:vAlign w:val="bottom"/>
            <w:gridSpan w:val="2"/>
          </w:tcPr>
          <w:p>
            <w:pPr>
              <w:jc w:val="right"/>
              <w:ind w:right="202"/>
              <w:spacing w:after="0"/>
              <w:rPr>
                <w:sz w:val="20"/>
                <w:szCs w:val="20"/>
                <w:color w:val="auto"/>
              </w:rPr>
            </w:pPr>
            <w:r>
              <w:rPr>
                <w:rFonts w:ascii="Arial" w:cs="Arial" w:eastAsia="Arial" w:hAnsi="Arial"/>
                <w:sz w:val="13"/>
                <w:szCs w:val="13"/>
                <w:b w:val="1"/>
                <w:bCs w:val="1"/>
                <w:color w:val="auto"/>
              </w:rPr>
              <w:t>2020</w:t>
            </w: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0" w:type="dxa"/>
            <w:vAlign w:val="bottom"/>
          </w:tcPr>
          <w:p>
            <w:pPr>
              <w:ind w:left="100"/>
              <w:spacing w:after="0"/>
              <w:rPr>
                <w:sz w:val="20"/>
                <w:szCs w:val="20"/>
                <w:color w:val="auto"/>
              </w:rPr>
            </w:pPr>
            <w:r>
              <w:rPr>
                <w:rFonts w:ascii="Arial" w:cs="Arial" w:eastAsia="Arial" w:hAnsi="Arial"/>
                <w:sz w:val="13"/>
                <w:szCs w:val="13"/>
                <w:b w:val="1"/>
                <w:bCs w:val="1"/>
                <w:color w:val="auto"/>
              </w:rPr>
              <w:t>2020</w:t>
            </w:r>
          </w:p>
        </w:tc>
        <w:tc>
          <w:tcPr>
            <w:tcW w:w="80" w:type="dxa"/>
            <w:vAlign w:val="bottom"/>
          </w:tcPr>
          <w:p>
            <w:pPr>
              <w:spacing w:after="0"/>
              <w:rPr>
                <w:sz w:val="14"/>
                <w:szCs w:val="14"/>
                <w:color w:val="auto"/>
              </w:rPr>
            </w:pPr>
          </w:p>
        </w:tc>
        <w:tc>
          <w:tcPr>
            <w:tcW w:w="660" w:type="dxa"/>
            <w:vAlign w:val="bottom"/>
            <w:gridSpan w:val="2"/>
          </w:tcPr>
          <w:p>
            <w:pPr>
              <w:jc w:val="right"/>
              <w:ind w:right="102"/>
              <w:spacing w:after="0"/>
              <w:rPr>
                <w:sz w:val="20"/>
                <w:szCs w:val="20"/>
                <w:color w:val="auto"/>
              </w:rPr>
            </w:pPr>
            <w:r>
              <w:rPr>
                <w:rFonts w:ascii="Arial" w:cs="Arial" w:eastAsia="Arial" w:hAnsi="Arial"/>
                <w:sz w:val="13"/>
                <w:szCs w:val="13"/>
                <w:b w:val="1"/>
                <w:bCs w:val="1"/>
                <w:color w:val="auto"/>
              </w:rPr>
              <w:t>2020</w:t>
            </w:r>
          </w:p>
        </w:tc>
        <w:tc>
          <w:tcPr>
            <w:tcW w:w="80" w:type="dxa"/>
            <w:vAlign w:val="bottom"/>
          </w:tcPr>
          <w:p>
            <w:pPr>
              <w:spacing w:after="0"/>
              <w:rPr>
                <w:sz w:val="14"/>
                <w:szCs w:val="14"/>
                <w:color w:val="auto"/>
              </w:rPr>
            </w:pPr>
          </w:p>
        </w:tc>
        <w:tc>
          <w:tcPr>
            <w:tcW w:w="640" w:type="dxa"/>
            <w:vAlign w:val="bottom"/>
            <w:gridSpan w:val="2"/>
          </w:tcPr>
          <w:p>
            <w:pPr>
              <w:jc w:val="center"/>
              <w:ind w:left="17"/>
              <w:spacing w:after="0"/>
              <w:rPr>
                <w:sz w:val="20"/>
                <w:szCs w:val="20"/>
                <w:color w:val="auto"/>
              </w:rPr>
            </w:pPr>
            <w:r>
              <w:rPr>
                <w:rFonts w:ascii="Arial" w:cs="Arial" w:eastAsia="Arial" w:hAnsi="Arial"/>
                <w:sz w:val="13"/>
                <w:szCs w:val="13"/>
                <w:b w:val="1"/>
                <w:bCs w:val="1"/>
                <w:color w:val="auto"/>
                <w:w w:val="82"/>
              </w:rPr>
              <w:t>2020</w:t>
            </w:r>
          </w:p>
        </w:tc>
        <w:tc>
          <w:tcPr>
            <w:tcW w:w="80" w:type="dxa"/>
            <w:vAlign w:val="bottom"/>
          </w:tcPr>
          <w:p>
            <w:pPr>
              <w:spacing w:after="0"/>
              <w:rPr>
                <w:sz w:val="14"/>
                <w:szCs w:val="14"/>
                <w:color w:val="auto"/>
              </w:rPr>
            </w:pPr>
          </w:p>
        </w:tc>
        <w:tc>
          <w:tcPr>
            <w:tcW w:w="820" w:type="dxa"/>
            <w:vAlign w:val="bottom"/>
            <w:gridSpan w:val="2"/>
          </w:tcPr>
          <w:p>
            <w:pPr>
              <w:jc w:val="right"/>
              <w:ind w:right="182"/>
              <w:spacing w:after="0"/>
              <w:rPr>
                <w:sz w:val="20"/>
                <w:szCs w:val="20"/>
                <w:color w:val="auto"/>
              </w:rPr>
            </w:pPr>
            <w:r>
              <w:rPr>
                <w:rFonts w:ascii="Arial" w:cs="Arial" w:eastAsia="Arial" w:hAnsi="Arial"/>
                <w:sz w:val="13"/>
                <w:szCs w:val="13"/>
                <w:b w:val="1"/>
                <w:bCs w:val="1"/>
                <w:color w:val="auto"/>
              </w:rPr>
              <w:t>2019</w:t>
            </w: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20" w:type="dxa"/>
            <w:vAlign w:val="bottom"/>
          </w:tcPr>
          <w:p>
            <w:pPr>
              <w:jc w:val="right"/>
              <w:ind w:right="197"/>
              <w:spacing w:after="0"/>
              <w:rPr>
                <w:sz w:val="20"/>
                <w:szCs w:val="20"/>
                <w:color w:val="auto"/>
              </w:rPr>
            </w:pPr>
            <w:r>
              <w:rPr>
                <w:rFonts w:ascii="Arial" w:cs="Arial" w:eastAsia="Arial" w:hAnsi="Arial"/>
                <w:sz w:val="13"/>
                <w:szCs w:val="13"/>
                <w:b w:val="1"/>
                <w:bCs w:val="1"/>
                <w:color w:val="auto"/>
              </w:rPr>
              <w:t>2019</w:t>
            </w:r>
          </w:p>
        </w:tc>
        <w:tc>
          <w:tcPr>
            <w:tcW w:w="240" w:type="dxa"/>
            <w:vAlign w:val="bottom"/>
            <w:tcBorders>
              <w:right w:val="single" w:sz="8" w:color="auto"/>
            </w:tcBorders>
          </w:tcPr>
          <w:p>
            <w:pPr>
              <w:spacing w:after="0"/>
              <w:rPr>
                <w:sz w:val="14"/>
                <w:szCs w:val="14"/>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3"/>
                <w:szCs w:val="13"/>
                <w:b w:val="1"/>
                <w:bCs w:val="1"/>
                <w:color w:val="auto"/>
              </w:rPr>
              <w:t>2019</w:t>
            </w:r>
          </w:p>
        </w:tc>
        <w:tc>
          <w:tcPr>
            <w:tcW w:w="160" w:type="dxa"/>
            <w:vAlign w:val="bottom"/>
          </w:tcPr>
          <w:p>
            <w:pPr>
              <w:spacing w:after="0"/>
              <w:rPr>
                <w:sz w:val="14"/>
                <w:szCs w:val="14"/>
                <w:color w:val="auto"/>
              </w:rPr>
            </w:pPr>
          </w:p>
        </w:tc>
        <w:tc>
          <w:tcPr>
            <w:tcW w:w="560" w:type="dxa"/>
            <w:vAlign w:val="bottom"/>
          </w:tcPr>
          <w:p>
            <w:pPr>
              <w:jc w:val="right"/>
              <w:ind w:right="99"/>
              <w:spacing w:after="0"/>
              <w:rPr>
                <w:sz w:val="20"/>
                <w:szCs w:val="20"/>
                <w:color w:val="auto"/>
              </w:rPr>
            </w:pPr>
            <w:r>
              <w:rPr>
                <w:rFonts w:ascii="Arial" w:cs="Arial" w:eastAsia="Arial" w:hAnsi="Arial"/>
                <w:sz w:val="13"/>
                <w:szCs w:val="13"/>
                <w:b w:val="1"/>
                <w:bCs w:val="1"/>
                <w:color w:val="auto"/>
              </w:rPr>
              <w:t>2019</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2"/>
        </w:trPr>
        <w:tc>
          <w:tcPr>
            <w:tcW w:w="580" w:type="dxa"/>
            <w:vAlign w:val="bottom"/>
            <w:tcBorders>
              <w:top w:val="single" w:sz="8" w:color="auto"/>
            </w:tcBorders>
            <w:shd w:val="clear" w:color="auto" w:fill="CCEEFF"/>
          </w:tcPr>
          <w:p>
            <w:pPr>
              <w:spacing w:after="0" w:line="122" w:lineRule="exact"/>
              <w:rPr>
                <w:sz w:val="20"/>
                <w:szCs w:val="20"/>
                <w:color w:val="auto"/>
              </w:rPr>
            </w:pPr>
            <w:r>
              <w:rPr>
                <w:rFonts w:ascii="Arial" w:cs="Arial" w:eastAsia="Arial" w:hAnsi="Arial"/>
                <w:sz w:val="13"/>
                <w:szCs w:val="13"/>
                <w:color w:val="auto"/>
                <w:w w:val="79"/>
              </w:rPr>
              <w:t>Total assets</w:t>
            </w:r>
          </w:p>
        </w:tc>
        <w:tc>
          <w:tcPr>
            <w:tcW w:w="2000" w:type="dxa"/>
            <w:vAlign w:val="bottom"/>
            <w:tcBorders>
              <w:top w:val="single" w:sz="8" w:color="CCEEFF"/>
            </w:tcBorders>
            <w:shd w:val="clear" w:color="auto" w:fill="CCEEFF"/>
          </w:tcPr>
          <w:p>
            <w:pPr>
              <w:spacing w:after="0"/>
              <w:rPr>
                <w:sz w:val="10"/>
                <w:szCs w:val="10"/>
                <w:color w:val="auto"/>
              </w:rPr>
            </w:pPr>
          </w:p>
        </w:tc>
        <w:tc>
          <w:tcPr>
            <w:tcW w:w="300" w:type="dxa"/>
            <w:vAlign w:val="bottom"/>
            <w:tcBorders>
              <w:top w:val="single" w:sz="8" w:color="CCEEFF"/>
            </w:tcBorders>
            <w:shd w:val="clear" w:color="auto" w:fill="CCEEFF"/>
          </w:tcPr>
          <w:p>
            <w:pPr>
              <w:spacing w:after="0"/>
              <w:rPr>
                <w:sz w:val="10"/>
                <w:szCs w:val="10"/>
                <w:color w:val="auto"/>
              </w:rPr>
            </w:pPr>
          </w:p>
        </w:tc>
        <w:tc>
          <w:tcPr>
            <w:tcW w:w="580" w:type="dxa"/>
            <w:vAlign w:val="bottom"/>
            <w:tcBorders>
              <w:top w:val="single" w:sz="8" w:color="auto"/>
            </w:tcBorders>
            <w:shd w:val="clear" w:color="auto" w:fill="CCEEFF"/>
          </w:tcPr>
          <w:p>
            <w:pPr>
              <w:jc w:val="right"/>
              <w:spacing w:after="0" w:line="122" w:lineRule="exact"/>
              <w:rPr>
                <w:sz w:val="20"/>
                <w:szCs w:val="20"/>
                <w:color w:val="auto"/>
              </w:rPr>
            </w:pPr>
            <w:r>
              <w:rPr>
                <w:rFonts w:ascii="Arial" w:cs="Arial" w:eastAsia="Arial" w:hAnsi="Arial"/>
                <w:sz w:val="13"/>
                <w:szCs w:val="13"/>
                <w:color w:val="auto"/>
                <w:w w:val="81"/>
              </w:rPr>
              <w:t>$ 1,729,513</w:t>
            </w:r>
          </w:p>
        </w:tc>
        <w:tc>
          <w:tcPr>
            <w:tcW w:w="60" w:type="dxa"/>
            <w:vAlign w:val="bottom"/>
            <w:tcBorders>
              <w:top w:val="single" w:sz="8" w:color="CCEEFF"/>
            </w:tcBorders>
            <w:shd w:val="clear" w:color="auto" w:fill="CCEEFF"/>
          </w:tcPr>
          <w:p>
            <w:pPr>
              <w:spacing w:after="0"/>
              <w:rPr>
                <w:sz w:val="10"/>
                <w:szCs w:val="10"/>
                <w:color w:val="auto"/>
              </w:rPr>
            </w:pPr>
          </w:p>
        </w:tc>
        <w:tc>
          <w:tcPr>
            <w:tcW w:w="80" w:type="dxa"/>
            <w:vAlign w:val="bottom"/>
            <w:tcBorders>
              <w:top w:val="single" w:sz="8" w:color="CCEEFF"/>
            </w:tcBorders>
            <w:shd w:val="clear" w:color="auto" w:fill="CCEEFF"/>
          </w:tcPr>
          <w:p>
            <w:pPr>
              <w:spacing w:after="0"/>
              <w:rPr>
                <w:sz w:val="10"/>
                <w:szCs w:val="10"/>
                <w:color w:val="auto"/>
              </w:rPr>
            </w:pPr>
          </w:p>
        </w:tc>
        <w:tc>
          <w:tcPr>
            <w:tcW w:w="580" w:type="dxa"/>
            <w:vAlign w:val="bottom"/>
            <w:tcBorders>
              <w:top w:val="single" w:sz="8" w:color="auto"/>
            </w:tcBorders>
            <w:shd w:val="clear" w:color="auto" w:fill="CCEEFF"/>
          </w:tcPr>
          <w:p>
            <w:pPr>
              <w:jc w:val="right"/>
              <w:spacing w:after="0" w:line="122" w:lineRule="exact"/>
              <w:rPr>
                <w:sz w:val="20"/>
                <w:szCs w:val="20"/>
                <w:color w:val="auto"/>
              </w:rPr>
            </w:pPr>
            <w:r>
              <w:rPr>
                <w:rFonts w:ascii="Arial" w:cs="Arial" w:eastAsia="Arial" w:hAnsi="Arial"/>
                <w:sz w:val="13"/>
                <w:szCs w:val="13"/>
                <w:color w:val="auto"/>
                <w:w w:val="81"/>
              </w:rPr>
              <w:t>$ 1,737,840</w:t>
            </w:r>
          </w:p>
        </w:tc>
        <w:tc>
          <w:tcPr>
            <w:tcW w:w="80" w:type="dxa"/>
            <w:vAlign w:val="bottom"/>
            <w:tcBorders>
              <w:top w:val="single" w:sz="8" w:color="CCEEFF"/>
            </w:tcBorders>
            <w:shd w:val="clear" w:color="auto" w:fill="CCEEFF"/>
          </w:tcPr>
          <w:p>
            <w:pPr>
              <w:spacing w:after="0"/>
              <w:rPr>
                <w:sz w:val="10"/>
                <w:szCs w:val="10"/>
                <w:color w:val="auto"/>
              </w:rPr>
            </w:pPr>
          </w:p>
        </w:tc>
        <w:tc>
          <w:tcPr>
            <w:tcW w:w="60" w:type="dxa"/>
            <w:vAlign w:val="bottom"/>
            <w:tcBorders>
              <w:top w:val="single" w:sz="8" w:color="CCEEFF"/>
            </w:tcBorders>
            <w:shd w:val="clear" w:color="auto" w:fill="CCEEFF"/>
          </w:tcPr>
          <w:p>
            <w:pPr>
              <w:spacing w:after="0"/>
              <w:rPr>
                <w:sz w:val="10"/>
                <w:szCs w:val="10"/>
                <w:color w:val="auto"/>
              </w:rPr>
            </w:pPr>
          </w:p>
        </w:tc>
        <w:tc>
          <w:tcPr>
            <w:tcW w:w="760" w:type="dxa"/>
            <w:vAlign w:val="bottom"/>
            <w:tcBorders>
              <w:top w:val="single" w:sz="8" w:color="auto"/>
            </w:tcBorders>
            <w:shd w:val="clear" w:color="auto" w:fill="CCEEFF"/>
          </w:tcPr>
          <w:p>
            <w:pPr>
              <w:jc w:val="right"/>
              <w:spacing w:after="0" w:line="122" w:lineRule="exact"/>
              <w:rPr>
                <w:sz w:val="20"/>
                <w:szCs w:val="20"/>
                <w:color w:val="auto"/>
              </w:rPr>
            </w:pPr>
            <w:r>
              <w:rPr>
                <w:rFonts w:ascii="Arial" w:cs="Arial" w:eastAsia="Arial" w:hAnsi="Arial"/>
                <w:sz w:val="13"/>
                <w:szCs w:val="13"/>
                <w:color w:val="auto"/>
                <w:w w:val="97"/>
              </w:rPr>
              <w:t>$   1,745,359</w:t>
            </w:r>
          </w:p>
        </w:tc>
        <w:tc>
          <w:tcPr>
            <w:tcW w:w="140" w:type="dxa"/>
            <w:vAlign w:val="bottom"/>
            <w:tcBorders>
              <w:top w:val="single" w:sz="8" w:color="CCEEFF"/>
            </w:tcBorders>
            <w:shd w:val="clear" w:color="auto" w:fill="CCEEFF"/>
          </w:tcPr>
          <w:p>
            <w:pPr>
              <w:spacing w:after="0"/>
              <w:rPr>
                <w:sz w:val="10"/>
                <w:szCs w:val="10"/>
                <w:color w:val="auto"/>
              </w:rPr>
            </w:pPr>
          </w:p>
        </w:tc>
        <w:tc>
          <w:tcPr>
            <w:tcW w:w="160" w:type="dxa"/>
            <w:vAlign w:val="bottom"/>
            <w:tcBorders>
              <w:top w:val="single" w:sz="8" w:color="auto"/>
            </w:tcBorders>
            <w:shd w:val="clear" w:color="auto" w:fill="CCEEFF"/>
          </w:tcPr>
          <w:p>
            <w:pPr>
              <w:spacing w:after="0" w:line="122" w:lineRule="exact"/>
              <w:rPr>
                <w:sz w:val="20"/>
                <w:szCs w:val="20"/>
                <w:color w:val="auto"/>
              </w:rPr>
            </w:pPr>
            <w:r>
              <w:rPr>
                <w:rFonts w:ascii="Arial" w:cs="Arial" w:eastAsia="Arial" w:hAnsi="Arial"/>
                <w:sz w:val="13"/>
                <w:szCs w:val="13"/>
                <w:color w:val="auto"/>
              </w:rPr>
              <w:t>$</w:t>
            </w:r>
          </w:p>
        </w:tc>
        <w:tc>
          <w:tcPr>
            <w:tcW w:w="600" w:type="dxa"/>
            <w:vAlign w:val="bottom"/>
            <w:tcBorders>
              <w:top w:val="single" w:sz="8" w:color="auto"/>
            </w:tcBorders>
            <w:shd w:val="clear" w:color="auto" w:fill="CCEEFF"/>
          </w:tcPr>
          <w:p>
            <w:pPr>
              <w:ind w:left="100"/>
              <w:spacing w:after="0" w:line="122" w:lineRule="exact"/>
              <w:rPr>
                <w:sz w:val="20"/>
                <w:szCs w:val="20"/>
                <w:color w:val="auto"/>
              </w:rPr>
            </w:pPr>
            <w:r>
              <w:rPr>
                <w:rFonts w:ascii="Arial" w:cs="Arial" w:eastAsia="Arial" w:hAnsi="Arial"/>
                <w:sz w:val="13"/>
                <w:szCs w:val="13"/>
                <w:color w:val="auto"/>
                <w:w w:val="82"/>
              </w:rPr>
              <w:t>1,702,689</w:t>
            </w:r>
          </w:p>
        </w:tc>
        <w:tc>
          <w:tcPr>
            <w:tcW w:w="80" w:type="dxa"/>
            <w:vAlign w:val="bottom"/>
            <w:tcBorders>
              <w:top w:val="single" w:sz="8" w:color="CCEEFF"/>
            </w:tcBorders>
            <w:shd w:val="clear" w:color="auto" w:fill="CCEEFF"/>
          </w:tcPr>
          <w:p>
            <w:pPr>
              <w:spacing w:after="0"/>
              <w:rPr>
                <w:sz w:val="10"/>
                <w:szCs w:val="10"/>
                <w:color w:val="auto"/>
              </w:rPr>
            </w:pPr>
          </w:p>
        </w:tc>
        <w:tc>
          <w:tcPr>
            <w:tcW w:w="80" w:type="dxa"/>
            <w:vAlign w:val="bottom"/>
            <w:tcBorders>
              <w:top w:val="single" w:sz="8" w:color="CCEEFF"/>
            </w:tcBorders>
            <w:shd w:val="clear" w:color="auto" w:fill="CCEEFF"/>
          </w:tcPr>
          <w:p>
            <w:pPr>
              <w:spacing w:after="0"/>
              <w:rPr>
                <w:sz w:val="10"/>
                <w:szCs w:val="10"/>
                <w:color w:val="auto"/>
              </w:rPr>
            </w:pPr>
          </w:p>
        </w:tc>
        <w:tc>
          <w:tcPr>
            <w:tcW w:w="580" w:type="dxa"/>
            <w:vAlign w:val="bottom"/>
            <w:tcBorders>
              <w:top w:val="single" w:sz="8" w:color="auto"/>
            </w:tcBorders>
            <w:shd w:val="clear" w:color="auto" w:fill="CCEEFF"/>
          </w:tcPr>
          <w:p>
            <w:pPr>
              <w:jc w:val="right"/>
              <w:spacing w:after="0" w:line="122" w:lineRule="exact"/>
              <w:rPr>
                <w:sz w:val="20"/>
                <w:szCs w:val="20"/>
                <w:color w:val="auto"/>
              </w:rPr>
            </w:pPr>
            <w:r>
              <w:rPr>
                <w:rFonts w:ascii="Arial" w:cs="Arial" w:eastAsia="Arial" w:hAnsi="Arial"/>
                <w:sz w:val="13"/>
                <w:szCs w:val="13"/>
                <w:color w:val="auto"/>
                <w:w w:val="81"/>
              </w:rPr>
              <w:t>$ 1,724,606</w:t>
            </w:r>
          </w:p>
        </w:tc>
        <w:tc>
          <w:tcPr>
            <w:tcW w:w="80" w:type="dxa"/>
            <w:vAlign w:val="bottom"/>
            <w:tcBorders>
              <w:top w:val="single" w:sz="8" w:color="CCEEFF"/>
            </w:tcBorders>
            <w:shd w:val="clear" w:color="auto" w:fill="CCEEFF"/>
          </w:tcPr>
          <w:p>
            <w:pPr>
              <w:spacing w:after="0"/>
              <w:rPr>
                <w:sz w:val="10"/>
                <w:szCs w:val="10"/>
                <w:color w:val="auto"/>
              </w:rPr>
            </w:pPr>
          </w:p>
        </w:tc>
        <w:tc>
          <w:tcPr>
            <w:tcW w:w="60" w:type="dxa"/>
            <w:vAlign w:val="bottom"/>
            <w:tcBorders>
              <w:top w:val="single" w:sz="8" w:color="CCEEFF"/>
            </w:tcBorders>
            <w:shd w:val="clear" w:color="auto" w:fill="CCEEFF"/>
          </w:tcPr>
          <w:p>
            <w:pPr>
              <w:spacing w:after="0"/>
              <w:rPr>
                <w:sz w:val="10"/>
                <w:szCs w:val="10"/>
                <w:color w:val="auto"/>
              </w:rPr>
            </w:pPr>
          </w:p>
        </w:tc>
        <w:tc>
          <w:tcPr>
            <w:tcW w:w="580" w:type="dxa"/>
            <w:vAlign w:val="bottom"/>
            <w:tcBorders>
              <w:top w:val="single" w:sz="8" w:color="auto"/>
            </w:tcBorders>
            <w:shd w:val="clear" w:color="auto" w:fill="CCEEFF"/>
          </w:tcPr>
          <w:p>
            <w:pPr>
              <w:jc w:val="center"/>
              <w:spacing w:after="0" w:line="122" w:lineRule="exact"/>
              <w:rPr>
                <w:sz w:val="20"/>
                <w:szCs w:val="20"/>
                <w:color w:val="auto"/>
              </w:rPr>
            </w:pPr>
            <w:r>
              <w:rPr>
                <w:rFonts w:ascii="Arial" w:cs="Arial" w:eastAsia="Arial" w:hAnsi="Arial"/>
                <w:sz w:val="13"/>
                <w:szCs w:val="13"/>
                <w:color w:val="auto"/>
                <w:w w:val="84"/>
              </w:rPr>
              <w:t>$ 1,735,228</w:t>
            </w:r>
          </w:p>
        </w:tc>
        <w:tc>
          <w:tcPr>
            <w:tcW w:w="80" w:type="dxa"/>
            <w:vAlign w:val="bottom"/>
            <w:tcBorders>
              <w:top w:val="single" w:sz="8" w:color="CCEEFF"/>
            </w:tcBorders>
            <w:shd w:val="clear" w:color="auto" w:fill="CCEEFF"/>
          </w:tcPr>
          <w:p>
            <w:pPr>
              <w:spacing w:after="0"/>
              <w:rPr>
                <w:sz w:val="10"/>
                <w:szCs w:val="10"/>
                <w:color w:val="auto"/>
              </w:rPr>
            </w:pPr>
          </w:p>
        </w:tc>
        <w:tc>
          <w:tcPr>
            <w:tcW w:w="80" w:type="dxa"/>
            <w:vAlign w:val="bottom"/>
            <w:tcBorders>
              <w:top w:val="single" w:sz="8" w:color="CCEEFF"/>
            </w:tcBorders>
            <w:shd w:val="clear" w:color="auto" w:fill="CCEEFF"/>
          </w:tcPr>
          <w:p>
            <w:pPr>
              <w:spacing w:after="0"/>
              <w:rPr>
                <w:sz w:val="10"/>
                <w:szCs w:val="10"/>
                <w:color w:val="auto"/>
              </w:rPr>
            </w:pPr>
          </w:p>
        </w:tc>
        <w:tc>
          <w:tcPr>
            <w:tcW w:w="740" w:type="dxa"/>
            <w:vAlign w:val="bottom"/>
            <w:tcBorders>
              <w:top w:val="single" w:sz="8" w:color="auto"/>
            </w:tcBorders>
            <w:shd w:val="clear" w:color="auto" w:fill="CCEEFF"/>
          </w:tcPr>
          <w:p>
            <w:pPr>
              <w:jc w:val="right"/>
              <w:spacing w:after="0" w:line="122" w:lineRule="exact"/>
              <w:rPr>
                <w:sz w:val="20"/>
                <w:szCs w:val="20"/>
                <w:color w:val="auto"/>
              </w:rPr>
            </w:pPr>
            <w:r>
              <w:rPr>
                <w:rFonts w:ascii="Arial" w:cs="Arial" w:eastAsia="Arial" w:hAnsi="Arial"/>
                <w:sz w:val="13"/>
                <w:szCs w:val="13"/>
                <w:color w:val="auto"/>
                <w:w w:val="94"/>
              </w:rPr>
              <w:t>$   1,721,154</w:t>
            </w:r>
          </w:p>
        </w:tc>
        <w:tc>
          <w:tcPr>
            <w:tcW w:w="140" w:type="dxa"/>
            <w:vAlign w:val="bottom"/>
            <w:tcBorders>
              <w:top w:val="single" w:sz="8" w:color="CCEEFF"/>
            </w:tcBorders>
            <w:shd w:val="clear" w:color="auto" w:fill="CCEEFF"/>
          </w:tcPr>
          <w:p>
            <w:pPr>
              <w:spacing w:after="0"/>
              <w:rPr>
                <w:sz w:val="10"/>
                <w:szCs w:val="10"/>
                <w:color w:val="auto"/>
              </w:rPr>
            </w:pPr>
          </w:p>
        </w:tc>
        <w:tc>
          <w:tcPr>
            <w:tcW w:w="160" w:type="dxa"/>
            <w:vAlign w:val="bottom"/>
            <w:tcBorders>
              <w:top w:val="single" w:sz="8" w:color="auto"/>
            </w:tcBorders>
            <w:shd w:val="clear" w:color="auto" w:fill="CCEEFF"/>
          </w:tcPr>
          <w:p>
            <w:pPr>
              <w:spacing w:after="0" w:line="122" w:lineRule="exact"/>
              <w:rPr>
                <w:sz w:val="20"/>
                <w:szCs w:val="20"/>
                <w:color w:val="auto"/>
              </w:rPr>
            </w:pPr>
            <w:r>
              <w:rPr>
                <w:rFonts w:ascii="Arial" w:cs="Arial" w:eastAsia="Arial" w:hAnsi="Arial"/>
                <w:sz w:val="13"/>
                <w:szCs w:val="13"/>
                <w:color w:val="auto"/>
              </w:rPr>
              <w:t>$</w:t>
            </w:r>
          </w:p>
        </w:tc>
        <w:tc>
          <w:tcPr>
            <w:tcW w:w="620" w:type="dxa"/>
            <w:vAlign w:val="bottom"/>
            <w:tcBorders>
              <w:top w:val="single" w:sz="8" w:color="auto"/>
            </w:tcBorders>
            <w:shd w:val="clear" w:color="auto" w:fill="CCEEFF"/>
          </w:tcPr>
          <w:p>
            <w:pPr>
              <w:jc w:val="right"/>
              <w:spacing w:after="0" w:line="122" w:lineRule="exact"/>
              <w:rPr>
                <w:sz w:val="20"/>
                <w:szCs w:val="20"/>
                <w:color w:val="auto"/>
              </w:rPr>
            </w:pPr>
            <w:r>
              <w:rPr>
                <w:rFonts w:ascii="Arial" w:cs="Arial" w:eastAsia="Arial" w:hAnsi="Arial"/>
                <w:sz w:val="13"/>
                <w:szCs w:val="13"/>
                <w:color w:val="auto"/>
              </w:rPr>
              <w:t>1,727,382</w:t>
            </w:r>
          </w:p>
        </w:tc>
        <w:tc>
          <w:tcPr>
            <w:tcW w:w="240" w:type="dxa"/>
            <w:vAlign w:val="bottom"/>
            <w:tcBorders>
              <w:top w:val="single" w:sz="8" w:color="CCEEFF"/>
              <w:right w:val="single" w:sz="8" w:color="auto"/>
            </w:tcBorders>
            <w:shd w:val="clear" w:color="auto" w:fill="CCEEFF"/>
          </w:tcPr>
          <w:p>
            <w:pPr>
              <w:spacing w:after="0"/>
              <w:rPr>
                <w:sz w:val="10"/>
                <w:szCs w:val="10"/>
                <w:color w:val="auto"/>
              </w:rPr>
            </w:pPr>
          </w:p>
        </w:tc>
        <w:tc>
          <w:tcPr>
            <w:tcW w:w="280" w:type="dxa"/>
            <w:vAlign w:val="bottom"/>
            <w:tcBorders>
              <w:top w:val="single" w:sz="8" w:color="CCEEFF"/>
            </w:tcBorders>
            <w:shd w:val="clear" w:color="auto" w:fill="CCEEFF"/>
          </w:tcPr>
          <w:p>
            <w:pPr>
              <w:spacing w:after="0"/>
              <w:rPr>
                <w:sz w:val="10"/>
                <w:szCs w:val="10"/>
                <w:color w:val="auto"/>
              </w:rPr>
            </w:pPr>
          </w:p>
        </w:tc>
        <w:tc>
          <w:tcPr>
            <w:tcW w:w="480" w:type="dxa"/>
            <w:vAlign w:val="bottom"/>
            <w:tcBorders>
              <w:top w:val="single" w:sz="8" w:color="auto"/>
            </w:tcBorders>
            <w:shd w:val="clear" w:color="auto" w:fill="CCEEFF"/>
          </w:tcPr>
          <w:p>
            <w:pPr>
              <w:jc w:val="right"/>
              <w:spacing w:after="0" w:line="122" w:lineRule="exact"/>
              <w:rPr>
                <w:sz w:val="20"/>
                <w:szCs w:val="20"/>
                <w:color w:val="auto"/>
              </w:rPr>
            </w:pPr>
            <w:r>
              <w:rPr>
                <w:rFonts w:ascii="Arial" w:cs="Arial" w:eastAsia="Arial" w:hAnsi="Arial"/>
                <w:sz w:val="13"/>
                <w:szCs w:val="13"/>
                <w:color w:val="auto"/>
                <w:w w:val="79"/>
              </w:rPr>
              <w:t>$ 139,976</w:t>
            </w:r>
          </w:p>
        </w:tc>
        <w:tc>
          <w:tcPr>
            <w:tcW w:w="160" w:type="dxa"/>
            <w:vAlign w:val="bottom"/>
            <w:tcBorders>
              <w:top w:val="single" w:sz="8" w:color="CCEEFF"/>
            </w:tcBorders>
            <w:shd w:val="clear" w:color="auto" w:fill="CCEEFF"/>
          </w:tcPr>
          <w:p>
            <w:pPr>
              <w:spacing w:after="0"/>
              <w:rPr>
                <w:sz w:val="10"/>
                <w:szCs w:val="10"/>
                <w:color w:val="auto"/>
              </w:rPr>
            </w:pPr>
          </w:p>
        </w:tc>
        <w:tc>
          <w:tcPr>
            <w:tcW w:w="560" w:type="dxa"/>
            <w:vAlign w:val="bottom"/>
            <w:tcBorders>
              <w:top w:val="single" w:sz="8" w:color="auto"/>
            </w:tcBorders>
            <w:shd w:val="clear" w:color="auto" w:fill="CCEEFF"/>
          </w:tcPr>
          <w:p>
            <w:pPr>
              <w:jc w:val="right"/>
              <w:spacing w:after="0" w:line="122" w:lineRule="exact"/>
              <w:rPr>
                <w:sz w:val="20"/>
                <w:szCs w:val="20"/>
                <w:color w:val="auto"/>
              </w:rPr>
            </w:pPr>
            <w:r>
              <w:rPr>
                <w:rFonts w:ascii="Arial" w:cs="Arial" w:eastAsia="Arial" w:hAnsi="Arial"/>
                <w:sz w:val="13"/>
                <w:szCs w:val="13"/>
                <w:color w:val="auto"/>
                <w:w w:val="87"/>
              </w:rPr>
              <w:t>$  139,984</w:t>
            </w:r>
          </w:p>
        </w:tc>
        <w:tc>
          <w:tcPr>
            <w:tcW w:w="40" w:type="dxa"/>
            <w:vAlign w:val="bottom"/>
            <w:tcBorders>
              <w:top w:val="single" w:sz="8" w:color="CCEEFF"/>
            </w:tcBorders>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2580" w:type="dxa"/>
            <w:vAlign w:val="bottom"/>
            <w:gridSpan w:val="2"/>
          </w:tcPr>
          <w:p>
            <w:pPr>
              <w:spacing w:after="0" w:line="135" w:lineRule="exact"/>
              <w:rPr>
                <w:sz w:val="20"/>
                <w:szCs w:val="20"/>
                <w:color w:val="auto"/>
              </w:rPr>
            </w:pPr>
            <w:r>
              <w:rPr>
                <w:rFonts w:ascii="Arial" w:cs="Arial" w:eastAsia="Arial" w:hAnsi="Arial"/>
                <w:sz w:val="13"/>
                <w:szCs w:val="13"/>
                <w:color w:val="auto"/>
              </w:rPr>
              <w:t>Long-term debt (including current portion)</w:t>
            </w:r>
          </w:p>
        </w:tc>
        <w:tc>
          <w:tcPr>
            <w:tcW w:w="940" w:type="dxa"/>
            <w:vAlign w:val="bottom"/>
            <w:gridSpan w:val="3"/>
          </w:tcPr>
          <w:p>
            <w:pPr>
              <w:jc w:val="right"/>
              <w:ind w:right="60"/>
              <w:spacing w:after="0" w:line="135" w:lineRule="exact"/>
              <w:rPr>
                <w:sz w:val="20"/>
                <w:szCs w:val="20"/>
                <w:color w:val="auto"/>
              </w:rPr>
            </w:pPr>
            <w:r>
              <w:rPr>
                <w:rFonts w:ascii="Arial" w:cs="Arial" w:eastAsia="Arial" w:hAnsi="Arial"/>
                <w:sz w:val="13"/>
                <w:szCs w:val="13"/>
                <w:color w:val="auto"/>
              </w:rPr>
              <w:t>460,518</w:t>
            </w:r>
          </w:p>
        </w:tc>
        <w:tc>
          <w:tcPr>
            <w:tcW w:w="740" w:type="dxa"/>
            <w:vAlign w:val="bottom"/>
            <w:gridSpan w:val="3"/>
          </w:tcPr>
          <w:p>
            <w:pPr>
              <w:jc w:val="right"/>
              <w:ind w:right="80"/>
              <w:spacing w:after="0" w:line="135" w:lineRule="exact"/>
              <w:rPr>
                <w:sz w:val="20"/>
                <w:szCs w:val="20"/>
                <w:color w:val="auto"/>
              </w:rPr>
            </w:pPr>
            <w:r>
              <w:rPr>
                <w:rFonts w:ascii="Arial" w:cs="Arial" w:eastAsia="Arial" w:hAnsi="Arial"/>
                <w:sz w:val="13"/>
                <w:szCs w:val="13"/>
                <w:color w:val="auto"/>
              </w:rPr>
              <w:t>461,197</w:t>
            </w:r>
          </w:p>
        </w:tc>
        <w:tc>
          <w:tcPr>
            <w:tcW w:w="960" w:type="dxa"/>
            <w:vAlign w:val="bottom"/>
            <w:gridSpan w:val="3"/>
          </w:tcPr>
          <w:p>
            <w:pPr>
              <w:jc w:val="right"/>
              <w:ind w:right="140"/>
              <w:spacing w:after="0" w:line="135" w:lineRule="exact"/>
              <w:rPr>
                <w:sz w:val="20"/>
                <w:szCs w:val="20"/>
                <w:color w:val="auto"/>
              </w:rPr>
            </w:pPr>
            <w:r>
              <w:rPr>
                <w:rFonts w:ascii="Arial" w:cs="Arial" w:eastAsia="Arial" w:hAnsi="Arial"/>
                <w:sz w:val="13"/>
                <w:szCs w:val="13"/>
                <w:color w:val="auto"/>
              </w:rPr>
              <w:t>461,877</w:t>
            </w:r>
          </w:p>
        </w:tc>
        <w:tc>
          <w:tcPr>
            <w:tcW w:w="160" w:type="dxa"/>
            <w:vAlign w:val="bottom"/>
          </w:tcPr>
          <w:p>
            <w:pPr>
              <w:spacing w:after="0"/>
              <w:rPr>
                <w:sz w:val="11"/>
                <w:szCs w:val="11"/>
                <w:color w:val="auto"/>
              </w:rPr>
            </w:pPr>
          </w:p>
        </w:tc>
        <w:tc>
          <w:tcPr>
            <w:tcW w:w="680" w:type="dxa"/>
            <w:vAlign w:val="bottom"/>
            <w:gridSpan w:val="2"/>
          </w:tcPr>
          <w:p>
            <w:pPr>
              <w:jc w:val="right"/>
              <w:ind w:right="60"/>
              <w:spacing w:after="0" w:line="135" w:lineRule="exact"/>
              <w:rPr>
                <w:sz w:val="20"/>
                <w:szCs w:val="20"/>
                <w:color w:val="auto"/>
              </w:rPr>
            </w:pPr>
            <w:r>
              <w:rPr>
                <w:rFonts w:ascii="Arial" w:cs="Arial" w:eastAsia="Arial" w:hAnsi="Arial"/>
                <w:sz w:val="13"/>
                <w:szCs w:val="13"/>
                <w:color w:val="auto"/>
              </w:rPr>
              <w:t>469,786</w:t>
            </w:r>
          </w:p>
        </w:tc>
        <w:tc>
          <w:tcPr>
            <w:tcW w:w="740" w:type="dxa"/>
            <w:vAlign w:val="bottom"/>
            <w:gridSpan w:val="3"/>
          </w:tcPr>
          <w:p>
            <w:pPr>
              <w:jc w:val="right"/>
              <w:ind w:right="80"/>
              <w:spacing w:after="0" w:line="135" w:lineRule="exact"/>
              <w:rPr>
                <w:sz w:val="20"/>
                <w:szCs w:val="20"/>
                <w:color w:val="auto"/>
              </w:rPr>
            </w:pPr>
            <w:r>
              <w:rPr>
                <w:rFonts w:ascii="Arial" w:cs="Arial" w:eastAsia="Arial" w:hAnsi="Arial"/>
                <w:sz w:val="13"/>
                <w:szCs w:val="13"/>
                <w:color w:val="auto"/>
              </w:rPr>
              <w:t>467,413</w:t>
            </w:r>
          </w:p>
        </w:tc>
        <w:tc>
          <w:tcPr>
            <w:tcW w:w="720" w:type="dxa"/>
            <w:vAlign w:val="bottom"/>
            <w:gridSpan w:val="3"/>
          </w:tcPr>
          <w:p>
            <w:pPr>
              <w:jc w:val="right"/>
              <w:ind w:right="80"/>
              <w:spacing w:after="0" w:line="135" w:lineRule="exact"/>
              <w:rPr>
                <w:sz w:val="20"/>
                <w:szCs w:val="20"/>
                <w:color w:val="auto"/>
              </w:rPr>
            </w:pPr>
            <w:r>
              <w:rPr>
                <w:rFonts w:ascii="Arial" w:cs="Arial" w:eastAsia="Arial" w:hAnsi="Arial"/>
                <w:sz w:val="13"/>
                <w:szCs w:val="13"/>
                <w:color w:val="auto"/>
              </w:rPr>
              <w:t>465,946</w:t>
            </w:r>
          </w:p>
        </w:tc>
        <w:tc>
          <w:tcPr>
            <w:tcW w:w="960" w:type="dxa"/>
            <w:vAlign w:val="bottom"/>
            <w:gridSpan w:val="3"/>
          </w:tcPr>
          <w:p>
            <w:pPr>
              <w:jc w:val="right"/>
              <w:ind w:right="140"/>
              <w:spacing w:after="0" w:line="135" w:lineRule="exact"/>
              <w:rPr>
                <w:sz w:val="20"/>
                <w:szCs w:val="20"/>
                <w:color w:val="auto"/>
              </w:rPr>
            </w:pPr>
            <w:r>
              <w:rPr>
                <w:rFonts w:ascii="Arial" w:cs="Arial" w:eastAsia="Arial" w:hAnsi="Arial"/>
                <w:sz w:val="13"/>
                <w:szCs w:val="13"/>
                <w:color w:val="auto"/>
              </w:rPr>
              <w:t>439,349</w:t>
            </w:r>
          </w:p>
        </w:tc>
        <w:tc>
          <w:tcPr>
            <w:tcW w:w="160" w:type="dxa"/>
            <w:vAlign w:val="bottom"/>
          </w:tcPr>
          <w:p>
            <w:pPr>
              <w:spacing w:after="0"/>
              <w:rPr>
                <w:sz w:val="11"/>
                <w:szCs w:val="11"/>
                <w:color w:val="auto"/>
              </w:rPr>
            </w:pPr>
          </w:p>
        </w:tc>
        <w:tc>
          <w:tcPr>
            <w:tcW w:w="860" w:type="dxa"/>
            <w:vAlign w:val="bottom"/>
            <w:tcBorders>
              <w:right w:val="single" w:sz="8" w:color="auto"/>
            </w:tcBorders>
            <w:gridSpan w:val="2"/>
          </w:tcPr>
          <w:p>
            <w:pPr>
              <w:jc w:val="right"/>
              <w:ind w:right="240"/>
              <w:spacing w:after="0" w:line="135" w:lineRule="exact"/>
              <w:rPr>
                <w:sz w:val="20"/>
                <w:szCs w:val="20"/>
                <w:color w:val="auto"/>
              </w:rPr>
            </w:pPr>
            <w:r>
              <w:rPr>
                <w:rFonts w:ascii="Arial" w:cs="Arial" w:eastAsia="Arial" w:hAnsi="Arial"/>
                <w:sz w:val="13"/>
                <w:szCs w:val="13"/>
                <w:color w:val="auto"/>
              </w:rPr>
              <w:t>437,073</w:t>
            </w:r>
          </w:p>
        </w:tc>
        <w:tc>
          <w:tcPr>
            <w:tcW w:w="280" w:type="dxa"/>
            <w:vAlign w:val="bottom"/>
          </w:tcPr>
          <w:p>
            <w:pPr>
              <w:spacing w:after="0"/>
              <w:rPr>
                <w:sz w:val="11"/>
                <w:szCs w:val="11"/>
                <w:color w:val="auto"/>
              </w:rPr>
            </w:pPr>
          </w:p>
        </w:tc>
        <w:tc>
          <w:tcPr>
            <w:tcW w:w="640" w:type="dxa"/>
            <w:vAlign w:val="bottom"/>
            <w:gridSpan w:val="2"/>
          </w:tcPr>
          <w:p>
            <w:pPr>
              <w:jc w:val="right"/>
              <w:ind w:right="220"/>
              <w:spacing w:after="0" w:line="135" w:lineRule="exact"/>
              <w:rPr>
                <w:sz w:val="20"/>
                <w:szCs w:val="20"/>
                <w:color w:val="auto"/>
              </w:rPr>
            </w:pPr>
            <w:r>
              <w:rPr>
                <w:rFonts w:ascii="Arial" w:cs="Arial" w:eastAsia="Arial" w:hAnsi="Arial"/>
                <w:sz w:val="13"/>
                <w:szCs w:val="13"/>
                <w:color w:val="auto"/>
              </w:rPr>
              <w:t>—</w:t>
            </w:r>
          </w:p>
        </w:tc>
        <w:tc>
          <w:tcPr>
            <w:tcW w:w="600" w:type="dxa"/>
            <w:vAlign w:val="bottom"/>
            <w:gridSpan w:val="2"/>
          </w:tcPr>
          <w:p>
            <w:pPr>
              <w:jc w:val="right"/>
              <w:ind w:right="40"/>
              <w:spacing w:after="0" w:line="135" w:lineRule="exact"/>
              <w:rPr>
                <w:sz w:val="20"/>
                <w:szCs w:val="20"/>
                <w:color w:val="auto"/>
              </w:rPr>
            </w:pPr>
            <w:r>
              <w:rPr>
                <w:rFonts w:ascii="Arial" w:cs="Arial" w:eastAsia="Arial" w:hAnsi="Arial"/>
                <w:sz w:val="13"/>
                <w:szCs w:val="13"/>
                <w:color w:val="auto"/>
              </w:rPr>
              <w:t>13,000</w:t>
            </w:r>
          </w:p>
        </w:tc>
        <w:tc>
          <w:tcPr>
            <w:tcW w:w="0" w:type="dxa"/>
            <w:vAlign w:val="bottom"/>
          </w:tcPr>
          <w:p>
            <w:pPr>
              <w:spacing w:after="0"/>
              <w:rPr>
                <w:sz w:val="1"/>
                <w:szCs w:val="1"/>
                <w:color w:val="auto"/>
              </w:rPr>
            </w:pPr>
          </w:p>
        </w:tc>
      </w:tr>
      <w:tr>
        <w:trPr>
          <w:trHeight w:val="135"/>
        </w:trPr>
        <w:tc>
          <w:tcPr>
            <w:tcW w:w="2580" w:type="dxa"/>
            <w:vAlign w:val="bottom"/>
            <w:gridSpan w:val="2"/>
            <w:shd w:val="clear" w:color="auto" w:fill="CCEEFF"/>
          </w:tcPr>
          <w:p>
            <w:pPr>
              <w:spacing w:after="0" w:line="135" w:lineRule="exact"/>
              <w:rPr>
                <w:sz w:val="20"/>
                <w:szCs w:val="20"/>
                <w:color w:val="auto"/>
              </w:rPr>
            </w:pPr>
            <w:r>
              <w:rPr>
                <w:rFonts w:ascii="Arial" w:cs="Arial" w:eastAsia="Arial" w:hAnsi="Arial"/>
                <w:sz w:val="13"/>
                <w:szCs w:val="13"/>
                <w:color w:val="auto"/>
                <w:w w:val="98"/>
              </w:rPr>
              <w:t>Unearned revenue (including current portion)</w:t>
            </w:r>
          </w:p>
        </w:tc>
        <w:tc>
          <w:tcPr>
            <w:tcW w:w="940" w:type="dxa"/>
            <w:vAlign w:val="bottom"/>
            <w:gridSpan w:val="3"/>
            <w:shd w:val="clear" w:color="auto" w:fill="CCEEFF"/>
          </w:tcPr>
          <w:p>
            <w:pPr>
              <w:jc w:val="right"/>
              <w:ind w:right="60"/>
              <w:spacing w:after="0" w:line="135" w:lineRule="exact"/>
              <w:rPr>
                <w:sz w:val="20"/>
                <w:szCs w:val="20"/>
                <w:color w:val="auto"/>
              </w:rPr>
            </w:pPr>
            <w:r>
              <w:rPr>
                <w:rFonts w:ascii="Arial" w:cs="Arial" w:eastAsia="Arial" w:hAnsi="Arial"/>
                <w:sz w:val="13"/>
                <w:szCs w:val="13"/>
                <w:color w:val="auto"/>
              </w:rPr>
              <w:t>69,121</w:t>
            </w:r>
          </w:p>
        </w:tc>
        <w:tc>
          <w:tcPr>
            <w:tcW w:w="740" w:type="dxa"/>
            <w:vAlign w:val="bottom"/>
            <w:gridSpan w:val="3"/>
            <w:shd w:val="clear" w:color="auto" w:fill="CCEEFF"/>
          </w:tcPr>
          <w:p>
            <w:pPr>
              <w:jc w:val="right"/>
              <w:ind w:right="80"/>
              <w:spacing w:after="0" w:line="135" w:lineRule="exact"/>
              <w:rPr>
                <w:sz w:val="20"/>
                <w:szCs w:val="20"/>
                <w:color w:val="auto"/>
              </w:rPr>
            </w:pPr>
            <w:r>
              <w:rPr>
                <w:rFonts w:ascii="Arial" w:cs="Arial" w:eastAsia="Arial" w:hAnsi="Arial"/>
                <w:sz w:val="13"/>
                <w:szCs w:val="13"/>
                <w:color w:val="auto"/>
              </w:rPr>
              <w:t>71,591</w:t>
            </w:r>
          </w:p>
        </w:tc>
        <w:tc>
          <w:tcPr>
            <w:tcW w:w="960" w:type="dxa"/>
            <w:vAlign w:val="bottom"/>
            <w:gridSpan w:val="3"/>
            <w:shd w:val="clear" w:color="auto" w:fill="CCEEFF"/>
          </w:tcPr>
          <w:p>
            <w:pPr>
              <w:jc w:val="right"/>
              <w:ind w:right="140"/>
              <w:spacing w:after="0" w:line="135" w:lineRule="exact"/>
              <w:rPr>
                <w:sz w:val="20"/>
                <w:szCs w:val="20"/>
                <w:color w:val="auto"/>
              </w:rPr>
            </w:pPr>
            <w:r>
              <w:rPr>
                <w:rFonts w:ascii="Arial" w:cs="Arial" w:eastAsia="Arial" w:hAnsi="Arial"/>
                <w:sz w:val="13"/>
                <w:szCs w:val="13"/>
                <w:color w:val="auto"/>
              </w:rPr>
              <w:t>61,200</w:t>
            </w:r>
          </w:p>
        </w:tc>
        <w:tc>
          <w:tcPr>
            <w:tcW w:w="160" w:type="dxa"/>
            <w:vAlign w:val="bottom"/>
            <w:shd w:val="clear" w:color="auto" w:fill="CCEEFF"/>
          </w:tcPr>
          <w:p>
            <w:pPr>
              <w:spacing w:after="0"/>
              <w:rPr>
                <w:sz w:val="11"/>
                <w:szCs w:val="11"/>
                <w:color w:val="auto"/>
              </w:rPr>
            </w:pPr>
          </w:p>
        </w:tc>
        <w:tc>
          <w:tcPr>
            <w:tcW w:w="680" w:type="dxa"/>
            <w:vAlign w:val="bottom"/>
            <w:gridSpan w:val="2"/>
            <w:shd w:val="clear" w:color="auto" w:fill="CCEEFF"/>
          </w:tcPr>
          <w:p>
            <w:pPr>
              <w:jc w:val="right"/>
              <w:ind w:right="60"/>
              <w:spacing w:after="0" w:line="135" w:lineRule="exact"/>
              <w:rPr>
                <w:sz w:val="20"/>
                <w:szCs w:val="20"/>
                <w:color w:val="auto"/>
              </w:rPr>
            </w:pPr>
            <w:r>
              <w:rPr>
                <w:rFonts w:ascii="Arial" w:cs="Arial" w:eastAsia="Arial" w:hAnsi="Arial"/>
                <w:sz w:val="13"/>
                <w:szCs w:val="13"/>
                <w:color w:val="auto"/>
              </w:rPr>
              <w:t>47,517</w:t>
            </w:r>
          </w:p>
        </w:tc>
        <w:tc>
          <w:tcPr>
            <w:tcW w:w="740" w:type="dxa"/>
            <w:vAlign w:val="bottom"/>
            <w:gridSpan w:val="3"/>
            <w:shd w:val="clear" w:color="auto" w:fill="CCEEFF"/>
          </w:tcPr>
          <w:p>
            <w:pPr>
              <w:jc w:val="right"/>
              <w:ind w:right="80"/>
              <w:spacing w:after="0" w:line="135" w:lineRule="exact"/>
              <w:rPr>
                <w:sz w:val="20"/>
                <w:szCs w:val="20"/>
                <w:color w:val="auto"/>
              </w:rPr>
            </w:pPr>
            <w:r>
              <w:rPr>
                <w:rFonts w:ascii="Arial" w:cs="Arial" w:eastAsia="Arial" w:hAnsi="Arial"/>
                <w:sz w:val="13"/>
                <w:szCs w:val="13"/>
                <w:color w:val="auto"/>
              </w:rPr>
              <w:t>49,963</w:t>
            </w:r>
          </w:p>
        </w:tc>
        <w:tc>
          <w:tcPr>
            <w:tcW w:w="720" w:type="dxa"/>
            <w:vAlign w:val="bottom"/>
            <w:gridSpan w:val="3"/>
            <w:shd w:val="clear" w:color="auto" w:fill="CCEEFF"/>
          </w:tcPr>
          <w:p>
            <w:pPr>
              <w:jc w:val="right"/>
              <w:ind w:right="80"/>
              <w:spacing w:after="0" w:line="135" w:lineRule="exact"/>
              <w:rPr>
                <w:sz w:val="20"/>
                <w:szCs w:val="20"/>
                <w:color w:val="auto"/>
              </w:rPr>
            </w:pPr>
            <w:r>
              <w:rPr>
                <w:rFonts w:ascii="Arial" w:cs="Arial" w:eastAsia="Arial" w:hAnsi="Arial"/>
                <w:sz w:val="13"/>
                <w:szCs w:val="13"/>
                <w:color w:val="auto"/>
              </w:rPr>
              <w:t>51,047</w:t>
            </w:r>
          </w:p>
        </w:tc>
        <w:tc>
          <w:tcPr>
            <w:tcW w:w="960" w:type="dxa"/>
            <w:vAlign w:val="bottom"/>
            <w:gridSpan w:val="3"/>
            <w:shd w:val="clear" w:color="auto" w:fill="CCEEFF"/>
          </w:tcPr>
          <w:p>
            <w:pPr>
              <w:jc w:val="right"/>
              <w:ind w:right="140"/>
              <w:spacing w:after="0" w:line="135" w:lineRule="exact"/>
              <w:rPr>
                <w:sz w:val="20"/>
                <w:szCs w:val="20"/>
                <w:color w:val="auto"/>
              </w:rPr>
            </w:pPr>
            <w:r>
              <w:rPr>
                <w:rFonts w:ascii="Arial" w:cs="Arial" w:eastAsia="Arial" w:hAnsi="Arial"/>
                <w:sz w:val="13"/>
                <w:szCs w:val="13"/>
                <w:color w:val="auto"/>
              </w:rPr>
              <w:t>46,125</w:t>
            </w:r>
          </w:p>
        </w:tc>
        <w:tc>
          <w:tcPr>
            <w:tcW w:w="160" w:type="dxa"/>
            <w:vAlign w:val="bottom"/>
            <w:shd w:val="clear" w:color="auto" w:fill="CCEEFF"/>
          </w:tcPr>
          <w:p>
            <w:pPr>
              <w:spacing w:after="0"/>
              <w:rPr>
                <w:sz w:val="11"/>
                <w:szCs w:val="11"/>
                <w:color w:val="auto"/>
              </w:rPr>
            </w:pPr>
          </w:p>
        </w:tc>
        <w:tc>
          <w:tcPr>
            <w:tcW w:w="860" w:type="dxa"/>
            <w:vAlign w:val="bottom"/>
            <w:tcBorders>
              <w:right w:val="single" w:sz="8" w:color="auto"/>
            </w:tcBorders>
            <w:gridSpan w:val="2"/>
            <w:shd w:val="clear" w:color="auto" w:fill="CCEEFF"/>
          </w:tcPr>
          <w:p>
            <w:pPr>
              <w:jc w:val="right"/>
              <w:ind w:right="240"/>
              <w:spacing w:after="0" w:line="135" w:lineRule="exact"/>
              <w:rPr>
                <w:sz w:val="20"/>
                <w:szCs w:val="20"/>
                <w:color w:val="auto"/>
              </w:rPr>
            </w:pPr>
            <w:r>
              <w:rPr>
                <w:rFonts w:ascii="Arial" w:cs="Arial" w:eastAsia="Arial" w:hAnsi="Arial"/>
                <w:sz w:val="13"/>
                <w:szCs w:val="13"/>
                <w:color w:val="auto"/>
              </w:rPr>
              <w:t>36,182</w:t>
            </w:r>
          </w:p>
        </w:tc>
        <w:tc>
          <w:tcPr>
            <w:tcW w:w="920" w:type="dxa"/>
            <w:vAlign w:val="bottom"/>
            <w:gridSpan w:val="3"/>
            <w:shd w:val="clear" w:color="auto" w:fill="CCEEFF"/>
          </w:tcPr>
          <w:p>
            <w:pPr>
              <w:jc w:val="right"/>
              <w:ind w:right="160"/>
              <w:spacing w:after="0" w:line="135" w:lineRule="exact"/>
              <w:rPr>
                <w:sz w:val="20"/>
                <w:szCs w:val="20"/>
                <w:color w:val="auto"/>
              </w:rPr>
            </w:pPr>
            <w:r>
              <w:rPr>
                <w:rFonts w:ascii="Arial" w:cs="Arial" w:eastAsia="Arial" w:hAnsi="Arial"/>
                <w:sz w:val="13"/>
                <w:szCs w:val="13"/>
                <w:color w:val="auto"/>
              </w:rPr>
              <w:t>39,707</w:t>
            </w:r>
          </w:p>
        </w:tc>
        <w:tc>
          <w:tcPr>
            <w:tcW w:w="600" w:type="dxa"/>
            <w:vAlign w:val="bottom"/>
            <w:gridSpan w:val="2"/>
            <w:shd w:val="clear" w:color="auto" w:fill="CCEEFF"/>
          </w:tcPr>
          <w:p>
            <w:pPr>
              <w:jc w:val="right"/>
              <w:ind w:right="40"/>
              <w:spacing w:after="0" w:line="135" w:lineRule="exact"/>
              <w:rPr>
                <w:sz w:val="20"/>
                <w:szCs w:val="20"/>
                <w:color w:val="auto"/>
              </w:rPr>
            </w:pPr>
            <w:r>
              <w:rPr>
                <w:rFonts w:ascii="Arial" w:cs="Arial" w:eastAsia="Arial" w:hAnsi="Arial"/>
                <w:sz w:val="13"/>
                <w:szCs w:val="13"/>
                <w:color w:val="auto"/>
              </w:rPr>
              <w:t>36,809</w:t>
            </w:r>
          </w:p>
        </w:tc>
        <w:tc>
          <w:tcPr>
            <w:tcW w:w="0" w:type="dxa"/>
            <w:vAlign w:val="bottom"/>
          </w:tcPr>
          <w:p>
            <w:pPr>
              <w:spacing w:after="0"/>
              <w:rPr>
                <w:sz w:val="1"/>
                <w:szCs w:val="1"/>
                <w:color w:val="auto"/>
              </w:rPr>
            </w:pPr>
          </w:p>
        </w:tc>
      </w:tr>
      <w:tr>
        <w:trPr>
          <w:trHeight w:val="135"/>
        </w:trPr>
        <w:tc>
          <w:tcPr>
            <w:tcW w:w="2580" w:type="dxa"/>
            <w:vAlign w:val="bottom"/>
            <w:gridSpan w:val="2"/>
          </w:tcPr>
          <w:p>
            <w:pPr>
              <w:spacing w:after="0" w:line="135" w:lineRule="exact"/>
              <w:rPr>
                <w:sz w:val="20"/>
                <w:szCs w:val="20"/>
                <w:color w:val="auto"/>
              </w:rPr>
            </w:pPr>
            <w:r>
              <w:rPr>
                <w:rFonts w:ascii="Arial" w:cs="Arial" w:eastAsia="Arial" w:hAnsi="Arial"/>
                <w:sz w:val="13"/>
                <w:szCs w:val="13"/>
                <w:color w:val="auto"/>
              </w:rPr>
              <w:t>Total liabilities</w:t>
            </w:r>
          </w:p>
        </w:tc>
        <w:tc>
          <w:tcPr>
            <w:tcW w:w="940" w:type="dxa"/>
            <w:vAlign w:val="bottom"/>
            <w:gridSpan w:val="3"/>
          </w:tcPr>
          <w:p>
            <w:pPr>
              <w:jc w:val="right"/>
              <w:ind w:right="60"/>
              <w:spacing w:after="0" w:line="135" w:lineRule="exact"/>
              <w:rPr>
                <w:sz w:val="20"/>
                <w:szCs w:val="20"/>
                <w:color w:val="auto"/>
              </w:rPr>
            </w:pPr>
            <w:r>
              <w:rPr>
                <w:rFonts w:ascii="Arial" w:cs="Arial" w:eastAsia="Arial" w:hAnsi="Arial"/>
                <w:sz w:val="13"/>
                <w:szCs w:val="13"/>
                <w:color w:val="auto"/>
              </w:rPr>
              <w:t>555,140</w:t>
            </w:r>
          </w:p>
        </w:tc>
        <w:tc>
          <w:tcPr>
            <w:tcW w:w="740" w:type="dxa"/>
            <w:vAlign w:val="bottom"/>
            <w:gridSpan w:val="3"/>
          </w:tcPr>
          <w:p>
            <w:pPr>
              <w:jc w:val="right"/>
              <w:ind w:right="80"/>
              <w:spacing w:after="0" w:line="135" w:lineRule="exact"/>
              <w:rPr>
                <w:sz w:val="20"/>
                <w:szCs w:val="20"/>
                <w:color w:val="auto"/>
              </w:rPr>
            </w:pPr>
            <w:r>
              <w:rPr>
                <w:rFonts w:ascii="Arial" w:cs="Arial" w:eastAsia="Arial" w:hAnsi="Arial"/>
                <w:sz w:val="13"/>
                <w:szCs w:val="13"/>
                <w:color w:val="auto"/>
              </w:rPr>
              <w:t>552,196</w:t>
            </w:r>
          </w:p>
        </w:tc>
        <w:tc>
          <w:tcPr>
            <w:tcW w:w="960" w:type="dxa"/>
            <w:vAlign w:val="bottom"/>
            <w:gridSpan w:val="3"/>
          </w:tcPr>
          <w:p>
            <w:pPr>
              <w:jc w:val="right"/>
              <w:ind w:right="140"/>
              <w:spacing w:after="0" w:line="135" w:lineRule="exact"/>
              <w:rPr>
                <w:sz w:val="20"/>
                <w:szCs w:val="20"/>
                <w:color w:val="auto"/>
              </w:rPr>
            </w:pPr>
            <w:r>
              <w:rPr>
                <w:rFonts w:ascii="Arial" w:cs="Arial" w:eastAsia="Arial" w:hAnsi="Arial"/>
                <w:sz w:val="13"/>
                <w:szCs w:val="13"/>
                <w:color w:val="auto"/>
              </w:rPr>
              <w:t>549,796</w:t>
            </w:r>
          </w:p>
        </w:tc>
        <w:tc>
          <w:tcPr>
            <w:tcW w:w="160" w:type="dxa"/>
            <w:vAlign w:val="bottom"/>
          </w:tcPr>
          <w:p>
            <w:pPr>
              <w:spacing w:after="0"/>
              <w:rPr>
                <w:sz w:val="11"/>
                <w:szCs w:val="11"/>
                <w:color w:val="auto"/>
              </w:rPr>
            </w:pPr>
          </w:p>
        </w:tc>
        <w:tc>
          <w:tcPr>
            <w:tcW w:w="680" w:type="dxa"/>
            <w:vAlign w:val="bottom"/>
            <w:gridSpan w:val="2"/>
          </w:tcPr>
          <w:p>
            <w:pPr>
              <w:jc w:val="right"/>
              <w:ind w:right="60"/>
              <w:spacing w:after="0" w:line="135" w:lineRule="exact"/>
              <w:rPr>
                <w:sz w:val="20"/>
                <w:szCs w:val="20"/>
                <w:color w:val="auto"/>
              </w:rPr>
            </w:pPr>
            <w:r>
              <w:rPr>
                <w:rFonts w:ascii="Arial" w:cs="Arial" w:eastAsia="Arial" w:hAnsi="Arial"/>
                <w:sz w:val="13"/>
                <w:szCs w:val="13"/>
                <w:color w:val="auto"/>
              </w:rPr>
              <w:t>522,521</w:t>
            </w:r>
          </w:p>
        </w:tc>
        <w:tc>
          <w:tcPr>
            <w:tcW w:w="740" w:type="dxa"/>
            <w:vAlign w:val="bottom"/>
            <w:gridSpan w:val="3"/>
          </w:tcPr>
          <w:p>
            <w:pPr>
              <w:jc w:val="right"/>
              <w:ind w:right="80"/>
              <w:spacing w:after="0" w:line="135" w:lineRule="exact"/>
              <w:rPr>
                <w:sz w:val="20"/>
                <w:szCs w:val="20"/>
                <w:color w:val="auto"/>
              </w:rPr>
            </w:pPr>
            <w:r>
              <w:rPr>
                <w:rFonts w:ascii="Arial" w:cs="Arial" w:eastAsia="Arial" w:hAnsi="Arial"/>
                <w:sz w:val="13"/>
                <w:szCs w:val="13"/>
                <w:color w:val="auto"/>
              </w:rPr>
              <w:t>532,875</w:t>
            </w:r>
          </w:p>
        </w:tc>
        <w:tc>
          <w:tcPr>
            <w:tcW w:w="720" w:type="dxa"/>
            <w:vAlign w:val="bottom"/>
            <w:gridSpan w:val="3"/>
          </w:tcPr>
          <w:p>
            <w:pPr>
              <w:jc w:val="right"/>
              <w:ind w:right="80"/>
              <w:spacing w:after="0" w:line="135" w:lineRule="exact"/>
              <w:rPr>
                <w:sz w:val="20"/>
                <w:szCs w:val="20"/>
                <w:color w:val="auto"/>
              </w:rPr>
            </w:pPr>
            <w:r>
              <w:rPr>
                <w:rFonts w:ascii="Arial" w:cs="Arial" w:eastAsia="Arial" w:hAnsi="Arial"/>
                <w:sz w:val="13"/>
                <w:szCs w:val="13"/>
                <w:color w:val="auto"/>
              </w:rPr>
              <w:t>532,393</w:t>
            </w:r>
          </w:p>
        </w:tc>
        <w:tc>
          <w:tcPr>
            <w:tcW w:w="960" w:type="dxa"/>
            <w:vAlign w:val="bottom"/>
            <w:gridSpan w:val="3"/>
          </w:tcPr>
          <w:p>
            <w:pPr>
              <w:jc w:val="right"/>
              <w:ind w:right="140"/>
              <w:spacing w:after="0" w:line="135" w:lineRule="exact"/>
              <w:rPr>
                <w:sz w:val="20"/>
                <w:szCs w:val="20"/>
                <w:color w:val="auto"/>
              </w:rPr>
            </w:pPr>
            <w:r>
              <w:rPr>
                <w:rFonts w:ascii="Arial" w:cs="Arial" w:eastAsia="Arial" w:hAnsi="Arial"/>
                <w:sz w:val="13"/>
                <w:szCs w:val="13"/>
                <w:color w:val="auto"/>
              </w:rPr>
              <w:t>504,914</w:t>
            </w:r>
          </w:p>
        </w:tc>
        <w:tc>
          <w:tcPr>
            <w:tcW w:w="160" w:type="dxa"/>
            <w:vAlign w:val="bottom"/>
          </w:tcPr>
          <w:p>
            <w:pPr>
              <w:spacing w:after="0"/>
              <w:rPr>
                <w:sz w:val="11"/>
                <w:szCs w:val="11"/>
                <w:color w:val="auto"/>
              </w:rPr>
            </w:pPr>
          </w:p>
        </w:tc>
        <w:tc>
          <w:tcPr>
            <w:tcW w:w="860" w:type="dxa"/>
            <w:vAlign w:val="bottom"/>
            <w:tcBorders>
              <w:right w:val="single" w:sz="8" w:color="auto"/>
            </w:tcBorders>
            <w:gridSpan w:val="2"/>
          </w:tcPr>
          <w:p>
            <w:pPr>
              <w:jc w:val="right"/>
              <w:ind w:right="240"/>
              <w:spacing w:after="0" w:line="135" w:lineRule="exact"/>
              <w:rPr>
                <w:sz w:val="20"/>
                <w:szCs w:val="20"/>
                <w:color w:val="auto"/>
              </w:rPr>
            </w:pPr>
            <w:r>
              <w:rPr>
                <w:rFonts w:ascii="Arial" w:cs="Arial" w:eastAsia="Arial" w:hAnsi="Arial"/>
                <w:sz w:val="13"/>
                <w:szCs w:val="13"/>
                <w:color w:val="auto"/>
              </w:rPr>
              <w:t>490,579</w:t>
            </w:r>
          </w:p>
        </w:tc>
        <w:tc>
          <w:tcPr>
            <w:tcW w:w="920" w:type="dxa"/>
            <w:vAlign w:val="bottom"/>
            <w:gridSpan w:val="3"/>
          </w:tcPr>
          <w:p>
            <w:pPr>
              <w:jc w:val="right"/>
              <w:ind w:right="160"/>
              <w:spacing w:after="0" w:line="135" w:lineRule="exact"/>
              <w:rPr>
                <w:sz w:val="20"/>
                <w:szCs w:val="20"/>
                <w:color w:val="auto"/>
              </w:rPr>
            </w:pPr>
            <w:r>
              <w:rPr>
                <w:rFonts w:ascii="Arial" w:cs="Arial" w:eastAsia="Arial" w:hAnsi="Arial"/>
                <w:sz w:val="13"/>
                <w:szCs w:val="13"/>
                <w:color w:val="auto"/>
              </w:rPr>
              <w:t>44,291</w:t>
            </w:r>
          </w:p>
        </w:tc>
        <w:tc>
          <w:tcPr>
            <w:tcW w:w="600" w:type="dxa"/>
            <w:vAlign w:val="bottom"/>
            <w:gridSpan w:val="2"/>
          </w:tcPr>
          <w:p>
            <w:pPr>
              <w:jc w:val="right"/>
              <w:ind w:right="40"/>
              <w:spacing w:after="0" w:line="135" w:lineRule="exact"/>
              <w:rPr>
                <w:sz w:val="20"/>
                <w:szCs w:val="20"/>
                <w:color w:val="auto"/>
              </w:rPr>
            </w:pPr>
            <w:r>
              <w:rPr>
                <w:rFonts w:ascii="Arial" w:cs="Arial" w:eastAsia="Arial" w:hAnsi="Arial"/>
                <w:sz w:val="13"/>
                <w:szCs w:val="13"/>
                <w:color w:val="auto"/>
              </w:rPr>
              <w:t>53,696</w:t>
            </w:r>
          </w:p>
        </w:tc>
        <w:tc>
          <w:tcPr>
            <w:tcW w:w="0" w:type="dxa"/>
            <w:vAlign w:val="bottom"/>
          </w:tcPr>
          <w:p>
            <w:pPr>
              <w:spacing w:after="0"/>
              <w:rPr>
                <w:sz w:val="1"/>
                <w:szCs w:val="1"/>
                <w:color w:val="auto"/>
              </w:rPr>
            </w:pPr>
          </w:p>
        </w:tc>
      </w:tr>
    </w:tbl>
    <w:p>
      <w:pPr>
        <w:spacing w:after="0" w:line="134"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96</w:t>
      </w:r>
    </w:p>
    <w:p>
      <w:pPr>
        <w:sectPr>
          <w:pgSz w:w="11900" w:h="16838" w:orient="portrait"/>
          <w:cols w:equalWidth="0" w:num="1">
            <w:col w:w="11140"/>
          </w:cols>
          <w:pgMar w:left="320" w:top="459" w:right="439" w:bottom="1440" w:gutter="0" w:footer="0" w:header="0"/>
        </w:sectPr>
      </w:pPr>
    </w:p>
    <w:bookmarkStart w:id="103" w:name="page104"/>
    <w:bookmarkEnd w:id="10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Confidential Treatment Requested by Definitive Healthcare Corp.</w:t>
      </w:r>
    </w:p>
    <w:p>
      <w:pPr>
        <w:spacing w:after="0" w:line="27"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Pursuant to 17 C.F.R. Section 200.83</w:t>
      </w:r>
    </w:p>
    <w:p>
      <w:pPr>
        <w:spacing w:after="0" w:line="13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Liquidity and Capital Resources</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Overview</w:t>
      </w:r>
    </w:p>
    <w:p>
      <w:pPr>
        <w:spacing w:after="0" w:line="117" w:lineRule="exact"/>
        <w:rPr>
          <w:sz w:val="20"/>
          <w:szCs w:val="20"/>
          <w:color w:val="auto"/>
        </w:rPr>
      </w:pPr>
    </w:p>
    <w:p>
      <w:pPr>
        <w:ind w:left="120" w:right="20" w:firstLine="440"/>
        <w:spacing w:after="0" w:line="301" w:lineRule="auto"/>
        <w:rPr>
          <w:sz w:val="20"/>
          <w:szCs w:val="20"/>
          <w:color w:val="auto"/>
        </w:rPr>
      </w:pPr>
      <w:r>
        <w:rPr>
          <w:rFonts w:ascii="Arial" w:cs="Arial" w:eastAsia="Arial" w:hAnsi="Arial"/>
          <w:sz w:val="16"/>
          <w:szCs w:val="16"/>
          <w:color w:val="auto"/>
        </w:rPr>
        <w:t>Our principal uses for liquidity have been working capital, capital expenditures to support the growth in our business, debt service, distributions to Unitholders and acquisitions. Our capital expenditures were $1.4 million, $1.2 million and $0.7 million for the year ended December 31, 2020, for the period from July 16, 2019 to December 31, 2019 (Successor), and for the period from January 1, 2019 to July 15, 2019 (Predecessor), respectively. Our capital expenditures were $5.2 million and $0.9 million for the six months ended June 30, 2021 and 2020, respectively.</w:t>
      </w:r>
    </w:p>
    <w:p>
      <w:pPr>
        <w:spacing w:after="0" w:line="157" w:lineRule="exact"/>
        <w:rPr>
          <w:sz w:val="20"/>
          <w:szCs w:val="20"/>
          <w:color w:val="auto"/>
        </w:rPr>
      </w:pPr>
    </w:p>
    <w:p>
      <w:pPr>
        <w:ind w:left="120" w:right="40" w:firstLine="440"/>
        <w:spacing w:after="0" w:line="257" w:lineRule="auto"/>
        <w:rPr>
          <w:sz w:val="20"/>
          <w:szCs w:val="20"/>
          <w:color w:val="auto"/>
        </w:rPr>
      </w:pPr>
      <w:r>
        <w:rPr>
          <w:rFonts w:ascii="Arial" w:cs="Arial" w:eastAsia="Arial" w:hAnsi="Arial"/>
          <w:sz w:val="18"/>
          <w:szCs w:val="18"/>
          <w:color w:val="auto"/>
        </w:rPr>
        <w:t>We have historically funded our operations and growth primarily with cash flow from operations and borrowings under our Credit Agreement and equity contributions from Unitholders. As of June 30, 2021 and December 31, 2020, we had unrestricted cash and cash equivalents of $38.4 million and $24.8 million, respectively. Our total indebtedness, net of unamortized discount, was $460.5 million and $461.9 million as of June 30, 2021 and December 31, 2020, respectively. See “—Debt Obligations” and Note 8 of our consolidated financial statements included elsewhere in this prospectus for additional information related to our debt obligations and debt repayments.</w:t>
      </w:r>
    </w:p>
    <w:p>
      <w:pPr>
        <w:spacing w:after="0" w:line="188" w:lineRule="exact"/>
        <w:rPr>
          <w:sz w:val="20"/>
          <w:szCs w:val="20"/>
          <w:color w:val="auto"/>
        </w:rPr>
      </w:pPr>
    </w:p>
    <w:p>
      <w:pPr>
        <w:ind w:left="120" w:right="100" w:firstLine="440"/>
        <w:spacing w:after="0" w:line="277" w:lineRule="auto"/>
        <w:rPr>
          <w:sz w:val="20"/>
          <w:szCs w:val="20"/>
          <w:color w:val="auto"/>
        </w:rPr>
      </w:pPr>
      <w:r>
        <w:rPr>
          <w:rFonts w:ascii="Arial" w:cs="Arial" w:eastAsia="Arial" w:hAnsi="Arial"/>
          <w:sz w:val="18"/>
          <w:szCs w:val="18"/>
          <w:color w:val="auto"/>
        </w:rPr>
        <w:t>See Note 12 of our consolidated financial statements included elsewhere in this prospectus for additional information related to contributions and distributions from and to members of Definitive OpCo.</w:t>
      </w:r>
    </w:p>
    <w:p>
      <w:pPr>
        <w:spacing w:after="0" w:line="170" w:lineRule="exact"/>
        <w:rPr>
          <w:sz w:val="20"/>
          <w:szCs w:val="20"/>
          <w:color w:val="auto"/>
        </w:rPr>
      </w:pPr>
    </w:p>
    <w:p>
      <w:pPr>
        <w:ind w:left="120" w:right="20" w:firstLine="440"/>
        <w:spacing w:after="0" w:line="267" w:lineRule="auto"/>
        <w:rPr>
          <w:sz w:val="20"/>
          <w:szCs w:val="20"/>
          <w:color w:val="auto"/>
        </w:rPr>
      </w:pPr>
      <w:r>
        <w:rPr>
          <w:rFonts w:ascii="Arial" w:cs="Arial" w:eastAsia="Arial" w:hAnsi="Arial"/>
          <w:sz w:val="17"/>
          <w:szCs w:val="17"/>
          <w:color w:val="auto"/>
        </w:rPr>
        <w:t>Definitive Healthcare Corp. was formed for the purpose of this offering and has engaged to date only in activities in contemplation of this offering. Definitive Healthcare Corp. will be a holding company and its sole material asset will be its ownership interest in Definitive OpCo. For more information regarding our reorganization and holding company structure, see “Prospectus Summary—Organizational Structure.” Upon completion of this offering, all of our business will be conducted through Definitive OpCo and its consolidated subsidiaries and affiliates, and the financial results of Definitive OpCo and its consolidated subsidiaries will be included in the consolidated financial statements of Definitive Healthcare Corp. Definitive Healthcare Corp. has no independent means of generating revenue. The limited liability company agreement of Definitive OpCo provides that certain distributions to cover the taxes and Definitive Healthcare Corp.’s obligations under the Tax Receivable Agreement will be made. We have broad discretion to make distributions out of Definitive OpCo. In the event Definitive Healthcare Corp. declares any cash dividend, we expect to cause Definitive OpCo to make distributions to us, in an amount sufficient to cover such cash dividends declared by us. Deterioration in the financial condition, earnings, or cash flow of Definitive OpCo and its subsidiaries for any reason could limit or impair their ability to pay such distributions. In addition, the terms of our Credit Agreement contain covenants that may restrict DH Holdings and its subsidiaries from paying such distributions, subject to certain exceptions. Further, Definitive OpCo and Definitive Healthcare Corp. are generally prohibited under Delaware law from making a distribution to a member to the extent that, at the time of the distribution, after giving effect to the distribution, liabilities of Definitive OpCo and DH Holdings (with certain exceptions), as applicable, exceed the fair value of its assets. Subsidiaries of DH Holdings are generally subject to similar legal limitations on their ability to make distributions to DH Holdings. See “Dividend Policy” and “Risk Factors—Risks Related to Our Organizational Structure—In certain circumstances, Definitive OpCo will be required to make distributions to us and the other Unitholders, and the distributions that Definitive OpCo will be required to make may be substantial.”</w:t>
      </w:r>
    </w:p>
    <w:p>
      <w:pPr>
        <w:spacing w:after="0" w:line="191" w:lineRule="exact"/>
        <w:rPr>
          <w:sz w:val="20"/>
          <w:szCs w:val="20"/>
          <w:color w:val="auto"/>
        </w:rPr>
      </w:pPr>
    </w:p>
    <w:p>
      <w:pPr>
        <w:ind w:left="120" w:firstLine="440"/>
        <w:spacing w:after="0" w:line="255" w:lineRule="auto"/>
        <w:rPr>
          <w:sz w:val="20"/>
          <w:szCs w:val="20"/>
          <w:color w:val="auto"/>
        </w:rPr>
      </w:pPr>
      <w:r>
        <w:rPr>
          <w:rFonts w:ascii="Arial" w:cs="Arial" w:eastAsia="Arial" w:hAnsi="Arial"/>
          <w:sz w:val="18"/>
          <w:szCs w:val="18"/>
          <w:color w:val="auto"/>
        </w:rPr>
        <w:t>We believe that our cash flow from operations, availability under the Credit Agreement and available cash and cash equivalents will be sufficient to meet our liquidity needs for at least the next twelve months. We anticipate that to the extent that we require additional liquidity, it will be funded through the proceeds from this offering, the incurrence of additional indebtedness, the issuance of additional equity, or a combination thereof. We cannot assure you that we will be able to obtain this additional liquidity on reasonable terms, or at all. Additionally, our liquidity and our ability to meet our obligations and fund our capital requirements are also dependent on our future financial performance, which is subject to general economic, financial and other factors</w:t>
      </w:r>
    </w:p>
    <w:p>
      <w:pPr>
        <w:spacing w:after="0" w:line="125" w:lineRule="exact"/>
        <w:rPr>
          <w:sz w:val="20"/>
          <w:szCs w:val="20"/>
          <w:color w:val="auto"/>
        </w:rPr>
      </w:pPr>
    </w:p>
    <w:p>
      <w:pPr>
        <w:jc w:val="center"/>
        <w:ind w:right="-359"/>
        <w:spacing w:after="0"/>
        <w:rPr>
          <w:sz w:val="20"/>
          <w:szCs w:val="20"/>
          <w:color w:val="auto"/>
        </w:rPr>
      </w:pPr>
      <w:r>
        <w:rPr>
          <w:rFonts w:ascii="Arial" w:cs="Arial" w:eastAsia="Arial" w:hAnsi="Arial"/>
          <w:sz w:val="18"/>
          <w:szCs w:val="18"/>
          <w:color w:val="auto"/>
        </w:rPr>
        <w:t>97</w:t>
      </w:r>
    </w:p>
    <w:p>
      <w:pPr>
        <w:sectPr>
          <w:pgSz w:w="11900" w:h="16838" w:orient="portrait"/>
          <w:cols w:equalWidth="0" w:num="1">
            <w:col w:w="11120"/>
          </w:cols>
          <w:pgMar w:left="320" w:top="459" w:right="459" w:bottom="1440" w:gutter="0" w:footer="0" w:header="0"/>
        </w:sectPr>
      </w:pPr>
    </w:p>
    <w:bookmarkStart w:id="104" w:name="page105"/>
    <w:bookmarkEnd w:id="10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Confidential Treatment Requested by Definitive Healthcare Corp.</w:t>
      </w:r>
    </w:p>
    <w:p>
      <w:pPr>
        <w:spacing w:after="0" w:line="27"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Pursuant to 17 C.F.R. Section 200.83</w:t>
      </w:r>
    </w:p>
    <w:p>
      <w:pPr>
        <w:spacing w:after="0" w:line="143" w:lineRule="exact"/>
        <w:rPr>
          <w:sz w:val="20"/>
          <w:szCs w:val="20"/>
          <w:color w:val="auto"/>
        </w:rPr>
      </w:pPr>
    </w:p>
    <w:p>
      <w:pPr>
        <w:ind w:left="120" w:right="120"/>
        <w:spacing w:after="0" w:line="259" w:lineRule="auto"/>
        <w:rPr>
          <w:sz w:val="20"/>
          <w:szCs w:val="20"/>
          <w:color w:val="auto"/>
        </w:rPr>
      </w:pPr>
      <w:r>
        <w:rPr>
          <w:rFonts w:ascii="Arial" w:cs="Arial" w:eastAsia="Arial" w:hAnsi="Arial"/>
          <w:sz w:val="18"/>
          <w:szCs w:val="18"/>
          <w:color w:val="auto"/>
        </w:rPr>
        <w:t>that are beyond our control. See “Risk Factors.” Accordingly, we cannot assure you that our business will generate sufficient cash flow from operations or that future borrowings will be available from additional indebtedness or otherwise to meet our liquidity needs. If we decide to pursue one or more significant acquisitions, we may incur additional debt or sell or issue additional equity to finance such acquisitions, which could possibly result in additional expenses or dilution.</w:t>
      </w:r>
    </w:p>
    <w:p>
      <w:pPr>
        <w:spacing w:after="0" w:line="295"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Cash Flows</w:t>
      </w:r>
    </w:p>
    <w:p>
      <w:pPr>
        <w:spacing w:after="0" w:line="117"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following table summarizes our cash flows for the periods presented:</w:t>
      </w:r>
    </w:p>
    <w:p>
      <w:pPr>
        <w:spacing w:after="0" w:line="231" w:lineRule="exact"/>
        <w:rPr>
          <w:sz w:val="20"/>
          <w:szCs w:val="20"/>
          <w:color w:val="auto"/>
        </w:rPr>
      </w:pPr>
    </w:p>
    <w:tbl>
      <w:tblPr>
        <w:tblLayout w:type="fixed"/>
        <w:tblInd w:w="120" w:type="dxa"/>
        <w:tblCellMar>
          <w:top w:w="0" w:type="dxa"/>
          <w:left w:w="0" w:type="dxa"/>
          <w:bottom w:w="0" w:type="dxa"/>
          <w:right w:w="0" w:type="dxa"/>
        </w:tblCellMar>
      </w:tblPr>
      <w:tr>
        <w:trPr>
          <w:trHeight w:val="35"/>
        </w:trPr>
        <w:tc>
          <w:tcPr>
            <w:tcW w:w="3700" w:type="dxa"/>
            <w:vAlign w:val="bottom"/>
          </w:tcPr>
          <w:p>
            <w:pPr>
              <w:spacing w:after="0"/>
              <w:rPr>
                <w:sz w:val="3"/>
                <w:szCs w:val="3"/>
                <w:color w:val="auto"/>
              </w:rPr>
            </w:pPr>
          </w:p>
        </w:tc>
        <w:tc>
          <w:tcPr>
            <w:tcW w:w="26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460" w:type="dxa"/>
            <w:vAlign w:val="bottom"/>
          </w:tcPr>
          <w:p>
            <w:pPr>
              <w:spacing w:after="0"/>
              <w:rPr>
                <w:sz w:val="3"/>
                <w:szCs w:val="3"/>
                <w:color w:val="auto"/>
              </w:rPr>
            </w:pPr>
          </w:p>
        </w:tc>
        <w:tc>
          <w:tcPr>
            <w:tcW w:w="160" w:type="dxa"/>
            <w:vAlign w:val="bottom"/>
          </w:tcPr>
          <w:p>
            <w:pPr>
              <w:spacing w:after="0"/>
              <w:rPr>
                <w:sz w:val="3"/>
                <w:szCs w:val="3"/>
                <w:color w:val="auto"/>
              </w:rPr>
            </w:pPr>
          </w:p>
        </w:tc>
        <w:tc>
          <w:tcPr>
            <w:tcW w:w="2140" w:type="dxa"/>
            <w:vAlign w:val="bottom"/>
            <w:gridSpan w:val="5"/>
            <w:vMerge w:val="restart"/>
          </w:tcPr>
          <w:p>
            <w:pPr>
              <w:jc w:val="center"/>
              <w:ind w:right="240"/>
              <w:spacing w:after="0"/>
              <w:rPr>
                <w:sz w:val="20"/>
                <w:szCs w:val="20"/>
                <w:color w:val="auto"/>
              </w:rPr>
            </w:pPr>
            <w:r>
              <w:rPr>
                <w:rFonts w:ascii="Arial" w:cs="Arial" w:eastAsia="Arial" w:hAnsi="Arial"/>
                <w:sz w:val="14"/>
                <w:szCs w:val="14"/>
                <w:b w:val="1"/>
                <w:bCs w:val="1"/>
                <w:color w:val="auto"/>
                <w:w w:val="97"/>
              </w:rPr>
              <w:t>Definitive OpCo</w:t>
            </w:r>
          </w:p>
        </w:tc>
        <w:tc>
          <w:tcPr>
            <w:tcW w:w="200" w:type="dxa"/>
            <w:vAlign w:val="bottom"/>
          </w:tcPr>
          <w:p>
            <w:pPr>
              <w:spacing w:after="0"/>
              <w:rPr>
                <w:sz w:val="3"/>
                <w:szCs w:val="3"/>
                <w:color w:val="auto"/>
              </w:rPr>
            </w:pPr>
          </w:p>
        </w:tc>
        <w:tc>
          <w:tcPr>
            <w:tcW w:w="80" w:type="dxa"/>
            <w:vAlign w:val="bottom"/>
          </w:tcPr>
          <w:p>
            <w:pPr>
              <w:spacing w:after="0"/>
              <w:rPr>
                <w:sz w:val="3"/>
                <w:szCs w:val="3"/>
                <w:color w:val="auto"/>
              </w:rPr>
            </w:pPr>
          </w:p>
        </w:tc>
        <w:tc>
          <w:tcPr>
            <w:tcW w:w="880" w:type="dxa"/>
            <w:vAlign w:val="bottom"/>
          </w:tcPr>
          <w:p>
            <w:pPr>
              <w:spacing w:after="0"/>
              <w:rPr>
                <w:sz w:val="3"/>
                <w:szCs w:val="3"/>
                <w:color w:val="auto"/>
              </w:rPr>
            </w:pPr>
          </w:p>
        </w:tc>
        <w:tc>
          <w:tcPr>
            <w:tcW w:w="120" w:type="dxa"/>
            <w:vAlign w:val="bottom"/>
          </w:tcPr>
          <w:p>
            <w:pPr>
              <w:spacing w:after="0"/>
              <w:rPr>
                <w:sz w:val="3"/>
                <w:szCs w:val="3"/>
                <w:color w:val="auto"/>
              </w:rPr>
            </w:pPr>
          </w:p>
        </w:tc>
        <w:tc>
          <w:tcPr>
            <w:tcW w:w="440" w:type="dxa"/>
            <w:vAlign w:val="bottom"/>
          </w:tcPr>
          <w:p>
            <w:pPr>
              <w:spacing w:after="0"/>
              <w:rPr>
                <w:sz w:val="3"/>
                <w:szCs w:val="3"/>
                <w:color w:val="auto"/>
              </w:rPr>
            </w:pPr>
          </w:p>
        </w:tc>
        <w:tc>
          <w:tcPr>
            <w:tcW w:w="340" w:type="dxa"/>
            <w:vAlign w:val="bottom"/>
          </w:tcPr>
          <w:p>
            <w:pPr>
              <w:spacing w:after="0"/>
              <w:rPr>
                <w:sz w:val="3"/>
                <w:szCs w:val="3"/>
                <w:color w:val="auto"/>
              </w:rPr>
            </w:pPr>
          </w:p>
        </w:tc>
        <w:tc>
          <w:tcPr>
            <w:tcW w:w="120" w:type="dxa"/>
            <w:vAlign w:val="bottom"/>
          </w:tcPr>
          <w:p>
            <w:pPr>
              <w:spacing w:after="0"/>
              <w:rPr>
                <w:sz w:val="3"/>
                <w:szCs w:val="3"/>
                <w:color w:val="auto"/>
              </w:rPr>
            </w:pPr>
          </w:p>
        </w:tc>
        <w:tc>
          <w:tcPr>
            <w:tcW w:w="138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w w:val="95"/>
              </w:rPr>
              <w:t>Definitive OpCo</w:t>
            </w:r>
          </w:p>
        </w:tc>
        <w:tc>
          <w:tcPr>
            <w:tcW w:w="0" w:type="dxa"/>
            <w:vAlign w:val="bottom"/>
          </w:tcPr>
          <w:p>
            <w:pPr>
              <w:spacing w:after="0" w:line="20" w:lineRule="exact"/>
              <w:rPr>
                <w:sz w:val="1"/>
                <w:szCs w:val="1"/>
                <w:color w:val="auto"/>
              </w:rPr>
            </w:pPr>
          </w:p>
        </w:tc>
      </w:tr>
      <w:tr>
        <w:trPr>
          <w:trHeight w:val="126"/>
        </w:trPr>
        <w:tc>
          <w:tcPr>
            <w:tcW w:w="37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2140" w:type="dxa"/>
            <w:vAlign w:val="bottom"/>
            <w:gridSpan w:val="5"/>
            <w:vMerge w:val="continue"/>
          </w:tcPr>
          <w:p>
            <w:pPr>
              <w:spacing w:after="0"/>
              <w:rPr>
                <w:sz w:val="10"/>
                <w:szCs w:val="10"/>
                <w:color w:val="auto"/>
              </w:rPr>
            </w:pPr>
          </w:p>
        </w:tc>
        <w:tc>
          <w:tcPr>
            <w:tcW w:w="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40" w:type="dxa"/>
            <w:vAlign w:val="bottom"/>
            <w:tcBorders>
              <w:right w:val="single" w:sz="8" w:color="auto"/>
            </w:tcBorders>
          </w:tcPr>
          <w:p>
            <w:pPr>
              <w:spacing w:after="0"/>
              <w:rPr>
                <w:sz w:val="10"/>
                <w:szCs w:val="10"/>
                <w:color w:val="auto"/>
              </w:rPr>
            </w:pPr>
          </w:p>
        </w:tc>
        <w:tc>
          <w:tcPr>
            <w:tcW w:w="3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38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37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140" w:type="dxa"/>
            <w:vAlign w:val="bottom"/>
            <w:gridSpan w:val="5"/>
          </w:tcPr>
          <w:p>
            <w:pPr>
              <w:jc w:val="center"/>
              <w:ind w:right="240"/>
              <w:spacing w:after="0" w:line="149" w:lineRule="exact"/>
              <w:rPr>
                <w:sz w:val="20"/>
                <w:szCs w:val="20"/>
                <w:color w:val="auto"/>
              </w:rPr>
            </w:pPr>
            <w:r>
              <w:rPr>
                <w:rFonts w:ascii="Arial" w:cs="Arial" w:eastAsia="Arial" w:hAnsi="Arial"/>
                <w:sz w:val="14"/>
                <w:szCs w:val="14"/>
                <w:b w:val="1"/>
                <w:bCs w:val="1"/>
                <w:color w:val="auto"/>
              </w:rPr>
              <w:t>(AIDH TopCo, LLC)</w:t>
            </w: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40" w:type="dxa"/>
            <w:vAlign w:val="bottom"/>
            <w:tcBorders>
              <w:right w:val="single" w:sz="8" w:color="auto"/>
            </w:tcBorders>
          </w:tcPr>
          <w:p>
            <w:pPr>
              <w:spacing w:after="0"/>
              <w:rPr>
                <w:sz w:val="12"/>
                <w:szCs w:val="12"/>
                <w:color w:val="auto"/>
              </w:rPr>
            </w:pPr>
          </w:p>
        </w:tc>
        <w:tc>
          <w:tcPr>
            <w:tcW w:w="340" w:type="dxa"/>
            <w:vAlign w:val="bottom"/>
          </w:tcPr>
          <w:p>
            <w:pPr>
              <w:spacing w:after="0"/>
              <w:rPr>
                <w:sz w:val="12"/>
                <w:szCs w:val="12"/>
                <w:color w:val="auto"/>
              </w:rPr>
            </w:pPr>
          </w:p>
        </w:tc>
        <w:tc>
          <w:tcPr>
            <w:tcW w:w="1500" w:type="dxa"/>
            <w:vAlign w:val="bottom"/>
            <w:gridSpan w:val="3"/>
          </w:tcPr>
          <w:p>
            <w:pPr>
              <w:jc w:val="center"/>
              <w:ind w:right="100"/>
              <w:spacing w:after="0" w:line="149" w:lineRule="exact"/>
              <w:rPr>
                <w:sz w:val="20"/>
                <w:szCs w:val="20"/>
                <w:color w:val="auto"/>
              </w:rPr>
            </w:pPr>
            <w:r>
              <w:rPr>
                <w:rFonts w:ascii="Arial" w:cs="Arial" w:eastAsia="Arial" w:hAnsi="Arial"/>
                <w:sz w:val="14"/>
                <w:szCs w:val="14"/>
                <w:b w:val="1"/>
                <w:bCs w:val="1"/>
                <w:color w:val="auto"/>
              </w:rPr>
              <w:t>(AIDH TopCo, LLC)</w:t>
            </w:r>
          </w:p>
        </w:tc>
        <w:tc>
          <w:tcPr>
            <w:tcW w:w="0" w:type="dxa"/>
            <w:vAlign w:val="bottom"/>
          </w:tcPr>
          <w:p>
            <w:pPr>
              <w:spacing w:after="0"/>
              <w:rPr>
                <w:sz w:val="1"/>
                <w:szCs w:val="1"/>
                <w:color w:val="auto"/>
              </w:rPr>
            </w:pPr>
          </w:p>
        </w:tc>
      </w:tr>
      <w:tr>
        <w:trPr>
          <w:trHeight w:val="171"/>
        </w:trPr>
        <w:tc>
          <w:tcPr>
            <w:tcW w:w="37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2140" w:type="dxa"/>
            <w:vAlign w:val="bottom"/>
            <w:tcBorders>
              <w:bottom w:val="single" w:sz="8" w:color="auto"/>
            </w:tcBorders>
            <w:gridSpan w:val="5"/>
          </w:tcPr>
          <w:p>
            <w:pPr>
              <w:jc w:val="center"/>
              <w:ind w:right="220"/>
              <w:spacing w:after="0"/>
              <w:rPr>
                <w:sz w:val="20"/>
                <w:szCs w:val="20"/>
                <w:color w:val="auto"/>
              </w:rPr>
            </w:pPr>
            <w:r>
              <w:rPr>
                <w:rFonts w:ascii="Arial" w:cs="Arial" w:eastAsia="Arial" w:hAnsi="Arial"/>
                <w:sz w:val="14"/>
                <w:szCs w:val="14"/>
                <w:b w:val="1"/>
                <w:bCs w:val="1"/>
                <w:color w:val="auto"/>
                <w:w w:val="89"/>
              </w:rPr>
              <w:t>Successor Company</w:t>
            </w:r>
          </w:p>
        </w:tc>
        <w:tc>
          <w:tcPr>
            <w:tcW w:w="20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440" w:type="dxa"/>
            <w:vAlign w:val="bottom"/>
            <w:tcBorders>
              <w:right w:val="single" w:sz="8" w:color="auto"/>
            </w:tcBorders>
          </w:tcPr>
          <w:p>
            <w:pPr>
              <w:spacing w:after="0"/>
              <w:rPr>
                <w:sz w:val="14"/>
                <w:szCs w:val="14"/>
                <w:color w:val="auto"/>
              </w:rPr>
            </w:pPr>
          </w:p>
        </w:tc>
        <w:tc>
          <w:tcPr>
            <w:tcW w:w="340" w:type="dxa"/>
            <w:vAlign w:val="bottom"/>
          </w:tcPr>
          <w:p>
            <w:pPr>
              <w:spacing w:after="0"/>
              <w:rPr>
                <w:sz w:val="14"/>
                <w:szCs w:val="14"/>
                <w:color w:val="auto"/>
              </w:rPr>
            </w:pPr>
          </w:p>
        </w:tc>
        <w:tc>
          <w:tcPr>
            <w:tcW w:w="138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89"/>
              </w:rPr>
              <w:t>Predecessor Company</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37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300" w:type="dxa"/>
            <w:vAlign w:val="bottom"/>
            <w:gridSpan w:val="5"/>
            <w:vMerge w:val="restart"/>
          </w:tcPr>
          <w:p>
            <w:pPr>
              <w:jc w:val="right"/>
              <w:ind w:right="580"/>
              <w:spacing w:after="0"/>
              <w:rPr>
                <w:sz w:val="20"/>
                <w:szCs w:val="20"/>
                <w:color w:val="auto"/>
              </w:rPr>
            </w:pPr>
            <w:r>
              <w:rPr>
                <w:rFonts w:ascii="Arial" w:cs="Arial" w:eastAsia="Arial" w:hAnsi="Arial"/>
                <w:sz w:val="14"/>
                <w:szCs w:val="14"/>
                <w:b w:val="1"/>
                <w:bCs w:val="1"/>
                <w:color w:val="auto"/>
                <w:w w:val="93"/>
              </w:rPr>
              <w:t>Six Months Ended June 30,</w:t>
            </w:r>
          </w:p>
        </w:tc>
        <w:tc>
          <w:tcPr>
            <w:tcW w:w="1100" w:type="dxa"/>
            <w:vAlign w:val="bottom"/>
            <w:gridSpan w:val="3"/>
            <w:vMerge w:val="restart"/>
          </w:tcPr>
          <w:p>
            <w:pPr>
              <w:jc w:val="center"/>
              <w:ind w:right="240"/>
              <w:spacing w:after="0"/>
              <w:rPr>
                <w:sz w:val="20"/>
                <w:szCs w:val="20"/>
                <w:color w:val="auto"/>
              </w:rPr>
            </w:pPr>
            <w:r>
              <w:rPr>
                <w:rFonts w:ascii="Arial" w:cs="Arial" w:eastAsia="Arial" w:hAnsi="Arial"/>
                <w:sz w:val="14"/>
                <w:szCs w:val="14"/>
                <w:b w:val="1"/>
                <w:bCs w:val="1"/>
                <w:color w:val="auto"/>
                <w:w w:val="92"/>
              </w:rPr>
              <w:t>Year ended</w:t>
            </w:r>
          </w:p>
        </w:tc>
        <w:tc>
          <w:tcPr>
            <w:tcW w:w="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80" w:type="dxa"/>
            <w:vAlign w:val="bottom"/>
          </w:tcPr>
          <w:p>
            <w:pPr>
              <w:jc w:val="center"/>
              <w:ind w:right="37"/>
              <w:spacing w:after="0" w:line="119" w:lineRule="exact"/>
              <w:rPr>
                <w:sz w:val="20"/>
                <w:szCs w:val="20"/>
                <w:color w:val="auto"/>
              </w:rPr>
            </w:pPr>
            <w:r>
              <w:rPr>
                <w:rFonts w:ascii="Arial" w:cs="Arial" w:eastAsia="Arial" w:hAnsi="Arial"/>
                <w:sz w:val="13"/>
                <w:szCs w:val="13"/>
                <w:b w:val="1"/>
                <w:bCs w:val="1"/>
                <w:color w:val="auto"/>
              </w:rPr>
              <w:t>Period from</w:t>
            </w:r>
          </w:p>
        </w:tc>
        <w:tc>
          <w:tcPr>
            <w:tcW w:w="120" w:type="dxa"/>
            <w:vAlign w:val="bottom"/>
          </w:tcPr>
          <w:p>
            <w:pPr>
              <w:spacing w:after="0"/>
              <w:rPr>
                <w:sz w:val="10"/>
                <w:szCs w:val="10"/>
                <w:color w:val="auto"/>
              </w:rPr>
            </w:pPr>
          </w:p>
        </w:tc>
        <w:tc>
          <w:tcPr>
            <w:tcW w:w="440" w:type="dxa"/>
            <w:vAlign w:val="bottom"/>
            <w:tcBorders>
              <w:right w:val="single" w:sz="8" w:color="auto"/>
            </w:tcBorders>
          </w:tcPr>
          <w:p>
            <w:pPr>
              <w:spacing w:after="0"/>
              <w:rPr>
                <w:sz w:val="10"/>
                <w:szCs w:val="10"/>
                <w:color w:val="auto"/>
              </w:rPr>
            </w:pPr>
          </w:p>
        </w:tc>
        <w:tc>
          <w:tcPr>
            <w:tcW w:w="3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38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w w:val="94"/>
              </w:rPr>
              <w:t>Period from</w:t>
            </w:r>
          </w:p>
        </w:tc>
        <w:tc>
          <w:tcPr>
            <w:tcW w:w="0" w:type="dxa"/>
            <w:vAlign w:val="bottom"/>
          </w:tcPr>
          <w:p>
            <w:pPr>
              <w:spacing w:after="0"/>
              <w:rPr>
                <w:sz w:val="1"/>
                <w:szCs w:val="1"/>
                <w:color w:val="auto"/>
              </w:rPr>
            </w:pPr>
          </w:p>
        </w:tc>
      </w:tr>
      <w:tr>
        <w:trPr>
          <w:trHeight w:val="158"/>
        </w:trPr>
        <w:tc>
          <w:tcPr>
            <w:tcW w:w="37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300" w:type="dxa"/>
            <w:vAlign w:val="bottom"/>
            <w:gridSpan w:val="5"/>
            <w:vMerge w:val="continue"/>
          </w:tcPr>
          <w:p>
            <w:pPr>
              <w:spacing w:after="0"/>
              <w:rPr>
                <w:sz w:val="13"/>
                <w:szCs w:val="13"/>
                <w:color w:val="auto"/>
              </w:rPr>
            </w:pPr>
          </w:p>
        </w:tc>
        <w:tc>
          <w:tcPr>
            <w:tcW w:w="1100" w:type="dxa"/>
            <w:vAlign w:val="bottom"/>
            <w:gridSpan w:val="3"/>
            <w:vMerge w:val="continue"/>
          </w:tcPr>
          <w:p>
            <w:pPr>
              <w:spacing w:after="0"/>
              <w:rPr>
                <w:sz w:val="13"/>
                <w:szCs w:val="13"/>
                <w:color w:val="auto"/>
              </w:rPr>
            </w:pPr>
          </w:p>
        </w:tc>
        <w:tc>
          <w:tcPr>
            <w:tcW w:w="200" w:type="dxa"/>
            <w:vAlign w:val="bottom"/>
          </w:tcPr>
          <w:p>
            <w:pPr>
              <w:spacing w:after="0"/>
              <w:rPr>
                <w:sz w:val="13"/>
                <w:szCs w:val="13"/>
                <w:color w:val="auto"/>
              </w:rPr>
            </w:pPr>
          </w:p>
        </w:tc>
        <w:tc>
          <w:tcPr>
            <w:tcW w:w="1080" w:type="dxa"/>
            <w:vAlign w:val="bottom"/>
            <w:gridSpan w:val="3"/>
          </w:tcPr>
          <w:p>
            <w:pPr>
              <w:jc w:val="center"/>
              <w:ind w:right="120"/>
              <w:spacing w:after="0" w:line="158" w:lineRule="exact"/>
              <w:rPr>
                <w:sz w:val="20"/>
                <w:szCs w:val="20"/>
                <w:color w:val="auto"/>
              </w:rPr>
            </w:pPr>
            <w:r>
              <w:rPr>
                <w:rFonts w:ascii="Arial" w:cs="Arial" w:eastAsia="Arial" w:hAnsi="Arial"/>
                <w:sz w:val="14"/>
                <w:szCs w:val="14"/>
                <w:b w:val="1"/>
                <w:bCs w:val="1"/>
                <w:color w:val="auto"/>
                <w:w w:val="92"/>
              </w:rPr>
              <w:t>July 16, 2019 to</w:t>
            </w:r>
          </w:p>
        </w:tc>
        <w:tc>
          <w:tcPr>
            <w:tcW w:w="440" w:type="dxa"/>
            <w:vAlign w:val="bottom"/>
            <w:tcBorders>
              <w:right w:val="single" w:sz="8" w:color="auto"/>
            </w:tcBorders>
          </w:tcPr>
          <w:p>
            <w:pPr>
              <w:spacing w:after="0"/>
              <w:rPr>
                <w:sz w:val="13"/>
                <w:szCs w:val="13"/>
                <w:color w:val="auto"/>
              </w:rPr>
            </w:pPr>
          </w:p>
        </w:tc>
        <w:tc>
          <w:tcPr>
            <w:tcW w:w="3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8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19"/>
        </w:trPr>
        <w:tc>
          <w:tcPr>
            <w:tcW w:w="37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640" w:type="dxa"/>
            <w:vAlign w:val="bottom"/>
            <w:tcBorders>
              <w:top w:val="single" w:sz="8" w:color="auto"/>
            </w:tcBorders>
            <w:vMerge w:val="restart"/>
          </w:tcPr>
          <w:p>
            <w:pPr>
              <w:jc w:val="right"/>
              <w:ind w:right="136"/>
              <w:spacing w:after="0"/>
              <w:rPr>
                <w:sz w:val="20"/>
                <w:szCs w:val="20"/>
                <w:color w:val="auto"/>
              </w:rPr>
            </w:pPr>
            <w:r>
              <w:rPr>
                <w:rFonts w:ascii="Arial" w:cs="Arial" w:eastAsia="Arial" w:hAnsi="Arial"/>
                <w:sz w:val="14"/>
                <w:szCs w:val="14"/>
                <w:b w:val="1"/>
                <w:bCs w:val="1"/>
                <w:color w:val="auto"/>
              </w:rPr>
              <w:t>2021</w:t>
            </w:r>
          </w:p>
        </w:tc>
        <w:tc>
          <w:tcPr>
            <w:tcW w:w="460" w:type="dxa"/>
            <w:vAlign w:val="bottom"/>
            <w:tcBorders>
              <w:top w:val="single" w:sz="8" w:color="auto"/>
            </w:tcBorders>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600" w:type="dxa"/>
            <w:vAlign w:val="bottom"/>
            <w:tcBorders>
              <w:top w:val="single" w:sz="8" w:color="auto"/>
            </w:tcBorders>
            <w:vMerge w:val="restart"/>
          </w:tcPr>
          <w:p>
            <w:pPr>
              <w:jc w:val="right"/>
              <w:ind w:right="159"/>
              <w:spacing w:after="0"/>
              <w:rPr>
                <w:sz w:val="20"/>
                <w:szCs w:val="20"/>
                <w:color w:val="auto"/>
              </w:rPr>
            </w:pPr>
            <w:r>
              <w:rPr>
                <w:rFonts w:ascii="Arial" w:cs="Arial" w:eastAsia="Arial" w:hAnsi="Arial"/>
                <w:sz w:val="14"/>
                <w:szCs w:val="14"/>
                <w:b w:val="1"/>
                <w:bCs w:val="1"/>
                <w:color w:val="auto"/>
              </w:rPr>
              <w:t>2020</w:t>
            </w:r>
          </w:p>
        </w:tc>
        <w:tc>
          <w:tcPr>
            <w:tcW w:w="440" w:type="dxa"/>
            <w:vAlign w:val="bottom"/>
          </w:tcPr>
          <w:p>
            <w:pPr>
              <w:spacing w:after="0"/>
              <w:rPr>
                <w:sz w:val="10"/>
                <w:szCs w:val="10"/>
                <w:color w:val="auto"/>
              </w:rPr>
            </w:pPr>
          </w:p>
        </w:tc>
        <w:tc>
          <w:tcPr>
            <w:tcW w:w="1100" w:type="dxa"/>
            <w:vAlign w:val="bottom"/>
            <w:gridSpan w:val="3"/>
          </w:tcPr>
          <w:p>
            <w:pPr>
              <w:spacing w:after="0" w:line="119" w:lineRule="exact"/>
              <w:rPr>
                <w:sz w:val="20"/>
                <w:szCs w:val="20"/>
                <w:color w:val="auto"/>
              </w:rPr>
            </w:pPr>
            <w:r>
              <w:rPr>
                <w:rFonts w:ascii="Arial" w:cs="Arial" w:eastAsia="Arial" w:hAnsi="Arial"/>
                <w:sz w:val="13"/>
                <w:szCs w:val="13"/>
                <w:b w:val="1"/>
                <w:bCs w:val="1"/>
                <w:color w:val="auto"/>
              </w:rPr>
              <w:t>December 31,</w:t>
            </w:r>
          </w:p>
        </w:tc>
        <w:tc>
          <w:tcPr>
            <w:tcW w:w="200" w:type="dxa"/>
            <w:vAlign w:val="bottom"/>
          </w:tcPr>
          <w:p>
            <w:pPr>
              <w:spacing w:after="0"/>
              <w:rPr>
                <w:sz w:val="10"/>
                <w:szCs w:val="10"/>
                <w:color w:val="auto"/>
              </w:rPr>
            </w:pPr>
          </w:p>
        </w:tc>
        <w:tc>
          <w:tcPr>
            <w:tcW w:w="1080" w:type="dxa"/>
            <w:vAlign w:val="bottom"/>
            <w:gridSpan w:val="3"/>
          </w:tcPr>
          <w:p>
            <w:pPr>
              <w:jc w:val="center"/>
              <w:ind w:right="120"/>
              <w:spacing w:after="0" w:line="119" w:lineRule="exact"/>
              <w:rPr>
                <w:sz w:val="20"/>
                <w:szCs w:val="20"/>
                <w:color w:val="auto"/>
              </w:rPr>
            </w:pPr>
            <w:r>
              <w:rPr>
                <w:rFonts w:ascii="Arial" w:cs="Arial" w:eastAsia="Arial" w:hAnsi="Arial"/>
                <w:sz w:val="13"/>
                <w:szCs w:val="13"/>
                <w:b w:val="1"/>
                <w:bCs w:val="1"/>
                <w:color w:val="auto"/>
                <w:w w:val="99"/>
              </w:rPr>
              <w:t>December 31,</w:t>
            </w:r>
          </w:p>
        </w:tc>
        <w:tc>
          <w:tcPr>
            <w:tcW w:w="440" w:type="dxa"/>
            <w:vAlign w:val="bottom"/>
            <w:tcBorders>
              <w:right w:val="single" w:sz="8" w:color="auto"/>
            </w:tcBorders>
          </w:tcPr>
          <w:p>
            <w:pPr>
              <w:spacing w:after="0"/>
              <w:rPr>
                <w:sz w:val="10"/>
                <w:szCs w:val="10"/>
                <w:color w:val="auto"/>
              </w:rPr>
            </w:pPr>
          </w:p>
        </w:tc>
        <w:tc>
          <w:tcPr>
            <w:tcW w:w="3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380" w:type="dxa"/>
            <w:vAlign w:val="bottom"/>
            <w:gridSpan w:val="2"/>
          </w:tcPr>
          <w:p>
            <w:pPr>
              <w:jc w:val="center"/>
              <w:ind w:right="240"/>
              <w:spacing w:after="0" w:line="119" w:lineRule="exact"/>
              <w:rPr>
                <w:sz w:val="20"/>
                <w:szCs w:val="20"/>
                <w:color w:val="auto"/>
              </w:rPr>
            </w:pPr>
            <w:r>
              <w:rPr>
                <w:rFonts w:ascii="Arial" w:cs="Arial" w:eastAsia="Arial" w:hAnsi="Arial"/>
                <w:sz w:val="13"/>
                <w:szCs w:val="13"/>
                <w:b w:val="1"/>
                <w:bCs w:val="1"/>
                <w:color w:val="auto"/>
              </w:rPr>
              <w:t>January 1, 2019 to</w:t>
            </w:r>
          </w:p>
        </w:tc>
        <w:tc>
          <w:tcPr>
            <w:tcW w:w="0" w:type="dxa"/>
            <w:vAlign w:val="bottom"/>
          </w:tcPr>
          <w:p>
            <w:pPr>
              <w:spacing w:after="0"/>
              <w:rPr>
                <w:sz w:val="1"/>
                <w:szCs w:val="1"/>
                <w:color w:val="auto"/>
              </w:rPr>
            </w:pPr>
          </w:p>
        </w:tc>
      </w:tr>
      <w:tr>
        <w:trPr>
          <w:trHeight w:val="171"/>
        </w:trPr>
        <w:tc>
          <w:tcPr>
            <w:tcW w:w="3700" w:type="dxa"/>
            <w:vAlign w:val="bottom"/>
          </w:tcPr>
          <w:p>
            <w:pPr>
              <w:spacing w:after="0"/>
              <w:rPr>
                <w:sz w:val="20"/>
                <w:szCs w:val="20"/>
                <w:color w:val="auto"/>
              </w:rPr>
            </w:pPr>
            <w:r>
              <w:rPr>
                <w:rFonts w:ascii="Arial" w:cs="Arial" w:eastAsia="Arial" w:hAnsi="Arial"/>
                <w:sz w:val="14"/>
                <w:szCs w:val="14"/>
                <w:color w:val="auto"/>
              </w:rPr>
              <w:t>($ in thousands)</w:t>
            </w: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vMerge w:val="continue"/>
          </w:tcPr>
          <w:p>
            <w:pPr>
              <w:spacing w:after="0"/>
              <w:rPr>
                <w:sz w:val="14"/>
                <w:szCs w:val="14"/>
                <w:color w:val="auto"/>
              </w:rPr>
            </w:pPr>
          </w:p>
        </w:tc>
        <w:tc>
          <w:tcPr>
            <w:tcW w:w="4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0" w:type="dxa"/>
            <w:vAlign w:val="bottom"/>
            <w:vMerge w:val="continue"/>
          </w:tcPr>
          <w:p>
            <w:pPr>
              <w:spacing w:after="0"/>
              <w:rPr>
                <w:sz w:val="14"/>
                <w:szCs w:val="14"/>
                <w:color w:val="auto"/>
              </w:rPr>
            </w:pPr>
          </w:p>
        </w:tc>
        <w:tc>
          <w:tcPr>
            <w:tcW w:w="4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40" w:type="dxa"/>
            <w:vAlign w:val="bottom"/>
          </w:tcPr>
          <w:p>
            <w:pPr>
              <w:jc w:val="right"/>
              <w:ind w:right="174"/>
              <w:spacing w:after="0"/>
              <w:rPr>
                <w:sz w:val="20"/>
                <w:szCs w:val="20"/>
                <w:color w:val="auto"/>
              </w:rPr>
            </w:pPr>
            <w:r>
              <w:rPr>
                <w:rFonts w:ascii="Arial" w:cs="Arial" w:eastAsia="Arial" w:hAnsi="Arial"/>
                <w:sz w:val="14"/>
                <w:szCs w:val="14"/>
                <w:b w:val="1"/>
                <w:bCs w:val="1"/>
                <w:color w:val="auto"/>
              </w:rPr>
              <w:t>2020</w:t>
            </w:r>
          </w:p>
        </w:tc>
        <w:tc>
          <w:tcPr>
            <w:tcW w:w="2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80" w:type="dxa"/>
            <w:vAlign w:val="bottom"/>
          </w:tcPr>
          <w:p>
            <w:pPr>
              <w:jc w:val="center"/>
              <w:spacing w:after="0"/>
              <w:rPr>
                <w:sz w:val="20"/>
                <w:szCs w:val="20"/>
                <w:color w:val="auto"/>
              </w:rPr>
            </w:pPr>
            <w:r>
              <w:rPr>
                <w:rFonts w:ascii="Arial" w:cs="Arial" w:eastAsia="Arial" w:hAnsi="Arial"/>
                <w:sz w:val="14"/>
                <w:szCs w:val="14"/>
                <w:b w:val="1"/>
                <w:bCs w:val="1"/>
                <w:color w:val="auto"/>
                <w:w w:val="89"/>
              </w:rPr>
              <w:t>2019</w:t>
            </w:r>
          </w:p>
        </w:tc>
        <w:tc>
          <w:tcPr>
            <w:tcW w:w="120" w:type="dxa"/>
            <w:vAlign w:val="bottom"/>
          </w:tcPr>
          <w:p>
            <w:pPr>
              <w:spacing w:after="0"/>
              <w:rPr>
                <w:sz w:val="14"/>
                <w:szCs w:val="14"/>
                <w:color w:val="auto"/>
              </w:rPr>
            </w:pPr>
          </w:p>
        </w:tc>
        <w:tc>
          <w:tcPr>
            <w:tcW w:w="440" w:type="dxa"/>
            <w:vAlign w:val="bottom"/>
            <w:tcBorders>
              <w:right w:val="single" w:sz="8" w:color="auto"/>
            </w:tcBorders>
          </w:tcPr>
          <w:p>
            <w:pPr>
              <w:spacing w:after="0"/>
              <w:rPr>
                <w:sz w:val="14"/>
                <w:szCs w:val="14"/>
                <w:color w:val="auto"/>
              </w:rPr>
            </w:pPr>
          </w:p>
        </w:tc>
        <w:tc>
          <w:tcPr>
            <w:tcW w:w="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8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2"/>
              </w:rPr>
              <w:t>July 15, 2019</w:t>
            </w:r>
          </w:p>
        </w:tc>
        <w:tc>
          <w:tcPr>
            <w:tcW w:w="0" w:type="dxa"/>
            <w:vAlign w:val="bottom"/>
          </w:tcPr>
          <w:p>
            <w:pPr>
              <w:spacing w:after="0"/>
              <w:rPr>
                <w:sz w:val="1"/>
                <w:szCs w:val="1"/>
                <w:color w:val="auto"/>
              </w:rPr>
            </w:pPr>
          </w:p>
        </w:tc>
      </w:tr>
      <w:tr>
        <w:trPr>
          <w:trHeight w:val="196"/>
        </w:trPr>
        <w:tc>
          <w:tcPr>
            <w:tcW w:w="370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Cash provided by (used in):</w:t>
            </w:r>
          </w:p>
        </w:tc>
        <w:tc>
          <w:tcPr>
            <w:tcW w:w="26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640" w:type="dxa"/>
            <w:vAlign w:val="bottom"/>
            <w:tcBorders>
              <w:top w:val="single" w:sz="8" w:color="auto"/>
            </w:tcBorders>
            <w:shd w:val="clear" w:color="auto" w:fill="CCEEFF"/>
          </w:tcPr>
          <w:p>
            <w:pPr>
              <w:spacing w:after="0"/>
              <w:rPr>
                <w:sz w:val="17"/>
                <w:szCs w:val="17"/>
                <w:color w:val="auto"/>
              </w:rPr>
            </w:pPr>
          </w:p>
        </w:tc>
        <w:tc>
          <w:tcPr>
            <w:tcW w:w="46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600" w:type="dxa"/>
            <w:vAlign w:val="bottom"/>
            <w:tcBorders>
              <w:top w:val="single" w:sz="8" w:color="auto"/>
            </w:tcBorders>
            <w:shd w:val="clear" w:color="auto" w:fill="CCEEFF"/>
          </w:tcPr>
          <w:p>
            <w:pPr>
              <w:spacing w:after="0"/>
              <w:rPr>
                <w:sz w:val="17"/>
                <w:szCs w:val="17"/>
                <w:color w:val="auto"/>
              </w:rPr>
            </w:pPr>
          </w:p>
        </w:tc>
        <w:tc>
          <w:tcPr>
            <w:tcW w:w="44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640" w:type="dxa"/>
            <w:vAlign w:val="bottom"/>
            <w:tcBorders>
              <w:top w:val="single" w:sz="8" w:color="auto"/>
            </w:tcBorders>
            <w:shd w:val="clear" w:color="auto" w:fill="CCEEFF"/>
          </w:tcPr>
          <w:p>
            <w:pPr>
              <w:spacing w:after="0"/>
              <w:rPr>
                <w:sz w:val="17"/>
                <w:szCs w:val="17"/>
                <w:color w:val="auto"/>
              </w:rPr>
            </w:pPr>
          </w:p>
        </w:tc>
        <w:tc>
          <w:tcPr>
            <w:tcW w:w="26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440" w:type="dxa"/>
            <w:vAlign w:val="bottom"/>
            <w:tcBorders>
              <w:right w:val="single" w:sz="8" w:color="auto"/>
            </w:tcBorders>
          </w:tcPr>
          <w:p>
            <w:pPr>
              <w:spacing w:after="0"/>
              <w:rPr>
                <w:sz w:val="17"/>
                <w:szCs w:val="17"/>
                <w:color w:val="auto"/>
              </w:rPr>
            </w:pPr>
          </w:p>
        </w:tc>
        <w:tc>
          <w:tcPr>
            <w:tcW w:w="34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126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700" w:type="dxa"/>
            <w:vAlign w:val="bottom"/>
          </w:tcPr>
          <w:p>
            <w:pPr>
              <w:ind w:left="360"/>
              <w:spacing w:after="0"/>
              <w:rPr>
                <w:sz w:val="20"/>
                <w:szCs w:val="20"/>
                <w:color w:val="auto"/>
              </w:rPr>
            </w:pPr>
            <w:r>
              <w:rPr>
                <w:rFonts w:ascii="Arial" w:cs="Arial" w:eastAsia="Arial" w:hAnsi="Arial"/>
                <w:sz w:val="18"/>
                <w:szCs w:val="18"/>
                <w:color w:val="auto"/>
              </w:rPr>
              <w:t>Operating activities</w:t>
            </w:r>
          </w:p>
        </w:tc>
        <w:tc>
          <w:tcPr>
            <w:tcW w:w="3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460"/>
              <w:spacing w:after="0"/>
              <w:rPr>
                <w:sz w:val="20"/>
                <w:szCs w:val="20"/>
                <w:color w:val="auto"/>
              </w:rPr>
            </w:pPr>
            <w:r>
              <w:rPr>
                <w:rFonts w:ascii="Arial" w:cs="Arial" w:eastAsia="Arial" w:hAnsi="Arial"/>
                <w:sz w:val="18"/>
                <w:szCs w:val="18"/>
                <w:color w:val="auto"/>
              </w:rPr>
              <w:t>21,941</w:t>
            </w:r>
          </w:p>
        </w:tc>
        <w:tc>
          <w:tcPr>
            <w:tcW w:w="160" w:type="dxa"/>
            <w:vAlign w:val="bottom"/>
          </w:tcPr>
          <w:p>
            <w:pPr>
              <w:jc w:val="right"/>
              <w:ind w:right="7"/>
              <w:spacing w:after="0"/>
              <w:rPr>
                <w:sz w:val="20"/>
                <w:szCs w:val="20"/>
                <w:color w:val="auto"/>
              </w:rPr>
            </w:pPr>
            <w:r>
              <w:rPr>
                <w:rFonts w:ascii="Arial" w:cs="Arial" w:eastAsia="Arial" w:hAnsi="Arial"/>
                <w:sz w:val="15"/>
                <w:szCs w:val="15"/>
                <w:color w:val="auto"/>
                <w:w w:val="71"/>
              </w:rPr>
              <w:t>$</w:t>
            </w:r>
          </w:p>
        </w:tc>
        <w:tc>
          <w:tcPr>
            <w:tcW w:w="1040" w:type="dxa"/>
            <w:vAlign w:val="bottom"/>
            <w:gridSpan w:val="2"/>
          </w:tcPr>
          <w:p>
            <w:pPr>
              <w:jc w:val="right"/>
              <w:ind w:right="440"/>
              <w:spacing w:after="0"/>
              <w:rPr>
                <w:sz w:val="20"/>
                <w:szCs w:val="20"/>
                <w:color w:val="auto"/>
              </w:rPr>
            </w:pPr>
            <w:r>
              <w:rPr>
                <w:rFonts w:ascii="Arial" w:cs="Arial" w:eastAsia="Arial" w:hAnsi="Arial"/>
                <w:sz w:val="18"/>
                <w:szCs w:val="18"/>
                <w:color w:val="auto"/>
              </w:rPr>
              <w:t>13,749</w:t>
            </w:r>
          </w:p>
        </w:tc>
        <w:tc>
          <w:tcPr>
            <w:tcW w:w="200" w:type="dxa"/>
            <w:vAlign w:val="bottom"/>
          </w:tcPr>
          <w:p>
            <w:pPr>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260"/>
              <w:spacing w:after="0"/>
              <w:rPr>
                <w:sz w:val="20"/>
                <w:szCs w:val="20"/>
                <w:color w:val="auto"/>
              </w:rPr>
            </w:pPr>
            <w:r>
              <w:rPr>
                <w:rFonts w:ascii="Arial" w:cs="Arial" w:eastAsia="Arial" w:hAnsi="Arial"/>
                <w:sz w:val="18"/>
                <w:szCs w:val="18"/>
                <w:color w:val="auto"/>
              </w:rPr>
              <w:t>23,217</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60"/>
              <w:spacing w:after="0"/>
              <w:rPr>
                <w:sz w:val="20"/>
                <w:szCs w:val="20"/>
                <w:color w:val="auto"/>
              </w:rPr>
            </w:pPr>
            <w:r>
              <w:rPr>
                <w:rFonts w:ascii="Arial" w:cs="Arial" w:eastAsia="Arial" w:hAnsi="Arial"/>
                <w:sz w:val="18"/>
                <w:szCs w:val="18"/>
                <w:color w:val="auto"/>
              </w:rPr>
              <w:t>(7,133)</w:t>
            </w:r>
          </w:p>
        </w:tc>
        <w:tc>
          <w:tcPr>
            <w:tcW w:w="440" w:type="dxa"/>
            <w:vAlign w:val="bottom"/>
          </w:tcPr>
          <w:p>
            <w:pPr>
              <w:spacing w:after="0"/>
              <w:rPr>
                <w:sz w:val="18"/>
                <w:szCs w:val="18"/>
                <w:color w:val="auto"/>
              </w:rPr>
            </w:pPr>
          </w:p>
        </w:tc>
        <w:tc>
          <w:tcPr>
            <w:tcW w:w="4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380" w:type="dxa"/>
            <w:vAlign w:val="bottom"/>
            <w:gridSpan w:val="2"/>
          </w:tcPr>
          <w:p>
            <w:pPr>
              <w:jc w:val="right"/>
              <w:ind w:right="120"/>
              <w:spacing w:after="0"/>
              <w:rPr>
                <w:sz w:val="20"/>
                <w:szCs w:val="20"/>
                <w:color w:val="auto"/>
              </w:rPr>
            </w:pPr>
            <w:r>
              <w:rPr>
                <w:rFonts w:ascii="Arial" w:cs="Arial" w:eastAsia="Arial" w:hAnsi="Arial"/>
                <w:sz w:val="18"/>
                <w:szCs w:val="18"/>
                <w:color w:val="auto"/>
              </w:rPr>
              <w:t>28,727</w:t>
            </w:r>
          </w:p>
        </w:tc>
        <w:tc>
          <w:tcPr>
            <w:tcW w:w="0" w:type="dxa"/>
            <w:vAlign w:val="bottom"/>
          </w:tcPr>
          <w:p>
            <w:pPr>
              <w:spacing w:after="0"/>
              <w:rPr>
                <w:sz w:val="1"/>
                <w:szCs w:val="1"/>
                <w:color w:val="auto"/>
              </w:rPr>
            </w:pPr>
          </w:p>
        </w:tc>
      </w:tr>
      <w:tr>
        <w:trPr>
          <w:trHeight w:val="216"/>
        </w:trPr>
        <w:tc>
          <w:tcPr>
            <w:tcW w:w="37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Investing activities</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(5,222)</w:t>
            </w:r>
          </w:p>
        </w:tc>
        <w:tc>
          <w:tcPr>
            <w:tcW w:w="1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(895)</w:t>
            </w:r>
          </w:p>
        </w:tc>
        <w:tc>
          <w:tcPr>
            <w:tcW w:w="2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(23,862)</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9"/>
              </w:rPr>
              <w:t>(1,109,368)</w:t>
            </w:r>
          </w:p>
        </w:tc>
        <w:tc>
          <w:tcPr>
            <w:tcW w:w="440" w:type="dxa"/>
            <w:vAlign w:val="bottom"/>
            <w:tcBorders>
              <w:right w:val="single" w:sz="8" w:color="auto"/>
            </w:tcBorders>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(30,560)</w:t>
            </w:r>
          </w:p>
        </w:tc>
        <w:tc>
          <w:tcPr>
            <w:tcW w:w="0" w:type="dxa"/>
            <w:vAlign w:val="bottom"/>
          </w:tcPr>
          <w:p>
            <w:pPr>
              <w:spacing w:after="0"/>
              <w:rPr>
                <w:sz w:val="1"/>
                <w:szCs w:val="1"/>
                <w:color w:val="auto"/>
              </w:rPr>
            </w:pPr>
          </w:p>
        </w:tc>
      </w:tr>
      <w:tr>
        <w:trPr>
          <w:trHeight w:val="223"/>
        </w:trPr>
        <w:tc>
          <w:tcPr>
            <w:tcW w:w="3700" w:type="dxa"/>
            <w:vAlign w:val="bottom"/>
          </w:tcPr>
          <w:p>
            <w:pPr>
              <w:ind w:left="360"/>
              <w:spacing w:after="0"/>
              <w:rPr>
                <w:sz w:val="20"/>
                <w:szCs w:val="20"/>
                <w:color w:val="auto"/>
              </w:rPr>
            </w:pPr>
            <w:r>
              <w:rPr>
                <w:rFonts w:ascii="Arial" w:cs="Arial" w:eastAsia="Arial" w:hAnsi="Arial"/>
                <w:sz w:val="18"/>
                <w:szCs w:val="18"/>
                <w:color w:val="auto"/>
              </w:rPr>
              <w:t>Financing activities</w:t>
            </w: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00" w:type="dxa"/>
            <w:vAlign w:val="bottom"/>
            <w:gridSpan w:val="2"/>
          </w:tcPr>
          <w:p>
            <w:pPr>
              <w:jc w:val="right"/>
              <w:ind w:right="400"/>
              <w:spacing w:after="0"/>
              <w:rPr>
                <w:sz w:val="20"/>
                <w:szCs w:val="20"/>
                <w:color w:val="auto"/>
              </w:rPr>
            </w:pPr>
            <w:r>
              <w:rPr>
                <w:rFonts w:ascii="Arial" w:cs="Arial" w:eastAsia="Arial" w:hAnsi="Arial"/>
                <w:sz w:val="18"/>
                <w:szCs w:val="18"/>
                <w:color w:val="auto"/>
              </w:rPr>
              <w:t>(3,062)</w:t>
            </w:r>
          </w:p>
        </w:tc>
        <w:tc>
          <w:tcPr>
            <w:tcW w:w="160" w:type="dxa"/>
            <w:vAlign w:val="bottom"/>
          </w:tcPr>
          <w:p>
            <w:pPr>
              <w:spacing w:after="0"/>
              <w:rPr>
                <w:sz w:val="19"/>
                <w:szCs w:val="19"/>
                <w:color w:val="auto"/>
              </w:rPr>
            </w:pPr>
          </w:p>
        </w:tc>
        <w:tc>
          <w:tcPr>
            <w:tcW w:w="1040" w:type="dxa"/>
            <w:vAlign w:val="bottom"/>
            <w:gridSpan w:val="2"/>
          </w:tcPr>
          <w:p>
            <w:pPr>
              <w:jc w:val="right"/>
              <w:ind w:right="440"/>
              <w:spacing w:after="0"/>
              <w:rPr>
                <w:sz w:val="20"/>
                <w:szCs w:val="20"/>
                <w:color w:val="auto"/>
              </w:rPr>
            </w:pPr>
            <w:r>
              <w:rPr>
                <w:rFonts w:ascii="Arial" w:cs="Arial" w:eastAsia="Arial" w:hAnsi="Arial"/>
                <w:sz w:val="18"/>
                <w:szCs w:val="18"/>
                <w:color w:val="auto"/>
              </w:rPr>
              <w:t>22,702</w:t>
            </w:r>
          </w:p>
        </w:tc>
        <w:tc>
          <w:tcPr>
            <w:tcW w:w="200" w:type="dxa"/>
            <w:vAlign w:val="bottom"/>
          </w:tcPr>
          <w:p>
            <w:pPr>
              <w:spacing w:after="0"/>
              <w:rPr>
                <w:sz w:val="19"/>
                <w:szCs w:val="19"/>
                <w:color w:val="auto"/>
              </w:rPr>
            </w:pPr>
          </w:p>
        </w:tc>
        <w:tc>
          <w:tcPr>
            <w:tcW w:w="900" w:type="dxa"/>
            <w:vAlign w:val="bottom"/>
            <w:gridSpan w:val="2"/>
          </w:tcPr>
          <w:p>
            <w:pPr>
              <w:jc w:val="right"/>
              <w:ind w:right="260"/>
              <w:spacing w:after="0"/>
              <w:rPr>
                <w:sz w:val="20"/>
                <w:szCs w:val="20"/>
                <w:color w:val="auto"/>
              </w:rPr>
            </w:pPr>
            <w:r>
              <w:rPr>
                <w:rFonts w:ascii="Arial" w:cs="Arial" w:eastAsia="Arial" w:hAnsi="Arial"/>
                <w:sz w:val="18"/>
                <w:szCs w:val="18"/>
                <w:color w:val="auto"/>
              </w:rPr>
              <w:t>16,655</w:t>
            </w: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0" w:type="dxa"/>
            <w:vAlign w:val="bottom"/>
            <w:gridSpan w:val="2"/>
          </w:tcPr>
          <w:p>
            <w:pPr>
              <w:jc w:val="right"/>
              <w:ind w:right="120"/>
              <w:spacing w:after="0"/>
              <w:rPr>
                <w:sz w:val="20"/>
                <w:szCs w:val="20"/>
                <w:color w:val="auto"/>
              </w:rPr>
            </w:pPr>
            <w:r>
              <w:rPr>
                <w:rFonts w:ascii="Arial" w:cs="Arial" w:eastAsia="Arial" w:hAnsi="Arial"/>
                <w:sz w:val="18"/>
                <w:szCs w:val="18"/>
                <w:color w:val="auto"/>
              </w:rPr>
              <w:t>1,125,119</w:t>
            </w:r>
          </w:p>
        </w:tc>
        <w:tc>
          <w:tcPr>
            <w:tcW w:w="440" w:type="dxa"/>
            <w:vAlign w:val="bottom"/>
            <w:tcBorders>
              <w:right w:val="single" w:sz="8" w:color="auto"/>
            </w:tcBorders>
          </w:tcPr>
          <w:p>
            <w:pPr>
              <w:spacing w:after="0"/>
              <w:rPr>
                <w:sz w:val="19"/>
                <w:szCs w:val="19"/>
                <w:color w:val="auto"/>
              </w:rPr>
            </w:pPr>
          </w:p>
        </w:tc>
        <w:tc>
          <w:tcPr>
            <w:tcW w:w="3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80" w:type="dxa"/>
            <w:vAlign w:val="bottom"/>
            <w:gridSpan w:val="2"/>
          </w:tcPr>
          <w:p>
            <w:pPr>
              <w:jc w:val="right"/>
              <w:ind w:right="60"/>
              <w:spacing w:after="0"/>
              <w:rPr>
                <w:sz w:val="20"/>
                <w:szCs w:val="20"/>
                <w:color w:val="auto"/>
              </w:rPr>
            </w:pPr>
            <w:r>
              <w:rPr>
                <w:rFonts w:ascii="Arial" w:cs="Arial" w:eastAsia="Arial" w:hAnsi="Arial"/>
                <w:sz w:val="18"/>
                <w:szCs w:val="18"/>
                <w:color w:val="auto"/>
              </w:rPr>
              <w:t>(468)</w:t>
            </w:r>
          </w:p>
        </w:tc>
        <w:tc>
          <w:tcPr>
            <w:tcW w:w="0" w:type="dxa"/>
            <w:vAlign w:val="bottom"/>
          </w:tcPr>
          <w:p>
            <w:pPr>
              <w:spacing w:after="0"/>
              <w:rPr>
                <w:sz w:val="1"/>
                <w:szCs w:val="1"/>
                <w:color w:val="auto"/>
              </w:rPr>
            </w:pPr>
          </w:p>
        </w:tc>
      </w:tr>
      <w:tr>
        <w:trPr>
          <w:trHeight w:val="202"/>
        </w:trPr>
        <w:tc>
          <w:tcPr>
            <w:tcW w:w="37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5"/>
              </w:rPr>
              <w:t>Change in cash and cash equivalents (excluding</w:t>
            </w:r>
          </w:p>
        </w:tc>
        <w:tc>
          <w:tcPr>
            <w:tcW w:w="260" w:type="dxa"/>
            <w:vAlign w:val="bottom"/>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640" w:type="dxa"/>
            <w:vAlign w:val="bottom"/>
            <w:tcBorders>
              <w:top w:val="single" w:sz="8" w:color="auto"/>
            </w:tcBorders>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600" w:type="dxa"/>
            <w:vAlign w:val="bottom"/>
            <w:tcBorders>
              <w:top w:val="single" w:sz="8" w:color="auto"/>
            </w:tcBorders>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640" w:type="dxa"/>
            <w:vAlign w:val="bottom"/>
            <w:tcBorders>
              <w:top w:val="single" w:sz="8" w:color="auto"/>
            </w:tcBorders>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40" w:type="dxa"/>
            <w:vAlign w:val="bottom"/>
            <w:tcBorders>
              <w:right w:val="single" w:sz="8" w:color="auto"/>
            </w:tcBorders>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1260" w:type="dxa"/>
            <w:vAlign w:val="bottom"/>
            <w:tcBorders>
              <w:top w:val="single" w:sz="8" w:color="auto"/>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7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exchange rate changes)</w:t>
            </w:r>
          </w:p>
        </w:tc>
        <w:tc>
          <w:tcPr>
            <w:tcW w:w="3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13,657</w:t>
            </w:r>
          </w:p>
        </w:tc>
        <w:tc>
          <w:tcPr>
            <w:tcW w:w="160" w:type="dxa"/>
            <w:vAlign w:val="bottom"/>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104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35,556</w:t>
            </w:r>
          </w:p>
        </w:tc>
        <w:tc>
          <w:tcPr>
            <w:tcW w:w="2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16,010</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8,618</w:t>
            </w:r>
          </w:p>
        </w:tc>
        <w:tc>
          <w:tcPr>
            <w:tcW w:w="440" w:type="dxa"/>
            <w:vAlign w:val="bottom"/>
            <w:tcBorders>
              <w:right w:val="single" w:sz="8" w:color="auto"/>
            </w:tcBorders>
            <w:shd w:val="clear" w:color="auto" w:fill="CCEEFF"/>
          </w:tcPr>
          <w:p>
            <w:pPr>
              <w:spacing w:after="0"/>
              <w:rPr>
                <w:sz w:val="20"/>
                <w:szCs w:val="20"/>
                <w:color w:val="auto"/>
              </w:rPr>
            </w:pPr>
          </w:p>
        </w:tc>
        <w:tc>
          <w:tcPr>
            <w:tcW w:w="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(2,301)</w:t>
            </w:r>
          </w:p>
        </w:tc>
        <w:tc>
          <w:tcPr>
            <w:tcW w:w="0" w:type="dxa"/>
            <w:vAlign w:val="bottom"/>
          </w:tcPr>
          <w:p>
            <w:pPr>
              <w:spacing w:after="0"/>
              <w:rPr>
                <w:sz w:val="1"/>
                <w:szCs w:val="1"/>
                <w:color w:val="auto"/>
              </w:rPr>
            </w:pPr>
          </w:p>
        </w:tc>
      </w:tr>
      <w:tr>
        <w:trPr>
          <w:trHeight w:val="20"/>
        </w:trPr>
        <w:tc>
          <w:tcPr>
            <w:tcW w:w="37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Borders>
              <w:right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0"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Cash Flows provided by (used in) Operating Activities</w:t>
      </w:r>
    </w:p>
    <w:p>
      <w:pPr>
        <w:spacing w:after="0" w:line="117" w:lineRule="exact"/>
        <w:rPr>
          <w:sz w:val="20"/>
          <w:szCs w:val="20"/>
          <w:color w:val="auto"/>
        </w:rPr>
      </w:pPr>
    </w:p>
    <w:p>
      <w:pPr>
        <w:ind w:left="120" w:right="20" w:firstLine="440"/>
        <w:spacing w:after="0" w:line="253" w:lineRule="auto"/>
        <w:rPr>
          <w:sz w:val="20"/>
          <w:szCs w:val="20"/>
          <w:color w:val="auto"/>
        </w:rPr>
      </w:pPr>
      <w:r>
        <w:rPr>
          <w:rFonts w:ascii="Arial" w:cs="Arial" w:eastAsia="Arial" w:hAnsi="Arial"/>
          <w:sz w:val="18"/>
          <w:szCs w:val="18"/>
          <w:color w:val="auto"/>
        </w:rPr>
        <w:t>Net cash provided by operations was $21.9 million during the six months ended June 30, 2021, representing an increase of $8.2 million from $13.7 million during the six months ended June 30, 2020, as a result of a net loss of $25.5 million, which was offset by non-cash charges of $37.8 million and a change of $9.6 million in our operating assets and liabilities. The non-cash charges were primarily comprised of amortization of intangible assets of $28.9 million, an increase in the earnout liability related to the Monocl acquisition, amortization of deferred contract costs of $1.9 million, equity compensation costs of $2.0 million and amortization of debt issuance costs of $1.0 million. The change in operating assets and liabilities was primarily the result of a decrease in accounts receivable of $10.5 million and an increase in deferred revenue of $7.9 million due to the timing of billings and cash received in advance of revenue recognition for subscription services, partially offset by an increase in deferred contact costs of $6.0 million and a net decrease in accounts payable, accrued expenses and other liabilities of $2.1 million, as well as an increase in prepaid expenses and other current assets of $0.6 million.</w:t>
      </w:r>
    </w:p>
    <w:p>
      <w:pPr>
        <w:spacing w:after="0" w:line="196" w:lineRule="exact"/>
        <w:rPr>
          <w:sz w:val="20"/>
          <w:szCs w:val="20"/>
          <w:color w:val="auto"/>
        </w:rPr>
      </w:pPr>
    </w:p>
    <w:p>
      <w:pPr>
        <w:ind w:left="120" w:right="20" w:firstLine="440"/>
        <w:spacing w:after="0" w:line="254" w:lineRule="auto"/>
        <w:rPr>
          <w:sz w:val="20"/>
          <w:szCs w:val="20"/>
          <w:color w:val="auto"/>
        </w:rPr>
      </w:pPr>
      <w:r>
        <w:rPr>
          <w:rFonts w:ascii="Arial" w:cs="Arial" w:eastAsia="Arial" w:hAnsi="Arial"/>
          <w:sz w:val="18"/>
          <w:szCs w:val="18"/>
          <w:color w:val="auto"/>
        </w:rPr>
        <w:t>Net cash provided by operations was $13.7 million during the six months ended June 30, 2020, as a result of a net loss of $25.3 million, which was offset by non-cash charges of $36.6 million and a change of $2.5 million in our operating assets and liabilities. The non-cash charges were primarily comprised of amortization of intangible assets of $28.9 million, non-cash paid-in-kind interest expense of $4.4 million and amortization of debt issuance costs of $1.0 million. The change in operating assets and liabilities was primarily the result of a decrease in accounts receivable of $5.1 million and an increase in deferred revenue of $3.8 million due to the timing of billings and cash received in advance of revenue recognition for subscription services, partially offset by higher accounts payable, accrued expenses and other liabilities of $3.9 million and an increase in deferred contract costs of $2.6 million.</w:t>
      </w:r>
    </w:p>
    <w:p>
      <w:pPr>
        <w:spacing w:after="0" w:line="195" w:lineRule="exact"/>
        <w:rPr>
          <w:sz w:val="20"/>
          <w:szCs w:val="20"/>
          <w:color w:val="auto"/>
        </w:rPr>
      </w:pPr>
    </w:p>
    <w:p>
      <w:pPr>
        <w:jc w:val="both"/>
        <w:ind w:left="120" w:right="300" w:firstLine="440"/>
        <w:spacing w:after="0" w:line="263" w:lineRule="auto"/>
        <w:rPr>
          <w:sz w:val="20"/>
          <w:szCs w:val="20"/>
          <w:color w:val="auto"/>
        </w:rPr>
      </w:pPr>
      <w:r>
        <w:rPr>
          <w:rFonts w:ascii="Arial" w:cs="Arial" w:eastAsia="Arial" w:hAnsi="Arial"/>
          <w:sz w:val="18"/>
          <w:szCs w:val="18"/>
          <w:color w:val="auto"/>
        </w:rPr>
        <w:t>Net cash provided by operations was $23.2 million for the year ended December 31, 2020 as a result of a net loss of $51.2 million, which was offset by non-cash charges of $76.0 million, and a change of $1.6 million in our operating assets and liabilities. The non-cash charges were primarily comprised of amortization of intangible</w:t>
      </w:r>
    </w:p>
    <w:p>
      <w:pPr>
        <w:spacing w:after="0" w:line="116"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98</w:t>
      </w:r>
    </w:p>
    <w:p>
      <w:pPr>
        <w:sectPr>
          <w:pgSz w:w="11900" w:h="16838" w:orient="portrait"/>
          <w:cols w:equalWidth="0" w:num="1">
            <w:col w:w="11140"/>
          </w:cols>
          <w:pgMar w:left="320" w:top="459" w:right="439" w:bottom="1440" w:gutter="0" w:footer="0" w:header="0"/>
        </w:sectPr>
      </w:pPr>
    </w:p>
    <w:bookmarkStart w:id="105" w:name="page106"/>
    <w:bookmarkEnd w:id="10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Confidential Treatment Requested by Definitive Healthcare Corp.</w:t>
      </w:r>
    </w:p>
    <w:p>
      <w:pPr>
        <w:spacing w:after="0" w:line="27"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Pursuant to 17 C.F.R. Section 200.83</w:t>
      </w:r>
    </w:p>
    <w:p>
      <w:pPr>
        <w:spacing w:after="0" w:line="143" w:lineRule="exact"/>
        <w:rPr>
          <w:sz w:val="20"/>
          <w:szCs w:val="20"/>
          <w:color w:val="auto"/>
        </w:rPr>
      </w:pPr>
    </w:p>
    <w:p>
      <w:pPr>
        <w:ind w:left="120" w:right="400"/>
        <w:spacing w:after="0" w:line="279" w:lineRule="auto"/>
        <w:rPr>
          <w:sz w:val="20"/>
          <w:szCs w:val="20"/>
          <w:color w:val="auto"/>
        </w:rPr>
      </w:pPr>
      <w:r>
        <w:rPr>
          <w:rFonts w:ascii="Arial" w:cs="Arial" w:eastAsia="Arial" w:hAnsi="Arial"/>
          <w:sz w:val="17"/>
          <w:szCs w:val="17"/>
          <w:color w:val="auto"/>
        </w:rPr>
        <w:t>assets of $58.4 million, non-cash paid in kind interest expense of $7.4 million, changes in fair value of contingent consideration of $2.6 million and amortization of debt issuance costs of $2.1 million. The change in operating assets and liabilities was primarily the result of increases in accounts receivable of $8.3 million and deferred contract costs of $7.7 million, partially offset by an increase in deferred revenue of $12.1 million due to the timing of billings and cash received in advance of revenue recognition for subscription services.</w:t>
      </w:r>
    </w:p>
    <w:p>
      <w:pPr>
        <w:spacing w:after="0" w:line="171" w:lineRule="exact"/>
        <w:rPr>
          <w:sz w:val="20"/>
          <w:szCs w:val="20"/>
          <w:color w:val="auto"/>
        </w:rPr>
      </w:pPr>
    </w:p>
    <w:p>
      <w:pPr>
        <w:ind w:left="120" w:firstLine="440"/>
        <w:spacing w:after="0" w:line="255" w:lineRule="auto"/>
        <w:rPr>
          <w:sz w:val="20"/>
          <w:szCs w:val="20"/>
          <w:color w:val="auto"/>
        </w:rPr>
      </w:pPr>
      <w:r>
        <w:rPr>
          <w:rFonts w:ascii="Arial" w:cs="Arial" w:eastAsia="Arial" w:hAnsi="Arial"/>
          <w:sz w:val="18"/>
          <w:szCs w:val="18"/>
          <w:color w:val="auto"/>
        </w:rPr>
        <w:t>Net cash used in operations was $7.1 million for the period from July 16, 2019 to December 31, 2019 (Successor), as a result of a net loss of $49.3 million, adjusted by non-cash charges of $36.5 million and a change of $5.7 million in our operating assets and liabilities. The non-cash charges were primarily comprised of amortization of intangible assets of $30.6 million, non-cash paid in kind interest expense of $3.0 million and amortization of debt issuance costs of $1.1 million. The change in operating assets and liabilities was primarily the result of an increase in deferred revenue of $13.8 million and higher accounts payable, accrued expenses and other current liabilities of $7.4 million, partially offset by an increase in accounts receivable of $12.5 million and in deferred contract costs of $3.1 million.</w:t>
      </w:r>
    </w:p>
    <w:p>
      <w:pPr>
        <w:spacing w:after="0" w:line="192" w:lineRule="exact"/>
        <w:rPr>
          <w:sz w:val="20"/>
          <w:szCs w:val="20"/>
          <w:color w:val="auto"/>
        </w:rPr>
      </w:pPr>
    </w:p>
    <w:p>
      <w:pPr>
        <w:ind w:left="120" w:right="80" w:firstLine="440"/>
        <w:spacing w:after="0" w:line="257" w:lineRule="auto"/>
        <w:rPr>
          <w:sz w:val="20"/>
          <w:szCs w:val="20"/>
          <w:color w:val="auto"/>
        </w:rPr>
      </w:pPr>
      <w:r>
        <w:rPr>
          <w:rFonts w:ascii="Arial" w:cs="Arial" w:eastAsia="Arial" w:hAnsi="Arial"/>
          <w:sz w:val="18"/>
          <w:szCs w:val="18"/>
          <w:color w:val="auto"/>
        </w:rPr>
        <w:t>Net cash provided by operations was $28.7 million for the period from January 1, 2019 to July 15, 2019 (Predecessor), as a result of a net income of $12.9 million, adjusted by non-cash charges of $9.1 million and a change of $6.8 million in our operating assets and liabilities. The non-cash charges were primarily comprised of equity-based compensation expense of $5.8 million and amortization of intangible assets of $2.0 million. The change in operating assets and liabilities was primarily the result of an increase in deferred revenue of $4.8 million and lower accounts receivable of $3.9 million, partially offset by an increase in deferred contract costs of $2.2 million.</w:t>
      </w:r>
    </w:p>
    <w:p>
      <w:pPr>
        <w:spacing w:after="0" w:line="188" w:lineRule="exact"/>
        <w:rPr>
          <w:sz w:val="20"/>
          <w:szCs w:val="20"/>
          <w:color w:val="auto"/>
        </w:rPr>
      </w:pPr>
    </w:p>
    <w:p>
      <w:pPr>
        <w:ind w:left="120" w:firstLine="440"/>
        <w:spacing w:after="0" w:line="291" w:lineRule="auto"/>
        <w:rPr>
          <w:sz w:val="20"/>
          <w:szCs w:val="20"/>
          <w:color w:val="auto"/>
        </w:rPr>
      </w:pPr>
      <w:r>
        <w:rPr>
          <w:rFonts w:ascii="Arial" w:cs="Arial" w:eastAsia="Arial" w:hAnsi="Arial"/>
          <w:sz w:val="16"/>
          <w:szCs w:val="16"/>
          <w:color w:val="auto"/>
        </w:rPr>
        <w:t>Net cash from operations increased by $1.6 million in the year ended December 31, 2020 relative to the year ended December 31, 2019. The increase in cash flows from operations comprised increases in cash outflows related to cash interest expense, which increased by $15.7 million from the year ended December 31, 2019 compared to the year ended December 31, 2020. The increase in cash outflows was offset by a decrease in acquisition-related expenses, which decreased by $12.1 million from the year ended December 31, 2019 to the year ended December 31, 2020. We believe that understanding the impact of these items on cash flows provides management and investors with useful supplemental information about the known trends and uncertainties that have impacted historical results and are reasonably likely to shape future results. The following factors have had significant impacts on our liquidity measures and will have future impacts on our liquidity that may differ from historical trends as described below:</w:t>
      </w:r>
    </w:p>
    <w:p>
      <w:pPr>
        <w:spacing w:after="0" w:line="72" w:lineRule="exact"/>
        <w:rPr>
          <w:sz w:val="20"/>
          <w:szCs w:val="20"/>
          <w:color w:val="auto"/>
        </w:rPr>
      </w:pPr>
    </w:p>
    <w:p>
      <w:pPr>
        <w:ind w:left="1080" w:right="180" w:hanging="532"/>
        <w:spacing w:after="0" w:line="277" w:lineRule="auto"/>
        <w:tabs>
          <w:tab w:leader="none" w:pos="1080" w:val="left"/>
        </w:tabs>
        <w:numPr>
          <w:ilvl w:val="0"/>
          <w:numId w:val="89"/>
        </w:numPr>
        <w:rPr>
          <w:rFonts w:ascii="Arial" w:cs="Arial" w:eastAsia="Arial" w:hAnsi="Arial"/>
          <w:sz w:val="18"/>
          <w:szCs w:val="18"/>
          <w:color w:val="auto"/>
        </w:rPr>
      </w:pPr>
      <w:r>
        <w:rPr>
          <w:rFonts w:ascii="Arial" w:cs="Arial" w:eastAsia="Arial" w:hAnsi="Arial"/>
          <w:sz w:val="18"/>
          <w:szCs w:val="18"/>
          <w:color w:val="auto"/>
        </w:rPr>
        <w:t>Interest paid in cash increased significantly from the year ended December 31, 2019 to the year ended December 31, 2020. This increase primarily related to the additional debt that we incurred to fund the Advent acquisition on July 16, 2019.</w:t>
      </w:r>
    </w:p>
    <w:p>
      <w:pPr>
        <w:spacing w:after="0" w:line="75" w:lineRule="exact"/>
        <w:rPr>
          <w:rFonts w:ascii="Arial" w:cs="Arial" w:eastAsia="Arial" w:hAnsi="Arial"/>
          <w:sz w:val="18"/>
          <w:szCs w:val="18"/>
          <w:color w:val="auto"/>
        </w:rPr>
      </w:pPr>
    </w:p>
    <w:p>
      <w:pPr>
        <w:ind w:left="1080" w:right="160" w:hanging="532"/>
        <w:spacing w:after="0" w:line="263" w:lineRule="auto"/>
        <w:tabs>
          <w:tab w:leader="none" w:pos="1080" w:val="left"/>
        </w:tabs>
        <w:numPr>
          <w:ilvl w:val="0"/>
          <w:numId w:val="89"/>
        </w:numPr>
        <w:rPr>
          <w:rFonts w:ascii="Arial" w:cs="Arial" w:eastAsia="Arial" w:hAnsi="Arial"/>
          <w:sz w:val="18"/>
          <w:szCs w:val="18"/>
          <w:color w:val="auto"/>
        </w:rPr>
      </w:pPr>
      <w:r>
        <w:rPr>
          <w:rFonts w:ascii="Arial" w:cs="Arial" w:eastAsia="Arial" w:hAnsi="Arial"/>
          <w:sz w:val="18"/>
          <w:szCs w:val="18"/>
          <w:color w:val="auto"/>
        </w:rPr>
        <w:t>Transaction expenses, excluding the fair value adjustment of contingent consideration, decreased significantly from the year ended December 31, 2019 to the year ended December 31, 2020. This decrease primarily related to the costs incurred in the Advent acquisition, which did not recur in 2020.</w:t>
      </w:r>
    </w:p>
    <w:p>
      <w:pPr>
        <w:spacing w:after="0" w:line="89" w:lineRule="exact"/>
        <w:rPr>
          <w:rFonts w:ascii="Arial" w:cs="Arial" w:eastAsia="Arial" w:hAnsi="Arial"/>
          <w:sz w:val="18"/>
          <w:szCs w:val="18"/>
          <w:color w:val="auto"/>
        </w:rPr>
      </w:pPr>
    </w:p>
    <w:p>
      <w:pPr>
        <w:ind w:left="1080" w:right="120" w:hanging="532"/>
        <w:spacing w:after="0" w:line="263" w:lineRule="auto"/>
        <w:tabs>
          <w:tab w:leader="none" w:pos="1080" w:val="left"/>
        </w:tabs>
        <w:numPr>
          <w:ilvl w:val="0"/>
          <w:numId w:val="89"/>
        </w:numPr>
        <w:rPr>
          <w:rFonts w:ascii="Arial" w:cs="Arial" w:eastAsia="Arial" w:hAnsi="Arial"/>
          <w:sz w:val="18"/>
          <w:szCs w:val="18"/>
          <w:color w:val="auto"/>
        </w:rPr>
      </w:pPr>
      <w:r>
        <w:rPr>
          <w:rFonts w:ascii="Arial" w:cs="Arial" w:eastAsia="Arial" w:hAnsi="Arial"/>
          <w:sz w:val="18"/>
          <w:szCs w:val="18"/>
          <w:color w:val="auto"/>
        </w:rPr>
        <w:t>Non-recurring expenses decreased significantly from the year ended December 31, 2019 to the year ended December 31, 2020. This decrease was primarily driven by one-time expenses made in the year ended December 31, 2019 relating to initiatives for compliance and acquisition.</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Cash Flows used in Investing Activities</w:t>
      </w:r>
    </w:p>
    <w:p>
      <w:pPr>
        <w:spacing w:after="0" w:line="117" w:lineRule="exact"/>
        <w:rPr>
          <w:sz w:val="20"/>
          <w:szCs w:val="20"/>
          <w:color w:val="auto"/>
        </w:rPr>
      </w:pPr>
    </w:p>
    <w:p>
      <w:pPr>
        <w:ind w:left="120" w:right="500" w:firstLine="440"/>
        <w:spacing w:after="0" w:line="277" w:lineRule="auto"/>
        <w:rPr>
          <w:sz w:val="20"/>
          <w:szCs w:val="20"/>
          <w:color w:val="auto"/>
        </w:rPr>
      </w:pPr>
      <w:r>
        <w:rPr>
          <w:rFonts w:ascii="Arial" w:cs="Arial" w:eastAsia="Arial" w:hAnsi="Arial"/>
          <w:sz w:val="18"/>
          <w:szCs w:val="18"/>
          <w:color w:val="auto"/>
        </w:rPr>
        <w:t>Cash used in investing activities during the six months ended June 30, 2021 was $5.2 million, primarily as a result of purchases of property, equipment and data of $5.2 million.</w:t>
      </w:r>
    </w:p>
    <w:p>
      <w:pPr>
        <w:spacing w:after="0" w:line="170" w:lineRule="exact"/>
        <w:rPr>
          <w:sz w:val="20"/>
          <w:szCs w:val="20"/>
          <w:color w:val="auto"/>
        </w:rPr>
      </w:pPr>
    </w:p>
    <w:p>
      <w:pPr>
        <w:ind w:left="560"/>
        <w:spacing w:after="0"/>
        <w:rPr>
          <w:sz w:val="20"/>
          <w:szCs w:val="20"/>
          <w:color w:val="auto"/>
        </w:rPr>
      </w:pPr>
      <w:r>
        <w:rPr>
          <w:rFonts w:ascii="Arial" w:cs="Arial" w:eastAsia="Arial" w:hAnsi="Arial"/>
          <w:sz w:val="16"/>
          <w:szCs w:val="16"/>
          <w:color w:val="auto"/>
        </w:rPr>
        <w:t>Cash used in investing activities during the six months ended June 30, 2020 was $0.9 million, as a result of purchases of property, equipment and</w:t>
      </w:r>
    </w:p>
    <w:p>
      <w:pPr>
        <w:spacing w:after="0" w:line="46" w:lineRule="exact"/>
        <w:rPr>
          <w:sz w:val="20"/>
          <w:szCs w:val="20"/>
          <w:color w:val="auto"/>
        </w:rPr>
      </w:pPr>
    </w:p>
    <w:p>
      <w:pPr>
        <w:ind w:left="120"/>
        <w:spacing w:after="0"/>
        <w:rPr>
          <w:sz w:val="20"/>
          <w:szCs w:val="20"/>
          <w:color w:val="auto"/>
        </w:rPr>
      </w:pPr>
      <w:r>
        <w:rPr>
          <w:rFonts w:ascii="Arial" w:cs="Arial" w:eastAsia="Arial" w:hAnsi="Arial"/>
          <w:sz w:val="18"/>
          <w:szCs w:val="18"/>
          <w:color w:val="auto"/>
        </w:rPr>
        <w:t>data.</w:t>
      </w:r>
    </w:p>
    <w:p>
      <w:pPr>
        <w:spacing w:after="0" w:line="143" w:lineRule="exact"/>
        <w:rPr>
          <w:sz w:val="20"/>
          <w:szCs w:val="20"/>
          <w:color w:val="auto"/>
        </w:rPr>
      </w:pPr>
    </w:p>
    <w:p>
      <w:pPr>
        <w:jc w:val="center"/>
        <w:ind w:right="-359"/>
        <w:spacing w:after="0"/>
        <w:rPr>
          <w:sz w:val="20"/>
          <w:szCs w:val="20"/>
          <w:color w:val="auto"/>
        </w:rPr>
      </w:pPr>
      <w:r>
        <w:rPr>
          <w:rFonts w:ascii="Arial" w:cs="Arial" w:eastAsia="Arial" w:hAnsi="Arial"/>
          <w:sz w:val="18"/>
          <w:szCs w:val="18"/>
          <w:color w:val="auto"/>
        </w:rPr>
        <w:t>99</w:t>
      </w:r>
    </w:p>
    <w:p>
      <w:pPr>
        <w:sectPr>
          <w:pgSz w:w="11900" w:h="16838" w:orient="portrait"/>
          <w:cols w:equalWidth="0" w:num="1">
            <w:col w:w="11120"/>
          </w:cols>
          <w:pgMar w:left="320" w:top="459" w:right="459" w:bottom="1440" w:gutter="0" w:footer="0" w:header="0"/>
        </w:sectPr>
      </w:pPr>
    </w:p>
    <w:bookmarkStart w:id="106" w:name="page107"/>
    <w:bookmarkEnd w:id="10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Confidential Treatment Requested by Definitive Healthcare Corp.</w:t>
      </w:r>
    </w:p>
    <w:p>
      <w:pPr>
        <w:spacing w:after="0" w:line="27"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Pursuant to 17 C.F.R. Section 200.83</w:t>
      </w:r>
    </w:p>
    <w:p>
      <w:pPr>
        <w:spacing w:after="0" w:line="143" w:lineRule="exact"/>
        <w:rPr>
          <w:sz w:val="20"/>
          <w:szCs w:val="20"/>
          <w:color w:val="auto"/>
        </w:rPr>
      </w:pPr>
    </w:p>
    <w:p>
      <w:pPr>
        <w:ind w:left="120" w:right="40" w:firstLine="440"/>
        <w:spacing w:after="0" w:line="263" w:lineRule="auto"/>
        <w:rPr>
          <w:sz w:val="20"/>
          <w:szCs w:val="20"/>
          <w:color w:val="auto"/>
        </w:rPr>
      </w:pPr>
      <w:r>
        <w:rPr>
          <w:rFonts w:ascii="Arial" w:cs="Arial" w:eastAsia="Arial" w:hAnsi="Arial"/>
          <w:sz w:val="18"/>
          <w:szCs w:val="18"/>
          <w:color w:val="auto"/>
        </w:rPr>
        <w:t>Cash used in investing activities during the year ended December 31, 2020 was $23.9 million, primarily as a result of cash payments for the acquisition of Monocl of $15.5 million, and $6.9 million paid to former members for the Advent acquisition, which was included in accrued expenses at December 31, 2019, and purchases of property and equipment of $1.4 million.</w:t>
      </w:r>
    </w:p>
    <w:p>
      <w:pPr>
        <w:spacing w:after="0" w:line="184" w:lineRule="exact"/>
        <w:rPr>
          <w:sz w:val="20"/>
          <w:szCs w:val="20"/>
          <w:color w:val="auto"/>
        </w:rPr>
      </w:pPr>
    </w:p>
    <w:p>
      <w:pPr>
        <w:ind w:left="120" w:firstLine="440"/>
        <w:spacing w:after="0" w:line="342" w:lineRule="auto"/>
        <w:rPr>
          <w:sz w:val="20"/>
          <w:szCs w:val="20"/>
          <w:color w:val="auto"/>
        </w:rPr>
      </w:pPr>
      <w:r>
        <w:rPr>
          <w:rFonts w:ascii="Arial" w:cs="Arial" w:eastAsia="Arial" w:hAnsi="Arial"/>
          <w:sz w:val="16"/>
          <w:szCs w:val="16"/>
          <w:color w:val="auto"/>
        </w:rPr>
        <w:t>Cash used in investing activities for the period from July 16, 2019 to December 31, 2019 (Successor) was $1,109.4 million, primarily as a result of cash payments for the Advent acquisition of $1,105.4 million, and HSE of $2.8 million, as well as purchases of property and equipment of $1.2 million.</w:t>
      </w:r>
    </w:p>
    <w:p>
      <w:pPr>
        <w:spacing w:after="0" w:line="124" w:lineRule="exact"/>
        <w:rPr>
          <w:sz w:val="20"/>
          <w:szCs w:val="20"/>
          <w:color w:val="auto"/>
        </w:rPr>
      </w:pPr>
    </w:p>
    <w:p>
      <w:pPr>
        <w:ind w:left="120" w:right="340" w:firstLine="440"/>
        <w:spacing w:after="0" w:line="277" w:lineRule="auto"/>
        <w:rPr>
          <w:sz w:val="20"/>
          <w:szCs w:val="20"/>
          <w:color w:val="auto"/>
        </w:rPr>
      </w:pPr>
      <w:r>
        <w:rPr>
          <w:rFonts w:ascii="Arial" w:cs="Arial" w:eastAsia="Arial" w:hAnsi="Arial"/>
          <w:sz w:val="18"/>
          <w:szCs w:val="18"/>
          <w:color w:val="auto"/>
        </w:rPr>
        <w:t>Cash used in investing activities for the period from January 1, 2019 to July 15, 2019 (Predecessor) was $30.6 million, primarily as a result of cash payments for the acquisition of HIMSS of $29.8 million and purchases of property and equipment of $0.7 million.</w:t>
      </w:r>
    </w:p>
    <w:p>
      <w:pPr>
        <w:spacing w:after="0" w:line="27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Cash Flows provided by (used in) Financing Activities</w:t>
      </w:r>
    </w:p>
    <w:p>
      <w:pPr>
        <w:spacing w:after="0" w:line="117" w:lineRule="exact"/>
        <w:rPr>
          <w:sz w:val="20"/>
          <w:szCs w:val="20"/>
          <w:color w:val="auto"/>
        </w:rPr>
      </w:pPr>
    </w:p>
    <w:p>
      <w:pPr>
        <w:ind w:left="120" w:right="200" w:firstLine="440"/>
        <w:spacing w:after="0" w:line="263" w:lineRule="auto"/>
        <w:rPr>
          <w:sz w:val="20"/>
          <w:szCs w:val="20"/>
          <w:color w:val="auto"/>
        </w:rPr>
      </w:pPr>
      <w:r>
        <w:rPr>
          <w:rFonts w:ascii="Arial" w:cs="Arial" w:eastAsia="Arial" w:hAnsi="Arial"/>
          <w:sz w:val="18"/>
          <w:szCs w:val="18"/>
          <w:color w:val="auto"/>
        </w:rPr>
        <w:t>Cash used in financing activities during the six months ended June 30, 2021 was $3.1 million, primarily due to distributions paid to members of $3.3 million, repayments on the Term Loan of $2.3 million, a $1.5 million earnout payment related to the Monocl acquisition, and payments of $1.4 million in preparation for our IPO, partially offset by member contributions of $5.5 million.</w:t>
      </w:r>
    </w:p>
    <w:p>
      <w:pPr>
        <w:spacing w:after="0" w:line="184" w:lineRule="exact"/>
        <w:rPr>
          <w:sz w:val="20"/>
          <w:szCs w:val="20"/>
          <w:color w:val="auto"/>
        </w:rPr>
      </w:pPr>
    </w:p>
    <w:p>
      <w:pPr>
        <w:ind w:left="120" w:right="340" w:firstLine="440"/>
        <w:spacing w:after="0" w:line="277" w:lineRule="auto"/>
        <w:rPr>
          <w:sz w:val="20"/>
          <w:szCs w:val="20"/>
          <w:color w:val="auto"/>
        </w:rPr>
      </w:pPr>
      <w:r>
        <w:rPr>
          <w:rFonts w:ascii="Arial" w:cs="Arial" w:eastAsia="Arial" w:hAnsi="Arial"/>
          <w:sz w:val="18"/>
          <w:szCs w:val="18"/>
          <w:color w:val="auto"/>
        </w:rPr>
        <w:t>Cash provided by financing activities during the six months ended June 30, 2020 was $22.7 million, primarily as a result of proceeds from the Revolving Line of Credit of $25.0 million, partially offset by repayments on the Term loan of $2.3 million.</w:t>
      </w:r>
    </w:p>
    <w:p>
      <w:pPr>
        <w:spacing w:after="0" w:line="170" w:lineRule="exact"/>
        <w:rPr>
          <w:sz w:val="20"/>
          <w:szCs w:val="20"/>
          <w:color w:val="auto"/>
        </w:rPr>
      </w:pPr>
    </w:p>
    <w:p>
      <w:pPr>
        <w:ind w:left="120" w:right="80" w:firstLine="440"/>
        <w:spacing w:after="0" w:line="263" w:lineRule="auto"/>
        <w:rPr>
          <w:sz w:val="20"/>
          <w:szCs w:val="20"/>
          <w:color w:val="auto"/>
        </w:rPr>
      </w:pPr>
      <w:r>
        <w:rPr>
          <w:rFonts w:ascii="Arial" w:cs="Arial" w:eastAsia="Arial" w:hAnsi="Arial"/>
          <w:sz w:val="18"/>
          <w:szCs w:val="18"/>
          <w:color w:val="auto"/>
        </w:rPr>
        <w:t>Cash provided from financing activities during the year ended December 31, 2020 was $16.7 million, primarily as a result of proceeds from the Delayed Draw Term Loan of $18.0 million and contributions from members of $6.4 million, partially offset by distributions to members of $2.9 million and repayments on the Term Loan and debt issuance costs of $4.7 million.</w:t>
      </w:r>
    </w:p>
    <w:p>
      <w:pPr>
        <w:spacing w:after="0" w:line="184" w:lineRule="exact"/>
        <w:rPr>
          <w:sz w:val="20"/>
          <w:szCs w:val="20"/>
          <w:color w:val="auto"/>
        </w:rPr>
      </w:pPr>
    </w:p>
    <w:p>
      <w:pPr>
        <w:ind w:left="120" w:right="100" w:firstLine="440"/>
        <w:spacing w:after="0" w:line="311" w:lineRule="auto"/>
        <w:rPr>
          <w:sz w:val="20"/>
          <w:szCs w:val="20"/>
          <w:color w:val="auto"/>
        </w:rPr>
      </w:pPr>
      <w:r>
        <w:rPr>
          <w:rFonts w:ascii="Arial" w:cs="Arial" w:eastAsia="Arial" w:hAnsi="Arial"/>
          <w:sz w:val="16"/>
          <w:szCs w:val="16"/>
          <w:color w:val="auto"/>
        </w:rPr>
        <w:t>Cash provided from financing activities for the period from July 16, 2019 to December 31, 2019 (Successor) was $1,125.1 million, primarily as a result of a capital contribution of $697.0 million in connection with the Advent acquisition, proceeds from the Term loan of $450.0 million, partially offset by distributions to members of $6.5 million, payments of debt issuance costs of $14.3 million and repayments on the Term Loan of $1.1 million.</w:t>
      </w:r>
    </w:p>
    <w:p>
      <w:pPr>
        <w:spacing w:after="0" w:line="149" w:lineRule="exact"/>
        <w:rPr>
          <w:sz w:val="20"/>
          <w:szCs w:val="20"/>
          <w:color w:val="auto"/>
        </w:rPr>
      </w:pPr>
    </w:p>
    <w:p>
      <w:pPr>
        <w:ind w:left="120" w:right="420" w:firstLine="440"/>
        <w:spacing w:after="0" w:line="277" w:lineRule="auto"/>
        <w:rPr>
          <w:sz w:val="20"/>
          <w:szCs w:val="20"/>
          <w:color w:val="auto"/>
        </w:rPr>
      </w:pPr>
      <w:r>
        <w:rPr>
          <w:rFonts w:ascii="Arial" w:cs="Arial" w:eastAsia="Arial" w:hAnsi="Arial"/>
          <w:sz w:val="18"/>
          <w:szCs w:val="18"/>
          <w:color w:val="auto"/>
        </w:rPr>
        <w:t>Cash used in financing activities for the period from January 1, 2019 to July 15, 2019 (Predecessor) was $0.5 million, primarily as a result of distributions to members of $0.5 million.</w:t>
      </w:r>
    </w:p>
    <w:p>
      <w:pPr>
        <w:spacing w:after="0" w:line="170" w:lineRule="exact"/>
        <w:rPr>
          <w:sz w:val="20"/>
          <w:szCs w:val="20"/>
          <w:color w:val="auto"/>
        </w:rPr>
      </w:pPr>
    </w:p>
    <w:p>
      <w:pPr>
        <w:ind w:left="120" w:right="220" w:firstLine="440"/>
        <w:spacing w:after="0" w:line="308" w:lineRule="auto"/>
        <w:rPr>
          <w:sz w:val="20"/>
          <w:szCs w:val="20"/>
          <w:color w:val="auto"/>
        </w:rPr>
      </w:pPr>
      <w:r>
        <w:rPr>
          <w:rFonts w:ascii="Arial" w:cs="Arial" w:eastAsia="Arial" w:hAnsi="Arial"/>
          <w:sz w:val="17"/>
          <w:szCs w:val="17"/>
          <w:color w:val="auto"/>
        </w:rPr>
        <w:t>Refer to “Debt Obligations” for additional information related to our debt obligations. Refer to Note 12 of our consolidated financial statements included elsewhere in this prospectus for additional information related to contributions and distributions from and to members.</w:t>
      </w:r>
    </w:p>
    <w:p>
      <w:pPr>
        <w:spacing w:after="0" w:line="254"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Debt Obligations</w:t>
      </w:r>
    </w:p>
    <w:p>
      <w:pPr>
        <w:spacing w:after="0" w:line="117" w:lineRule="exact"/>
        <w:rPr>
          <w:sz w:val="20"/>
          <w:szCs w:val="20"/>
          <w:color w:val="auto"/>
        </w:rPr>
      </w:pPr>
    </w:p>
    <w:p>
      <w:pPr>
        <w:ind w:left="120" w:right="80" w:firstLine="440"/>
        <w:spacing w:after="0" w:line="272" w:lineRule="auto"/>
        <w:rPr>
          <w:sz w:val="20"/>
          <w:szCs w:val="20"/>
          <w:color w:val="auto"/>
        </w:rPr>
      </w:pPr>
      <w:r>
        <w:rPr>
          <w:rFonts w:ascii="Arial" w:cs="Arial" w:eastAsia="Arial" w:hAnsi="Arial"/>
          <w:sz w:val="17"/>
          <w:szCs w:val="17"/>
          <w:color w:val="auto"/>
        </w:rPr>
        <w:t>On July 16, 2019, we entered into the 2019 Credit Agreement pursuant to which the lenders thereunder agreed to provide the an initial term loan facility for $450.0 million, which had a maturity date of July 16, 2026. The term loan facility under the 2019 Credit Agreement was issued with an original issue discount of $11.3 million. This discount is amortized to interest expense over the term of the term loan facility using the effective interest method. Interest on a portion of the term loan facility consisting of $100.0 million of the $450.0 million principal amount is not paid in cash but is instead treated as paid in kind and is added to the principal balance to be paid off at maturity. The revolving credit facility under the 2019 Credit Agreement was committed for $25.0 million and had a maturity date of July 16, 2024. There was no outstanding balance on the revolving credit facility as of June 30, 2021, December 31, 2020 or December 31, 2019.</w:t>
      </w:r>
    </w:p>
    <w:p>
      <w:pPr>
        <w:spacing w:after="0" w:line="110" w:lineRule="exact"/>
        <w:rPr>
          <w:sz w:val="20"/>
          <w:szCs w:val="20"/>
          <w:color w:val="auto"/>
        </w:rPr>
      </w:pPr>
    </w:p>
    <w:p>
      <w:pPr>
        <w:jc w:val="center"/>
        <w:ind w:right="-359"/>
        <w:spacing w:after="0"/>
        <w:rPr>
          <w:sz w:val="20"/>
          <w:szCs w:val="20"/>
          <w:color w:val="auto"/>
        </w:rPr>
      </w:pPr>
      <w:r>
        <w:rPr>
          <w:rFonts w:ascii="Arial" w:cs="Arial" w:eastAsia="Arial" w:hAnsi="Arial"/>
          <w:sz w:val="18"/>
          <w:szCs w:val="18"/>
          <w:color w:val="auto"/>
        </w:rPr>
        <w:t>100</w:t>
      </w:r>
    </w:p>
    <w:p>
      <w:pPr>
        <w:sectPr>
          <w:pgSz w:w="11900" w:h="16838" w:orient="portrait"/>
          <w:cols w:equalWidth="0" w:num="1">
            <w:col w:w="11120"/>
          </w:cols>
          <w:pgMar w:left="320" w:top="459" w:right="459" w:bottom="1440" w:gutter="0" w:footer="0" w:header="0"/>
        </w:sectPr>
      </w:pPr>
    </w:p>
    <w:bookmarkStart w:id="107" w:name="page108"/>
    <w:bookmarkEnd w:id="10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Confidential Treatment Requested by Definitive Healthcare Corp.</w:t>
      </w:r>
    </w:p>
    <w:p>
      <w:pPr>
        <w:spacing w:after="0" w:line="27"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Pursuant to 17 C.F.R. Section 200.83</w:t>
      </w:r>
    </w:p>
    <w:p>
      <w:pPr>
        <w:spacing w:after="0" w:line="143"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Company was in compliance with its financial covenant at June 30, 2021, December 31, 2020 and December 31, 2019.</w:t>
      </w:r>
    </w:p>
    <w:p>
      <w:pPr>
        <w:spacing w:after="0" w:line="32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Capital Expenditures</w:t>
      </w:r>
    </w:p>
    <w:p>
      <w:pPr>
        <w:spacing w:after="0" w:line="121" w:lineRule="exact"/>
        <w:rPr>
          <w:sz w:val="20"/>
          <w:szCs w:val="20"/>
          <w:color w:val="auto"/>
        </w:rPr>
      </w:pPr>
    </w:p>
    <w:p>
      <w:pPr>
        <w:ind w:left="120" w:right="440" w:firstLine="440"/>
        <w:spacing w:after="0" w:line="277" w:lineRule="auto"/>
        <w:rPr>
          <w:sz w:val="20"/>
          <w:szCs w:val="20"/>
          <w:color w:val="auto"/>
        </w:rPr>
      </w:pPr>
      <w:r>
        <w:rPr>
          <w:rFonts w:ascii="Arial" w:cs="Arial" w:eastAsia="Arial" w:hAnsi="Arial"/>
          <w:sz w:val="18"/>
          <w:szCs w:val="18"/>
          <w:color w:val="auto"/>
        </w:rPr>
        <w:t>Capital expenditures increased by $4.3 million to $5.2 million for the six months ended June 30, 2021 compared to $0.9 million for the same period in the prior year, primarily due to higher expenditures for property, equipment and data in support of our growth.</w:t>
      </w:r>
    </w:p>
    <w:p>
      <w:pPr>
        <w:spacing w:after="0" w:line="170" w:lineRule="exact"/>
        <w:rPr>
          <w:sz w:val="20"/>
          <w:szCs w:val="20"/>
          <w:color w:val="auto"/>
        </w:rPr>
      </w:pPr>
    </w:p>
    <w:p>
      <w:pPr>
        <w:ind w:left="120" w:firstLine="440"/>
        <w:spacing w:after="0" w:line="263" w:lineRule="auto"/>
        <w:rPr>
          <w:sz w:val="20"/>
          <w:szCs w:val="20"/>
          <w:color w:val="auto"/>
        </w:rPr>
      </w:pPr>
      <w:r>
        <w:rPr>
          <w:rFonts w:ascii="Arial" w:cs="Arial" w:eastAsia="Arial" w:hAnsi="Arial"/>
          <w:sz w:val="18"/>
          <w:szCs w:val="18"/>
          <w:color w:val="auto"/>
        </w:rPr>
        <w:t>Capital expenditures decreased by $0.5 million, or 26%, to $1.4 million for the twelve months ended December 31, 2020 compared to $1.9 million in 2019 for the combined Predecessor Company and Successor Company period. The decrease was due to higher expenditures in 2019 due to office leasehold improvements made in 2019.</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Contractual Obligations and Commitments</w:t>
      </w:r>
    </w:p>
    <w:p>
      <w:pPr>
        <w:spacing w:after="0" w:line="117" w:lineRule="exact"/>
        <w:rPr>
          <w:sz w:val="20"/>
          <w:szCs w:val="20"/>
          <w:color w:val="auto"/>
        </w:rPr>
      </w:pPr>
    </w:p>
    <w:p>
      <w:pPr>
        <w:ind w:left="120" w:right="360" w:firstLine="440"/>
        <w:spacing w:after="0" w:line="277" w:lineRule="auto"/>
        <w:rPr>
          <w:sz w:val="20"/>
          <w:szCs w:val="20"/>
          <w:color w:val="auto"/>
        </w:rPr>
      </w:pPr>
      <w:r>
        <w:rPr>
          <w:rFonts w:ascii="Arial" w:cs="Arial" w:eastAsia="Arial" w:hAnsi="Arial"/>
          <w:sz w:val="18"/>
          <w:szCs w:val="18"/>
          <w:color w:val="auto"/>
        </w:rPr>
        <w:t>The following table sets forth certain contractual obligations, debt obligations and commitments as of June 30, 2021, and December 31, 2020, respectively:</w:t>
      </w:r>
    </w:p>
    <w:p>
      <w:pPr>
        <w:spacing w:after="0" w:line="170" w:lineRule="exact"/>
        <w:rPr>
          <w:sz w:val="20"/>
          <w:szCs w:val="20"/>
          <w:color w:val="auto"/>
        </w:rPr>
      </w:pPr>
    </w:p>
    <w:p>
      <w:pPr>
        <w:ind w:left="120"/>
        <w:spacing w:after="0"/>
        <w:rPr>
          <w:sz w:val="20"/>
          <w:szCs w:val="20"/>
          <w:color w:val="auto"/>
        </w:rPr>
      </w:pPr>
      <w:r>
        <w:rPr>
          <w:rFonts w:ascii="Arial" w:cs="Arial" w:eastAsia="Arial" w:hAnsi="Arial"/>
          <w:sz w:val="18"/>
          <w:szCs w:val="18"/>
          <w:color w:val="auto"/>
        </w:rPr>
        <w:t>At June 30, 2021</w:t>
      </w:r>
    </w:p>
    <w:p>
      <w:pPr>
        <w:spacing w:after="0" w:line="244"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8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53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820" w:type="dxa"/>
            <w:vAlign w:val="bottom"/>
            <w:tcBorders>
              <w:bottom w:val="single" w:sz="8" w:color="auto"/>
            </w:tcBorders>
            <w:gridSpan w:val="6"/>
          </w:tcPr>
          <w:p>
            <w:pPr>
              <w:jc w:val="center"/>
              <w:ind w:left="195"/>
              <w:spacing w:after="0"/>
              <w:rPr>
                <w:sz w:val="20"/>
                <w:szCs w:val="20"/>
                <w:color w:val="auto"/>
              </w:rPr>
            </w:pPr>
            <w:r>
              <w:rPr>
                <w:rFonts w:ascii="Arial" w:cs="Arial" w:eastAsia="Arial" w:hAnsi="Arial"/>
                <w:sz w:val="14"/>
                <w:szCs w:val="14"/>
                <w:b w:val="1"/>
                <w:bCs w:val="1"/>
                <w:color w:val="auto"/>
                <w:w w:val="91"/>
              </w:rPr>
              <w:t>Payments Due by Period</w:t>
            </w:r>
          </w:p>
        </w:tc>
        <w:tc>
          <w:tcPr>
            <w:tcW w:w="42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820" w:type="dxa"/>
            <w:vAlign w:val="bottom"/>
            <w:vMerge w:val="restart"/>
          </w:tcPr>
          <w:p>
            <w:pPr>
              <w:spacing w:after="0"/>
              <w:rPr>
                <w:sz w:val="20"/>
                <w:szCs w:val="20"/>
                <w:color w:val="auto"/>
              </w:rPr>
            </w:pPr>
            <w:r>
              <w:rPr>
                <w:rFonts w:ascii="Arial" w:cs="Arial" w:eastAsia="Arial" w:hAnsi="Arial"/>
                <w:sz w:val="14"/>
                <w:szCs w:val="14"/>
                <w:color w:val="auto"/>
                <w:w w:val="90"/>
              </w:rPr>
              <w:t>(in thousands)</w:t>
            </w:r>
          </w:p>
        </w:tc>
        <w:tc>
          <w:tcPr>
            <w:tcW w:w="5780" w:type="dxa"/>
            <w:vAlign w:val="bottom"/>
            <w:gridSpan w:val="2"/>
            <w:vMerge w:val="restart"/>
          </w:tcPr>
          <w:p>
            <w:pPr>
              <w:spacing w:after="0"/>
              <w:rPr>
                <w:sz w:val="10"/>
                <w:szCs w:val="10"/>
                <w:color w:val="auto"/>
              </w:rPr>
            </w:pPr>
          </w:p>
        </w:tc>
        <w:tc>
          <w:tcPr>
            <w:tcW w:w="20" w:type="dxa"/>
            <w:vAlign w:val="bottom"/>
          </w:tcPr>
          <w:p>
            <w:pPr>
              <w:spacing w:after="0"/>
              <w:rPr>
                <w:sz w:val="10"/>
                <w:szCs w:val="10"/>
                <w:color w:val="auto"/>
              </w:rPr>
            </w:pPr>
          </w:p>
        </w:tc>
        <w:tc>
          <w:tcPr>
            <w:tcW w:w="940" w:type="dxa"/>
            <w:vAlign w:val="bottom"/>
            <w:gridSpan w:val="3"/>
            <w:vMerge w:val="restart"/>
          </w:tcPr>
          <w:p>
            <w:pPr>
              <w:ind w:left="160"/>
              <w:spacing w:after="0"/>
              <w:rPr>
                <w:sz w:val="20"/>
                <w:szCs w:val="20"/>
                <w:color w:val="auto"/>
              </w:rPr>
            </w:pPr>
            <w:r>
              <w:rPr>
                <w:rFonts w:ascii="Arial" w:cs="Arial" w:eastAsia="Arial" w:hAnsi="Arial"/>
                <w:sz w:val="14"/>
                <w:szCs w:val="14"/>
                <w:b w:val="1"/>
                <w:bCs w:val="1"/>
                <w:color w:val="auto"/>
              </w:rPr>
              <w:t>Total</w:t>
            </w:r>
          </w:p>
        </w:tc>
        <w:tc>
          <w:tcPr>
            <w:tcW w:w="920" w:type="dxa"/>
            <w:vAlign w:val="bottom"/>
            <w:gridSpan w:val="3"/>
          </w:tcPr>
          <w:p>
            <w:pPr>
              <w:spacing w:after="0" w:line="119" w:lineRule="exact"/>
              <w:rPr>
                <w:sz w:val="20"/>
                <w:szCs w:val="20"/>
                <w:color w:val="auto"/>
              </w:rPr>
            </w:pPr>
            <w:r>
              <w:rPr>
                <w:rFonts w:ascii="Arial" w:cs="Arial" w:eastAsia="Arial" w:hAnsi="Arial"/>
                <w:sz w:val="13"/>
                <w:szCs w:val="13"/>
                <w:b w:val="1"/>
                <w:bCs w:val="1"/>
                <w:color w:val="auto"/>
              </w:rPr>
              <w:t>Less Than</w:t>
            </w:r>
          </w:p>
        </w:tc>
        <w:tc>
          <w:tcPr>
            <w:tcW w:w="740" w:type="dxa"/>
            <w:vAlign w:val="bottom"/>
            <w:gridSpan w:val="2"/>
            <w:vMerge w:val="restart"/>
          </w:tcPr>
          <w:p>
            <w:pPr>
              <w:jc w:val="center"/>
              <w:ind w:right="140"/>
              <w:spacing w:after="0"/>
              <w:rPr>
                <w:sz w:val="20"/>
                <w:szCs w:val="20"/>
                <w:color w:val="auto"/>
              </w:rPr>
            </w:pPr>
            <w:r>
              <w:rPr>
                <w:rFonts w:ascii="Arial" w:cs="Arial" w:eastAsia="Arial" w:hAnsi="Arial"/>
                <w:sz w:val="14"/>
                <w:szCs w:val="14"/>
                <w:b w:val="1"/>
                <w:bCs w:val="1"/>
                <w:color w:val="auto"/>
                <w:w w:val="89"/>
              </w:rPr>
              <w:t>1-3 Years</w:t>
            </w:r>
          </w:p>
        </w:tc>
        <w:tc>
          <w:tcPr>
            <w:tcW w:w="140" w:type="dxa"/>
            <w:vAlign w:val="bottom"/>
          </w:tcPr>
          <w:p>
            <w:pPr>
              <w:spacing w:after="0"/>
              <w:rPr>
                <w:sz w:val="10"/>
                <w:szCs w:val="10"/>
                <w:color w:val="auto"/>
              </w:rPr>
            </w:pPr>
          </w:p>
        </w:tc>
        <w:tc>
          <w:tcPr>
            <w:tcW w:w="86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rPr>
              <w:t>3-5 Years</w:t>
            </w:r>
          </w:p>
        </w:tc>
        <w:tc>
          <w:tcPr>
            <w:tcW w:w="720" w:type="dxa"/>
            <w:vAlign w:val="bottom"/>
          </w:tcPr>
          <w:p>
            <w:pPr>
              <w:jc w:val="center"/>
              <w:spacing w:after="0" w:line="119" w:lineRule="exact"/>
              <w:rPr>
                <w:sz w:val="20"/>
                <w:szCs w:val="20"/>
                <w:color w:val="auto"/>
              </w:rPr>
            </w:pPr>
            <w:r>
              <w:rPr>
                <w:rFonts w:ascii="Arial" w:cs="Arial" w:eastAsia="Arial" w:hAnsi="Arial"/>
                <w:sz w:val="13"/>
                <w:szCs w:val="13"/>
                <w:b w:val="1"/>
                <w:bCs w:val="1"/>
                <w:color w:val="auto"/>
              </w:rPr>
              <w:t>More Than</w:t>
            </w: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8"/>
        </w:trPr>
        <w:tc>
          <w:tcPr>
            <w:tcW w:w="820" w:type="dxa"/>
            <w:vAlign w:val="bottom"/>
            <w:tcBorders>
              <w:bottom w:val="single" w:sz="8" w:color="auto"/>
            </w:tcBorders>
            <w:vMerge w:val="continue"/>
          </w:tcPr>
          <w:p>
            <w:pPr>
              <w:spacing w:after="0"/>
              <w:rPr>
                <w:sz w:val="15"/>
                <w:szCs w:val="15"/>
                <w:color w:val="auto"/>
              </w:rPr>
            </w:pPr>
          </w:p>
        </w:tc>
        <w:tc>
          <w:tcPr>
            <w:tcW w:w="5780" w:type="dxa"/>
            <w:vAlign w:val="bottom"/>
            <w:gridSpan w:val="2"/>
            <w:vMerge w:val="continue"/>
          </w:tcPr>
          <w:p>
            <w:pPr>
              <w:spacing w:after="0"/>
              <w:rPr>
                <w:sz w:val="15"/>
                <w:szCs w:val="15"/>
                <w:color w:val="auto"/>
              </w:rPr>
            </w:pPr>
          </w:p>
        </w:tc>
        <w:tc>
          <w:tcPr>
            <w:tcW w:w="20" w:type="dxa"/>
            <w:vAlign w:val="bottom"/>
          </w:tcPr>
          <w:p>
            <w:pPr>
              <w:spacing w:after="0"/>
              <w:rPr>
                <w:sz w:val="15"/>
                <w:szCs w:val="15"/>
                <w:color w:val="auto"/>
              </w:rPr>
            </w:pPr>
          </w:p>
        </w:tc>
        <w:tc>
          <w:tcPr>
            <w:tcW w:w="940" w:type="dxa"/>
            <w:vAlign w:val="bottom"/>
            <w:gridSpan w:val="3"/>
            <w:vMerge w:val="continue"/>
          </w:tcPr>
          <w:p>
            <w:pPr>
              <w:spacing w:after="0"/>
              <w:rPr>
                <w:sz w:val="15"/>
                <w:szCs w:val="15"/>
                <w:color w:val="auto"/>
              </w:rPr>
            </w:pPr>
          </w:p>
        </w:tc>
        <w:tc>
          <w:tcPr>
            <w:tcW w:w="920" w:type="dxa"/>
            <w:vAlign w:val="bottom"/>
            <w:gridSpan w:val="3"/>
          </w:tcPr>
          <w:p>
            <w:pPr>
              <w:ind w:left="40"/>
              <w:spacing w:after="0" w:line="158" w:lineRule="exact"/>
              <w:rPr>
                <w:sz w:val="20"/>
                <w:szCs w:val="20"/>
                <w:color w:val="auto"/>
              </w:rPr>
            </w:pPr>
            <w:r>
              <w:rPr>
                <w:rFonts w:ascii="Arial" w:cs="Arial" w:eastAsia="Arial" w:hAnsi="Arial"/>
                <w:sz w:val="14"/>
                <w:szCs w:val="14"/>
                <w:b w:val="1"/>
                <w:bCs w:val="1"/>
                <w:color w:val="auto"/>
              </w:rPr>
              <w:t>One Year</w:t>
            </w:r>
          </w:p>
        </w:tc>
        <w:tc>
          <w:tcPr>
            <w:tcW w:w="740" w:type="dxa"/>
            <w:vAlign w:val="bottom"/>
            <w:gridSpan w:val="2"/>
            <w:vMerge w:val="continue"/>
          </w:tcPr>
          <w:p>
            <w:pPr>
              <w:spacing w:after="0"/>
              <w:rPr>
                <w:sz w:val="15"/>
                <w:szCs w:val="15"/>
                <w:color w:val="auto"/>
              </w:rPr>
            </w:pPr>
          </w:p>
        </w:tc>
        <w:tc>
          <w:tcPr>
            <w:tcW w:w="140" w:type="dxa"/>
            <w:vAlign w:val="bottom"/>
          </w:tcPr>
          <w:p>
            <w:pPr>
              <w:spacing w:after="0"/>
              <w:rPr>
                <w:sz w:val="15"/>
                <w:szCs w:val="15"/>
                <w:color w:val="auto"/>
              </w:rPr>
            </w:pPr>
          </w:p>
        </w:tc>
        <w:tc>
          <w:tcPr>
            <w:tcW w:w="860" w:type="dxa"/>
            <w:vAlign w:val="bottom"/>
            <w:gridSpan w:val="3"/>
            <w:vMerge w:val="continue"/>
          </w:tcPr>
          <w:p>
            <w:pPr>
              <w:spacing w:after="0"/>
              <w:rPr>
                <w:sz w:val="15"/>
                <w:szCs w:val="15"/>
                <w:color w:val="auto"/>
              </w:rPr>
            </w:pPr>
          </w:p>
        </w:tc>
        <w:tc>
          <w:tcPr>
            <w:tcW w:w="800" w:type="dxa"/>
            <w:vAlign w:val="bottom"/>
            <w:gridSpan w:val="2"/>
          </w:tcPr>
          <w:p>
            <w:pPr>
              <w:jc w:val="center"/>
              <w:ind w:right="80"/>
              <w:spacing w:after="0" w:line="158" w:lineRule="exact"/>
              <w:rPr>
                <w:sz w:val="20"/>
                <w:szCs w:val="20"/>
                <w:color w:val="auto"/>
              </w:rPr>
            </w:pPr>
            <w:r>
              <w:rPr>
                <w:rFonts w:ascii="Arial" w:cs="Arial" w:eastAsia="Arial" w:hAnsi="Arial"/>
                <w:sz w:val="14"/>
                <w:szCs w:val="14"/>
                <w:b w:val="1"/>
                <w:bCs w:val="1"/>
                <w:color w:val="auto"/>
                <w:w w:val="91"/>
              </w:rPr>
              <w:t>Five Years</w:t>
            </w:r>
          </w:p>
        </w:tc>
        <w:tc>
          <w:tcPr>
            <w:tcW w:w="0" w:type="dxa"/>
            <w:vAlign w:val="bottom"/>
          </w:tcPr>
          <w:p>
            <w:pPr>
              <w:spacing w:after="0"/>
              <w:rPr>
                <w:sz w:val="1"/>
                <w:szCs w:val="1"/>
                <w:color w:val="auto"/>
              </w:rPr>
            </w:pPr>
          </w:p>
        </w:tc>
      </w:tr>
      <w:tr>
        <w:trPr>
          <w:trHeight w:val="203"/>
        </w:trPr>
        <w:tc>
          <w:tcPr>
            <w:tcW w:w="6600" w:type="dxa"/>
            <w:vAlign w:val="bottom"/>
            <w:tcBorders>
              <w:top w:val="single" w:sz="8" w:color="CCEEFF"/>
            </w:tcBorders>
            <w:gridSpan w:val="3"/>
            <w:shd w:val="clear" w:color="auto" w:fill="CCEEFF"/>
          </w:tcPr>
          <w:p>
            <w:pPr>
              <w:spacing w:after="0" w:line="203" w:lineRule="exact"/>
              <w:rPr>
                <w:sz w:val="20"/>
                <w:szCs w:val="20"/>
                <w:color w:val="auto"/>
              </w:rPr>
            </w:pPr>
            <w:r>
              <w:rPr>
                <w:rFonts w:ascii="Arial" w:cs="Arial" w:eastAsia="Arial" w:hAnsi="Arial"/>
                <w:sz w:val="18"/>
                <w:szCs w:val="18"/>
                <w:color w:val="auto"/>
              </w:rPr>
              <w:t>Long-term Debt Obligations</w:t>
            </w:r>
          </w:p>
        </w:tc>
        <w:tc>
          <w:tcPr>
            <w:tcW w:w="20" w:type="dxa"/>
            <w:vAlign w:val="bottom"/>
            <w:tcBorders>
              <w:top w:val="single" w:sz="8" w:color="CCEEFF"/>
            </w:tcBorders>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85"/>
              </w:rPr>
              <w:t>$470,402</w:t>
            </w:r>
          </w:p>
        </w:tc>
        <w:tc>
          <w:tcPr>
            <w:tcW w:w="2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line="203" w:lineRule="exact"/>
              <w:rPr>
                <w:sz w:val="20"/>
                <w:szCs w:val="20"/>
                <w:color w:val="auto"/>
              </w:rPr>
            </w:pPr>
            <w:r>
              <w:rPr>
                <w:rFonts w:ascii="Arial" w:cs="Arial" w:eastAsia="Arial" w:hAnsi="Arial"/>
                <w:sz w:val="18"/>
                <w:szCs w:val="18"/>
                <w:color w:val="auto"/>
              </w:rPr>
              <w:t>$</w:t>
            </w:r>
          </w:p>
        </w:tc>
        <w:tc>
          <w:tcPr>
            <w:tcW w:w="48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4,680</w:t>
            </w:r>
          </w:p>
        </w:tc>
        <w:tc>
          <w:tcPr>
            <w:tcW w:w="280" w:type="dxa"/>
            <w:vAlign w:val="bottom"/>
            <w:tcBorders>
              <w:top w:val="single" w:sz="8" w:color="CCEEFF"/>
            </w:tcBorders>
            <w:shd w:val="clear" w:color="auto" w:fill="CCEEFF"/>
          </w:tcPr>
          <w:p>
            <w:pPr>
              <w:spacing w:after="0"/>
              <w:rPr>
                <w:sz w:val="17"/>
                <w:szCs w:val="17"/>
                <w:color w:val="auto"/>
              </w:rPr>
            </w:pPr>
          </w:p>
        </w:tc>
        <w:tc>
          <w:tcPr>
            <w:tcW w:w="60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96"/>
              </w:rPr>
              <w:t>$ 9,360</w:t>
            </w:r>
          </w:p>
        </w:tc>
        <w:tc>
          <w:tcPr>
            <w:tcW w:w="14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line="203" w:lineRule="exact"/>
              <w:rPr>
                <w:sz w:val="20"/>
                <w:szCs w:val="20"/>
                <w:color w:val="auto"/>
              </w:rPr>
            </w:pPr>
            <w:r>
              <w:rPr>
                <w:rFonts w:ascii="Arial" w:cs="Arial" w:eastAsia="Arial" w:hAnsi="Arial"/>
                <w:sz w:val="18"/>
                <w:szCs w:val="18"/>
                <w:color w:val="auto"/>
              </w:rPr>
              <w:t>$</w:t>
            </w:r>
          </w:p>
        </w:tc>
        <w:tc>
          <w:tcPr>
            <w:tcW w:w="42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88"/>
              </w:rPr>
              <w:t>9,360</w:t>
            </w:r>
          </w:p>
        </w:tc>
        <w:tc>
          <w:tcPr>
            <w:tcW w:w="260" w:type="dxa"/>
            <w:vAlign w:val="bottom"/>
            <w:tcBorders>
              <w:top w:val="single" w:sz="8" w:color="CCEEFF"/>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87"/>
              </w:rPr>
              <w:t>$ 447,002</w:t>
            </w:r>
          </w:p>
        </w:tc>
        <w:tc>
          <w:tcPr>
            <w:tcW w:w="8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600" w:type="dxa"/>
            <w:vAlign w:val="bottom"/>
            <w:gridSpan w:val="3"/>
          </w:tcPr>
          <w:p>
            <w:pPr>
              <w:spacing w:after="0"/>
              <w:rPr>
                <w:sz w:val="20"/>
                <w:szCs w:val="20"/>
                <w:color w:val="auto"/>
              </w:rPr>
            </w:pPr>
            <w:r>
              <w:rPr>
                <w:rFonts w:ascii="Arial" w:cs="Arial" w:eastAsia="Arial" w:hAnsi="Arial"/>
                <w:sz w:val="18"/>
                <w:szCs w:val="18"/>
                <w:color w:val="auto"/>
              </w:rPr>
              <w:t>Operating Lease Obligations</w:t>
            </w:r>
            <w:r>
              <w:rPr>
                <w:rFonts w:ascii="Arial" w:cs="Arial" w:eastAsia="Arial" w:hAnsi="Arial"/>
                <w:sz w:val="15"/>
                <w:szCs w:val="15"/>
                <w:color w:val="auto"/>
              </w:rPr>
              <w:t>(1)</w:t>
            </w:r>
          </w:p>
        </w:tc>
        <w:tc>
          <w:tcPr>
            <w:tcW w:w="700" w:type="dxa"/>
            <w:vAlign w:val="bottom"/>
            <w:gridSpan w:val="3"/>
          </w:tcPr>
          <w:p>
            <w:pPr>
              <w:jc w:val="right"/>
              <w:ind w:right="20"/>
              <w:spacing w:after="0"/>
              <w:rPr>
                <w:sz w:val="20"/>
                <w:szCs w:val="20"/>
                <w:color w:val="auto"/>
              </w:rPr>
            </w:pPr>
            <w:r>
              <w:rPr>
                <w:rFonts w:ascii="Arial" w:cs="Arial" w:eastAsia="Arial" w:hAnsi="Arial"/>
                <w:sz w:val="18"/>
                <w:szCs w:val="18"/>
                <w:color w:val="auto"/>
              </w:rPr>
              <w:t>15,988</w:t>
            </w: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gridSpan w:val="2"/>
          </w:tcPr>
          <w:p>
            <w:pPr>
              <w:jc w:val="right"/>
              <w:ind w:right="280"/>
              <w:spacing w:after="0"/>
              <w:rPr>
                <w:sz w:val="20"/>
                <w:szCs w:val="20"/>
                <w:color w:val="auto"/>
              </w:rPr>
            </w:pPr>
            <w:r>
              <w:rPr>
                <w:rFonts w:ascii="Arial" w:cs="Arial" w:eastAsia="Arial" w:hAnsi="Arial"/>
                <w:sz w:val="18"/>
                <w:szCs w:val="18"/>
                <w:color w:val="auto"/>
              </w:rPr>
              <w:t>3,213</w:t>
            </w:r>
          </w:p>
        </w:tc>
        <w:tc>
          <w:tcPr>
            <w:tcW w:w="740" w:type="dxa"/>
            <w:vAlign w:val="bottom"/>
            <w:gridSpan w:val="2"/>
          </w:tcPr>
          <w:p>
            <w:pPr>
              <w:jc w:val="right"/>
              <w:ind w:right="140"/>
              <w:spacing w:after="0"/>
              <w:rPr>
                <w:sz w:val="20"/>
                <w:szCs w:val="20"/>
                <w:color w:val="auto"/>
              </w:rPr>
            </w:pPr>
            <w:r>
              <w:rPr>
                <w:rFonts w:ascii="Arial" w:cs="Arial" w:eastAsia="Arial" w:hAnsi="Arial"/>
                <w:sz w:val="18"/>
                <w:szCs w:val="18"/>
                <w:color w:val="auto"/>
              </w:rPr>
              <w:t>4,694</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gridSpan w:val="2"/>
          </w:tcPr>
          <w:p>
            <w:pPr>
              <w:jc w:val="right"/>
              <w:ind w:right="260"/>
              <w:spacing w:after="0"/>
              <w:rPr>
                <w:sz w:val="20"/>
                <w:szCs w:val="20"/>
                <w:color w:val="auto"/>
              </w:rPr>
            </w:pPr>
            <w:r>
              <w:rPr>
                <w:rFonts w:ascii="Arial" w:cs="Arial" w:eastAsia="Arial" w:hAnsi="Arial"/>
                <w:sz w:val="18"/>
                <w:szCs w:val="18"/>
                <w:color w:val="auto"/>
                <w:w w:val="88"/>
              </w:rPr>
              <w:t>4,366</w:t>
            </w:r>
          </w:p>
        </w:tc>
        <w:tc>
          <w:tcPr>
            <w:tcW w:w="800" w:type="dxa"/>
            <w:vAlign w:val="bottom"/>
            <w:gridSpan w:val="2"/>
          </w:tcPr>
          <w:p>
            <w:pPr>
              <w:jc w:val="right"/>
              <w:ind w:right="80"/>
              <w:spacing w:after="0"/>
              <w:rPr>
                <w:sz w:val="20"/>
                <w:szCs w:val="20"/>
                <w:color w:val="auto"/>
              </w:rPr>
            </w:pPr>
            <w:r>
              <w:rPr>
                <w:rFonts w:ascii="Arial" w:cs="Arial" w:eastAsia="Arial" w:hAnsi="Arial"/>
                <w:sz w:val="18"/>
                <w:szCs w:val="18"/>
                <w:color w:val="auto"/>
              </w:rPr>
              <w:t>3,715</w:t>
            </w:r>
          </w:p>
        </w:tc>
        <w:tc>
          <w:tcPr>
            <w:tcW w:w="0" w:type="dxa"/>
            <w:vAlign w:val="bottom"/>
          </w:tcPr>
          <w:p>
            <w:pPr>
              <w:spacing w:after="0"/>
              <w:rPr>
                <w:sz w:val="1"/>
                <w:szCs w:val="1"/>
                <w:color w:val="auto"/>
              </w:rPr>
            </w:pPr>
          </w:p>
        </w:tc>
      </w:tr>
      <w:tr>
        <w:trPr>
          <w:trHeight w:val="216"/>
        </w:trPr>
        <w:tc>
          <w:tcPr>
            <w:tcW w:w="66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Purchase Obligations</w:t>
            </w:r>
            <w:r>
              <w:rPr>
                <w:rFonts w:ascii="Arial" w:cs="Arial" w:eastAsia="Arial" w:hAnsi="Arial"/>
                <w:sz w:val="15"/>
                <w:szCs w:val="15"/>
                <w:color w:val="auto"/>
              </w:rPr>
              <w:t>(2)</w:t>
            </w:r>
          </w:p>
        </w:tc>
        <w:tc>
          <w:tcPr>
            <w:tcW w:w="70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23,736</w:t>
            </w: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5,564</w:t>
            </w: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12,386</w:t>
            </w: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88"/>
              </w:rPr>
              <w:t>5,786</w:t>
            </w: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6600" w:type="dxa"/>
            <w:vAlign w:val="bottom"/>
            <w:gridSpan w:val="3"/>
          </w:tcPr>
          <w:p>
            <w:pPr>
              <w:spacing w:after="0"/>
              <w:rPr>
                <w:sz w:val="20"/>
                <w:szCs w:val="20"/>
                <w:color w:val="auto"/>
              </w:rPr>
            </w:pPr>
            <w:r>
              <w:rPr>
                <w:rFonts w:ascii="Arial" w:cs="Arial" w:eastAsia="Arial" w:hAnsi="Arial"/>
                <w:sz w:val="18"/>
                <w:szCs w:val="18"/>
                <w:color w:val="auto"/>
              </w:rPr>
              <w:t>Total</w:t>
            </w:r>
          </w:p>
        </w:tc>
        <w:tc>
          <w:tcPr>
            <w:tcW w:w="20" w:type="dxa"/>
            <w:vAlign w:val="bottom"/>
          </w:tcPr>
          <w:p>
            <w:pPr>
              <w:spacing w:after="0"/>
              <w:rPr>
                <w:sz w:val="19"/>
                <w:szCs w:val="19"/>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85"/>
              </w:rPr>
              <w:t>$</w:t>
            </w:r>
            <w:r>
              <w:rPr>
                <w:rFonts w:ascii="Arial" w:cs="Arial" w:eastAsia="Arial" w:hAnsi="Arial"/>
                <w:sz w:val="18"/>
                <w:szCs w:val="18"/>
                <w:color w:val="auto"/>
                <w:w w:val="85"/>
              </w:rPr>
              <w:t>510,126</w:t>
            </w: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4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w w:val="88"/>
              </w:rPr>
              <w:t>$ 13,457</w:t>
            </w:r>
          </w:p>
        </w:tc>
        <w:tc>
          <w:tcPr>
            <w:tcW w:w="280" w:type="dxa"/>
            <w:vAlign w:val="bottom"/>
          </w:tcPr>
          <w:p>
            <w:pPr>
              <w:spacing w:after="0"/>
              <w:rPr>
                <w:sz w:val="19"/>
                <w:szCs w:val="19"/>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82"/>
              </w:rPr>
              <w:t>$</w:t>
            </w:r>
            <w:r>
              <w:rPr>
                <w:rFonts w:ascii="Arial" w:cs="Arial" w:eastAsia="Arial" w:hAnsi="Arial"/>
                <w:sz w:val="18"/>
                <w:szCs w:val="18"/>
                <w:color w:val="auto"/>
                <w:w w:val="82"/>
              </w:rPr>
              <w:t xml:space="preserve"> 26,440</w:t>
            </w: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0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u w:val="single" w:color="auto"/>
                <w:color w:val="auto"/>
                <w:w w:val="82"/>
              </w:rPr>
              <w:t>$</w:t>
            </w:r>
            <w:r>
              <w:rPr>
                <w:rFonts w:ascii="Arial" w:cs="Arial" w:eastAsia="Arial" w:hAnsi="Arial"/>
                <w:sz w:val="18"/>
                <w:szCs w:val="18"/>
                <w:color w:val="auto"/>
                <w:w w:val="82"/>
              </w:rPr>
              <w:t xml:space="preserve"> 19,512</w:t>
            </w:r>
          </w:p>
        </w:tc>
        <w:tc>
          <w:tcPr>
            <w:tcW w:w="260" w:type="dxa"/>
            <w:vAlign w:val="bottom"/>
          </w:tcPr>
          <w:p>
            <w:pPr>
              <w:spacing w:after="0"/>
              <w:rPr>
                <w:sz w:val="19"/>
                <w:szCs w:val="19"/>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7"/>
              </w:rPr>
              <w:t>$ 450,717</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600" w:type="dxa"/>
            <w:vAlign w:val="bottom"/>
            <w:gridSpan w:val="3"/>
            <w:vMerge w:val="restart"/>
          </w:tcPr>
          <w:p>
            <w:pPr>
              <w:spacing w:after="0"/>
              <w:rPr>
                <w:sz w:val="20"/>
                <w:szCs w:val="20"/>
                <w:color w:val="auto"/>
              </w:rPr>
            </w:pPr>
            <w:r>
              <w:rPr>
                <w:rFonts w:ascii="Arial" w:cs="Arial" w:eastAsia="Arial" w:hAnsi="Arial"/>
                <w:sz w:val="18"/>
                <w:szCs w:val="18"/>
                <w:color w:val="auto"/>
              </w:rPr>
              <w:t>At December 31, 2020</w:t>
            </w:r>
          </w:p>
        </w:tc>
        <w:tc>
          <w:tcPr>
            <w:tcW w:w="2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6600" w:type="dxa"/>
            <w:vAlign w:val="bottom"/>
            <w:gridSpan w:val="3"/>
            <w:vMerge w:val="continue"/>
          </w:tcPr>
          <w:p>
            <w:pPr>
              <w:spacing w:after="0"/>
              <w:rPr>
                <w:sz w:val="24"/>
                <w:szCs w:val="24"/>
                <w:color w:val="auto"/>
              </w:rPr>
            </w:pPr>
          </w:p>
        </w:tc>
        <w:tc>
          <w:tcPr>
            <w:tcW w:w="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1"/>
        </w:trPr>
        <w:tc>
          <w:tcPr>
            <w:tcW w:w="8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53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820" w:type="dxa"/>
            <w:vAlign w:val="bottom"/>
            <w:tcBorders>
              <w:bottom w:val="single" w:sz="8" w:color="auto"/>
            </w:tcBorders>
            <w:gridSpan w:val="6"/>
          </w:tcPr>
          <w:p>
            <w:pPr>
              <w:jc w:val="center"/>
              <w:ind w:left="195"/>
              <w:spacing w:after="0"/>
              <w:rPr>
                <w:sz w:val="20"/>
                <w:szCs w:val="20"/>
                <w:color w:val="auto"/>
              </w:rPr>
            </w:pPr>
            <w:r>
              <w:rPr>
                <w:rFonts w:ascii="Arial" w:cs="Arial" w:eastAsia="Arial" w:hAnsi="Arial"/>
                <w:sz w:val="14"/>
                <w:szCs w:val="14"/>
                <w:b w:val="1"/>
                <w:bCs w:val="1"/>
                <w:color w:val="auto"/>
                <w:w w:val="91"/>
              </w:rPr>
              <w:t>Payments Due by Period</w:t>
            </w:r>
          </w:p>
        </w:tc>
        <w:tc>
          <w:tcPr>
            <w:tcW w:w="42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9"/>
        </w:trPr>
        <w:tc>
          <w:tcPr>
            <w:tcW w:w="820" w:type="dxa"/>
            <w:vAlign w:val="bottom"/>
            <w:vMerge w:val="restart"/>
          </w:tcPr>
          <w:p>
            <w:pPr>
              <w:spacing w:after="0"/>
              <w:rPr>
                <w:sz w:val="20"/>
                <w:szCs w:val="20"/>
                <w:color w:val="auto"/>
              </w:rPr>
            </w:pPr>
            <w:r>
              <w:rPr>
                <w:rFonts w:ascii="Arial" w:cs="Arial" w:eastAsia="Arial" w:hAnsi="Arial"/>
                <w:sz w:val="14"/>
                <w:szCs w:val="14"/>
                <w:color w:val="auto"/>
                <w:w w:val="90"/>
              </w:rPr>
              <w:t>(in thousands)</w:t>
            </w:r>
          </w:p>
        </w:tc>
        <w:tc>
          <w:tcPr>
            <w:tcW w:w="5780" w:type="dxa"/>
            <w:vAlign w:val="bottom"/>
            <w:gridSpan w:val="2"/>
            <w:vMerge w:val="restart"/>
          </w:tcPr>
          <w:p>
            <w:pPr>
              <w:spacing w:after="0"/>
              <w:rPr>
                <w:sz w:val="10"/>
                <w:szCs w:val="10"/>
                <w:color w:val="auto"/>
              </w:rPr>
            </w:pPr>
          </w:p>
        </w:tc>
        <w:tc>
          <w:tcPr>
            <w:tcW w:w="20" w:type="dxa"/>
            <w:vAlign w:val="bottom"/>
          </w:tcPr>
          <w:p>
            <w:pPr>
              <w:spacing w:after="0"/>
              <w:rPr>
                <w:sz w:val="10"/>
                <w:szCs w:val="10"/>
                <w:color w:val="auto"/>
              </w:rPr>
            </w:pPr>
          </w:p>
        </w:tc>
        <w:tc>
          <w:tcPr>
            <w:tcW w:w="940" w:type="dxa"/>
            <w:vAlign w:val="bottom"/>
            <w:gridSpan w:val="3"/>
            <w:vMerge w:val="restart"/>
          </w:tcPr>
          <w:p>
            <w:pPr>
              <w:ind w:left="160"/>
              <w:spacing w:after="0"/>
              <w:rPr>
                <w:sz w:val="20"/>
                <w:szCs w:val="20"/>
                <w:color w:val="auto"/>
              </w:rPr>
            </w:pPr>
            <w:r>
              <w:rPr>
                <w:rFonts w:ascii="Arial" w:cs="Arial" w:eastAsia="Arial" w:hAnsi="Arial"/>
                <w:sz w:val="14"/>
                <w:szCs w:val="14"/>
                <w:b w:val="1"/>
                <w:bCs w:val="1"/>
                <w:color w:val="auto"/>
              </w:rPr>
              <w:t>Total</w:t>
            </w:r>
          </w:p>
        </w:tc>
        <w:tc>
          <w:tcPr>
            <w:tcW w:w="920" w:type="dxa"/>
            <w:vAlign w:val="bottom"/>
            <w:gridSpan w:val="3"/>
          </w:tcPr>
          <w:p>
            <w:pPr>
              <w:spacing w:after="0" w:line="119" w:lineRule="exact"/>
              <w:rPr>
                <w:sz w:val="20"/>
                <w:szCs w:val="20"/>
                <w:color w:val="auto"/>
              </w:rPr>
            </w:pPr>
            <w:r>
              <w:rPr>
                <w:rFonts w:ascii="Arial" w:cs="Arial" w:eastAsia="Arial" w:hAnsi="Arial"/>
                <w:sz w:val="13"/>
                <w:szCs w:val="13"/>
                <w:b w:val="1"/>
                <w:bCs w:val="1"/>
                <w:color w:val="auto"/>
              </w:rPr>
              <w:t>Less Than</w:t>
            </w:r>
          </w:p>
        </w:tc>
        <w:tc>
          <w:tcPr>
            <w:tcW w:w="740" w:type="dxa"/>
            <w:vAlign w:val="bottom"/>
            <w:gridSpan w:val="2"/>
            <w:vMerge w:val="restart"/>
          </w:tcPr>
          <w:p>
            <w:pPr>
              <w:jc w:val="center"/>
              <w:ind w:right="140"/>
              <w:spacing w:after="0"/>
              <w:rPr>
                <w:sz w:val="20"/>
                <w:szCs w:val="20"/>
                <w:color w:val="auto"/>
              </w:rPr>
            </w:pPr>
            <w:r>
              <w:rPr>
                <w:rFonts w:ascii="Arial" w:cs="Arial" w:eastAsia="Arial" w:hAnsi="Arial"/>
                <w:sz w:val="14"/>
                <w:szCs w:val="14"/>
                <w:b w:val="1"/>
                <w:bCs w:val="1"/>
                <w:color w:val="auto"/>
                <w:w w:val="89"/>
              </w:rPr>
              <w:t>1-3 Years</w:t>
            </w:r>
          </w:p>
        </w:tc>
        <w:tc>
          <w:tcPr>
            <w:tcW w:w="140" w:type="dxa"/>
            <w:vAlign w:val="bottom"/>
          </w:tcPr>
          <w:p>
            <w:pPr>
              <w:spacing w:after="0"/>
              <w:rPr>
                <w:sz w:val="10"/>
                <w:szCs w:val="10"/>
                <w:color w:val="auto"/>
              </w:rPr>
            </w:pPr>
          </w:p>
        </w:tc>
        <w:tc>
          <w:tcPr>
            <w:tcW w:w="86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rPr>
              <w:t>3-5 Years</w:t>
            </w:r>
          </w:p>
        </w:tc>
        <w:tc>
          <w:tcPr>
            <w:tcW w:w="720" w:type="dxa"/>
            <w:vAlign w:val="bottom"/>
          </w:tcPr>
          <w:p>
            <w:pPr>
              <w:jc w:val="center"/>
              <w:spacing w:after="0" w:line="119" w:lineRule="exact"/>
              <w:rPr>
                <w:sz w:val="20"/>
                <w:szCs w:val="20"/>
                <w:color w:val="auto"/>
              </w:rPr>
            </w:pPr>
            <w:r>
              <w:rPr>
                <w:rFonts w:ascii="Arial" w:cs="Arial" w:eastAsia="Arial" w:hAnsi="Arial"/>
                <w:sz w:val="13"/>
                <w:szCs w:val="13"/>
                <w:b w:val="1"/>
                <w:bCs w:val="1"/>
                <w:color w:val="auto"/>
              </w:rPr>
              <w:t>More Than</w:t>
            </w: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8"/>
        </w:trPr>
        <w:tc>
          <w:tcPr>
            <w:tcW w:w="820" w:type="dxa"/>
            <w:vAlign w:val="bottom"/>
            <w:tcBorders>
              <w:bottom w:val="single" w:sz="8" w:color="auto"/>
            </w:tcBorders>
            <w:vMerge w:val="continue"/>
          </w:tcPr>
          <w:p>
            <w:pPr>
              <w:spacing w:after="0"/>
              <w:rPr>
                <w:sz w:val="15"/>
                <w:szCs w:val="15"/>
                <w:color w:val="auto"/>
              </w:rPr>
            </w:pPr>
          </w:p>
        </w:tc>
        <w:tc>
          <w:tcPr>
            <w:tcW w:w="5780" w:type="dxa"/>
            <w:vAlign w:val="bottom"/>
            <w:gridSpan w:val="2"/>
            <w:vMerge w:val="continue"/>
          </w:tcPr>
          <w:p>
            <w:pPr>
              <w:spacing w:after="0"/>
              <w:rPr>
                <w:sz w:val="15"/>
                <w:szCs w:val="15"/>
                <w:color w:val="auto"/>
              </w:rPr>
            </w:pPr>
          </w:p>
        </w:tc>
        <w:tc>
          <w:tcPr>
            <w:tcW w:w="20" w:type="dxa"/>
            <w:vAlign w:val="bottom"/>
          </w:tcPr>
          <w:p>
            <w:pPr>
              <w:spacing w:after="0"/>
              <w:rPr>
                <w:sz w:val="15"/>
                <w:szCs w:val="15"/>
                <w:color w:val="auto"/>
              </w:rPr>
            </w:pPr>
          </w:p>
        </w:tc>
        <w:tc>
          <w:tcPr>
            <w:tcW w:w="940" w:type="dxa"/>
            <w:vAlign w:val="bottom"/>
            <w:gridSpan w:val="3"/>
            <w:vMerge w:val="continue"/>
          </w:tcPr>
          <w:p>
            <w:pPr>
              <w:spacing w:after="0"/>
              <w:rPr>
                <w:sz w:val="15"/>
                <w:szCs w:val="15"/>
                <w:color w:val="auto"/>
              </w:rPr>
            </w:pPr>
          </w:p>
        </w:tc>
        <w:tc>
          <w:tcPr>
            <w:tcW w:w="920" w:type="dxa"/>
            <w:vAlign w:val="bottom"/>
            <w:gridSpan w:val="3"/>
          </w:tcPr>
          <w:p>
            <w:pPr>
              <w:ind w:left="40"/>
              <w:spacing w:after="0" w:line="158" w:lineRule="exact"/>
              <w:rPr>
                <w:sz w:val="20"/>
                <w:szCs w:val="20"/>
                <w:color w:val="auto"/>
              </w:rPr>
            </w:pPr>
            <w:r>
              <w:rPr>
                <w:rFonts w:ascii="Arial" w:cs="Arial" w:eastAsia="Arial" w:hAnsi="Arial"/>
                <w:sz w:val="14"/>
                <w:szCs w:val="14"/>
                <w:b w:val="1"/>
                <w:bCs w:val="1"/>
                <w:color w:val="auto"/>
              </w:rPr>
              <w:t>One Year</w:t>
            </w:r>
          </w:p>
        </w:tc>
        <w:tc>
          <w:tcPr>
            <w:tcW w:w="740" w:type="dxa"/>
            <w:vAlign w:val="bottom"/>
            <w:gridSpan w:val="2"/>
            <w:vMerge w:val="continue"/>
          </w:tcPr>
          <w:p>
            <w:pPr>
              <w:spacing w:after="0"/>
              <w:rPr>
                <w:sz w:val="15"/>
                <w:szCs w:val="15"/>
                <w:color w:val="auto"/>
              </w:rPr>
            </w:pPr>
          </w:p>
        </w:tc>
        <w:tc>
          <w:tcPr>
            <w:tcW w:w="140" w:type="dxa"/>
            <w:vAlign w:val="bottom"/>
          </w:tcPr>
          <w:p>
            <w:pPr>
              <w:spacing w:after="0"/>
              <w:rPr>
                <w:sz w:val="15"/>
                <w:szCs w:val="15"/>
                <w:color w:val="auto"/>
              </w:rPr>
            </w:pPr>
          </w:p>
        </w:tc>
        <w:tc>
          <w:tcPr>
            <w:tcW w:w="860" w:type="dxa"/>
            <w:vAlign w:val="bottom"/>
            <w:gridSpan w:val="3"/>
            <w:vMerge w:val="continue"/>
          </w:tcPr>
          <w:p>
            <w:pPr>
              <w:spacing w:after="0"/>
              <w:rPr>
                <w:sz w:val="15"/>
                <w:szCs w:val="15"/>
                <w:color w:val="auto"/>
              </w:rPr>
            </w:pPr>
          </w:p>
        </w:tc>
        <w:tc>
          <w:tcPr>
            <w:tcW w:w="800" w:type="dxa"/>
            <w:vAlign w:val="bottom"/>
            <w:gridSpan w:val="2"/>
          </w:tcPr>
          <w:p>
            <w:pPr>
              <w:jc w:val="center"/>
              <w:ind w:right="80"/>
              <w:spacing w:after="0" w:line="158" w:lineRule="exact"/>
              <w:rPr>
                <w:sz w:val="20"/>
                <w:szCs w:val="20"/>
                <w:color w:val="auto"/>
              </w:rPr>
            </w:pPr>
            <w:r>
              <w:rPr>
                <w:rFonts w:ascii="Arial" w:cs="Arial" w:eastAsia="Arial" w:hAnsi="Arial"/>
                <w:sz w:val="14"/>
                <w:szCs w:val="14"/>
                <w:b w:val="1"/>
                <w:bCs w:val="1"/>
                <w:color w:val="auto"/>
                <w:w w:val="91"/>
              </w:rPr>
              <w:t>Five Years</w:t>
            </w:r>
          </w:p>
        </w:tc>
        <w:tc>
          <w:tcPr>
            <w:tcW w:w="0" w:type="dxa"/>
            <w:vAlign w:val="bottom"/>
          </w:tcPr>
          <w:p>
            <w:pPr>
              <w:spacing w:after="0"/>
              <w:rPr>
                <w:sz w:val="1"/>
                <w:szCs w:val="1"/>
                <w:color w:val="auto"/>
              </w:rPr>
            </w:pPr>
          </w:p>
        </w:tc>
      </w:tr>
      <w:tr>
        <w:trPr>
          <w:trHeight w:val="203"/>
        </w:trPr>
        <w:tc>
          <w:tcPr>
            <w:tcW w:w="6600" w:type="dxa"/>
            <w:vAlign w:val="bottom"/>
            <w:tcBorders>
              <w:top w:val="single" w:sz="8" w:color="CCEEFF"/>
            </w:tcBorders>
            <w:gridSpan w:val="3"/>
            <w:shd w:val="clear" w:color="auto" w:fill="CCEEFF"/>
          </w:tcPr>
          <w:p>
            <w:pPr>
              <w:spacing w:after="0" w:line="203" w:lineRule="exact"/>
              <w:rPr>
                <w:sz w:val="20"/>
                <w:szCs w:val="20"/>
                <w:color w:val="auto"/>
              </w:rPr>
            </w:pPr>
            <w:r>
              <w:rPr>
                <w:rFonts w:ascii="Arial" w:cs="Arial" w:eastAsia="Arial" w:hAnsi="Arial"/>
                <w:sz w:val="18"/>
                <w:szCs w:val="18"/>
                <w:color w:val="auto"/>
              </w:rPr>
              <w:t>Long-term Debt Obligations</w:t>
            </w:r>
          </w:p>
        </w:tc>
        <w:tc>
          <w:tcPr>
            <w:tcW w:w="20" w:type="dxa"/>
            <w:vAlign w:val="bottom"/>
            <w:tcBorders>
              <w:top w:val="single" w:sz="8" w:color="CCEEFF"/>
            </w:tcBorders>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85"/>
              </w:rPr>
              <w:t>$472,742</w:t>
            </w:r>
          </w:p>
        </w:tc>
        <w:tc>
          <w:tcPr>
            <w:tcW w:w="2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line="203" w:lineRule="exact"/>
              <w:rPr>
                <w:sz w:val="20"/>
                <w:szCs w:val="20"/>
                <w:color w:val="auto"/>
              </w:rPr>
            </w:pPr>
            <w:r>
              <w:rPr>
                <w:rFonts w:ascii="Arial" w:cs="Arial" w:eastAsia="Arial" w:hAnsi="Arial"/>
                <w:sz w:val="18"/>
                <w:szCs w:val="18"/>
                <w:color w:val="auto"/>
              </w:rPr>
              <w:t>$</w:t>
            </w:r>
          </w:p>
        </w:tc>
        <w:tc>
          <w:tcPr>
            <w:tcW w:w="48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4,680</w:t>
            </w:r>
          </w:p>
        </w:tc>
        <w:tc>
          <w:tcPr>
            <w:tcW w:w="280" w:type="dxa"/>
            <w:vAlign w:val="bottom"/>
            <w:tcBorders>
              <w:top w:val="single" w:sz="8" w:color="CCEEFF"/>
            </w:tcBorders>
            <w:shd w:val="clear" w:color="auto" w:fill="CCEEFF"/>
          </w:tcPr>
          <w:p>
            <w:pPr>
              <w:spacing w:after="0"/>
              <w:rPr>
                <w:sz w:val="17"/>
                <w:szCs w:val="17"/>
                <w:color w:val="auto"/>
              </w:rPr>
            </w:pPr>
          </w:p>
        </w:tc>
        <w:tc>
          <w:tcPr>
            <w:tcW w:w="60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96"/>
              </w:rPr>
              <w:t>$ 9,360</w:t>
            </w:r>
          </w:p>
        </w:tc>
        <w:tc>
          <w:tcPr>
            <w:tcW w:w="14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line="203" w:lineRule="exact"/>
              <w:rPr>
                <w:sz w:val="20"/>
                <w:szCs w:val="20"/>
                <w:color w:val="auto"/>
              </w:rPr>
            </w:pPr>
            <w:r>
              <w:rPr>
                <w:rFonts w:ascii="Arial" w:cs="Arial" w:eastAsia="Arial" w:hAnsi="Arial"/>
                <w:sz w:val="18"/>
                <w:szCs w:val="18"/>
                <w:color w:val="auto"/>
              </w:rPr>
              <w:t>$</w:t>
            </w:r>
          </w:p>
        </w:tc>
        <w:tc>
          <w:tcPr>
            <w:tcW w:w="42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88"/>
              </w:rPr>
              <w:t>9,360</w:t>
            </w:r>
          </w:p>
        </w:tc>
        <w:tc>
          <w:tcPr>
            <w:tcW w:w="260" w:type="dxa"/>
            <w:vAlign w:val="bottom"/>
            <w:tcBorders>
              <w:top w:val="single" w:sz="8" w:color="CCEEFF"/>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87"/>
              </w:rPr>
              <w:t>$ 449,342</w:t>
            </w:r>
          </w:p>
        </w:tc>
        <w:tc>
          <w:tcPr>
            <w:tcW w:w="8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600" w:type="dxa"/>
            <w:vAlign w:val="bottom"/>
            <w:gridSpan w:val="3"/>
          </w:tcPr>
          <w:p>
            <w:pPr>
              <w:spacing w:after="0"/>
              <w:rPr>
                <w:sz w:val="20"/>
                <w:szCs w:val="20"/>
                <w:color w:val="auto"/>
              </w:rPr>
            </w:pPr>
            <w:r>
              <w:rPr>
                <w:rFonts w:ascii="Arial" w:cs="Arial" w:eastAsia="Arial" w:hAnsi="Arial"/>
                <w:sz w:val="18"/>
                <w:szCs w:val="18"/>
                <w:color w:val="auto"/>
              </w:rPr>
              <w:t>Operating Lease Obligations</w:t>
            </w:r>
            <w:r>
              <w:rPr>
                <w:rFonts w:ascii="Arial" w:cs="Arial" w:eastAsia="Arial" w:hAnsi="Arial"/>
                <w:sz w:val="15"/>
                <w:szCs w:val="15"/>
                <w:color w:val="auto"/>
              </w:rPr>
              <w:t>(1)</w:t>
            </w:r>
          </w:p>
        </w:tc>
        <w:tc>
          <w:tcPr>
            <w:tcW w:w="700" w:type="dxa"/>
            <w:vAlign w:val="bottom"/>
            <w:gridSpan w:val="3"/>
          </w:tcPr>
          <w:p>
            <w:pPr>
              <w:jc w:val="right"/>
              <w:ind w:right="20"/>
              <w:spacing w:after="0"/>
              <w:rPr>
                <w:sz w:val="20"/>
                <w:szCs w:val="20"/>
                <w:color w:val="auto"/>
              </w:rPr>
            </w:pPr>
            <w:r>
              <w:rPr>
                <w:rFonts w:ascii="Arial" w:cs="Arial" w:eastAsia="Arial" w:hAnsi="Arial"/>
                <w:sz w:val="18"/>
                <w:szCs w:val="18"/>
                <w:color w:val="auto"/>
              </w:rPr>
              <w:t>17,072</w:t>
            </w: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gridSpan w:val="2"/>
          </w:tcPr>
          <w:p>
            <w:pPr>
              <w:jc w:val="right"/>
              <w:ind w:right="280"/>
              <w:spacing w:after="0"/>
              <w:rPr>
                <w:sz w:val="20"/>
                <w:szCs w:val="20"/>
                <w:color w:val="auto"/>
              </w:rPr>
            </w:pPr>
            <w:r>
              <w:rPr>
                <w:rFonts w:ascii="Arial" w:cs="Arial" w:eastAsia="Arial" w:hAnsi="Arial"/>
                <w:sz w:val="18"/>
                <w:szCs w:val="18"/>
                <w:color w:val="auto"/>
              </w:rPr>
              <w:t>3,035</w:t>
            </w:r>
          </w:p>
        </w:tc>
        <w:tc>
          <w:tcPr>
            <w:tcW w:w="740" w:type="dxa"/>
            <w:vAlign w:val="bottom"/>
            <w:gridSpan w:val="2"/>
          </w:tcPr>
          <w:p>
            <w:pPr>
              <w:jc w:val="right"/>
              <w:ind w:right="140"/>
              <w:spacing w:after="0"/>
              <w:rPr>
                <w:sz w:val="20"/>
                <w:szCs w:val="20"/>
                <w:color w:val="auto"/>
              </w:rPr>
            </w:pPr>
            <w:r>
              <w:rPr>
                <w:rFonts w:ascii="Arial" w:cs="Arial" w:eastAsia="Arial" w:hAnsi="Arial"/>
                <w:sz w:val="18"/>
                <w:szCs w:val="18"/>
                <w:color w:val="auto"/>
              </w:rPr>
              <w:t>4,716</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gridSpan w:val="2"/>
          </w:tcPr>
          <w:p>
            <w:pPr>
              <w:jc w:val="right"/>
              <w:ind w:right="260"/>
              <w:spacing w:after="0"/>
              <w:rPr>
                <w:sz w:val="20"/>
                <w:szCs w:val="20"/>
                <w:color w:val="auto"/>
              </w:rPr>
            </w:pPr>
            <w:r>
              <w:rPr>
                <w:rFonts w:ascii="Arial" w:cs="Arial" w:eastAsia="Arial" w:hAnsi="Arial"/>
                <w:sz w:val="18"/>
                <w:szCs w:val="18"/>
                <w:color w:val="auto"/>
                <w:w w:val="88"/>
              </w:rPr>
              <w:t>4,531</w:t>
            </w:r>
          </w:p>
        </w:tc>
        <w:tc>
          <w:tcPr>
            <w:tcW w:w="800" w:type="dxa"/>
            <w:vAlign w:val="bottom"/>
            <w:gridSpan w:val="2"/>
          </w:tcPr>
          <w:p>
            <w:pPr>
              <w:jc w:val="right"/>
              <w:ind w:right="80"/>
              <w:spacing w:after="0"/>
              <w:rPr>
                <w:sz w:val="20"/>
                <w:szCs w:val="20"/>
                <w:color w:val="auto"/>
              </w:rPr>
            </w:pPr>
            <w:r>
              <w:rPr>
                <w:rFonts w:ascii="Arial" w:cs="Arial" w:eastAsia="Arial" w:hAnsi="Arial"/>
                <w:sz w:val="18"/>
                <w:szCs w:val="18"/>
                <w:color w:val="auto"/>
              </w:rPr>
              <w:t>4,790</w:t>
            </w:r>
          </w:p>
        </w:tc>
        <w:tc>
          <w:tcPr>
            <w:tcW w:w="0" w:type="dxa"/>
            <w:vAlign w:val="bottom"/>
          </w:tcPr>
          <w:p>
            <w:pPr>
              <w:spacing w:after="0"/>
              <w:rPr>
                <w:sz w:val="1"/>
                <w:szCs w:val="1"/>
                <w:color w:val="auto"/>
              </w:rPr>
            </w:pPr>
          </w:p>
        </w:tc>
      </w:tr>
      <w:tr>
        <w:trPr>
          <w:trHeight w:val="216"/>
        </w:trPr>
        <w:tc>
          <w:tcPr>
            <w:tcW w:w="66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Purchase Obligations</w:t>
            </w:r>
            <w:r>
              <w:rPr>
                <w:rFonts w:ascii="Arial" w:cs="Arial" w:eastAsia="Arial" w:hAnsi="Arial"/>
                <w:sz w:val="15"/>
                <w:szCs w:val="15"/>
                <w:color w:val="auto"/>
              </w:rPr>
              <w:t>(2)</w:t>
            </w:r>
          </w:p>
        </w:tc>
        <w:tc>
          <w:tcPr>
            <w:tcW w:w="70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22,046</w:t>
            </w: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5,396</w:t>
            </w: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10,355</w:t>
            </w: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88"/>
              </w:rPr>
              <w:t>6,295</w:t>
            </w: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6600" w:type="dxa"/>
            <w:vAlign w:val="bottom"/>
            <w:gridSpan w:val="3"/>
          </w:tcPr>
          <w:p>
            <w:pPr>
              <w:spacing w:after="0"/>
              <w:rPr>
                <w:sz w:val="20"/>
                <w:szCs w:val="20"/>
                <w:color w:val="auto"/>
              </w:rPr>
            </w:pPr>
            <w:r>
              <w:rPr>
                <w:rFonts w:ascii="Arial" w:cs="Arial" w:eastAsia="Arial" w:hAnsi="Arial"/>
                <w:sz w:val="18"/>
                <w:szCs w:val="18"/>
                <w:color w:val="auto"/>
              </w:rPr>
              <w:t>Total</w:t>
            </w:r>
          </w:p>
        </w:tc>
        <w:tc>
          <w:tcPr>
            <w:tcW w:w="20" w:type="dxa"/>
            <w:vAlign w:val="bottom"/>
            <w:tcBorders>
              <w:bottom w:val="single" w:sz="8" w:color="auto"/>
            </w:tcBorders>
          </w:tcPr>
          <w:p>
            <w:pPr>
              <w:spacing w:after="0"/>
              <w:rPr>
                <w:sz w:val="19"/>
                <w:szCs w:val="19"/>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79"/>
              </w:rPr>
              <w:t>$</w:t>
            </w:r>
            <w:r>
              <w:rPr>
                <w:rFonts w:ascii="Arial" w:cs="Arial" w:eastAsia="Arial" w:hAnsi="Arial"/>
                <w:sz w:val="18"/>
                <w:szCs w:val="18"/>
                <w:color w:val="auto"/>
                <w:w w:val="79"/>
              </w:rPr>
              <w:t xml:space="preserve"> 511,860</w:t>
            </w:r>
          </w:p>
        </w:tc>
        <w:tc>
          <w:tcPr>
            <w:tcW w:w="20" w:type="dxa"/>
            <w:vAlign w:val="bottom"/>
            <w:tcBorders>
              <w:bottom w:val="single" w:sz="8" w:color="auto"/>
            </w:tcBorders>
          </w:tcPr>
          <w:p>
            <w:pPr>
              <w:spacing w:after="0"/>
              <w:rPr>
                <w:sz w:val="19"/>
                <w:szCs w:val="19"/>
                <w:color w:val="auto"/>
              </w:rPr>
            </w:pPr>
          </w:p>
        </w:tc>
        <w:tc>
          <w:tcPr>
            <w:tcW w:w="260" w:type="dxa"/>
            <w:vAlign w:val="bottom"/>
          </w:tcPr>
          <w:p>
            <w:pPr>
              <w:spacing w:after="0"/>
              <w:rPr>
                <w:sz w:val="19"/>
                <w:szCs w:val="19"/>
                <w:color w:val="auto"/>
              </w:rPr>
            </w:pPr>
          </w:p>
        </w:tc>
        <w:tc>
          <w:tcPr>
            <w:tcW w:w="64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w w:val="88"/>
              </w:rPr>
              <w:t>$ 13,111</w:t>
            </w:r>
          </w:p>
        </w:tc>
        <w:tc>
          <w:tcPr>
            <w:tcW w:w="280" w:type="dxa"/>
            <w:vAlign w:val="bottom"/>
          </w:tcPr>
          <w:p>
            <w:pPr>
              <w:spacing w:after="0"/>
              <w:rPr>
                <w:sz w:val="19"/>
                <w:szCs w:val="19"/>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82"/>
              </w:rPr>
              <w:t>$</w:t>
            </w:r>
            <w:r>
              <w:rPr>
                <w:rFonts w:ascii="Arial" w:cs="Arial" w:eastAsia="Arial" w:hAnsi="Arial"/>
                <w:sz w:val="18"/>
                <w:szCs w:val="18"/>
                <w:color w:val="auto"/>
                <w:w w:val="82"/>
              </w:rPr>
              <w:t xml:space="preserve"> 24,431</w:t>
            </w: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0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u w:val="single" w:color="auto"/>
                <w:color w:val="auto"/>
                <w:w w:val="82"/>
              </w:rPr>
              <w:t>$</w:t>
            </w:r>
            <w:r>
              <w:rPr>
                <w:rFonts w:ascii="Arial" w:cs="Arial" w:eastAsia="Arial" w:hAnsi="Arial"/>
                <w:sz w:val="18"/>
                <w:szCs w:val="18"/>
                <w:color w:val="auto"/>
                <w:w w:val="82"/>
              </w:rPr>
              <w:t xml:space="preserve"> 20,186</w:t>
            </w:r>
          </w:p>
        </w:tc>
        <w:tc>
          <w:tcPr>
            <w:tcW w:w="260" w:type="dxa"/>
            <w:vAlign w:val="bottom"/>
          </w:tcPr>
          <w:p>
            <w:pPr>
              <w:spacing w:after="0"/>
              <w:rPr>
                <w:sz w:val="19"/>
                <w:szCs w:val="19"/>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7"/>
              </w:rPr>
              <w:t>$ 454,132</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820" w:type="dxa"/>
            <w:vAlign w:val="bottom"/>
            <w:tcBorders>
              <w:bottom w:val="single" w:sz="8" w:color="auto"/>
            </w:tcBorders>
          </w:tcPr>
          <w:p>
            <w:pPr>
              <w:spacing w:after="0"/>
              <w:rPr>
                <w:sz w:val="11"/>
                <w:szCs w:val="11"/>
                <w:color w:val="auto"/>
              </w:rPr>
            </w:pPr>
          </w:p>
        </w:tc>
        <w:tc>
          <w:tcPr>
            <w:tcW w:w="400" w:type="dxa"/>
            <w:vAlign w:val="bottom"/>
            <w:tcBorders>
              <w:bottom w:val="single" w:sz="8" w:color="auto"/>
            </w:tcBorders>
          </w:tcPr>
          <w:p>
            <w:pPr>
              <w:spacing w:after="0"/>
              <w:rPr>
                <w:sz w:val="11"/>
                <w:szCs w:val="11"/>
                <w:color w:val="auto"/>
              </w:rPr>
            </w:pPr>
          </w:p>
        </w:tc>
        <w:tc>
          <w:tcPr>
            <w:tcW w:w="53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6" w:lineRule="exact"/>
        <w:rPr>
          <w:sz w:val="20"/>
          <w:szCs w:val="20"/>
          <w:color w:val="auto"/>
        </w:rPr>
      </w:pPr>
    </w:p>
    <w:p>
      <w:pPr>
        <w:ind w:left="540" w:right="560" w:hanging="424"/>
        <w:spacing w:after="0" w:line="274" w:lineRule="auto"/>
        <w:tabs>
          <w:tab w:leader="none" w:pos="540" w:val="left"/>
        </w:tabs>
        <w:numPr>
          <w:ilvl w:val="0"/>
          <w:numId w:val="90"/>
        </w:numPr>
        <w:rPr>
          <w:rFonts w:ascii="Arial" w:cs="Arial" w:eastAsia="Arial" w:hAnsi="Arial"/>
          <w:sz w:val="17"/>
          <w:szCs w:val="17"/>
          <w:color w:val="auto"/>
        </w:rPr>
      </w:pPr>
      <w:r>
        <w:rPr>
          <w:rFonts w:ascii="Arial" w:cs="Arial" w:eastAsia="Arial" w:hAnsi="Arial"/>
          <w:sz w:val="17"/>
          <w:szCs w:val="17"/>
          <w:color w:val="auto"/>
        </w:rPr>
        <w:t>Operating lease obligations consist of minimum rental payments under noncancelable operating leases of office space as shown in Note 11. Commitments and Contingencies to the audited consolidated financial statements are included elsewhere in this prospectus.</w:t>
      </w:r>
    </w:p>
    <w:p>
      <w:pPr>
        <w:ind w:left="540" w:hanging="424"/>
        <w:spacing w:after="0"/>
        <w:tabs>
          <w:tab w:leader="none" w:pos="540" w:val="left"/>
        </w:tabs>
        <w:numPr>
          <w:ilvl w:val="0"/>
          <w:numId w:val="90"/>
        </w:numPr>
        <w:rPr>
          <w:rFonts w:ascii="Arial" w:cs="Arial" w:eastAsia="Arial" w:hAnsi="Arial"/>
          <w:sz w:val="18"/>
          <w:szCs w:val="18"/>
          <w:color w:val="auto"/>
        </w:rPr>
      </w:pPr>
      <w:r>
        <w:rPr>
          <w:rFonts w:ascii="Arial" w:cs="Arial" w:eastAsia="Arial" w:hAnsi="Arial"/>
          <w:sz w:val="18"/>
          <w:szCs w:val="18"/>
          <w:color w:val="auto"/>
        </w:rPr>
        <w:t>Minimum purchase obligations are legally binding agreements entered into in the normal course of business.</w:t>
      </w:r>
    </w:p>
    <w:p>
      <w:pPr>
        <w:spacing w:after="0" w:line="211" w:lineRule="exact"/>
        <w:rPr>
          <w:sz w:val="20"/>
          <w:szCs w:val="20"/>
          <w:color w:val="auto"/>
        </w:rPr>
      </w:pPr>
    </w:p>
    <w:p>
      <w:pPr>
        <w:ind w:left="120" w:right="40" w:firstLine="440"/>
        <w:spacing w:after="0" w:line="279" w:lineRule="auto"/>
        <w:rPr>
          <w:sz w:val="20"/>
          <w:szCs w:val="20"/>
          <w:color w:val="auto"/>
        </w:rPr>
      </w:pPr>
      <w:r>
        <w:rPr>
          <w:rFonts w:ascii="Arial" w:cs="Arial" w:eastAsia="Arial" w:hAnsi="Arial"/>
          <w:sz w:val="17"/>
          <w:szCs w:val="17"/>
          <w:color w:val="auto"/>
        </w:rPr>
        <w:t>Other contractual obligations recorded on the balance sheet include the Monocl acquisition earn-out liability of $7.1 million and $5.2 million as of June 30, 2021 and December 31, 2020, respectively. The Company had the potential to make a maximum of $13.5 million and a minimum of $0.0 million (undiscounted) in earn-out payments at June 30, 2021. In April 2021, a first payment of $1.5 million was made. Assuming the achievement of the applicable performance criteria, the second and last earn-out payment of $10 million or less will be made in April 2022.</w:t>
      </w:r>
    </w:p>
    <w:p>
      <w:pPr>
        <w:spacing w:after="0" w:line="104"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101</w:t>
      </w:r>
    </w:p>
    <w:p>
      <w:pPr>
        <w:sectPr>
          <w:pgSz w:w="11900" w:h="16838" w:orient="portrait"/>
          <w:cols w:equalWidth="0" w:num="1">
            <w:col w:w="11140"/>
          </w:cols>
          <w:pgMar w:left="320" w:top="459" w:right="439" w:bottom="1440" w:gutter="0" w:footer="0" w:header="0"/>
        </w:sectPr>
      </w:pPr>
    </w:p>
    <w:bookmarkStart w:id="108" w:name="page109"/>
    <w:bookmarkEnd w:id="10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Confidential Treatment Requested by Definitive Healthcare Corp.</w:t>
      </w:r>
    </w:p>
    <w:p>
      <w:pPr>
        <w:spacing w:after="0" w:line="27"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Pursuant to 17 C.F.R. Section 200.83</w:t>
      </w:r>
    </w:p>
    <w:p>
      <w:pPr>
        <w:spacing w:after="0" w:line="143" w:lineRule="exact"/>
        <w:rPr>
          <w:sz w:val="20"/>
          <w:szCs w:val="20"/>
          <w:color w:val="auto"/>
        </w:rPr>
      </w:pPr>
    </w:p>
    <w:p>
      <w:pPr>
        <w:jc w:val="both"/>
        <w:ind w:left="120" w:right="540" w:firstLine="440"/>
        <w:spacing w:after="0" w:line="286" w:lineRule="auto"/>
        <w:rPr>
          <w:sz w:val="20"/>
          <w:szCs w:val="20"/>
          <w:color w:val="auto"/>
        </w:rPr>
      </w:pPr>
      <w:r>
        <w:rPr>
          <w:rFonts w:ascii="Arial" w:cs="Arial" w:eastAsia="Arial" w:hAnsi="Arial"/>
          <w:sz w:val="17"/>
          <w:szCs w:val="17"/>
          <w:color w:val="auto"/>
        </w:rPr>
        <w:t>The payments we may be required to make under the Tax Receivable Agreement may be significant and are not reflected in the contractual obligations tables set forth above, as we are currently unable to estimate the amounts and timing of the payments that may be due thereunder. See “Prospectus Summary—Organizational Structure—Holding Company Structure and the Tax Receivable Agreement.”</w:t>
      </w:r>
    </w:p>
    <w:p>
      <w:pPr>
        <w:spacing w:after="0" w:line="273"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Off-Balance Sheet Arrangements</w:t>
      </w:r>
    </w:p>
    <w:p>
      <w:pPr>
        <w:spacing w:after="0" w:line="117" w:lineRule="exact"/>
        <w:rPr>
          <w:sz w:val="20"/>
          <w:szCs w:val="20"/>
          <w:color w:val="auto"/>
        </w:rPr>
      </w:pPr>
    </w:p>
    <w:p>
      <w:pPr>
        <w:ind w:left="560"/>
        <w:spacing w:after="0"/>
        <w:rPr>
          <w:sz w:val="20"/>
          <w:szCs w:val="20"/>
          <w:color w:val="auto"/>
        </w:rPr>
      </w:pPr>
      <w:r>
        <w:rPr>
          <w:rFonts w:ascii="Arial" w:cs="Arial" w:eastAsia="Arial" w:hAnsi="Arial"/>
          <w:sz w:val="18"/>
          <w:szCs w:val="18"/>
          <w:color w:val="auto"/>
        </w:rPr>
        <w:t>As of June 30, 2021 and December 31, 2020, we had no off-balance sheet arrangements.</w:t>
      </w:r>
    </w:p>
    <w:p>
      <w:pPr>
        <w:spacing w:after="0" w:line="32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121" w:lineRule="exact"/>
        <w:rPr>
          <w:sz w:val="20"/>
          <w:szCs w:val="20"/>
          <w:color w:val="auto"/>
        </w:rPr>
      </w:pPr>
    </w:p>
    <w:p>
      <w:pPr>
        <w:ind w:left="120" w:firstLine="440"/>
        <w:spacing w:after="0" w:line="290" w:lineRule="auto"/>
        <w:rPr>
          <w:sz w:val="20"/>
          <w:szCs w:val="20"/>
          <w:color w:val="auto"/>
        </w:rPr>
      </w:pPr>
      <w:r>
        <w:rPr>
          <w:rFonts w:ascii="Arial" w:cs="Arial" w:eastAsia="Arial" w:hAnsi="Arial"/>
          <w:sz w:val="16"/>
          <w:szCs w:val="16"/>
          <w:color w:val="auto"/>
        </w:rPr>
        <w:t>We prepare our consolidated financial statements in accordance with GAAP in the U.S. While the majority of our revenue, expenses, assets and liabilities are not based on estimates, there are certain accounting principles that requires management to make judgement and estimates regarding matters that are uncertain and susceptible to change. Critical accounting policies are defined as those policies that are reflective of significant judgments, estimates and uncertainties, which could potentially result in materially different results under different assumptions and conditions. Management regularly reviews the estimates and assumptions used in the preparation of the financial statements for reasonableness and adequacy. Our estimates are based on historical experience, current conditions and various other assumptions that we believe to be reasonable under the circumstances. Our actual results may differ from these estimates and assumptions. To the extent that there are differences between our estimates and actual results, our future financial statement presentation, financial condition, results of operations and cash flows may be affected.</w:t>
      </w:r>
    </w:p>
    <w:p>
      <w:pPr>
        <w:spacing w:after="0" w:line="165" w:lineRule="exact"/>
        <w:rPr>
          <w:sz w:val="20"/>
          <w:szCs w:val="20"/>
          <w:color w:val="auto"/>
        </w:rPr>
      </w:pPr>
    </w:p>
    <w:p>
      <w:pPr>
        <w:ind w:left="120" w:right="20" w:firstLine="440"/>
        <w:spacing w:after="0" w:line="257" w:lineRule="auto"/>
        <w:rPr>
          <w:sz w:val="20"/>
          <w:szCs w:val="20"/>
          <w:color w:val="auto"/>
        </w:rPr>
      </w:pPr>
      <w:r>
        <w:rPr>
          <w:rFonts w:ascii="Arial" w:cs="Arial" w:eastAsia="Arial" w:hAnsi="Arial"/>
          <w:sz w:val="18"/>
          <w:szCs w:val="18"/>
          <w:color w:val="auto"/>
        </w:rPr>
        <w:t>Our significant accounting policies are discussed in Note 2. Summary of Significant Accounting Policies to our consolidated financial statements included elsewhere in this prospectus; however, the following discussion pertains to accounting policies we believe are most critical to the portrayal of our financial condition and results of operations and that require significant, difficult, subjective or complex judgments or estimates. Other companies in similar businesses may use different estimation policies and methodologies, which may affect the comparability of our financial statements, financial condition, results of operations and cash flows to those of other companies.</w:t>
      </w:r>
    </w:p>
    <w:p>
      <w:pPr>
        <w:spacing w:after="0" w:line="296"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117" w:lineRule="exact"/>
        <w:rPr>
          <w:sz w:val="20"/>
          <w:szCs w:val="20"/>
          <w:color w:val="auto"/>
        </w:rPr>
      </w:pPr>
    </w:p>
    <w:p>
      <w:pPr>
        <w:ind w:left="120" w:right="20" w:firstLine="440"/>
        <w:spacing w:after="0" w:line="311" w:lineRule="auto"/>
        <w:rPr>
          <w:sz w:val="20"/>
          <w:szCs w:val="20"/>
          <w:color w:val="auto"/>
        </w:rPr>
      </w:pPr>
      <w:r>
        <w:rPr>
          <w:rFonts w:ascii="Arial" w:cs="Arial" w:eastAsia="Arial" w:hAnsi="Arial"/>
          <w:sz w:val="16"/>
          <w:szCs w:val="16"/>
          <w:color w:val="auto"/>
        </w:rPr>
        <w:t>We derive revenue primarily from subscription license fees charged for access to the Company’s database platform, and professional services. The customer arrangements include a promise to allow customers to access subscription license to the database platform which is hosted by the Company over the contract period, without allowing the customer to take possession of the subscription license or transfer hosting to a third party.</w:t>
      </w:r>
    </w:p>
    <w:p>
      <w:pPr>
        <w:spacing w:after="0" w:line="149" w:lineRule="exact"/>
        <w:rPr>
          <w:sz w:val="20"/>
          <w:szCs w:val="20"/>
          <w:color w:val="auto"/>
        </w:rPr>
      </w:pPr>
    </w:p>
    <w:p>
      <w:pPr>
        <w:ind w:left="120" w:right="100" w:firstLine="440"/>
        <w:spacing w:after="0" w:line="263" w:lineRule="auto"/>
        <w:rPr>
          <w:sz w:val="20"/>
          <w:szCs w:val="20"/>
          <w:color w:val="auto"/>
        </w:rPr>
      </w:pPr>
      <w:r>
        <w:rPr>
          <w:rFonts w:ascii="Arial" w:cs="Arial" w:eastAsia="Arial" w:hAnsi="Arial"/>
          <w:sz w:val="18"/>
          <w:szCs w:val="18"/>
          <w:color w:val="auto"/>
        </w:rPr>
        <w:t>We recognize revenue in accordance with ASC 606–</w:t>
      </w:r>
      <w:r>
        <w:rPr>
          <w:rFonts w:ascii="Arial" w:cs="Arial" w:eastAsia="Arial" w:hAnsi="Arial"/>
          <w:sz w:val="18"/>
          <w:szCs w:val="18"/>
          <w:i w:val="1"/>
          <w:iCs w:val="1"/>
          <w:color w:val="auto"/>
        </w:rPr>
        <w:t>Revenue from Contracts with Customers</w:t>
      </w:r>
      <w:r>
        <w:rPr>
          <w:rFonts w:ascii="Arial" w:cs="Arial" w:eastAsia="Arial" w:hAnsi="Arial"/>
          <w:sz w:val="18"/>
          <w:szCs w:val="18"/>
          <w:color w:val="auto"/>
        </w:rPr>
        <w:t>, which provides a five-step model for recognizing revenue from contracts with customers. Revenue is recognized upon transfer of control of promised services to customers in an amount that reflects the consideration the Company expects to receive in exchange for those services.</w:t>
      </w:r>
    </w:p>
    <w:p>
      <w:pPr>
        <w:spacing w:after="0" w:line="184" w:lineRule="exact"/>
        <w:rPr>
          <w:sz w:val="20"/>
          <w:szCs w:val="20"/>
          <w:color w:val="auto"/>
        </w:rPr>
      </w:pPr>
    </w:p>
    <w:p>
      <w:pPr>
        <w:ind w:left="120" w:right="20" w:firstLine="440"/>
        <w:spacing w:after="0" w:line="263" w:lineRule="auto"/>
        <w:rPr>
          <w:sz w:val="20"/>
          <w:szCs w:val="20"/>
          <w:color w:val="auto"/>
        </w:rPr>
      </w:pPr>
      <w:r>
        <w:rPr>
          <w:rFonts w:ascii="Arial" w:cs="Arial" w:eastAsia="Arial" w:hAnsi="Arial"/>
          <w:sz w:val="18"/>
          <w:szCs w:val="18"/>
          <w:color w:val="auto"/>
        </w:rPr>
        <w:t>Revenue related to hosted subscription license arrangements, which often include non-distinct professional services, is recognized ratably over the contract term as the customer simultaneously receives and consumes the benefits provided by our performance. These subscription contracts typically have a term of one to three years and are non-cancellable.</w:t>
      </w:r>
    </w:p>
    <w:p>
      <w:pPr>
        <w:spacing w:after="0" w:line="184" w:lineRule="exact"/>
        <w:rPr>
          <w:sz w:val="20"/>
          <w:szCs w:val="20"/>
          <w:color w:val="auto"/>
        </w:rPr>
      </w:pPr>
    </w:p>
    <w:p>
      <w:pPr>
        <w:ind w:left="120" w:right="280" w:firstLine="440"/>
        <w:spacing w:after="0" w:line="259" w:lineRule="auto"/>
        <w:rPr>
          <w:sz w:val="20"/>
          <w:szCs w:val="20"/>
          <w:color w:val="auto"/>
        </w:rPr>
      </w:pPr>
      <w:r>
        <w:rPr>
          <w:rFonts w:ascii="Arial" w:cs="Arial" w:eastAsia="Arial" w:hAnsi="Arial"/>
          <w:sz w:val="18"/>
          <w:szCs w:val="18"/>
          <w:color w:val="auto"/>
        </w:rPr>
        <w:t>We also enter into a limited number of contracts that can include various combinations of professional services, which are generally capable of being distinct and can be accounted for as separate performance obligations. Revenue related to these professional services is insignificant and is recognized at a point in time, when the performance obligations under the terms of the contract are satisfied and control has been transferred to the customer.</w:t>
      </w:r>
    </w:p>
    <w:p>
      <w:pPr>
        <w:spacing w:after="0" w:line="119" w:lineRule="exact"/>
        <w:rPr>
          <w:sz w:val="20"/>
          <w:szCs w:val="20"/>
          <w:color w:val="auto"/>
        </w:rPr>
      </w:pPr>
    </w:p>
    <w:p>
      <w:pPr>
        <w:jc w:val="center"/>
        <w:ind w:right="-359"/>
        <w:spacing w:after="0"/>
        <w:rPr>
          <w:sz w:val="20"/>
          <w:szCs w:val="20"/>
          <w:color w:val="auto"/>
        </w:rPr>
      </w:pPr>
      <w:r>
        <w:rPr>
          <w:rFonts w:ascii="Arial" w:cs="Arial" w:eastAsia="Arial" w:hAnsi="Arial"/>
          <w:sz w:val="18"/>
          <w:szCs w:val="18"/>
          <w:color w:val="auto"/>
        </w:rPr>
        <w:t>102</w:t>
      </w:r>
    </w:p>
    <w:p>
      <w:pPr>
        <w:sectPr>
          <w:pgSz w:w="11900" w:h="16838" w:orient="portrait"/>
          <w:cols w:equalWidth="0" w:num="1">
            <w:col w:w="11120"/>
          </w:cols>
          <w:pgMar w:left="320" w:top="459" w:right="459" w:bottom="1440" w:gutter="0" w:footer="0" w:header="0"/>
        </w:sectPr>
      </w:pPr>
    </w:p>
    <w:bookmarkStart w:id="109" w:name="page110"/>
    <w:bookmarkEnd w:id="10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Confidential Treatment Requested by Definitive Healthcare Corp.</w:t>
      </w:r>
    </w:p>
    <w:p>
      <w:pPr>
        <w:spacing w:after="0" w:line="27"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Pursuant to 17 C.F.R. Section 200.83</w:t>
      </w:r>
    </w:p>
    <w:p>
      <w:pPr>
        <w:spacing w:after="0" w:line="143" w:lineRule="exact"/>
        <w:rPr>
          <w:sz w:val="20"/>
          <w:szCs w:val="20"/>
          <w:color w:val="auto"/>
        </w:rPr>
      </w:pPr>
    </w:p>
    <w:p>
      <w:pPr>
        <w:ind w:left="120" w:right="100" w:firstLine="440"/>
        <w:spacing w:after="0" w:line="259" w:lineRule="auto"/>
        <w:rPr>
          <w:sz w:val="20"/>
          <w:szCs w:val="20"/>
          <w:color w:val="auto"/>
        </w:rPr>
      </w:pPr>
      <w:r>
        <w:rPr>
          <w:rFonts w:ascii="Arial" w:cs="Arial" w:eastAsia="Arial" w:hAnsi="Arial"/>
          <w:sz w:val="18"/>
          <w:szCs w:val="18"/>
          <w:color w:val="auto"/>
        </w:rPr>
        <w:t>When a contract contains multiple performance obligations, the contract transaction price is allocated on a relative standalone selling price (“SSP”) basis to each performance obligation. We typically determine SSP based on observable selling prices of its products and services. In instances where SSP is not directly observable, SSP is determined using information that may include market conditions and other observable inputs, or by using the residual approach.</w:t>
      </w:r>
    </w:p>
    <w:p>
      <w:pPr>
        <w:spacing w:after="0" w:line="187" w:lineRule="exact"/>
        <w:rPr>
          <w:sz w:val="20"/>
          <w:szCs w:val="20"/>
          <w:color w:val="auto"/>
        </w:rPr>
      </w:pPr>
    </w:p>
    <w:p>
      <w:pPr>
        <w:ind w:left="120" w:right="140" w:firstLine="440"/>
        <w:spacing w:after="0" w:line="290" w:lineRule="auto"/>
        <w:rPr>
          <w:sz w:val="20"/>
          <w:szCs w:val="20"/>
          <w:color w:val="auto"/>
        </w:rPr>
      </w:pPr>
      <w:r>
        <w:rPr>
          <w:rFonts w:ascii="Arial" w:cs="Arial" w:eastAsia="Arial" w:hAnsi="Arial"/>
          <w:sz w:val="16"/>
          <w:szCs w:val="16"/>
          <w:color w:val="auto"/>
        </w:rPr>
        <w:t>We account for an arrangement when it has approval and commitment from both parties, the rights are identified, the contract has commercial substance, and collectability of consideration is probable. The Company generally obtains written purchase contracts from its customers for a specified service at a specified price, with a specified term, which constitutes an arrangement. Revenue is recognized at the amount expected to be collected, net of any taxes collected from customers, which are subsequently remitted to governmental authorities. The timing of revenue recognition may not align with the right to invoice the customer, but the Company has determined that in such cases, a significant financing component generally does not exist. The Company has elected the practical expedient that permits an entity not to recognize a significant financing component if the time between the transfer of a good or service and payment is one year or less. Payment terms on invoiced amounts are typically 30 days. The Company does not offer rights of return for its products and services in the normal course of business, and contracts generally do not include customer acceptance clauses.</w:t>
      </w:r>
    </w:p>
    <w:p>
      <w:pPr>
        <w:spacing w:after="0" w:line="165" w:lineRule="exact"/>
        <w:rPr>
          <w:sz w:val="20"/>
          <w:szCs w:val="20"/>
          <w:color w:val="auto"/>
        </w:rPr>
      </w:pPr>
    </w:p>
    <w:p>
      <w:pPr>
        <w:ind w:left="120" w:right="40" w:firstLine="440"/>
        <w:spacing w:after="0" w:line="257" w:lineRule="auto"/>
        <w:rPr>
          <w:sz w:val="20"/>
          <w:szCs w:val="20"/>
          <w:color w:val="auto"/>
        </w:rPr>
      </w:pPr>
      <w:r>
        <w:rPr>
          <w:rFonts w:ascii="Arial" w:cs="Arial" w:eastAsia="Arial" w:hAnsi="Arial"/>
          <w:sz w:val="18"/>
          <w:szCs w:val="18"/>
          <w:color w:val="auto"/>
        </w:rPr>
        <w:t>Our arrangements typically do not contain variable consideration. However, certain contracts with customers may include service level agreements that entitle the customer to receive service credits, and in certain cases, service refunds, when defined service levels are not met. These arrangements represent a form of variable consideration, which is considered in the calculation of the transaction price. The Company estimates the amount of variable considerations at the expected value based on its assessment of legal enforceability, anticipated performance and a review of specific transactions, historical experience and market and economic conditions.</w:t>
      </w:r>
    </w:p>
    <w:p>
      <w:pPr>
        <w:spacing w:after="0" w:line="188" w:lineRule="exact"/>
        <w:rPr>
          <w:sz w:val="20"/>
          <w:szCs w:val="20"/>
          <w:color w:val="auto"/>
        </w:rPr>
      </w:pPr>
    </w:p>
    <w:p>
      <w:pPr>
        <w:ind w:left="120" w:right="120" w:firstLine="440"/>
        <w:spacing w:after="0" w:line="277" w:lineRule="auto"/>
        <w:rPr>
          <w:sz w:val="20"/>
          <w:szCs w:val="20"/>
          <w:color w:val="auto"/>
        </w:rPr>
      </w:pPr>
      <w:r>
        <w:rPr>
          <w:rFonts w:ascii="Arial" w:cs="Arial" w:eastAsia="Arial" w:hAnsi="Arial"/>
          <w:sz w:val="18"/>
          <w:szCs w:val="18"/>
          <w:color w:val="auto"/>
        </w:rPr>
        <w:t>The Company historically has not experienced any significant incidents that affected the defined levels of reliability and performance as required by the contracts.</w:t>
      </w:r>
    </w:p>
    <w:p>
      <w:pPr>
        <w:spacing w:after="0" w:line="27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Business Combinations</w:t>
      </w:r>
    </w:p>
    <w:p>
      <w:pPr>
        <w:spacing w:after="0" w:line="117" w:lineRule="exact"/>
        <w:rPr>
          <w:sz w:val="20"/>
          <w:szCs w:val="20"/>
          <w:color w:val="auto"/>
        </w:rPr>
      </w:pPr>
    </w:p>
    <w:p>
      <w:pPr>
        <w:ind w:left="120" w:right="60" w:firstLine="440"/>
        <w:spacing w:after="0" w:line="289" w:lineRule="auto"/>
        <w:rPr>
          <w:sz w:val="20"/>
          <w:szCs w:val="20"/>
          <w:color w:val="auto"/>
        </w:rPr>
      </w:pPr>
      <w:r>
        <w:rPr>
          <w:rFonts w:ascii="Arial" w:cs="Arial" w:eastAsia="Arial" w:hAnsi="Arial"/>
          <w:sz w:val="16"/>
          <w:szCs w:val="16"/>
          <w:color w:val="auto"/>
        </w:rPr>
        <w:t>We account for business combinations using the acquisition method in accordance with ASC 805—</w:t>
      </w:r>
      <w:r>
        <w:rPr>
          <w:rFonts w:ascii="Arial" w:cs="Arial" w:eastAsia="Arial" w:hAnsi="Arial"/>
          <w:sz w:val="16"/>
          <w:szCs w:val="16"/>
          <w:i w:val="1"/>
          <w:iCs w:val="1"/>
          <w:color w:val="auto"/>
        </w:rPr>
        <w:t>Business Combinations</w:t>
      </w:r>
      <w:r>
        <w:rPr>
          <w:rFonts w:ascii="Arial" w:cs="Arial" w:eastAsia="Arial" w:hAnsi="Arial"/>
          <w:sz w:val="16"/>
          <w:szCs w:val="16"/>
          <w:color w:val="auto"/>
        </w:rPr>
        <w:t>. Each acquired company’s results of operations are included in our consolidated financial statements starting on the date of acquisition. We allocate purchase consideration to the tangible and identifiable intangible assets acquired, and liabilities assumed based on their estimated fair values. The purchase price is determined based on the fair value of the assets transferred, liabilities assumed, and equity interests issued, after considering any transactions that are separate from the business combination. The excess of fair value of purchase consideration over the fair values of the identifiable assets and liabilities is recorded as goodwill. Tangible and identifiable intangible assets acquired and liabilities assumed as of the date of acquisition are recorded at the acquisition date fair value. Such valuations require management to make significant estimates and assumptions, especially with respect to intangible assets and contingent liabilities. Significant estimates in valuing certain intangible assets include, but are not limited to, future expected cash flows from acquired customer bases, acquired technology and acquired trade names, useful lives, royalty rates, and discount rates.</w:t>
      </w:r>
    </w:p>
    <w:p>
      <w:pPr>
        <w:spacing w:after="0" w:line="166" w:lineRule="exact"/>
        <w:rPr>
          <w:sz w:val="20"/>
          <w:szCs w:val="20"/>
          <w:color w:val="auto"/>
        </w:rPr>
      </w:pPr>
    </w:p>
    <w:p>
      <w:pPr>
        <w:ind w:left="120" w:right="80" w:firstLine="440"/>
        <w:spacing w:after="0" w:line="257" w:lineRule="auto"/>
        <w:rPr>
          <w:sz w:val="20"/>
          <w:szCs w:val="20"/>
          <w:color w:val="auto"/>
        </w:rPr>
      </w:pPr>
      <w:r>
        <w:rPr>
          <w:rFonts w:ascii="Arial" w:cs="Arial" w:eastAsia="Arial" w:hAnsi="Arial"/>
          <w:sz w:val="18"/>
          <w:szCs w:val="18"/>
          <w:color w:val="auto"/>
        </w:rPr>
        <w:t>The estimates are inherently uncertain and subject to revision as additional information is obtained during the measurement period for an acquisition, which may last up to one year from the acquisition date. During the measurement period, we may record adjustments to the fair value of tangible and intangible assets acquired and liabilities assumed, with a corresponding offset to goodwill. After the conclusion of the measurement period or the final determination of the fair value of assets acquired or liabilities assumed, whichever comes first, any subsequent adjustments are recorded to earnings.</w:t>
      </w:r>
    </w:p>
    <w:p>
      <w:pPr>
        <w:spacing w:after="0" w:line="188" w:lineRule="exact"/>
        <w:rPr>
          <w:sz w:val="20"/>
          <w:szCs w:val="20"/>
          <w:color w:val="auto"/>
        </w:rPr>
      </w:pPr>
    </w:p>
    <w:p>
      <w:pPr>
        <w:ind w:left="120" w:firstLine="440"/>
        <w:spacing w:after="0" w:line="277" w:lineRule="auto"/>
        <w:rPr>
          <w:sz w:val="20"/>
          <w:szCs w:val="20"/>
          <w:color w:val="auto"/>
        </w:rPr>
      </w:pPr>
      <w:r>
        <w:rPr>
          <w:rFonts w:ascii="Arial" w:cs="Arial" w:eastAsia="Arial" w:hAnsi="Arial"/>
          <w:sz w:val="18"/>
          <w:szCs w:val="18"/>
          <w:color w:val="auto"/>
        </w:rPr>
        <w:t>In addition, uncertain tax positions and tax-related valuation allowances assumed in connection with a business combination are initially estimated as of the acquisition date. We reevaluate these items based upon the</w:t>
      </w:r>
    </w:p>
    <w:p>
      <w:pPr>
        <w:spacing w:after="0" w:line="103" w:lineRule="exact"/>
        <w:rPr>
          <w:sz w:val="20"/>
          <w:szCs w:val="20"/>
          <w:color w:val="auto"/>
        </w:rPr>
      </w:pPr>
    </w:p>
    <w:p>
      <w:pPr>
        <w:jc w:val="center"/>
        <w:ind w:right="-359"/>
        <w:spacing w:after="0"/>
        <w:rPr>
          <w:sz w:val="20"/>
          <w:szCs w:val="20"/>
          <w:color w:val="auto"/>
        </w:rPr>
      </w:pPr>
      <w:r>
        <w:rPr>
          <w:rFonts w:ascii="Arial" w:cs="Arial" w:eastAsia="Arial" w:hAnsi="Arial"/>
          <w:sz w:val="18"/>
          <w:szCs w:val="18"/>
          <w:color w:val="auto"/>
        </w:rPr>
        <w:t>103</w:t>
      </w:r>
    </w:p>
    <w:p>
      <w:pPr>
        <w:sectPr>
          <w:pgSz w:w="11900" w:h="16838" w:orient="portrait"/>
          <w:cols w:equalWidth="0" w:num="1">
            <w:col w:w="11120"/>
          </w:cols>
          <w:pgMar w:left="320" w:top="459" w:right="459" w:bottom="1440" w:gutter="0" w:footer="0" w:header="0"/>
        </w:sectPr>
      </w:pPr>
    </w:p>
    <w:bookmarkStart w:id="110" w:name="page111"/>
    <w:bookmarkEnd w:id="1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Confidential Treatment Requested by Definitive Healthcare Corp.</w:t>
      </w:r>
    </w:p>
    <w:p>
      <w:pPr>
        <w:spacing w:after="0" w:line="27"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Pursuant to 17 C.F.R. Section 200.83</w:t>
      </w:r>
    </w:p>
    <w:p>
      <w:pPr>
        <w:spacing w:after="0" w:line="143" w:lineRule="exact"/>
        <w:rPr>
          <w:sz w:val="20"/>
          <w:szCs w:val="20"/>
          <w:color w:val="auto"/>
        </w:rPr>
      </w:pPr>
    </w:p>
    <w:p>
      <w:pPr>
        <w:ind w:left="120" w:right="80"/>
        <w:spacing w:after="0" w:line="263" w:lineRule="auto"/>
        <w:rPr>
          <w:sz w:val="20"/>
          <w:szCs w:val="20"/>
          <w:color w:val="auto"/>
        </w:rPr>
      </w:pPr>
      <w:r>
        <w:rPr>
          <w:rFonts w:ascii="Arial" w:cs="Arial" w:eastAsia="Arial" w:hAnsi="Arial"/>
          <w:sz w:val="18"/>
          <w:szCs w:val="18"/>
          <w:color w:val="auto"/>
        </w:rPr>
        <w:t>facts and circumstances that existed as of the acquisition date, with any revisions to our preliminary estimates being recorded to goodwill, provided that the timing is within the measurement period. Subsequent to the measurement period, changes to uncertain tax positions and tax related valuation allowances will be recorded to earnings.</w:t>
      </w:r>
    </w:p>
    <w:p>
      <w:pPr>
        <w:spacing w:after="0" w:line="184" w:lineRule="exact"/>
        <w:rPr>
          <w:sz w:val="20"/>
          <w:szCs w:val="20"/>
          <w:color w:val="auto"/>
        </w:rPr>
      </w:pPr>
    </w:p>
    <w:p>
      <w:pPr>
        <w:ind w:left="120" w:right="80" w:firstLine="440"/>
        <w:spacing w:after="0" w:line="263" w:lineRule="auto"/>
        <w:rPr>
          <w:sz w:val="20"/>
          <w:szCs w:val="20"/>
          <w:color w:val="auto"/>
        </w:rPr>
      </w:pPr>
      <w:r>
        <w:rPr>
          <w:rFonts w:ascii="Arial" w:cs="Arial" w:eastAsia="Arial" w:hAnsi="Arial"/>
          <w:sz w:val="18"/>
          <w:szCs w:val="18"/>
          <w:color w:val="auto"/>
        </w:rPr>
        <w:t>For any given acquisition, we may identify certain pre-acquisition contingencies. We estimate the fair value of such contingencies, which are included as part of the assets acquired or liabilities assumed, as appropriate. Differences from these estimates are recorded in the consolidated statement of operations in the period in which they are identified.</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Impairment of Goodwill</w:t>
      </w:r>
    </w:p>
    <w:p>
      <w:pPr>
        <w:spacing w:after="0" w:line="117" w:lineRule="exact"/>
        <w:rPr>
          <w:sz w:val="20"/>
          <w:szCs w:val="20"/>
          <w:color w:val="auto"/>
        </w:rPr>
      </w:pPr>
    </w:p>
    <w:p>
      <w:pPr>
        <w:ind w:left="120" w:right="40" w:firstLine="440"/>
        <w:spacing w:after="0" w:line="253" w:lineRule="auto"/>
        <w:rPr>
          <w:sz w:val="20"/>
          <w:szCs w:val="20"/>
          <w:color w:val="auto"/>
        </w:rPr>
      </w:pPr>
      <w:r>
        <w:rPr>
          <w:rFonts w:ascii="Arial" w:cs="Arial" w:eastAsia="Arial" w:hAnsi="Arial"/>
          <w:sz w:val="18"/>
          <w:szCs w:val="18"/>
          <w:color w:val="auto"/>
        </w:rPr>
        <w:t>Goodwill is not amortized and is tested for impairment at the reporting unit level, at least annually, and more frequently if events or circumstances occur that would indicate a potential decline in fair value. A reporting unit is an operating segment or a component of an operating segment. We first assess qualitative factors to evaluate whether it is more likely than not that the fair value of a reporting unit is less than the carrying amount, or it may elect to bypass such assessment. If it is determined that it is more likely than not that the fair value of the reporting unit is less than its carrying value, or if we elect to bypass the qualitative assessment, management will perform a quantitative test by determining the fair value of the reporting unit. The estimated fair value of the reporting unit is based on a projected discounted cash flow model that includes significant assumptions and estimates, including the discount rate, growth rate, and future financial performance. Valuations of similarly situated public companies are also evaluated when assessing the fair value of the reporting unit. If the carrying value of the reporting unit exceeds the fair value, then an impairment loss is recognized for the difference.</w:t>
      </w:r>
    </w:p>
    <w:p>
      <w:pPr>
        <w:spacing w:after="0" w:line="304"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Impairment of Long-Lived Assets</w:t>
      </w:r>
    </w:p>
    <w:p>
      <w:pPr>
        <w:spacing w:after="0" w:line="117" w:lineRule="exact"/>
        <w:rPr>
          <w:sz w:val="20"/>
          <w:szCs w:val="20"/>
          <w:color w:val="auto"/>
        </w:rPr>
      </w:pPr>
    </w:p>
    <w:p>
      <w:pPr>
        <w:ind w:left="120" w:firstLine="440"/>
        <w:spacing w:after="0" w:line="259" w:lineRule="auto"/>
        <w:rPr>
          <w:sz w:val="20"/>
          <w:szCs w:val="20"/>
          <w:color w:val="auto"/>
        </w:rPr>
      </w:pPr>
      <w:r>
        <w:rPr>
          <w:rFonts w:ascii="Arial" w:cs="Arial" w:eastAsia="Arial" w:hAnsi="Arial"/>
          <w:sz w:val="18"/>
          <w:szCs w:val="18"/>
          <w:color w:val="auto"/>
        </w:rPr>
        <w:t>We review the carrying value of long-lived assets, including definite-lived intangible assets and property and equipment, for impairment whenever events and circumstances indicate that the carrying value of an asset may not be recoverable. If estimated undiscounted future cash flows expected to result from its use and eventual disposition are not expected to be adequate to recover the asset’s carrying value, an impairment charge is recorded for the excess of the asset’s carrying value over its estimated fair value.</w:t>
      </w:r>
    </w:p>
    <w:p>
      <w:pPr>
        <w:spacing w:after="0" w:line="295"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Equity-based Compensation</w:t>
      </w:r>
    </w:p>
    <w:p>
      <w:pPr>
        <w:spacing w:after="0" w:line="117" w:lineRule="exact"/>
        <w:rPr>
          <w:sz w:val="20"/>
          <w:szCs w:val="20"/>
          <w:color w:val="auto"/>
        </w:rPr>
      </w:pPr>
    </w:p>
    <w:p>
      <w:pPr>
        <w:ind w:left="120" w:right="180" w:firstLine="440"/>
        <w:spacing w:after="0" w:line="311" w:lineRule="auto"/>
        <w:rPr>
          <w:sz w:val="20"/>
          <w:szCs w:val="20"/>
          <w:color w:val="auto"/>
        </w:rPr>
      </w:pPr>
      <w:r>
        <w:rPr>
          <w:rFonts w:ascii="Arial" w:cs="Arial" w:eastAsia="Arial" w:hAnsi="Arial"/>
          <w:sz w:val="16"/>
          <w:szCs w:val="16"/>
          <w:color w:val="auto"/>
        </w:rPr>
        <w:t>We periodically grant equity units to employees, consultants, directors, managers, or others providing service. These units are considered profits interests, which in general, entitle the holder of the unit to a pro rata share of the increase in fair value of the unit over the base value, which is determined at the award date, and are deemed to be equity instruments. Certain units have time-based and performance-based vesting criteria.</w:t>
      </w:r>
    </w:p>
    <w:p>
      <w:pPr>
        <w:spacing w:after="0" w:line="149" w:lineRule="exact"/>
        <w:rPr>
          <w:sz w:val="20"/>
          <w:szCs w:val="20"/>
          <w:color w:val="auto"/>
        </w:rPr>
      </w:pPr>
    </w:p>
    <w:p>
      <w:pPr>
        <w:ind w:left="120" w:right="20" w:firstLine="440"/>
        <w:spacing w:after="0" w:line="270" w:lineRule="auto"/>
        <w:rPr>
          <w:sz w:val="20"/>
          <w:szCs w:val="20"/>
          <w:color w:val="auto"/>
        </w:rPr>
      </w:pPr>
      <w:r>
        <w:rPr>
          <w:rFonts w:ascii="Arial" w:cs="Arial" w:eastAsia="Arial" w:hAnsi="Arial"/>
          <w:sz w:val="17"/>
          <w:szCs w:val="17"/>
          <w:color w:val="auto"/>
        </w:rPr>
        <w:t>In June 2018, the FASB issued ASU No. 2018-07—</w:t>
      </w:r>
      <w:r>
        <w:rPr>
          <w:rFonts w:ascii="Arial" w:cs="Arial" w:eastAsia="Arial" w:hAnsi="Arial"/>
          <w:sz w:val="17"/>
          <w:szCs w:val="17"/>
          <w:i w:val="1"/>
          <w:iCs w:val="1"/>
          <w:color w:val="auto"/>
        </w:rPr>
        <w:t>Compensation—Stock Compensation (Topic 718), Improvements to Nonemployee Share-based</w:t>
      </w:r>
      <w:r>
        <w:rPr>
          <w:rFonts w:ascii="Arial" w:cs="Arial" w:eastAsia="Arial" w:hAnsi="Arial"/>
          <w:sz w:val="17"/>
          <w:szCs w:val="17"/>
          <w:color w:val="auto"/>
        </w:rPr>
        <w:t xml:space="preserve"> </w:t>
      </w:r>
      <w:r>
        <w:rPr>
          <w:rFonts w:ascii="Arial" w:cs="Arial" w:eastAsia="Arial" w:hAnsi="Arial"/>
          <w:sz w:val="17"/>
          <w:szCs w:val="17"/>
          <w:i w:val="1"/>
          <w:iCs w:val="1"/>
          <w:color w:val="auto"/>
        </w:rPr>
        <w:t>Payment Accounting</w:t>
      </w:r>
      <w:r>
        <w:rPr>
          <w:rFonts w:ascii="Arial" w:cs="Arial" w:eastAsia="Arial" w:hAnsi="Arial"/>
          <w:sz w:val="17"/>
          <w:szCs w:val="17"/>
          <w:color w:val="auto"/>
        </w:rPr>
        <w:t>, which is required to be applied prospectively for fiscal years beginning after December 15, 2019 and interim periods within fiscal</w:t>
      </w:r>
      <w:r>
        <w:rPr>
          <w:rFonts w:ascii="Arial" w:cs="Arial" w:eastAsia="Arial" w:hAnsi="Arial"/>
          <w:sz w:val="17"/>
          <w:szCs w:val="17"/>
          <w:i w:val="1"/>
          <w:iCs w:val="1"/>
          <w:color w:val="auto"/>
        </w:rPr>
        <w:t xml:space="preserve"> </w:t>
      </w:r>
      <w:r>
        <w:rPr>
          <w:rFonts w:ascii="Arial" w:cs="Arial" w:eastAsia="Arial" w:hAnsi="Arial"/>
          <w:sz w:val="17"/>
          <w:szCs w:val="17"/>
          <w:color w:val="auto"/>
        </w:rPr>
        <w:t>years beginning after December 15, 2020, with early adoption permitted, and aligns most of the guidance on share- based payments to nonemployees with share-based payments to employees. Effective January 1, 2020, we adopted the guidance in its 2020 consolidated financial statements with no impact. We account for these profit interest units in accordance with ASC 718—</w:t>
      </w:r>
      <w:r>
        <w:rPr>
          <w:rFonts w:ascii="Arial" w:cs="Arial" w:eastAsia="Arial" w:hAnsi="Arial"/>
          <w:sz w:val="17"/>
          <w:szCs w:val="17"/>
          <w:i w:val="1"/>
          <w:iCs w:val="1"/>
          <w:color w:val="auto"/>
        </w:rPr>
        <w:t>Compensation—Stock Compensation</w:t>
      </w:r>
      <w:r>
        <w:rPr>
          <w:rFonts w:ascii="Arial" w:cs="Arial" w:eastAsia="Arial" w:hAnsi="Arial"/>
          <w:sz w:val="17"/>
          <w:szCs w:val="17"/>
          <w:color w:val="auto"/>
        </w:rPr>
        <w:t>. Equity-based compensation is recognized on a straight-line basis over the requisite service period of the award, which is generally the vesting period of the respective award, based on their grant-date fair value. For the units which have a performance condition, we recognize compensation expense based on its assessment of the probability that the performance condition(s) will be achieved. The related compensation expense is recognized when the probability of the event is likely and performance criteria are met. Forfeitures are recognized as they occur.</w:t>
      </w:r>
    </w:p>
    <w:p>
      <w:pPr>
        <w:spacing w:after="0" w:line="113" w:lineRule="exact"/>
        <w:rPr>
          <w:sz w:val="20"/>
          <w:szCs w:val="20"/>
          <w:color w:val="auto"/>
        </w:rPr>
      </w:pPr>
    </w:p>
    <w:p>
      <w:pPr>
        <w:jc w:val="center"/>
        <w:ind w:right="-359"/>
        <w:spacing w:after="0"/>
        <w:rPr>
          <w:sz w:val="20"/>
          <w:szCs w:val="20"/>
          <w:color w:val="auto"/>
        </w:rPr>
      </w:pPr>
      <w:r>
        <w:rPr>
          <w:rFonts w:ascii="Arial" w:cs="Arial" w:eastAsia="Arial" w:hAnsi="Arial"/>
          <w:sz w:val="18"/>
          <w:szCs w:val="18"/>
          <w:color w:val="auto"/>
        </w:rPr>
        <w:t>104</w:t>
      </w:r>
    </w:p>
    <w:p>
      <w:pPr>
        <w:sectPr>
          <w:pgSz w:w="11900" w:h="16838" w:orient="portrait"/>
          <w:cols w:equalWidth="0" w:num="1">
            <w:col w:w="11120"/>
          </w:cols>
          <w:pgMar w:left="320" w:top="459" w:right="459" w:bottom="1440" w:gutter="0" w:footer="0" w:header="0"/>
        </w:sectPr>
      </w:pPr>
    </w:p>
    <w:bookmarkStart w:id="111" w:name="page112"/>
    <w:bookmarkEnd w:id="1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Confidential Treatment Requested by Definitive Healthcare Corp.</w:t>
      </w:r>
    </w:p>
    <w:p>
      <w:pPr>
        <w:spacing w:after="0" w:line="27"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Pursuant to 17 C.F.R. Section 200.83</w:t>
      </w:r>
    </w:p>
    <w:p>
      <w:pPr>
        <w:spacing w:after="0" w:line="143" w:lineRule="exact"/>
        <w:rPr>
          <w:sz w:val="20"/>
          <w:szCs w:val="20"/>
          <w:color w:val="auto"/>
        </w:rPr>
      </w:pPr>
    </w:p>
    <w:p>
      <w:pPr>
        <w:ind w:left="120" w:right="160" w:firstLine="440"/>
        <w:spacing w:after="0" w:line="293" w:lineRule="auto"/>
        <w:rPr>
          <w:sz w:val="20"/>
          <w:szCs w:val="20"/>
          <w:color w:val="auto"/>
        </w:rPr>
      </w:pPr>
      <w:r>
        <w:rPr>
          <w:rFonts w:ascii="Arial" w:cs="Arial" w:eastAsia="Arial" w:hAnsi="Arial"/>
          <w:sz w:val="16"/>
          <w:szCs w:val="16"/>
          <w:color w:val="auto"/>
        </w:rPr>
        <w:t>We assess the fair value of the awards as of the grant date. The fair value of the units is estimated using a two-step process. First, our enterprise value is established using generally accepted valuation methodologies, including discounted cash flow analysis, guideline comparable public company analysis, and comparable transaction method. Second, the enterprise value is then allocated among the securities that comprise our capital structure using an option-pricing method based on the Black-Scholes model. For performance-based units, we used a Monte Carlo simulation analysis, which captures the impact of the performance vesting conditions to value the performance-based units. The use of the Black-Scholes model and the Monte Carlo simulation requires us to make estimates and assumptions, such as expected volatility, expected term and expected risk-free interest rate.</w:t>
      </w:r>
    </w:p>
    <w:p>
      <w:pPr>
        <w:spacing w:after="0" w:line="272"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Accounting for Income Taxes</w:t>
      </w:r>
    </w:p>
    <w:p>
      <w:pPr>
        <w:spacing w:after="0" w:line="117" w:lineRule="exact"/>
        <w:rPr>
          <w:sz w:val="20"/>
          <w:szCs w:val="20"/>
          <w:color w:val="auto"/>
        </w:rPr>
      </w:pPr>
    </w:p>
    <w:p>
      <w:pPr>
        <w:ind w:left="120" w:right="20" w:firstLine="440"/>
        <w:spacing w:after="0" w:line="255" w:lineRule="auto"/>
        <w:rPr>
          <w:sz w:val="20"/>
          <w:szCs w:val="20"/>
          <w:color w:val="auto"/>
        </w:rPr>
      </w:pPr>
      <w:r>
        <w:rPr>
          <w:rFonts w:ascii="Arial" w:cs="Arial" w:eastAsia="Arial" w:hAnsi="Arial"/>
          <w:sz w:val="18"/>
          <w:szCs w:val="18"/>
          <w:color w:val="auto"/>
        </w:rPr>
        <w:t>Definitive OpCo is taxed as a partnership. DH Holdings is a wholly owned subsidiary of Definitive OpCo and is treated as a disregarded entity for income tax purposes. Accordingly, for federal and state income tax purposes, income, losses, and other tax attributes not generated by the HSE or Monocl subsidiaries pass through to the Definitive OpCo members’ individual income tax returns. Definitive OpCo may be subject to certain taxes on behalf of its members in certain states. Definitive Healthcare Corp. was not subject to any federal income taxes for the six months ended June 30, 2021, or the tax years ended December 31, 2020 and 2019, nor was it subject to state income taxes in certain jurisdictions for the tax years ended December 31, 2020 and 2019.</w:t>
      </w:r>
    </w:p>
    <w:p>
      <w:pPr>
        <w:spacing w:after="0" w:line="192" w:lineRule="exact"/>
        <w:rPr>
          <w:sz w:val="20"/>
          <w:szCs w:val="20"/>
          <w:color w:val="auto"/>
        </w:rPr>
      </w:pPr>
    </w:p>
    <w:p>
      <w:pPr>
        <w:ind w:left="120" w:right="40" w:firstLine="440"/>
        <w:spacing w:after="0" w:line="272" w:lineRule="auto"/>
        <w:rPr>
          <w:sz w:val="20"/>
          <w:szCs w:val="20"/>
          <w:color w:val="auto"/>
        </w:rPr>
      </w:pPr>
      <w:r>
        <w:rPr>
          <w:rFonts w:ascii="Arial" w:cs="Arial" w:eastAsia="Arial" w:hAnsi="Arial"/>
          <w:sz w:val="17"/>
          <w:szCs w:val="17"/>
          <w:color w:val="auto"/>
        </w:rPr>
        <w:t>HSE and the Monocl US subsidiaries are taxed as corporations. Accordingly, these entities account for income taxes by recognizing tax assets and liabilities for the cumulative effect of all the temporary differences between financial statement carrying amounts and the tax basis of assets and liabilities. The foreign tax provision pertains to foreign income taxes due at the Swedish Monocl subsidiaries. Deferred taxes for the HSE, Monocl US and Swedish subsidiaries are determined using enacted federal, state, or foreign income tax rates in effect in the year in which the differences are expected to reverse. Valuation allowances are provided if based upon the weight of available evidence, it is more likely than not that some or all of the deferred tax assets will not be realized. We have provided for these taxes. The aggregate of such taxes is not material and is included in general and administrative expenses in the accompanied statement of operations.</w:t>
      </w:r>
    </w:p>
    <w:p>
      <w:pPr>
        <w:spacing w:after="0" w:line="177" w:lineRule="exact"/>
        <w:rPr>
          <w:sz w:val="20"/>
          <w:szCs w:val="20"/>
          <w:color w:val="auto"/>
        </w:rPr>
      </w:pPr>
    </w:p>
    <w:p>
      <w:pPr>
        <w:ind w:left="120" w:right="360" w:firstLine="440"/>
        <w:spacing w:after="0" w:line="275" w:lineRule="auto"/>
        <w:rPr>
          <w:sz w:val="20"/>
          <w:szCs w:val="20"/>
          <w:color w:val="auto"/>
        </w:rPr>
      </w:pPr>
      <w:r>
        <w:rPr>
          <w:rFonts w:ascii="Arial" w:cs="Arial" w:eastAsia="Arial" w:hAnsi="Arial"/>
          <w:sz w:val="17"/>
          <w:szCs w:val="17"/>
          <w:color w:val="auto"/>
        </w:rPr>
        <w:t>Definitive Healthcare Corp. is subject to U.S. federal, state and local income taxes with respect to its allocable share of any taxable income of Definitive OpCo and will be taxed at the prevailing corporate tax rates. In addition to tax expenses, we will also make payments under the Tax Receivable Agreement, which we expect to be significant. We anticipate that we will account for the income tax effects and corresponding Tax Receivable Agreement’s effects resulting from future taxable exchanges of LLC Units of Unitholders by us or Definitive OpCo by recognizing an increase in our deferred tax assets, based on enacted tax rates at the date of the purchase or exchange.</w:t>
      </w:r>
    </w:p>
    <w:p>
      <w:pPr>
        <w:spacing w:after="0" w:line="176" w:lineRule="exact"/>
        <w:rPr>
          <w:sz w:val="20"/>
          <w:szCs w:val="20"/>
          <w:color w:val="auto"/>
        </w:rPr>
      </w:pPr>
    </w:p>
    <w:p>
      <w:pPr>
        <w:ind w:left="120" w:firstLine="440"/>
        <w:spacing w:after="0" w:line="289" w:lineRule="auto"/>
        <w:rPr>
          <w:sz w:val="20"/>
          <w:szCs w:val="20"/>
          <w:color w:val="auto"/>
        </w:rPr>
      </w:pPr>
      <w:r>
        <w:rPr>
          <w:rFonts w:ascii="Arial" w:cs="Arial" w:eastAsia="Arial" w:hAnsi="Arial"/>
          <w:sz w:val="16"/>
          <w:szCs w:val="16"/>
          <w:color w:val="auto"/>
        </w:rPr>
        <w:t>Further, we will evaluate the likelihood that we will realize the benefit represented by the deferred tax asset and, to the extent that we estimate that it is more likely than not that we will not realize the benefit, we will reduce the carrying amount of the deferred tax asset with a valuation allowance. The amounts to be recorded for both the deferred tax assets and the liability for our obligations under the Tax Receivable Agreement will be estimated at the time of any purchase or exchange as a reduction to shareholders’ equity, and the effects of changes in any of our estimates after this date will be included in net income (loss). Similarly, the effect of subsequent changes in the enacted tax rates will be included in net income. In assessing the realizability of deferred tax assets, management considers whether it is more likely than not that some or all of the deferred tax assets will be realized and, when necessary, a valuation allowance is established. The ultimate realization of the deferred tax assets is dependent upon the generation of future taxable income during the periods in which temporary differences become deductible. A change in the assessment of such consequences, such as realization of deferred tax assets, changes in tax laws or interpretations thereof could materially impact our results.</w:t>
      </w:r>
    </w:p>
    <w:p>
      <w:pPr>
        <w:spacing w:after="0" w:line="166" w:lineRule="exact"/>
        <w:rPr>
          <w:sz w:val="20"/>
          <w:szCs w:val="20"/>
          <w:color w:val="auto"/>
        </w:rPr>
      </w:pPr>
    </w:p>
    <w:p>
      <w:pPr>
        <w:ind w:left="120" w:right="140" w:firstLine="440"/>
        <w:spacing w:after="0" w:line="277" w:lineRule="auto"/>
        <w:rPr>
          <w:sz w:val="20"/>
          <w:szCs w:val="20"/>
          <w:color w:val="auto"/>
        </w:rPr>
      </w:pPr>
      <w:r>
        <w:rPr>
          <w:rFonts w:ascii="Arial" w:cs="Arial" w:eastAsia="Arial" w:hAnsi="Arial"/>
          <w:sz w:val="18"/>
          <w:szCs w:val="18"/>
          <w:color w:val="auto"/>
        </w:rPr>
        <w:t>Under the provisions of ASC 740—</w:t>
      </w:r>
      <w:r>
        <w:rPr>
          <w:rFonts w:ascii="Arial" w:cs="Arial" w:eastAsia="Arial" w:hAnsi="Arial"/>
          <w:sz w:val="18"/>
          <w:szCs w:val="18"/>
          <w:i w:val="1"/>
          <w:iCs w:val="1"/>
          <w:color w:val="auto"/>
        </w:rPr>
        <w:t>Income Taxes</w:t>
      </w:r>
      <w:r>
        <w:rPr>
          <w:rFonts w:ascii="Arial" w:cs="Arial" w:eastAsia="Arial" w:hAnsi="Arial"/>
          <w:sz w:val="18"/>
          <w:szCs w:val="18"/>
          <w:color w:val="auto"/>
        </w:rPr>
        <w:t>, as it relates to accounting for uncertainties in tax positions, we recognize the tax benefit of tax positions to the extent that the benefit will more likely than not be</w:t>
      </w:r>
    </w:p>
    <w:p>
      <w:pPr>
        <w:spacing w:after="0" w:line="103" w:lineRule="exact"/>
        <w:rPr>
          <w:sz w:val="20"/>
          <w:szCs w:val="20"/>
          <w:color w:val="auto"/>
        </w:rPr>
      </w:pPr>
    </w:p>
    <w:p>
      <w:pPr>
        <w:jc w:val="center"/>
        <w:ind w:right="-359"/>
        <w:spacing w:after="0"/>
        <w:rPr>
          <w:sz w:val="20"/>
          <w:szCs w:val="20"/>
          <w:color w:val="auto"/>
        </w:rPr>
      </w:pPr>
      <w:r>
        <w:rPr>
          <w:rFonts w:ascii="Arial" w:cs="Arial" w:eastAsia="Arial" w:hAnsi="Arial"/>
          <w:sz w:val="18"/>
          <w:szCs w:val="18"/>
          <w:color w:val="auto"/>
        </w:rPr>
        <w:t>105</w:t>
      </w:r>
    </w:p>
    <w:p>
      <w:pPr>
        <w:sectPr>
          <w:pgSz w:w="11900" w:h="16838" w:orient="portrait"/>
          <w:cols w:equalWidth="0" w:num="1">
            <w:col w:w="11120"/>
          </w:cols>
          <w:pgMar w:left="320" w:top="459" w:right="459" w:bottom="1440" w:gutter="0" w:footer="0" w:header="0"/>
        </w:sectPr>
      </w:pPr>
    </w:p>
    <w:bookmarkStart w:id="112" w:name="page113"/>
    <w:bookmarkEnd w:id="1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Confidential Treatment Requested by Definitive Healthcare Corp.</w:t>
      </w:r>
    </w:p>
    <w:p>
      <w:pPr>
        <w:spacing w:after="0" w:line="27"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Pursuant to 17 C.F.R. Section 200.83</w:t>
      </w:r>
    </w:p>
    <w:p>
      <w:pPr>
        <w:spacing w:after="0" w:line="143" w:lineRule="exact"/>
        <w:rPr>
          <w:sz w:val="20"/>
          <w:szCs w:val="20"/>
          <w:color w:val="auto"/>
        </w:rPr>
      </w:pPr>
    </w:p>
    <w:p>
      <w:pPr>
        <w:ind w:left="120" w:right="120"/>
        <w:spacing w:after="0" w:line="263" w:lineRule="auto"/>
        <w:rPr>
          <w:sz w:val="20"/>
          <w:szCs w:val="20"/>
          <w:color w:val="auto"/>
        </w:rPr>
      </w:pPr>
      <w:r>
        <w:rPr>
          <w:rFonts w:ascii="Arial" w:cs="Arial" w:eastAsia="Arial" w:hAnsi="Arial"/>
          <w:sz w:val="18"/>
          <w:szCs w:val="18"/>
          <w:color w:val="auto"/>
        </w:rPr>
        <w:t>realized. The determination as to whether the tax benefit will more likely than not be realized is based upon the technical merits of the tax position as well as consideration of the available facts and circumstances. For the tax years ended December 31, 2020 and 2019, we did not have any uncertain tax positions.</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JOBS Act Accounting Election</w:t>
      </w:r>
    </w:p>
    <w:p>
      <w:pPr>
        <w:spacing w:after="0" w:line="117" w:lineRule="exact"/>
        <w:rPr>
          <w:sz w:val="20"/>
          <w:szCs w:val="20"/>
          <w:color w:val="auto"/>
        </w:rPr>
      </w:pPr>
    </w:p>
    <w:p>
      <w:pPr>
        <w:ind w:left="120" w:right="20" w:firstLine="440"/>
        <w:spacing w:after="0" w:line="273" w:lineRule="auto"/>
        <w:rPr>
          <w:sz w:val="20"/>
          <w:szCs w:val="20"/>
          <w:color w:val="auto"/>
        </w:rPr>
      </w:pPr>
      <w:r>
        <w:rPr>
          <w:rFonts w:ascii="Arial" w:cs="Arial" w:eastAsia="Arial" w:hAnsi="Arial"/>
          <w:sz w:val="17"/>
          <w:szCs w:val="17"/>
          <w:color w:val="auto"/>
        </w:rPr>
        <w:t>We are an emerging growth company, as defined in the JOBS Act. Under the JOBS Act, emerging growth companies can delay adopting new or revised accounting standards issued subsequent to the enactment of the JOBS Act until such time as those standards apply to private companies. We have elected to use this extended transition period for complying with new or revised accounting standards that have different effective dates for public and private companies until the earlier of the date we (i) are no longer an emerging growth company or (ii) affirmatively and irrevocably opt out of the extended transition period provided in the JOBS Act. As a result, our financial statements may not be comparable to companies that comply with new or revised accounting pronouncements as of public company effective dates.</w:t>
      </w:r>
    </w:p>
    <w:p>
      <w:pPr>
        <w:spacing w:after="0" w:line="286"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Recently Issued Accounting Pronouncements</w:t>
      </w:r>
    </w:p>
    <w:p>
      <w:pPr>
        <w:spacing w:after="0" w:line="117" w:lineRule="exact"/>
        <w:rPr>
          <w:sz w:val="20"/>
          <w:szCs w:val="20"/>
          <w:color w:val="auto"/>
        </w:rPr>
      </w:pPr>
    </w:p>
    <w:p>
      <w:pPr>
        <w:ind w:left="120" w:right="60" w:firstLine="440"/>
        <w:spacing w:after="0" w:line="277" w:lineRule="auto"/>
        <w:rPr>
          <w:sz w:val="20"/>
          <w:szCs w:val="20"/>
          <w:color w:val="auto"/>
        </w:rPr>
      </w:pPr>
      <w:r>
        <w:rPr>
          <w:rFonts w:ascii="Arial" w:cs="Arial" w:eastAsia="Arial" w:hAnsi="Arial"/>
          <w:sz w:val="18"/>
          <w:szCs w:val="18"/>
          <w:color w:val="auto"/>
        </w:rPr>
        <w:t>For a summary of recent accounting pronouncements applicable to our consolidated financial statements, see Note 2 to our historical consolidated financial statements included elsewhere in this prospectus.</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Quantitative and Qualitative Disclosures About Market Risk</w:t>
      </w:r>
    </w:p>
    <w:p>
      <w:pPr>
        <w:spacing w:after="0" w:line="121" w:lineRule="exact"/>
        <w:rPr>
          <w:sz w:val="20"/>
          <w:szCs w:val="20"/>
          <w:color w:val="auto"/>
        </w:rPr>
      </w:pPr>
    </w:p>
    <w:p>
      <w:pPr>
        <w:ind w:left="120" w:right="320" w:firstLine="440"/>
        <w:spacing w:after="0" w:line="308" w:lineRule="auto"/>
        <w:rPr>
          <w:sz w:val="20"/>
          <w:szCs w:val="20"/>
          <w:color w:val="auto"/>
        </w:rPr>
      </w:pPr>
      <w:r>
        <w:rPr>
          <w:rFonts w:ascii="Arial" w:cs="Arial" w:eastAsia="Arial" w:hAnsi="Arial"/>
          <w:sz w:val="17"/>
          <w:szCs w:val="17"/>
          <w:color w:val="auto"/>
        </w:rPr>
        <w:t>Market risk represents the risk of loss that may impact our financial condition due to adverse changes in financial market prices and rates. Our market risk exposure is primarily a result of exposure due to potential changes in inflation, interest rates or currency rates.</w:t>
      </w:r>
    </w:p>
    <w:p>
      <w:pPr>
        <w:spacing w:after="0" w:line="254"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Interest Rate Risk</w:t>
      </w:r>
    </w:p>
    <w:p>
      <w:pPr>
        <w:spacing w:after="0" w:line="117" w:lineRule="exact"/>
        <w:rPr>
          <w:sz w:val="20"/>
          <w:szCs w:val="20"/>
          <w:color w:val="auto"/>
        </w:rPr>
      </w:pPr>
    </w:p>
    <w:p>
      <w:pPr>
        <w:ind w:left="120" w:right="100" w:firstLine="440"/>
        <w:spacing w:after="0" w:line="263" w:lineRule="auto"/>
        <w:rPr>
          <w:sz w:val="20"/>
          <w:szCs w:val="20"/>
          <w:color w:val="auto"/>
        </w:rPr>
      </w:pPr>
      <w:r>
        <w:rPr>
          <w:rFonts w:ascii="Arial" w:cs="Arial" w:eastAsia="Arial" w:hAnsi="Arial"/>
          <w:sz w:val="18"/>
          <w:szCs w:val="18"/>
          <w:color w:val="auto"/>
        </w:rPr>
        <w:t>Our cash, cash equivalents, and marketable securities primarily consist of cash on hand and highly liquid investments in money market funds and U.S. government securities. As of June 30, 2021 and December 31, 2020 we had cash and cash equivalents of $38.4 million and $24.8 million, respectively.</w:t>
      </w:r>
    </w:p>
    <w:p>
      <w:pPr>
        <w:spacing w:after="0" w:line="184" w:lineRule="exact"/>
        <w:rPr>
          <w:sz w:val="20"/>
          <w:szCs w:val="20"/>
          <w:color w:val="auto"/>
        </w:rPr>
      </w:pPr>
    </w:p>
    <w:p>
      <w:pPr>
        <w:ind w:left="120" w:right="40" w:firstLine="440"/>
        <w:spacing w:after="0" w:line="257" w:lineRule="auto"/>
        <w:rPr>
          <w:sz w:val="20"/>
          <w:szCs w:val="20"/>
          <w:color w:val="auto"/>
        </w:rPr>
      </w:pPr>
      <w:r>
        <w:rPr>
          <w:rFonts w:ascii="Arial" w:cs="Arial" w:eastAsia="Arial" w:hAnsi="Arial"/>
          <w:sz w:val="18"/>
          <w:szCs w:val="18"/>
          <w:color w:val="auto"/>
        </w:rPr>
        <w:t>Our operating results are subject to market risk from interest rate fluctuations on our Term Loans, which bears a variable interest rate based on the Eurodollar Rate. As of December 31, 2020, the total principal balance outstanding was $472.7 million. At June 30, 2021, the total principal balance outstanding was $470.4 million. A hypothetical 1.0% increase or decrease in the interest rate associated with borrowings under the Credit Agreement would have resulted in a $4.8 million impact to interest expense for the year ended December 31, 2020, and a $2.9 million impact for the six months ended June 30, 2021.</w:t>
      </w:r>
    </w:p>
    <w:p>
      <w:pPr>
        <w:spacing w:after="0" w:line="296"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Foreign Currency Exchange Risk</w:t>
      </w:r>
    </w:p>
    <w:p>
      <w:pPr>
        <w:spacing w:after="0" w:line="117" w:lineRule="exact"/>
        <w:rPr>
          <w:sz w:val="20"/>
          <w:szCs w:val="20"/>
          <w:color w:val="auto"/>
        </w:rPr>
      </w:pPr>
    </w:p>
    <w:p>
      <w:pPr>
        <w:ind w:left="120" w:firstLine="440"/>
        <w:spacing w:after="0" w:line="293" w:lineRule="auto"/>
        <w:rPr>
          <w:sz w:val="20"/>
          <w:szCs w:val="20"/>
          <w:color w:val="auto"/>
        </w:rPr>
      </w:pPr>
      <w:r>
        <w:rPr>
          <w:rFonts w:ascii="Arial" w:cs="Arial" w:eastAsia="Arial" w:hAnsi="Arial"/>
          <w:sz w:val="16"/>
          <w:szCs w:val="16"/>
          <w:color w:val="auto"/>
        </w:rPr>
        <w:t>To date, our sales contracts have been denominated in U.S. dollars. We have one foreign entity established in Sweden. The functional currency of this foreign subsidiary is the Swedish Krona. Monetary assets and liabilities of the foreign subsidiaries are re-measured into U.S. dollars at the exchange rates in effect at the reporting date, non-monetary assets and liabilities are re-measured at historical rates, and revenue and expenses are re-measured at average exchange rates in effect during each reporting period. Foreign currency transaction gains and losses are recorded to non-operating income (loss). As the impact of foreign currency exchange rates has not been material to our historical results of operations, we have not entered into derivative or hedging transactions, but we may do so in the future if our exposure to foreign currency becomes more significant.</w:t>
      </w:r>
    </w:p>
    <w:p>
      <w:pPr>
        <w:spacing w:after="0" w:line="272"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Impact of Inflation</w:t>
      </w:r>
    </w:p>
    <w:p>
      <w:pPr>
        <w:spacing w:after="0" w:line="117" w:lineRule="exact"/>
        <w:rPr>
          <w:sz w:val="20"/>
          <w:szCs w:val="20"/>
          <w:color w:val="auto"/>
        </w:rPr>
      </w:pPr>
    </w:p>
    <w:p>
      <w:pPr>
        <w:ind w:left="120" w:right="240" w:firstLine="440"/>
        <w:spacing w:after="0" w:line="277" w:lineRule="auto"/>
        <w:rPr>
          <w:sz w:val="20"/>
          <w:szCs w:val="20"/>
          <w:color w:val="auto"/>
        </w:rPr>
      </w:pPr>
      <w:r>
        <w:rPr>
          <w:rFonts w:ascii="Arial" w:cs="Arial" w:eastAsia="Arial" w:hAnsi="Arial"/>
          <w:sz w:val="18"/>
          <w:szCs w:val="18"/>
          <w:color w:val="auto"/>
        </w:rPr>
        <w:t>We do not believe inflation has had a material effect on our business, financial condition, or results of operations. However, if our costs were to become subject to significant inflationary pressures, we may not be</w:t>
      </w:r>
    </w:p>
    <w:p>
      <w:pPr>
        <w:spacing w:after="0" w:line="103" w:lineRule="exact"/>
        <w:rPr>
          <w:sz w:val="20"/>
          <w:szCs w:val="20"/>
          <w:color w:val="auto"/>
        </w:rPr>
      </w:pPr>
    </w:p>
    <w:p>
      <w:pPr>
        <w:jc w:val="center"/>
        <w:ind w:right="-359"/>
        <w:spacing w:after="0"/>
        <w:rPr>
          <w:sz w:val="20"/>
          <w:szCs w:val="20"/>
          <w:color w:val="auto"/>
        </w:rPr>
      </w:pPr>
      <w:r>
        <w:rPr>
          <w:rFonts w:ascii="Arial" w:cs="Arial" w:eastAsia="Arial" w:hAnsi="Arial"/>
          <w:sz w:val="18"/>
          <w:szCs w:val="18"/>
          <w:color w:val="auto"/>
        </w:rPr>
        <w:t>106</w:t>
      </w:r>
    </w:p>
    <w:p>
      <w:pPr>
        <w:sectPr>
          <w:pgSz w:w="11900" w:h="16838" w:orient="portrait"/>
          <w:cols w:equalWidth="0" w:num="1">
            <w:col w:w="11120"/>
          </w:cols>
          <w:pgMar w:left="320" w:top="459" w:right="459" w:bottom="1440" w:gutter="0" w:footer="0" w:header="0"/>
        </w:sectPr>
      </w:pPr>
    </w:p>
    <w:bookmarkStart w:id="113" w:name="page114"/>
    <w:bookmarkEnd w:id="1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Confidential Treatment Requested by Definitive Healthcare Corp.</w:t>
      </w:r>
    </w:p>
    <w:p>
      <w:pPr>
        <w:spacing w:after="0" w:line="27"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Pursuant to 17 C.F.R. Section 200.83</w:t>
      </w:r>
    </w:p>
    <w:p>
      <w:pPr>
        <w:spacing w:after="0" w:line="143" w:lineRule="exact"/>
        <w:rPr>
          <w:sz w:val="20"/>
          <w:szCs w:val="20"/>
          <w:color w:val="auto"/>
        </w:rPr>
      </w:pPr>
    </w:p>
    <w:p>
      <w:pPr>
        <w:ind w:left="120" w:right="60"/>
        <w:spacing w:after="0" w:line="277" w:lineRule="auto"/>
        <w:rPr>
          <w:sz w:val="20"/>
          <w:szCs w:val="20"/>
          <w:color w:val="auto"/>
        </w:rPr>
      </w:pPr>
      <w:r>
        <w:rPr>
          <w:rFonts w:ascii="Arial" w:cs="Arial" w:eastAsia="Arial" w:hAnsi="Arial"/>
          <w:sz w:val="18"/>
          <w:szCs w:val="18"/>
          <w:color w:val="auto"/>
        </w:rPr>
        <w:t>able to fully offset higher costs through price increases and our inability or failure to do so could potentially harm our business, financial condition, and results of operations.</w:t>
      </w:r>
    </w:p>
    <w:p>
      <w:pPr>
        <w:spacing w:after="0" w:line="27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Credit Risk</w:t>
      </w:r>
    </w:p>
    <w:p>
      <w:pPr>
        <w:spacing w:after="0" w:line="117" w:lineRule="exact"/>
        <w:rPr>
          <w:sz w:val="20"/>
          <w:szCs w:val="20"/>
          <w:color w:val="auto"/>
        </w:rPr>
      </w:pPr>
    </w:p>
    <w:p>
      <w:pPr>
        <w:ind w:left="120" w:firstLine="440"/>
        <w:spacing w:after="0" w:line="259" w:lineRule="auto"/>
        <w:rPr>
          <w:sz w:val="20"/>
          <w:szCs w:val="20"/>
          <w:color w:val="auto"/>
        </w:rPr>
      </w:pPr>
      <w:r>
        <w:rPr>
          <w:rFonts w:ascii="Arial" w:cs="Arial" w:eastAsia="Arial" w:hAnsi="Arial"/>
          <w:sz w:val="18"/>
          <w:szCs w:val="18"/>
          <w:color w:val="auto"/>
        </w:rPr>
        <w:t>Our financial instruments that are exposed to concentrations of credit risk consist primarily of cash and cash equivalents, and trade and other receivables. We hold cash with reputable financial institutions that often exceed federally insured limits. We manage our credit risk by concentrating our cash deposits with high-quality financial institutions and periodically evaluating the credit quality of those institutions. The carrying value of cash approximates fair value.</w:t>
      </w:r>
    </w:p>
    <w:p>
      <w:pPr>
        <w:spacing w:after="0" w:line="119" w:lineRule="exact"/>
        <w:rPr>
          <w:sz w:val="20"/>
          <w:szCs w:val="20"/>
          <w:color w:val="auto"/>
        </w:rPr>
      </w:pPr>
    </w:p>
    <w:p>
      <w:pPr>
        <w:jc w:val="center"/>
        <w:ind w:right="-399"/>
        <w:spacing w:after="0"/>
        <w:rPr>
          <w:sz w:val="20"/>
          <w:szCs w:val="20"/>
          <w:color w:val="auto"/>
        </w:rPr>
      </w:pPr>
      <w:r>
        <w:rPr>
          <w:rFonts w:ascii="Arial" w:cs="Arial" w:eastAsia="Arial" w:hAnsi="Arial"/>
          <w:sz w:val="18"/>
          <w:szCs w:val="18"/>
          <w:color w:val="auto"/>
        </w:rPr>
        <w:t>107</w:t>
      </w:r>
    </w:p>
    <w:p>
      <w:pPr>
        <w:sectPr>
          <w:pgSz w:w="11900" w:h="16838" w:orient="portrait"/>
          <w:cols w:equalWidth="0" w:num="1">
            <w:col w:w="11080"/>
          </w:cols>
          <w:pgMar w:left="320" w:top="459" w:right="499" w:bottom="1440" w:gutter="0" w:footer="0" w:header="0"/>
        </w:sectPr>
      </w:pPr>
    </w:p>
    <w:bookmarkStart w:id="114" w:name="page115"/>
    <w:bookmarkEnd w:id="1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Confidential Treatment Requested by Definitive Healthcare Corp.</w:t>
      </w:r>
    </w:p>
    <w:p>
      <w:pPr>
        <w:spacing w:after="0" w:line="27"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Pursuant to 17 C.F.R. Section 200.83</w:t>
      </w:r>
    </w:p>
    <w:p>
      <w:pPr>
        <w:spacing w:after="0" w:line="139"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BUSINESS</w:t>
      </w:r>
    </w:p>
    <w:p>
      <w:pPr>
        <w:spacing w:after="0" w:line="22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Our Mission</w:t>
      </w:r>
    </w:p>
    <w:p>
      <w:pPr>
        <w:spacing w:after="0" w:line="121" w:lineRule="exact"/>
        <w:rPr>
          <w:sz w:val="20"/>
          <w:szCs w:val="20"/>
          <w:color w:val="auto"/>
        </w:rPr>
      </w:pPr>
    </w:p>
    <w:p>
      <w:pPr>
        <w:ind w:left="120" w:right="340" w:firstLine="440"/>
        <w:spacing w:after="0" w:line="277" w:lineRule="auto"/>
        <w:rPr>
          <w:sz w:val="20"/>
          <w:szCs w:val="20"/>
          <w:color w:val="auto"/>
        </w:rPr>
      </w:pPr>
      <w:r>
        <w:rPr>
          <w:rFonts w:ascii="Arial" w:cs="Arial" w:eastAsia="Arial" w:hAnsi="Arial"/>
          <w:sz w:val="18"/>
          <w:szCs w:val="18"/>
          <w:color w:val="auto"/>
        </w:rPr>
        <w:t>Our mission is to make the complex healthcare ecosystem easier to analyze, navigate and sell into by providing a comprehensive, cloud-based healthcare commercial intelligence platform.</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Overview</w:t>
      </w:r>
    </w:p>
    <w:p>
      <w:pPr>
        <w:spacing w:after="0" w:line="121" w:lineRule="exact"/>
        <w:rPr>
          <w:sz w:val="20"/>
          <w:szCs w:val="20"/>
          <w:color w:val="auto"/>
        </w:rPr>
      </w:pPr>
    </w:p>
    <w:p>
      <w:pPr>
        <w:jc w:val="both"/>
        <w:ind w:left="120" w:right="40" w:firstLine="440"/>
        <w:spacing w:after="0" w:line="259" w:lineRule="auto"/>
        <w:rPr>
          <w:sz w:val="20"/>
          <w:szCs w:val="20"/>
          <w:color w:val="auto"/>
        </w:rPr>
      </w:pPr>
      <w:r>
        <w:rPr>
          <w:rFonts w:ascii="Arial" w:cs="Arial" w:eastAsia="Arial" w:hAnsi="Arial"/>
          <w:sz w:val="18"/>
          <w:szCs w:val="18"/>
          <w:color w:val="auto"/>
        </w:rPr>
        <w:t>Definitive Healthcare is a leading provider of healthcare commercial intelligence. Our solutions provide accurate and comprehensive information on healthcare providers and their activities to help our customers optimize everything from product development to go-to-market planning and sales and marketing execution. Delivered through our SaaS platform, our intelligence has become critical to the commercial success of our over 2,600 customers as of June 30, 2021.</w:t>
      </w:r>
    </w:p>
    <w:p>
      <w:pPr>
        <w:spacing w:after="0" w:line="187" w:lineRule="exact"/>
        <w:rPr>
          <w:sz w:val="20"/>
          <w:szCs w:val="20"/>
          <w:color w:val="auto"/>
        </w:rPr>
      </w:pPr>
    </w:p>
    <w:p>
      <w:pPr>
        <w:ind w:left="120" w:right="60" w:firstLine="440"/>
        <w:spacing w:after="0" w:line="293" w:lineRule="auto"/>
        <w:rPr>
          <w:sz w:val="20"/>
          <w:szCs w:val="20"/>
          <w:color w:val="auto"/>
        </w:rPr>
      </w:pPr>
      <w:r>
        <w:rPr>
          <w:rFonts w:ascii="Arial" w:cs="Arial" w:eastAsia="Arial" w:hAnsi="Arial"/>
          <w:sz w:val="16"/>
          <w:szCs w:val="16"/>
          <w:color w:val="auto"/>
        </w:rPr>
        <w:t>Commercial success within the healthcare ecosystem is difficult to achieve. The complex relationships between physicians, hospitals, providers, healthcare insurance companies, government regulators and patients make it particularly difficult to develop products for and sell products into the healthcare ecosystem. To succeed in the industry, companies benefit from deep healthcare commercial intelligence that maps all the major players in the healthcare ecosystem, knowledge of the affiliations and relationships between the industry participants and an ability to size patient populations by disease area, geography and health system. Companies that compete within or sell into this ecosystem can utilize the Definitive Healthcare platform to navigate these complexities, enhance go-to-market strategies and access the provider and decision maker information needed to succeed.</w:t>
      </w:r>
    </w:p>
    <w:p>
      <w:pPr>
        <w:spacing w:after="0" w:line="164" w:lineRule="exact"/>
        <w:rPr>
          <w:sz w:val="20"/>
          <w:szCs w:val="20"/>
          <w:color w:val="auto"/>
        </w:rPr>
      </w:pPr>
    </w:p>
    <w:p>
      <w:pPr>
        <w:ind w:left="120" w:right="200" w:firstLine="440"/>
        <w:spacing w:after="0" w:line="259" w:lineRule="auto"/>
        <w:rPr>
          <w:sz w:val="20"/>
          <w:szCs w:val="20"/>
          <w:color w:val="auto"/>
        </w:rPr>
      </w:pPr>
      <w:r>
        <w:rPr>
          <w:rFonts w:ascii="Arial" w:cs="Arial" w:eastAsia="Arial" w:hAnsi="Arial"/>
          <w:sz w:val="18"/>
          <w:szCs w:val="18"/>
          <w:color w:val="auto"/>
        </w:rPr>
        <w:t>Our customers include Life Sciences companies, HCIT companies, healthcare providers and other diversified companies, such as staffing firms, commercial real estate firms, financial institutions and other organizations seeking commercial success in the attractive but complex healthcare ecosystem. Within these organizations, our platform is leveraged by a broad set of functional groups, including Sales, Marketing, Clinical Research &amp; Product Development, Strategy, Talent Acquisition and Physician Network Management.</w:t>
      </w:r>
    </w:p>
    <w:p>
      <w:pPr>
        <w:spacing w:after="0" w:line="187" w:lineRule="exact"/>
        <w:rPr>
          <w:sz w:val="20"/>
          <w:szCs w:val="20"/>
          <w:color w:val="auto"/>
        </w:rPr>
      </w:pPr>
    </w:p>
    <w:p>
      <w:pPr>
        <w:ind w:left="560"/>
        <w:spacing w:after="0"/>
        <w:rPr>
          <w:sz w:val="20"/>
          <w:szCs w:val="20"/>
          <w:color w:val="auto"/>
        </w:rPr>
      </w:pPr>
      <w:r>
        <w:rPr>
          <w:rFonts w:ascii="Arial" w:cs="Arial" w:eastAsia="Arial" w:hAnsi="Arial"/>
          <w:sz w:val="18"/>
          <w:szCs w:val="18"/>
          <w:color w:val="auto"/>
        </w:rPr>
        <w:t>Our customers use the Definitive Healthcare platform in many ways to drive commercial success, including:</w:t>
      </w:r>
    </w:p>
    <w:p>
      <w:pPr>
        <w:spacing w:after="0" w:line="131" w:lineRule="exact"/>
        <w:rPr>
          <w:sz w:val="20"/>
          <w:szCs w:val="20"/>
          <w:color w:val="auto"/>
        </w:rPr>
      </w:pPr>
    </w:p>
    <w:p>
      <w:pPr>
        <w:ind w:left="540" w:hanging="316"/>
        <w:spacing w:after="0"/>
        <w:tabs>
          <w:tab w:leader="none" w:pos="540" w:val="left"/>
        </w:tabs>
        <w:numPr>
          <w:ilvl w:val="0"/>
          <w:numId w:val="91"/>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Sales: </w:t>
      </w:r>
      <w:r>
        <w:rPr>
          <w:rFonts w:ascii="Arial" w:cs="Arial" w:eastAsia="Arial" w:hAnsi="Arial"/>
          <w:sz w:val="16"/>
          <w:szCs w:val="16"/>
          <w:color w:val="auto"/>
        </w:rPr>
        <w:t>Size markets, build efficient go-to-market strategies and generate actionable intelligence including prospect and decision maker intelligence</w:t>
      </w:r>
    </w:p>
    <w:p>
      <w:pPr>
        <w:spacing w:after="0" w:line="153" w:lineRule="exact"/>
        <w:rPr>
          <w:rFonts w:ascii="Arial" w:cs="Arial" w:eastAsia="Arial" w:hAnsi="Arial"/>
          <w:sz w:val="16"/>
          <w:szCs w:val="16"/>
          <w:color w:val="auto"/>
        </w:rPr>
      </w:pPr>
    </w:p>
    <w:p>
      <w:pPr>
        <w:ind w:left="540" w:hanging="316"/>
        <w:spacing w:after="0"/>
        <w:tabs>
          <w:tab w:leader="none" w:pos="540" w:val="left"/>
        </w:tabs>
        <w:numPr>
          <w:ilvl w:val="0"/>
          <w:numId w:val="91"/>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Marketing: </w:t>
      </w:r>
      <w:r>
        <w:rPr>
          <w:rFonts w:ascii="Arial" w:cs="Arial" w:eastAsia="Arial" w:hAnsi="Arial"/>
          <w:sz w:val="17"/>
          <w:szCs w:val="17"/>
          <w:color w:val="auto"/>
        </w:rPr>
        <w:t>Develop highly targeted marketing campaigns and gain contextual intelligence to quantify ROI for their products and services</w:t>
      </w:r>
    </w:p>
    <w:p>
      <w:pPr>
        <w:spacing w:after="0" w:line="142" w:lineRule="exact"/>
        <w:rPr>
          <w:rFonts w:ascii="Arial" w:cs="Arial" w:eastAsia="Arial" w:hAnsi="Arial"/>
          <w:sz w:val="17"/>
          <w:szCs w:val="17"/>
          <w:color w:val="auto"/>
        </w:rPr>
      </w:pPr>
    </w:p>
    <w:p>
      <w:pPr>
        <w:ind w:left="540" w:right="20" w:hanging="316"/>
        <w:spacing w:after="0" w:line="277" w:lineRule="auto"/>
        <w:tabs>
          <w:tab w:leader="none" w:pos="540" w:val="left"/>
        </w:tabs>
        <w:numPr>
          <w:ilvl w:val="0"/>
          <w:numId w:val="91"/>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Clinical Research &amp; Product Development: </w:t>
      </w:r>
      <w:r>
        <w:rPr>
          <w:rFonts w:ascii="Arial" w:cs="Arial" w:eastAsia="Arial" w:hAnsi="Arial"/>
          <w:sz w:val="18"/>
          <w:szCs w:val="18"/>
          <w:color w:val="auto"/>
        </w:rPr>
        <w:t>Identify experts within a specific disease area to find important sites for clinical trials and make data-driven investment decisions</w:t>
      </w:r>
    </w:p>
    <w:p>
      <w:pPr>
        <w:spacing w:after="0" w:line="75" w:lineRule="exact"/>
        <w:rPr>
          <w:rFonts w:ascii="Arial" w:cs="Arial" w:eastAsia="Arial" w:hAnsi="Arial"/>
          <w:sz w:val="18"/>
          <w:szCs w:val="18"/>
          <w:color w:val="auto"/>
        </w:rPr>
      </w:pPr>
    </w:p>
    <w:p>
      <w:pPr>
        <w:ind w:left="540" w:hanging="316"/>
        <w:spacing w:after="0"/>
        <w:tabs>
          <w:tab w:leader="none" w:pos="540" w:val="left"/>
        </w:tabs>
        <w:numPr>
          <w:ilvl w:val="0"/>
          <w:numId w:val="91"/>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Strategy: </w:t>
      </w:r>
      <w:r>
        <w:rPr>
          <w:rFonts w:ascii="Arial" w:cs="Arial" w:eastAsia="Arial" w:hAnsi="Arial"/>
          <w:sz w:val="18"/>
          <w:szCs w:val="18"/>
          <w:color w:val="auto"/>
        </w:rPr>
        <w:t>Size patient populations and identify market opportunities for new therapeutics, diagnostics and medical devices</w:t>
      </w:r>
    </w:p>
    <w:p>
      <w:pPr>
        <w:spacing w:after="0" w:line="130" w:lineRule="exact"/>
        <w:rPr>
          <w:rFonts w:ascii="Arial" w:cs="Arial" w:eastAsia="Arial" w:hAnsi="Arial"/>
          <w:sz w:val="18"/>
          <w:szCs w:val="18"/>
          <w:color w:val="auto"/>
        </w:rPr>
      </w:pPr>
    </w:p>
    <w:p>
      <w:pPr>
        <w:ind w:left="540" w:hanging="316"/>
        <w:spacing w:after="0"/>
        <w:tabs>
          <w:tab w:leader="none" w:pos="540" w:val="left"/>
        </w:tabs>
        <w:numPr>
          <w:ilvl w:val="0"/>
          <w:numId w:val="91"/>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Talent Acquisition: </w:t>
      </w:r>
      <w:r>
        <w:rPr>
          <w:rFonts w:ascii="Arial" w:cs="Arial" w:eastAsia="Arial" w:hAnsi="Arial"/>
          <w:sz w:val="16"/>
          <w:szCs w:val="16"/>
          <w:color w:val="auto"/>
        </w:rPr>
        <w:t>Identify and conduct outreach to candidates for healthcare-specific roles including physicians, nurses and hospital executives</w:t>
      </w:r>
    </w:p>
    <w:p>
      <w:pPr>
        <w:spacing w:after="0" w:line="153" w:lineRule="exact"/>
        <w:rPr>
          <w:rFonts w:ascii="Arial" w:cs="Arial" w:eastAsia="Arial" w:hAnsi="Arial"/>
          <w:sz w:val="16"/>
          <w:szCs w:val="16"/>
          <w:color w:val="auto"/>
        </w:rPr>
      </w:pPr>
    </w:p>
    <w:p>
      <w:pPr>
        <w:ind w:left="540" w:right="400" w:hanging="316"/>
        <w:spacing w:after="0" w:line="277" w:lineRule="auto"/>
        <w:tabs>
          <w:tab w:leader="none" w:pos="540" w:val="left"/>
        </w:tabs>
        <w:numPr>
          <w:ilvl w:val="0"/>
          <w:numId w:val="91"/>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Physician Network Management: </w:t>
      </w:r>
      <w:r>
        <w:rPr>
          <w:rFonts w:ascii="Arial" w:cs="Arial" w:eastAsia="Arial" w:hAnsi="Arial"/>
          <w:sz w:val="18"/>
          <w:szCs w:val="18"/>
          <w:color w:val="auto"/>
        </w:rPr>
        <w:t>Analyze opportunities to keep patients within a healthcare network and identify attractive physicians from</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whom to source patient referrals</w:t>
      </w:r>
    </w:p>
    <w:p>
      <w:pPr>
        <w:spacing w:after="0" w:line="170" w:lineRule="exact"/>
        <w:rPr>
          <w:sz w:val="20"/>
          <w:szCs w:val="20"/>
          <w:color w:val="auto"/>
        </w:rPr>
      </w:pPr>
    </w:p>
    <w:p>
      <w:pPr>
        <w:ind w:left="120" w:right="280" w:firstLine="440"/>
        <w:spacing w:after="0" w:line="277" w:lineRule="auto"/>
        <w:rPr>
          <w:sz w:val="20"/>
          <w:szCs w:val="20"/>
          <w:color w:val="auto"/>
        </w:rPr>
      </w:pPr>
      <w:r>
        <w:rPr>
          <w:rFonts w:ascii="Arial" w:cs="Arial" w:eastAsia="Arial" w:hAnsi="Arial"/>
          <w:sz w:val="18"/>
          <w:szCs w:val="18"/>
          <w:color w:val="auto"/>
        </w:rPr>
        <w:t>Our healthcare commercial intelligence platform brings together three powerful elements, which have been built, modified and improved upon over the last 11 years, to create a highly differentiated offering.</w:t>
      </w:r>
    </w:p>
    <w:p>
      <w:pPr>
        <w:spacing w:after="0" w:line="170"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These three elements are:</w:t>
      </w:r>
    </w:p>
    <w:p>
      <w:pPr>
        <w:spacing w:after="0" w:line="131" w:lineRule="exact"/>
        <w:rPr>
          <w:sz w:val="20"/>
          <w:szCs w:val="20"/>
          <w:color w:val="auto"/>
        </w:rPr>
      </w:pPr>
    </w:p>
    <w:p>
      <w:pPr>
        <w:ind w:left="5600" w:right="3000" w:hanging="5052"/>
        <w:spacing w:after="0" w:line="449" w:lineRule="auto"/>
        <w:tabs>
          <w:tab w:leader="none" w:pos="1084" w:val="left"/>
        </w:tabs>
        <w:numPr>
          <w:ilvl w:val="0"/>
          <w:numId w:val="92"/>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Comprehensive, In-depth and High-quality Intelligence </w:t>
      </w:r>
      <w:r>
        <w:rPr>
          <w:rFonts w:ascii="Arial" w:cs="Arial" w:eastAsia="Arial" w:hAnsi="Arial"/>
          <w:sz w:val="18"/>
          <w:szCs w:val="18"/>
          <w:color w:val="auto"/>
        </w:rPr>
        <w:t>on healthcare providers across the U.S.;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108</w:t>
      </w:r>
    </w:p>
    <w:p>
      <w:pPr>
        <w:sectPr>
          <w:pgSz w:w="11900" w:h="16838" w:orient="portrait"/>
          <w:cols w:equalWidth="0" w:num="1">
            <w:col w:w="11120"/>
          </w:cols>
          <w:pgMar w:left="320" w:top="459" w:right="459" w:bottom="1440" w:gutter="0" w:footer="0" w:header="0"/>
        </w:sectPr>
      </w:pPr>
    </w:p>
    <w:bookmarkStart w:id="115" w:name="page116"/>
    <w:bookmarkEnd w:id="1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Confidential Treatment Requested by Definitive Healthcare Corp.</w:t>
      </w:r>
    </w:p>
    <w:p>
      <w:pPr>
        <w:spacing w:after="0" w:line="27"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Pursuant to 17 C.F.R. Section 200.83</w:t>
      </w:r>
    </w:p>
    <w:p>
      <w:pPr>
        <w:spacing w:after="0" w:line="143" w:lineRule="exact"/>
        <w:rPr>
          <w:sz w:val="20"/>
          <w:szCs w:val="20"/>
          <w:color w:val="auto"/>
        </w:rPr>
      </w:pPr>
    </w:p>
    <w:p>
      <w:pPr>
        <w:ind w:left="1080" w:hanging="532"/>
        <w:spacing w:after="0"/>
        <w:tabs>
          <w:tab w:leader="none" w:pos="1080" w:val="left"/>
        </w:tabs>
        <w:numPr>
          <w:ilvl w:val="0"/>
          <w:numId w:val="93"/>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An A.I. Engine, </w:t>
      </w:r>
      <w:r>
        <w:rPr>
          <w:rFonts w:ascii="Arial" w:cs="Arial" w:eastAsia="Arial" w:hAnsi="Arial"/>
          <w:sz w:val="18"/>
          <w:szCs w:val="18"/>
          <w:color w:val="auto"/>
        </w:rPr>
        <w:t>built by our team of data scientists, that cleanses, links and creates new information and intelligence; and</w:t>
      </w:r>
    </w:p>
    <w:p>
      <w:pPr>
        <w:spacing w:after="0" w:line="130" w:lineRule="exact"/>
        <w:rPr>
          <w:rFonts w:ascii="Arial" w:cs="Arial" w:eastAsia="Arial" w:hAnsi="Arial"/>
          <w:sz w:val="18"/>
          <w:szCs w:val="18"/>
          <w:color w:val="auto"/>
        </w:rPr>
      </w:pPr>
    </w:p>
    <w:p>
      <w:pPr>
        <w:ind w:left="1080" w:right="200" w:hanging="532"/>
        <w:spacing w:after="0" w:line="277" w:lineRule="auto"/>
        <w:tabs>
          <w:tab w:leader="none" w:pos="1080" w:val="left"/>
        </w:tabs>
        <w:numPr>
          <w:ilvl w:val="0"/>
          <w:numId w:val="93"/>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An Intuitive Front-end SaaS Platform </w:t>
      </w:r>
      <w:r>
        <w:rPr>
          <w:rFonts w:ascii="Arial" w:cs="Arial" w:eastAsia="Arial" w:hAnsi="Arial"/>
          <w:sz w:val="18"/>
          <w:szCs w:val="18"/>
          <w:color w:val="auto"/>
        </w:rPr>
        <w:t>that provides customers with the ability to analyze the healthcare ecosystem, generate actionable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insights and create a path to commercial success.</w:t>
      </w:r>
    </w:p>
    <w:p>
      <w:pPr>
        <w:spacing w:after="0" w:line="170" w:lineRule="exact"/>
        <w:rPr>
          <w:sz w:val="20"/>
          <w:szCs w:val="20"/>
          <w:color w:val="auto"/>
        </w:rPr>
      </w:pPr>
    </w:p>
    <w:p>
      <w:pPr>
        <w:ind w:left="120" w:right="20" w:firstLine="440"/>
        <w:spacing w:after="0" w:line="259" w:lineRule="auto"/>
        <w:rPr>
          <w:sz w:val="20"/>
          <w:szCs w:val="20"/>
          <w:color w:val="auto"/>
        </w:rPr>
      </w:pPr>
      <w:r>
        <w:rPr>
          <w:rFonts w:ascii="Arial" w:cs="Arial" w:eastAsia="Arial" w:hAnsi="Arial"/>
          <w:sz w:val="18"/>
          <w:szCs w:val="18"/>
          <w:color w:val="auto"/>
        </w:rPr>
        <w:t>Any company selling or competing within the healthcare ecosystem is a potential customer for us and contributes to our estimated current TAM of over $10 billion. In total, we have identified over 100,000 companies in our primary target markets - a number that continues to grow as more companies seek to compete within the attractive healthcare ecosystem and we develop new and innovative analytics that appeal to a broader number of companies and use cases.</w:t>
      </w:r>
    </w:p>
    <w:p>
      <w:pPr>
        <w:spacing w:after="0" w:line="187" w:lineRule="exact"/>
        <w:rPr>
          <w:sz w:val="20"/>
          <w:szCs w:val="20"/>
          <w:color w:val="auto"/>
        </w:rPr>
      </w:pPr>
    </w:p>
    <w:p>
      <w:pPr>
        <w:ind w:left="120" w:firstLine="440"/>
        <w:spacing w:after="0" w:line="263" w:lineRule="auto"/>
        <w:rPr>
          <w:sz w:val="20"/>
          <w:szCs w:val="20"/>
          <w:color w:val="auto"/>
        </w:rPr>
      </w:pPr>
      <w:r>
        <w:rPr>
          <w:rFonts w:ascii="Arial" w:cs="Arial" w:eastAsia="Arial" w:hAnsi="Arial"/>
          <w:sz w:val="18"/>
          <w:szCs w:val="18"/>
          <w:color w:val="auto"/>
        </w:rPr>
        <w:t>We reach these customers through a highly efficient sales and marketing engine as demonstrated by our 2020 LTV to CAC ratio of over 10x. Once these customers are on our platform, we are able to expand our relationships with them over time by selling additional users, data modules and new analytical features. Only approximately one-third of a sales representative’s day is spent selling.</w:t>
      </w:r>
    </w:p>
    <w:p>
      <w:pPr>
        <w:spacing w:after="0" w:line="184" w:lineRule="exact"/>
        <w:rPr>
          <w:sz w:val="20"/>
          <w:szCs w:val="20"/>
          <w:color w:val="auto"/>
        </w:rPr>
      </w:pPr>
    </w:p>
    <w:p>
      <w:pPr>
        <w:ind w:left="120" w:right="60" w:firstLine="440"/>
        <w:spacing w:after="0" w:line="263" w:lineRule="auto"/>
        <w:rPr>
          <w:sz w:val="20"/>
          <w:szCs w:val="20"/>
          <w:color w:val="auto"/>
        </w:rPr>
      </w:pPr>
      <w:r>
        <w:rPr>
          <w:rFonts w:ascii="Arial" w:cs="Arial" w:eastAsia="Arial" w:hAnsi="Arial"/>
          <w:sz w:val="18"/>
          <w:szCs w:val="18"/>
          <w:color w:val="auto"/>
        </w:rPr>
        <w:t>We were founded in 2011 by our CEO, Jason Krantz, who has cultivated a culture of innovation that attracts and retains a highly talented team. Our seasoned executive team and over 550 employees are committed to growing a platform that delivers meaningful insights to our customers. This has resulted in a highly scalable business model and strong financial performance, including:</w:t>
      </w:r>
    </w:p>
    <w:p>
      <w:pPr>
        <w:spacing w:after="0" w:line="89" w:lineRule="exact"/>
        <w:rPr>
          <w:sz w:val="20"/>
          <w:szCs w:val="20"/>
          <w:color w:val="auto"/>
        </w:rPr>
      </w:pPr>
    </w:p>
    <w:p>
      <w:pPr>
        <w:ind w:left="1080" w:right="340" w:hanging="532"/>
        <w:spacing w:after="0" w:line="286" w:lineRule="auto"/>
        <w:tabs>
          <w:tab w:leader="none" w:pos="1080" w:val="left"/>
        </w:tabs>
        <w:numPr>
          <w:ilvl w:val="0"/>
          <w:numId w:val="94"/>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History of Significant Revenue Growth at Scale. </w:t>
      </w:r>
      <w:r>
        <w:rPr>
          <w:rFonts w:ascii="Arial" w:cs="Arial" w:eastAsia="Arial" w:hAnsi="Arial"/>
          <w:sz w:val="17"/>
          <w:szCs w:val="17"/>
          <w:color w:val="auto"/>
        </w:rPr>
        <w:t>We generated revenue of $118.3 million and $85.5 million in the years ended</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December 31, 2020 and December 31, 2019, respectively, representing 38% growth. We generated revenue of $76.8 million and $54.6 million in the six months ended June 30, 2021 and 2020, respectively, representing 41% growth.</w:t>
      </w:r>
    </w:p>
    <w:p>
      <w:pPr>
        <w:spacing w:after="0" w:line="70" w:lineRule="exact"/>
        <w:rPr>
          <w:rFonts w:ascii="Arial" w:cs="Arial" w:eastAsia="Arial" w:hAnsi="Arial"/>
          <w:sz w:val="17"/>
          <w:szCs w:val="17"/>
          <w:color w:val="auto"/>
        </w:rPr>
      </w:pPr>
    </w:p>
    <w:p>
      <w:pPr>
        <w:ind w:left="1080" w:right="40" w:hanging="532"/>
        <w:spacing w:after="0" w:line="308" w:lineRule="auto"/>
        <w:tabs>
          <w:tab w:leader="none" w:pos="1080" w:val="left"/>
        </w:tabs>
        <w:numPr>
          <w:ilvl w:val="0"/>
          <w:numId w:val="94"/>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Subscription-based Business Model with Significant Visibility. </w:t>
      </w:r>
      <w:r>
        <w:rPr>
          <w:rFonts w:ascii="Arial" w:cs="Arial" w:eastAsia="Arial" w:hAnsi="Arial"/>
          <w:sz w:val="17"/>
          <w:szCs w:val="17"/>
          <w:color w:val="auto"/>
        </w:rPr>
        <w:t>We generate substantially all of our revenue from subscription fees, which</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accounted for 99% of our revenue for the year ended December 31, 2020 and the six months ended June 30, 2021.</w:t>
      </w:r>
    </w:p>
    <w:p>
      <w:pPr>
        <w:spacing w:after="0" w:line="47" w:lineRule="exact"/>
        <w:rPr>
          <w:rFonts w:ascii="Arial" w:cs="Arial" w:eastAsia="Arial" w:hAnsi="Arial"/>
          <w:sz w:val="17"/>
          <w:szCs w:val="17"/>
          <w:color w:val="auto"/>
        </w:rPr>
      </w:pPr>
    </w:p>
    <w:p>
      <w:pPr>
        <w:ind w:left="1080" w:right="40" w:hanging="532"/>
        <w:spacing w:after="0" w:line="266" w:lineRule="auto"/>
        <w:tabs>
          <w:tab w:leader="none" w:pos="1080" w:val="left"/>
        </w:tabs>
        <w:numPr>
          <w:ilvl w:val="0"/>
          <w:numId w:val="94"/>
        </w:numPr>
        <w:rPr>
          <w:rFonts w:ascii="Arial" w:cs="Arial" w:eastAsia="Arial" w:hAnsi="Arial"/>
          <w:sz w:val="18"/>
          <w:szCs w:val="18"/>
          <w:color w:val="auto"/>
        </w:rPr>
      </w:pPr>
      <w:r>
        <w:rPr>
          <w:rFonts w:ascii="Arial" w:cs="Arial" w:eastAsia="Arial" w:hAnsi="Arial"/>
          <w:sz w:val="18"/>
          <w:szCs w:val="18"/>
          <w:b w:val="1"/>
          <w:bCs w:val="1"/>
          <w:i w:val="1"/>
          <w:iCs w:val="1"/>
          <w:color w:val="auto"/>
        </w:rPr>
        <w:t>Diversified Customer Base</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Over 2,600 companies use our platform to help sell into or compete in the healthcare ecosystem as of June 30,</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2021. No single customer made up more than 2% of our revenue for the six months ended June 30, 2021 or the year ended December 31, 2020.</w:t>
      </w:r>
    </w:p>
    <w:p>
      <w:pPr>
        <w:spacing w:after="0" w:line="85" w:lineRule="exact"/>
        <w:rPr>
          <w:rFonts w:ascii="Arial" w:cs="Arial" w:eastAsia="Arial" w:hAnsi="Arial"/>
          <w:sz w:val="18"/>
          <w:szCs w:val="18"/>
          <w:color w:val="auto"/>
        </w:rPr>
      </w:pPr>
    </w:p>
    <w:p>
      <w:pPr>
        <w:ind w:left="1080" w:right="320" w:hanging="532"/>
        <w:spacing w:after="0" w:line="279" w:lineRule="auto"/>
        <w:tabs>
          <w:tab w:leader="none" w:pos="1080" w:val="left"/>
        </w:tabs>
        <w:numPr>
          <w:ilvl w:val="0"/>
          <w:numId w:val="94"/>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Strong Retention and Growth of Existing Customers. </w:t>
      </w:r>
      <w:r>
        <w:rPr>
          <w:rFonts w:ascii="Arial" w:cs="Arial" w:eastAsia="Arial" w:hAnsi="Arial"/>
          <w:sz w:val="17"/>
          <w:szCs w:val="17"/>
          <w:color w:val="auto"/>
        </w:rPr>
        <w:t>Our ability to retain and grow existing customer relationships is reflected in our</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growing number of Enterprise Customers, of which we had 292 for the year ended December 31, 2020 and 349 for the trailing twelve months ended June 30, 2021. Our NDR for these Enterprise Customers was 124% for the year ended December 31, 2020 and for the trailing 12 months ended June 30, 2021, our NDR for Enterprise Customers was 125%.</w:t>
      </w:r>
    </w:p>
    <w:p>
      <w:pPr>
        <w:spacing w:after="0" w:line="76" w:lineRule="exact"/>
        <w:rPr>
          <w:rFonts w:ascii="Arial" w:cs="Arial" w:eastAsia="Arial" w:hAnsi="Arial"/>
          <w:sz w:val="17"/>
          <w:szCs w:val="17"/>
          <w:color w:val="auto"/>
        </w:rPr>
      </w:pPr>
    </w:p>
    <w:p>
      <w:pPr>
        <w:ind w:left="1080" w:hanging="532"/>
        <w:spacing w:after="0" w:line="288" w:lineRule="auto"/>
        <w:tabs>
          <w:tab w:leader="none" w:pos="1080" w:val="left"/>
        </w:tabs>
        <w:numPr>
          <w:ilvl w:val="0"/>
          <w:numId w:val="94"/>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History of Strong Financial Performance. </w:t>
      </w:r>
      <w:r>
        <w:rPr>
          <w:rFonts w:ascii="Arial" w:cs="Arial" w:eastAsia="Arial" w:hAnsi="Arial"/>
          <w:sz w:val="16"/>
          <w:szCs w:val="16"/>
          <w:color w:val="auto"/>
        </w:rPr>
        <w:t>Our net loss was $51.2 million for the year ended December 31, 2020 as compared to a net loss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of $49.3 million for the period from July 16, 2019 to December 31, 2019 and net income of $12.9 million for the period from January 1, 2019 to July 15, 2019. Our net loss was $25.5 million and $25.3 million for the six months ended June 30, 2021 and 2020, respectively. Our business model generates strong financial performance and cash flows. For the year ended December 31, 2020, our Net Loss Margin was (43)% and our Gross Margin was 74%. For the six months ended June 30, 2021, our Net Loss Margin was (33)% and our Gross Margin was 75%. For the year ended December 31, 2020, our Adjusted Gross Margin was 91% and our Adjusted EBITDA was $53.5 million reflecting Adjusted EBITDA Margins of 45%. For the six months ended June 30, 2021, our Adjusted Gross Margin was 88% and our Adjusted EBITDA was $28.5 million, reflecting an Adjusted EBITDA Margin of 37%. This strong financial performance allows us to continue to invest for growth to scale the organization. See “Summary Historical and Pro Forma Consolidated Financial Information and Other Data” for additional information regarding our non-GAAP numbers and a reconciliation to the corresponding GAAP metric.</w:t>
      </w:r>
    </w:p>
    <w:p>
      <w:pPr>
        <w:spacing w:after="0" w:line="101" w:lineRule="exact"/>
        <w:rPr>
          <w:sz w:val="20"/>
          <w:szCs w:val="20"/>
          <w:color w:val="auto"/>
        </w:rPr>
      </w:pPr>
    </w:p>
    <w:p>
      <w:pPr>
        <w:jc w:val="center"/>
        <w:ind w:right="-359"/>
        <w:spacing w:after="0"/>
        <w:rPr>
          <w:sz w:val="20"/>
          <w:szCs w:val="20"/>
          <w:color w:val="auto"/>
        </w:rPr>
      </w:pPr>
      <w:r>
        <w:rPr>
          <w:rFonts w:ascii="Arial" w:cs="Arial" w:eastAsia="Arial" w:hAnsi="Arial"/>
          <w:sz w:val="18"/>
          <w:szCs w:val="18"/>
          <w:color w:val="auto"/>
        </w:rPr>
        <w:t>109</w:t>
      </w:r>
    </w:p>
    <w:p>
      <w:pPr>
        <w:sectPr>
          <w:pgSz w:w="11900" w:h="16838" w:orient="portrait"/>
          <w:cols w:equalWidth="0" w:num="1">
            <w:col w:w="11120"/>
          </w:cols>
          <w:pgMar w:left="320" w:top="459" w:right="459" w:bottom="1440" w:gutter="0" w:footer="0" w:header="0"/>
        </w:sectPr>
      </w:pPr>
    </w:p>
    <w:bookmarkStart w:id="116" w:name="page117"/>
    <w:bookmarkEnd w:id="1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Confidential Treatment Requested by Definitive Healthcare Corp.</w:t>
      </w:r>
    </w:p>
    <w:p>
      <w:pPr>
        <w:spacing w:after="0" w:line="27"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Pursuant to 17 C.F.R. Section 200.83</w:t>
      </w:r>
    </w:p>
    <w:p>
      <w:pPr>
        <w:spacing w:after="0" w:line="13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Industry Background</w:t>
      </w:r>
    </w:p>
    <w:p>
      <w:pPr>
        <w:spacing w:after="0" w:line="121" w:lineRule="exact"/>
        <w:rPr>
          <w:sz w:val="20"/>
          <w:szCs w:val="20"/>
          <w:color w:val="auto"/>
        </w:rPr>
      </w:pPr>
    </w:p>
    <w:p>
      <w:pPr>
        <w:ind w:left="120" w:right="60" w:firstLine="440"/>
        <w:spacing w:after="0" w:line="273" w:lineRule="auto"/>
        <w:rPr>
          <w:sz w:val="20"/>
          <w:szCs w:val="20"/>
          <w:color w:val="auto"/>
        </w:rPr>
      </w:pPr>
      <w:r>
        <w:rPr>
          <w:rFonts w:ascii="Arial" w:cs="Arial" w:eastAsia="Arial" w:hAnsi="Arial"/>
          <w:sz w:val="17"/>
          <w:szCs w:val="17"/>
          <w:color w:val="auto"/>
        </w:rPr>
        <w:t>The healthcare sector is expected to represent over 18% of U.S. G.D.P. in 2021, currently represents over $4 trillion in annual spend, and is expected to grow at 6% annually, according to the Center for Medicare and Medicaid Services. Annual spend in the healthcare industry is estimated to include $194 billion on Research and Development and approximately $36 billion annually is spent on Sales and Marketing to help those products and services reach target providers and patients. Given the size and attractive dynamics, the healthcare sector represents an important end-market for a wide variety of companies, ranging from those that are healthcare focused, such as Life Sciences or HCIT companies, to a broad range of other diversified companies, such as commercial real estate, staffing and waste management.</w:t>
      </w:r>
    </w:p>
    <w:p>
      <w:pPr>
        <w:spacing w:after="0" w:line="286"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Commercializing and selling solutions in healthcare is difficult</w:t>
      </w:r>
    </w:p>
    <w:p>
      <w:pPr>
        <w:spacing w:after="0" w:line="117" w:lineRule="exact"/>
        <w:rPr>
          <w:sz w:val="20"/>
          <w:szCs w:val="20"/>
          <w:color w:val="auto"/>
        </w:rPr>
      </w:pPr>
    </w:p>
    <w:p>
      <w:pPr>
        <w:ind w:left="120" w:right="340" w:firstLine="440"/>
        <w:spacing w:after="0" w:line="277" w:lineRule="auto"/>
        <w:rPr>
          <w:sz w:val="20"/>
          <w:szCs w:val="20"/>
          <w:color w:val="auto"/>
        </w:rPr>
      </w:pPr>
      <w:r>
        <w:rPr>
          <w:rFonts w:ascii="Arial" w:cs="Arial" w:eastAsia="Arial" w:hAnsi="Arial"/>
          <w:sz w:val="18"/>
          <w:szCs w:val="18"/>
          <w:color w:val="auto"/>
        </w:rPr>
        <w:t>While healthcare presents a large opportunity, developing products for and selling into this industry is meaningfully more complex than other industries for a variety of reasons, including:</w:t>
      </w:r>
    </w:p>
    <w:p>
      <w:pPr>
        <w:spacing w:after="0" w:line="76" w:lineRule="exact"/>
        <w:rPr>
          <w:sz w:val="20"/>
          <w:szCs w:val="20"/>
          <w:color w:val="auto"/>
        </w:rPr>
      </w:pPr>
    </w:p>
    <w:p>
      <w:pPr>
        <w:ind w:left="1080" w:hanging="532"/>
        <w:spacing w:after="0" w:line="311" w:lineRule="auto"/>
        <w:tabs>
          <w:tab w:leader="none" w:pos="1080" w:val="left"/>
        </w:tabs>
        <w:numPr>
          <w:ilvl w:val="0"/>
          <w:numId w:val="95"/>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Companies are selling to an entire ecosystem, not a single company. </w:t>
      </w:r>
      <w:r>
        <w:rPr>
          <w:rFonts w:ascii="Arial" w:cs="Arial" w:eastAsia="Arial" w:hAnsi="Arial"/>
          <w:sz w:val="16"/>
          <w:szCs w:val="16"/>
          <w:color w:val="auto"/>
        </w:rPr>
        <w:t>There are a large number of stakeholders including providers,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payers, government agencies and regulators that are intermingled in meeting the needs of over 300 million potential patients in the U.S. as of May 1, 2021. These stakeholders often have different goals and incentives, which further complicates the sales and commercial process.</w:t>
      </w:r>
    </w:p>
    <w:p>
      <w:pPr>
        <w:spacing w:after="0" w:line="54" w:lineRule="exact"/>
        <w:rPr>
          <w:rFonts w:ascii="Arial" w:cs="Arial" w:eastAsia="Arial" w:hAnsi="Arial"/>
          <w:sz w:val="16"/>
          <w:szCs w:val="16"/>
          <w:color w:val="auto"/>
        </w:rPr>
      </w:pPr>
    </w:p>
    <w:p>
      <w:pPr>
        <w:ind w:left="1080" w:right="80" w:hanging="532"/>
        <w:spacing w:after="0" w:line="259" w:lineRule="auto"/>
        <w:tabs>
          <w:tab w:leader="none" w:pos="1080" w:val="left"/>
        </w:tabs>
        <w:numPr>
          <w:ilvl w:val="0"/>
          <w:numId w:val="95"/>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It is challenging to identify the true decision maker. </w:t>
      </w:r>
      <w:r>
        <w:rPr>
          <w:rFonts w:ascii="Arial" w:cs="Arial" w:eastAsia="Arial" w:hAnsi="Arial"/>
          <w:sz w:val="18"/>
          <w:szCs w:val="18"/>
          <w:color w:val="auto"/>
        </w:rPr>
        <w:t>The healthcare ecosystem is highly interconnected, and a patient undergoing</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treatment may receive care from multiple facilities or physicians. For example, a cancer patient will likely interact with a primary care physician, multiple oncologists, a surgeon and multiple facilities over the course of his or her care. Understanding how these stakeholders are affiliated and related is critical to properly identifying true decision makers.</w:t>
      </w:r>
    </w:p>
    <w:p>
      <w:pPr>
        <w:spacing w:after="0" w:line="92" w:lineRule="exact"/>
        <w:rPr>
          <w:rFonts w:ascii="Arial" w:cs="Arial" w:eastAsia="Arial" w:hAnsi="Arial"/>
          <w:sz w:val="18"/>
          <w:szCs w:val="18"/>
          <w:color w:val="auto"/>
        </w:rPr>
      </w:pPr>
    </w:p>
    <w:p>
      <w:pPr>
        <w:ind w:left="1080" w:right="60" w:hanging="532"/>
        <w:spacing w:after="0" w:line="279" w:lineRule="auto"/>
        <w:tabs>
          <w:tab w:leader="none" w:pos="1080" w:val="left"/>
        </w:tabs>
        <w:numPr>
          <w:ilvl w:val="0"/>
          <w:numId w:val="95"/>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To differentiate, companies need to tailor their product or service to specific pain points. </w:t>
      </w:r>
      <w:r>
        <w:rPr>
          <w:rFonts w:ascii="Arial" w:cs="Arial" w:eastAsia="Arial" w:hAnsi="Arial"/>
          <w:sz w:val="17"/>
          <w:szCs w:val="17"/>
          <w:color w:val="auto"/>
        </w:rPr>
        <w:t>Healthcare providers have a wide variety of</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pain points to address. For example, one healthcare provider may have a readmission problem, another provider may have a problem with low quality of care and a third may have operational inefficiencies. Understanding these pain points can help companies selling into healthcare target these pain points and allow them to derive value from our platform.</w:t>
      </w:r>
    </w:p>
    <w:p>
      <w:pPr>
        <w:spacing w:after="0" w:line="76" w:lineRule="exact"/>
        <w:rPr>
          <w:rFonts w:ascii="Arial" w:cs="Arial" w:eastAsia="Arial" w:hAnsi="Arial"/>
          <w:sz w:val="17"/>
          <w:szCs w:val="17"/>
          <w:color w:val="auto"/>
        </w:rPr>
      </w:pPr>
    </w:p>
    <w:p>
      <w:pPr>
        <w:ind w:left="1080" w:right="280" w:hanging="532"/>
        <w:spacing w:after="0" w:line="311" w:lineRule="auto"/>
        <w:tabs>
          <w:tab w:leader="none" w:pos="1080" w:val="left"/>
        </w:tabs>
        <w:numPr>
          <w:ilvl w:val="0"/>
          <w:numId w:val="95"/>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Constant change. </w:t>
      </w:r>
      <w:r>
        <w:rPr>
          <w:rFonts w:ascii="Arial" w:cs="Arial" w:eastAsia="Arial" w:hAnsi="Arial"/>
          <w:sz w:val="16"/>
          <w:szCs w:val="16"/>
          <w:color w:val="auto"/>
        </w:rPr>
        <w:t>The healthcare industry is in a constant state of change, including continuously increasing and changing regulations,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adoption of new patient care technologies such as telemedicine, and clinical advancement such as precision medicine. These changes require companies who compete in the space to be nimble and able to adjust their strategies and tactics with real time intelligence.</w:t>
      </w:r>
    </w:p>
    <w:p>
      <w:pPr>
        <w:spacing w:after="0" w:line="54" w:lineRule="exact"/>
        <w:rPr>
          <w:rFonts w:ascii="Arial" w:cs="Arial" w:eastAsia="Arial" w:hAnsi="Arial"/>
          <w:sz w:val="16"/>
          <w:szCs w:val="16"/>
          <w:color w:val="auto"/>
        </w:rPr>
      </w:pPr>
    </w:p>
    <w:p>
      <w:pPr>
        <w:ind w:left="1080" w:right="100" w:hanging="532"/>
        <w:spacing w:after="0" w:line="259" w:lineRule="auto"/>
        <w:tabs>
          <w:tab w:leader="none" w:pos="1080" w:val="left"/>
        </w:tabs>
        <w:numPr>
          <w:ilvl w:val="0"/>
          <w:numId w:val="95"/>
        </w:numPr>
        <w:rPr>
          <w:rFonts w:ascii="Arial" w:cs="Arial" w:eastAsia="Arial" w:hAnsi="Arial"/>
          <w:sz w:val="18"/>
          <w:szCs w:val="18"/>
          <w:color w:val="auto"/>
        </w:rPr>
      </w:pPr>
      <w:r>
        <w:rPr>
          <w:rFonts w:ascii="Arial" w:cs="Arial" w:eastAsia="Arial" w:hAnsi="Arial"/>
          <w:sz w:val="18"/>
          <w:szCs w:val="18"/>
          <w:b w:val="1"/>
          <w:bCs w:val="1"/>
          <w:i w:val="1"/>
          <w:iCs w:val="1"/>
          <w:color w:val="auto"/>
        </w:rPr>
        <w:t>Healthcare is a high-stakes industry where success is difficult to achieve</w:t>
      </w:r>
      <w:r>
        <w:rPr>
          <w:rFonts w:ascii="Arial" w:cs="Arial" w:eastAsia="Arial" w:hAnsi="Arial"/>
          <w:sz w:val="18"/>
          <w:szCs w:val="18"/>
          <w:color w:val="auto"/>
        </w:rPr>
        <w:t>. New therapeutics can require substantial investment, and new</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technologies can be costly and difficult to roll-out in healthcare due to privacy and the complex health system network. Approximately 50% of drug launches underperform expectations. The high-stakes of the industry puts a premium on any product or service that can increase the likelihood of success.</w:t>
      </w:r>
    </w:p>
    <w:p>
      <w:pPr>
        <w:spacing w:after="0" w:line="295"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Alternative solutions do not provide the intelligence customers most benefit from</w:t>
      </w:r>
    </w:p>
    <w:p>
      <w:pPr>
        <w:spacing w:after="0" w:line="117" w:lineRule="exact"/>
        <w:rPr>
          <w:sz w:val="20"/>
          <w:szCs w:val="20"/>
          <w:color w:val="auto"/>
        </w:rPr>
      </w:pPr>
    </w:p>
    <w:p>
      <w:pPr>
        <w:ind w:left="120" w:right="80" w:firstLine="440"/>
        <w:spacing w:after="0" w:line="286" w:lineRule="auto"/>
        <w:rPr>
          <w:sz w:val="20"/>
          <w:szCs w:val="20"/>
          <w:color w:val="auto"/>
        </w:rPr>
      </w:pPr>
      <w:r>
        <w:rPr>
          <w:rFonts w:ascii="Arial" w:cs="Arial" w:eastAsia="Arial" w:hAnsi="Arial"/>
          <w:sz w:val="17"/>
          <w:szCs w:val="17"/>
          <w:color w:val="auto"/>
        </w:rPr>
        <w:t>Companies competing within or selling into the healthcare ecosystem benefit from accurate and up-to-date healthcare specific intelligence on the entire healthcare ecosystem including comprehensive information on providers and physicians, how they are affiliated and interconnected, how they refer patients to each other, the quality of care they provide, procedure and diagnosis volumes and much more.</w:t>
      </w:r>
    </w:p>
    <w:p>
      <w:pPr>
        <w:spacing w:after="0" w:line="165" w:lineRule="exact"/>
        <w:rPr>
          <w:sz w:val="20"/>
          <w:szCs w:val="20"/>
          <w:color w:val="auto"/>
        </w:rPr>
      </w:pPr>
    </w:p>
    <w:p>
      <w:pPr>
        <w:ind w:left="560"/>
        <w:spacing w:after="0"/>
        <w:rPr>
          <w:sz w:val="20"/>
          <w:szCs w:val="20"/>
          <w:color w:val="auto"/>
        </w:rPr>
      </w:pPr>
      <w:r>
        <w:rPr>
          <w:rFonts w:ascii="Arial" w:cs="Arial" w:eastAsia="Arial" w:hAnsi="Arial"/>
          <w:sz w:val="18"/>
          <w:szCs w:val="18"/>
          <w:color w:val="auto"/>
        </w:rPr>
        <w:t>Alternative solutions available today fall short in three ways:</w:t>
      </w:r>
    </w:p>
    <w:p>
      <w:pPr>
        <w:spacing w:after="0" w:line="127" w:lineRule="exact"/>
        <w:rPr>
          <w:sz w:val="20"/>
          <w:szCs w:val="20"/>
          <w:color w:val="auto"/>
        </w:rPr>
      </w:pPr>
    </w:p>
    <w:p>
      <w:pPr>
        <w:ind w:left="1080" w:right="20" w:hanging="532"/>
        <w:spacing w:after="0" w:line="282" w:lineRule="auto"/>
        <w:tabs>
          <w:tab w:leader="none" w:pos="1080" w:val="left"/>
        </w:tabs>
        <w:numPr>
          <w:ilvl w:val="0"/>
          <w:numId w:val="96"/>
        </w:numPr>
        <w:rPr>
          <w:rFonts w:ascii="Arial" w:cs="Arial" w:eastAsia="Arial" w:hAnsi="Arial"/>
          <w:sz w:val="18"/>
          <w:szCs w:val="18"/>
          <w:color w:val="auto"/>
        </w:rPr>
      </w:pPr>
      <w:r>
        <w:rPr>
          <w:rFonts w:ascii="Arial" w:cs="Arial" w:eastAsia="Arial" w:hAnsi="Arial"/>
          <w:sz w:val="18"/>
          <w:szCs w:val="18"/>
          <w:b w:val="1"/>
          <w:bCs w:val="1"/>
          <w:i w:val="1"/>
          <w:iCs w:val="1"/>
          <w:color w:val="auto"/>
        </w:rPr>
        <w:t>Lack of Healthcare Depth</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Generalized Sales and Marketing intelligence providers do not provide the healthcare specific intelligence that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is critical to success in the healthcare industry. This healthcare</w:t>
      </w:r>
    </w:p>
    <w:p>
      <w:pPr>
        <w:spacing w:after="0" w:line="98" w:lineRule="exact"/>
        <w:rPr>
          <w:sz w:val="20"/>
          <w:szCs w:val="20"/>
          <w:color w:val="auto"/>
        </w:rPr>
      </w:pPr>
    </w:p>
    <w:p>
      <w:pPr>
        <w:jc w:val="center"/>
        <w:ind w:right="-399"/>
        <w:spacing w:after="0"/>
        <w:rPr>
          <w:sz w:val="20"/>
          <w:szCs w:val="20"/>
          <w:color w:val="auto"/>
        </w:rPr>
      </w:pPr>
      <w:r>
        <w:rPr>
          <w:rFonts w:ascii="Arial" w:cs="Arial" w:eastAsia="Arial" w:hAnsi="Arial"/>
          <w:sz w:val="18"/>
          <w:szCs w:val="18"/>
          <w:color w:val="auto"/>
        </w:rPr>
        <w:t>110</w:t>
      </w:r>
    </w:p>
    <w:p>
      <w:pPr>
        <w:sectPr>
          <w:pgSz w:w="11900" w:h="16838" w:orient="portrait"/>
          <w:cols w:equalWidth="0" w:num="1">
            <w:col w:w="11080"/>
          </w:cols>
          <w:pgMar w:left="320" w:top="459" w:right="499" w:bottom="1440" w:gutter="0" w:footer="0" w:header="0"/>
        </w:sectPr>
      </w:pPr>
    </w:p>
    <w:bookmarkStart w:id="117" w:name="page118"/>
    <w:bookmarkEnd w:id="1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Confidential Treatment Requested by Definitive Healthcare Corp.</w:t>
      </w:r>
    </w:p>
    <w:p>
      <w:pPr>
        <w:spacing w:after="0" w:line="27"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Pursuant to 17 C.F.R. Section 200.83</w:t>
      </w:r>
    </w:p>
    <w:p>
      <w:pPr>
        <w:spacing w:after="0" w:line="143" w:lineRule="exact"/>
        <w:rPr>
          <w:sz w:val="20"/>
          <w:szCs w:val="20"/>
          <w:color w:val="auto"/>
        </w:rPr>
      </w:pPr>
    </w:p>
    <w:p>
      <w:pPr>
        <w:ind w:left="1100" w:right="120"/>
        <w:spacing w:after="0" w:line="263" w:lineRule="auto"/>
        <w:rPr>
          <w:sz w:val="20"/>
          <w:szCs w:val="20"/>
          <w:color w:val="auto"/>
        </w:rPr>
      </w:pPr>
      <w:r>
        <w:rPr>
          <w:rFonts w:ascii="Arial" w:cs="Arial" w:eastAsia="Arial" w:hAnsi="Arial"/>
          <w:sz w:val="18"/>
          <w:szCs w:val="18"/>
          <w:color w:val="auto"/>
        </w:rPr>
        <w:t>specific intelligence is important for efficient market sizing and segmentation based on contextual information about providers including: referral patterns, patient flow, quality and cost analytics and diagnosis and procedure volumes in addition to financial performance and decision maker information.</w:t>
      </w:r>
    </w:p>
    <w:p>
      <w:pPr>
        <w:spacing w:after="0" w:line="85" w:lineRule="exact"/>
        <w:rPr>
          <w:sz w:val="20"/>
          <w:szCs w:val="20"/>
          <w:color w:val="auto"/>
        </w:rPr>
      </w:pPr>
    </w:p>
    <w:p>
      <w:pPr>
        <w:ind w:left="1080" w:right="80" w:hanging="532"/>
        <w:spacing w:after="0" w:line="261" w:lineRule="auto"/>
        <w:tabs>
          <w:tab w:leader="none" w:pos="1080" w:val="left"/>
        </w:tabs>
        <w:numPr>
          <w:ilvl w:val="0"/>
          <w:numId w:val="97"/>
        </w:numPr>
        <w:rPr>
          <w:rFonts w:ascii="Arial" w:cs="Arial" w:eastAsia="Arial" w:hAnsi="Arial"/>
          <w:sz w:val="18"/>
          <w:szCs w:val="18"/>
          <w:color w:val="auto"/>
        </w:rPr>
      </w:pPr>
      <w:r>
        <w:rPr>
          <w:rFonts w:ascii="Arial" w:cs="Arial" w:eastAsia="Arial" w:hAnsi="Arial"/>
          <w:sz w:val="18"/>
          <w:szCs w:val="18"/>
          <w:b w:val="1"/>
          <w:bCs w:val="1"/>
          <w:i w:val="1"/>
          <w:iCs w:val="1"/>
          <w:color w:val="auto"/>
        </w:rPr>
        <w:t>No Comprehensive and Integrated View of the Entire Healthcare Ecosystem</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Existing solutions typically provide only certain elements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of the healthcare ecosystem—to achieve commercial success in healthcare it is beneficial to have a comprehensive view of facilities and physicians and how they are affiliated and interconnected. Our solution provides a comprehensive view of the entire healthcare ecosystem and how providers are related.</w:t>
      </w:r>
    </w:p>
    <w:p>
      <w:pPr>
        <w:spacing w:after="0" w:line="85" w:lineRule="exact"/>
        <w:rPr>
          <w:rFonts w:ascii="Arial" w:cs="Arial" w:eastAsia="Arial" w:hAnsi="Arial"/>
          <w:sz w:val="18"/>
          <w:szCs w:val="18"/>
          <w:color w:val="auto"/>
        </w:rPr>
      </w:pPr>
    </w:p>
    <w:p>
      <w:pPr>
        <w:ind w:left="1080" w:hanging="532"/>
        <w:spacing w:after="0" w:line="258" w:lineRule="auto"/>
        <w:tabs>
          <w:tab w:leader="none" w:pos="1080" w:val="left"/>
        </w:tabs>
        <w:numPr>
          <w:ilvl w:val="0"/>
          <w:numId w:val="97"/>
        </w:numPr>
        <w:rPr>
          <w:rFonts w:ascii="Arial" w:cs="Arial" w:eastAsia="Arial" w:hAnsi="Arial"/>
          <w:sz w:val="18"/>
          <w:szCs w:val="18"/>
          <w:color w:val="auto"/>
        </w:rPr>
      </w:pPr>
      <w:r>
        <w:rPr>
          <w:rFonts w:ascii="Arial" w:cs="Arial" w:eastAsia="Arial" w:hAnsi="Arial"/>
          <w:sz w:val="18"/>
          <w:szCs w:val="18"/>
          <w:b w:val="1"/>
          <w:bCs w:val="1"/>
          <w:i w:val="1"/>
          <w:iCs w:val="1"/>
          <w:color w:val="auto"/>
        </w:rPr>
        <w:t>Manual and Not Real-time</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Third party consultants are often used to pull together various data sources and compile a view of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healthcare ecosystem to help companies make critical decisions. These efforts are often services-heavy, expensive and can result in end-products that are not easily updated as the healthcare ecosystem rapidly evolves. We have disrupted this market by creating a highly intuitive platform to allow customers access to a 360-degree view of the healthcare ecosystem that adapts in real-time to the changes taking place in the healthcare industry.</w:t>
      </w:r>
    </w:p>
    <w:p>
      <w:pPr>
        <w:spacing w:after="0" w:line="29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The Definitive Healthcare Platform</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Industry Leading SaaS-based Healthcare Commercial Intelligence</w:t>
      </w:r>
    </w:p>
    <w:p>
      <w:pPr>
        <w:spacing w:after="0" w:line="117" w:lineRule="exact"/>
        <w:rPr>
          <w:sz w:val="20"/>
          <w:szCs w:val="20"/>
          <w:color w:val="auto"/>
        </w:rPr>
      </w:pPr>
    </w:p>
    <w:p>
      <w:pPr>
        <w:ind w:left="120" w:right="200" w:firstLine="440"/>
        <w:spacing w:after="0" w:line="279" w:lineRule="auto"/>
        <w:rPr>
          <w:sz w:val="20"/>
          <w:szCs w:val="20"/>
          <w:color w:val="auto"/>
        </w:rPr>
      </w:pPr>
      <w:r>
        <w:rPr>
          <w:rFonts w:ascii="Arial" w:cs="Arial" w:eastAsia="Arial" w:hAnsi="Arial"/>
          <w:sz w:val="17"/>
          <w:szCs w:val="17"/>
          <w:color w:val="auto"/>
        </w:rPr>
        <w:t>Our healthcare commercial intelligence platform provides comprehensive and accurate information on the healthcare ecosystem in the U.S. The platform is embedded with deep analytics and data science to help customers develop data-driven strategic decisions such as finding new markets to enter, building comprehensive go-to-market strategies, accessing tactical information to help target the right decision makers and improving win rates with detailed contextual information. All of this helps our customers succeed in this important but complicated industry.</w:t>
      </w:r>
    </w:p>
    <w:p>
      <w:pPr>
        <w:spacing w:after="0" w:line="17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Our platform provides the following benefits to customers:</w:t>
      </w:r>
    </w:p>
    <w:p>
      <w:pPr>
        <w:spacing w:after="0" w:line="131" w:lineRule="exact"/>
        <w:rPr>
          <w:sz w:val="20"/>
          <w:szCs w:val="20"/>
          <w:color w:val="auto"/>
        </w:rPr>
      </w:pPr>
    </w:p>
    <w:p>
      <w:pPr>
        <w:ind w:left="1080" w:right="480" w:hanging="532"/>
        <w:spacing w:after="0" w:line="342" w:lineRule="auto"/>
        <w:tabs>
          <w:tab w:leader="none" w:pos="1080" w:val="left"/>
        </w:tabs>
        <w:numPr>
          <w:ilvl w:val="0"/>
          <w:numId w:val="98"/>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A comprehensive view of the entire healthcare ecosystem, </w:t>
      </w:r>
      <w:r>
        <w:rPr>
          <w:rFonts w:ascii="Arial" w:cs="Arial" w:eastAsia="Arial" w:hAnsi="Arial"/>
          <w:sz w:val="16"/>
          <w:szCs w:val="16"/>
          <w:color w:val="auto"/>
        </w:rPr>
        <w:t>including intelligence on hospitals, physicians, physician groups, clinics,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imaging centers, long-term care facilities, ambulatory surgery centers, payers, virtual care providers, GPOs and others.</w:t>
      </w:r>
    </w:p>
    <w:p>
      <w:pPr>
        <w:spacing w:after="0" w:line="29" w:lineRule="exact"/>
        <w:rPr>
          <w:rFonts w:ascii="Arial" w:cs="Arial" w:eastAsia="Arial" w:hAnsi="Arial"/>
          <w:sz w:val="16"/>
          <w:szCs w:val="16"/>
          <w:color w:val="auto"/>
        </w:rPr>
      </w:pPr>
    </w:p>
    <w:p>
      <w:pPr>
        <w:ind w:left="1080" w:right="460" w:hanging="532"/>
        <w:spacing w:after="0" w:line="277" w:lineRule="auto"/>
        <w:tabs>
          <w:tab w:leader="none" w:pos="1080" w:val="left"/>
        </w:tabs>
        <w:numPr>
          <w:ilvl w:val="0"/>
          <w:numId w:val="98"/>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Detailed analytics and insight on how these companies and physicians are interconnected </w:t>
      </w:r>
      <w:r>
        <w:rPr>
          <w:rFonts w:ascii="Arial" w:cs="Arial" w:eastAsia="Arial" w:hAnsi="Arial"/>
          <w:sz w:val="18"/>
          <w:szCs w:val="18"/>
          <w:color w:val="auto"/>
        </w:rPr>
        <w:t>through affiliations, referrals and shared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patient analytics all linked together through the proprietary Definitive ID.</w:t>
      </w:r>
    </w:p>
    <w:p>
      <w:pPr>
        <w:spacing w:after="0" w:line="75" w:lineRule="exact"/>
        <w:rPr>
          <w:rFonts w:ascii="Arial" w:cs="Arial" w:eastAsia="Arial" w:hAnsi="Arial"/>
          <w:sz w:val="18"/>
          <w:szCs w:val="18"/>
          <w:color w:val="auto"/>
        </w:rPr>
      </w:pPr>
    </w:p>
    <w:p>
      <w:pPr>
        <w:ind w:left="1080" w:right="160" w:hanging="532"/>
        <w:spacing w:after="0" w:line="263" w:lineRule="auto"/>
        <w:tabs>
          <w:tab w:leader="none" w:pos="1080" w:val="left"/>
        </w:tabs>
        <w:numPr>
          <w:ilvl w:val="0"/>
          <w:numId w:val="98"/>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Healthcare-specific intelligence </w:t>
      </w:r>
      <w:r>
        <w:rPr>
          <w:rFonts w:ascii="Arial" w:cs="Arial" w:eastAsia="Arial" w:hAnsi="Arial"/>
          <w:sz w:val="18"/>
          <w:szCs w:val="18"/>
          <w:color w:val="auto"/>
        </w:rPr>
        <w:t>including daily opportunities such as new patient starts and RFPs, procedure and diagnosis volumes,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patient leakage, quality of care analytics, financial metrics, technology infrastructure of providers and healthcare stakeholder intelligence with detailed contact information.</w:t>
      </w:r>
    </w:p>
    <w:p>
      <w:pPr>
        <w:spacing w:after="0" w:line="89" w:lineRule="exact"/>
        <w:rPr>
          <w:rFonts w:ascii="Arial" w:cs="Arial" w:eastAsia="Arial" w:hAnsi="Arial"/>
          <w:sz w:val="18"/>
          <w:szCs w:val="18"/>
          <w:color w:val="auto"/>
        </w:rPr>
      </w:pPr>
    </w:p>
    <w:p>
      <w:pPr>
        <w:ind w:left="1080" w:hanging="532"/>
        <w:spacing w:after="0"/>
        <w:tabs>
          <w:tab w:leader="none" w:pos="1080" w:val="left"/>
        </w:tabs>
        <w:numPr>
          <w:ilvl w:val="0"/>
          <w:numId w:val="98"/>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Answers, not just raw data </w:t>
      </w:r>
      <w:r>
        <w:rPr>
          <w:rFonts w:ascii="Arial" w:cs="Arial" w:eastAsia="Arial" w:hAnsi="Arial"/>
          <w:sz w:val="16"/>
          <w:szCs w:val="16"/>
          <w:color w:val="auto"/>
        </w:rPr>
        <w:t>to ensure our customers spend their time developing and executing on their vision rather than analyzing data.</w:t>
      </w:r>
    </w:p>
    <w:p>
      <w:pPr>
        <w:spacing w:after="0" w:line="248" w:lineRule="exact"/>
        <w:rPr>
          <w:sz w:val="20"/>
          <w:szCs w:val="20"/>
          <w:color w:val="auto"/>
        </w:rPr>
      </w:pPr>
    </w:p>
    <w:p>
      <w:pPr>
        <w:ind w:left="560"/>
        <w:spacing w:after="0"/>
        <w:rPr>
          <w:sz w:val="20"/>
          <w:szCs w:val="20"/>
          <w:color w:val="auto"/>
        </w:rPr>
      </w:pPr>
      <w:r>
        <w:rPr>
          <w:rFonts w:ascii="Arial" w:cs="Arial" w:eastAsia="Arial" w:hAnsi="Arial"/>
          <w:sz w:val="18"/>
          <w:szCs w:val="18"/>
          <w:color w:val="auto"/>
        </w:rPr>
        <w:t>Commercial success using the Definitive Healthcare platform can be demonstrated through the following hypothetical examples:</w:t>
      </w:r>
    </w:p>
    <w:p>
      <w:pPr>
        <w:spacing w:after="0" w:line="131" w:lineRule="exact"/>
        <w:rPr>
          <w:sz w:val="20"/>
          <w:szCs w:val="20"/>
          <w:color w:val="auto"/>
        </w:rPr>
      </w:pPr>
    </w:p>
    <w:p>
      <w:pPr>
        <w:ind w:left="1080" w:right="1100" w:hanging="532"/>
        <w:spacing w:after="0" w:line="277" w:lineRule="auto"/>
        <w:tabs>
          <w:tab w:leader="none" w:pos="1080" w:val="left"/>
        </w:tabs>
        <w:numPr>
          <w:ilvl w:val="0"/>
          <w:numId w:val="99"/>
        </w:numPr>
        <w:rPr>
          <w:rFonts w:ascii="Arial" w:cs="Arial" w:eastAsia="Arial" w:hAnsi="Arial"/>
          <w:sz w:val="18"/>
          <w:szCs w:val="18"/>
          <w:color w:val="auto"/>
        </w:rPr>
      </w:pPr>
      <w:r>
        <w:rPr>
          <w:rFonts w:ascii="Arial" w:cs="Arial" w:eastAsia="Arial" w:hAnsi="Arial"/>
          <w:sz w:val="18"/>
          <w:szCs w:val="18"/>
          <w:color w:val="auto"/>
        </w:rPr>
        <w:t>A pharmaceutical giant introducing a new drug could utilize the Definitive Healthcare platform to find physicians caring for underdiagnosed patients with a rare disease.</w:t>
      </w:r>
    </w:p>
    <w:p>
      <w:pPr>
        <w:spacing w:after="0" w:line="75" w:lineRule="exact"/>
        <w:rPr>
          <w:rFonts w:ascii="Arial" w:cs="Arial" w:eastAsia="Arial" w:hAnsi="Arial"/>
          <w:sz w:val="18"/>
          <w:szCs w:val="18"/>
          <w:color w:val="auto"/>
        </w:rPr>
      </w:pPr>
    </w:p>
    <w:p>
      <w:pPr>
        <w:ind w:left="1080" w:right="100" w:hanging="532"/>
        <w:spacing w:after="0" w:line="277" w:lineRule="auto"/>
        <w:tabs>
          <w:tab w:leader="none" w:pos="1080" w:val="left"/>
        </w:tabs>
        <w:numPr>
          <w:ilvl w:val="0"/>
          <w:numId w:val="99"/>
        </w:numPr>
        <w:rPr>
          <w:rFonts w:ascii="Arial" w:cs="Arial" w:eastAsia="Arial" w:hAnsi="Arial"/>
          <w:sz w:val="18"/>
          <w:szCs w:val="18"/>
          <w:color w:val="auto"/>
        </w:rPr>
      </w:pPr>
      <w:r>
        <w:rPr>
          <w:rFonts w:ascii="Arial" w:cs="Arial" w:eastAsia="Arial" w:hAnsi="Arial"/>
          <w:sz w:val="18"/>
          <w:szCs w:val="18"/>
          <w:color w:val="auto"/>
        </w:rPr>
        <w:t>A fast-growing HCIT company could utilize the Definitive Healthcare platform to demonstrate the efficacy of their product by comparing knee replacement readmission rates for their hospital customers versus non-customers.</w:t>
      </w:r>
    </w:p>
    <w:p>
      <w:pPr>
        <w:spacing w:after="0" w:line="75" w:lineRule="exact"/>
        <w:rPr>
          <w:rFonts w:ascii="Arial" w:cs="Arial" w:eastAsia="Arial" w:hAnsi="Arial"/>
          <w:sz w:val="18"/>
          <w:szCs w:val="18"/>
          <w:color w:val="auto"/>
        </w:rPr>
      </w:pPr>
    </w:p>
    <w:p>
      <w:pPr>
        <w:ind w:left="1080" w:hanging="532"/>
        <w:spacing w:after="0" w:line="277" w:lineRule="auto"/>
        <w:tabs>
          <w:tab w:leader="none" w:pos="1080" w:val="left"/>
        </w:tabs>
        <w:numPr>
          <w:ilvl w:val="0"/>
          <w:numId w:val="99"/>
        </w:numPr>
        <w:rPr>
          <w:rFonts w:ascii="Arial" w:cs="Arial" w:eastAsia="Arial" w:hAnsi="Arial"/>
          <w:sz w:val="18"/>
          <w:szCs w:val="18"/>
          <w:color w:val="auto"/>
        </w:rPr>
      </w:pPr>
      <w:r>
        <w:rPr>
          <w:rFonts w:ascii="Arial" w:cs="Arial" w:eastAsia="Arial" w:hAnsi="Arial"/>
          <w:sz w:val="18"/>
          <w:szCs w:val="18"/>
          <w:color w:val="auto"/>
        </w:rPr>
        <w:t>One of the world’s largest medical device companies could leverage our healthcare commercial intelligence to identify physicians referring patients with acute cardiovascular disease.</w:t>
      </w:r>
    </w:p>
    <w:p>
      <w:pPr>
        <w:spacing w:after="0" w:line="103" w:lineRule="exact"/>
        <w:rPr>
          <w:sz w:val="20"/>
          <w:szCs w:val="20"/>
          <w:color w:val="auto"/>
        </w:rPr>
      </w:pPr>
    </w:p>
    <w:p>
      <w:pPr>
        <w:jc w:val="center"/>
        <w:ind w:right="-359"/>
        <w:spacing w:after="0"/>
        <w:rPr>
          <w:sz w:val="20"/>
          <w:szCs w:val="20"/>
          <w:color w:val="auto"/>
        </w:rPr>
      </w:pPr>
      <w:r>
        <w:rPr>
          <w:rFonts w:ascii="Arial" w:cs="Arial" w:eastAsia="Arial" w:hAnsi="Arial"/>
          <w:sz w:val="18"/>
          <w:szCs w:val="18"/>
          <w:color w:val="auto"/>
        </w:rPr>
        <w:t>111</w:t>
      </w:r>
    </w:p>
    <w:p>
      <w:pPr>
        <w:sectPr>
          <w:pgSz w:w="11900" w:h="16838" w:orient="portrait"/>
          <w:cols w:equalWidth="0" w:num="1">
            <w:col w:w="11120"/>
          </w:cols>
          <w:pgMar w:left="320" w:top="459" w:right="459" w:bottom="1440" w:gutter="0" w:footer="0" w:header="0"/>
        </w:sectPr>
      </w:pPr>
    </w:p>
    <w:bookmarkStart w:id="118" w:name="page119"/>
    <w:bookmarkEnd w:id="1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Confidential Treatment Requested by Definitive Healthcare Corp.</w:t>
      </w:r>
    </w:p>
    <w:p>
      <w:pPr>
        <w:spacing w:after="0" w:line="27"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Pursuant to 17 C.F.R. Section 200.83</w:t>
      </w:r>
    </w:p>
    <w:p>
      <w:pPr>
        <w:spacing w:after="0" w:line="143" w:lineRule="exact"/>
        <w:rPr>
          <w:sz w:val="20"/>
          <w:szCs w:val="20"/>
          <w:color w:val="auto"/>
        </w:rPr>
      </w:pPr>
    </w:p>
    <w:p>
      <w:pPr>
        <w:ind w:left="1080" w:right="680" w:hanging="532"/>
        <w:spacing w:after="0" w:line="277" w:lineRule="auto"/>
        <w:tabs>
          <w:tab w:leader="none" w:pos="1080" w:val="left"/>
        </w:tabs>
        <w:numPr>
          <w:ilvl w:val="0"/>
          <w:numId w:val="100"/>
        </w:numPr>
        <w:rPr>
          <w:rFonts w:ascii="Arial" w:cs="Arial" w:eastAsia="Arial" w:hAnsi="Arial"/>
          <w:sz w:val="18"/>
          <w:szCs w:val="18"/>
          <w:color w:val="auto"/>
        </w:rPr>
      </w:pPr>
      <w:r>
        <w:rPr>
          <w:rFonts w:ascii="Arial" w:cs="Arial" w:eastAsia="Arial" w:hAnsi="Arial"/>
          <w:sz w:val="18"/>
          <w:szCs w:val="18"/>
          <w:color w:val="auto"/>
        </w:rPr>
        <w:t>A commercial real estate firm could use the Definitive Healthcare platform to help its health system customers build a geographic expansion strategy based on patient flow and affiliation data.</w:t>
      </w:r>
    </w:p>
    <w:p>
      <w:pPr>
        <w:spacing w:after="0" w:line="75" w:lineRule="exact"/>
        <w:rPr>
          <w:rFonts w:ascii="Arial" w:cs="Arial" w:eastAsia="Arial" w:hAnsi="Arial"/>
          <w:sz w:val="18"/>
          <w:szCs w:val="18"/>
          <w:color w:val="auto"/>
        </w:rPr>
      </w:pPr>
    </w:p>
    <w:p>
      <w:pPr>
        <w:ind w:left="1080" w:right="600" w:hanging="532"/>
        <w:spacing w:after="0" w:line="277" w:lineRule="auto"/>
        <w:tabs>
          <w:tab w:leader="none" w:pos="1080" w:val="left"/>
        </w:tabs>
        <w:numPr>
          <w:ilvl w:val="0"/>
          <w:numId w:val="100"/>
        </w:numPr>
        <w:rPr>
          <w:rFonts w:ascii="Arial" w:cs="Arial" w:eastAsia="Arial" w:hAnsi="Arial"/>
          <w:sz w:val="18"/>
          <w:szCs w:val="18"/>
          <w:color w:val="auto"/>
        </w:rPr>
      </w:pPr>
      <w:r>
        <w:rPr>
          <w:rFonts w:ascii="Arial" w:cs="Arial" w:eastAsia="Arial" w:hAnsi="Arial"/>
          <w:sz w:val="18"/>
          <w:szCs w:val="18"/>
          <w:color w:val="auto"/>
        </w:rPr>
        <w:t>A waste management company could price its solutions based on an estimate of the volume of hazardous waste compiled using the Definitive Healthcare platform.</w:t>
      </w:r>
    </w:p>
    <w:p>
      <w:pPr>
        <w:spacing w:after="0" w:line="75" w:lineRule="exact"/>
        <w:rPr>
          <w:rFonts w:ascii="Arial" w:cs="Arial" w:eastAsia="Arial" w:hAnsi="Arial"/>
          <w:sz w:val="18"/>
          <w:szCs w:val="18"/>
          <w:color w:val="auto"/>
        </w:rPr>
      </w:pPr>
    </w:p>
    <w:p>
      <w:pPr>
        <w:ind w:left="1080" w:right="100" w:hanging="532"/>
        <w:spacing w:after="0" w:line="277" w:lineRule="auto"/>
        <w:tabs>
          <w:tab w:leader="none" w:pos="1080" w:val="left"/>
        </w:tabs>
        <w:numPr>
          <w:ilvl w:val="0"/>
          <w:numId w:val="100"/>
        </w:numPr>
        <w:rPr>
          <w:rFonts w:ascii="Arial" w:cs="Arial" w:eastAsia="Arial" w:hAnsi="Arial"/>
          <w:sz w:val="18"/>
          <w:szCs w:val="18"/>
          <w:color w:val="auto"/>
        </w:rPr>
      </w:pPr>
      <w:r>
        <w:rPr>
          <w:rFonts w:ascii="Arial" w:cs="Arial" w:eastAsia="Arial" w:hAnsi="Arial"/>
          <w:sz w:val="18"/>
          <w:szCs w:val="18"/>
          <w:color w:val="auto"/>
        </w:rPr>
        <w:t>A public biotechnology company could utilize the Definitive Healthcare platform to identify experts in a specific disease mutation to help recruit patients and influence the market through speaking engagements.</w:t>
      </w:r>
    </w:p>
    <w:p>
      <w:pPr>
        <w:spacing w:after="0" w:line="274" w:lineRule="exact"/>
        <w:rPr>
          <w:sz w:val="20"/>
          <w:szCs w:val="20"/>
          <w:color w:val="auto"/>
        </w:rPr>
      </w:pPr>
    </w:p>
    <w:p>
      <w:pPr>
        <w:ind w:left="560"/>
        <w:spacing w:after="0"/>
        <w:rPr>
          <w:sz w:val="20"/>
          <w:szCs w:val="20"/>
          <w:color w:val="auto"/>
        </w:rPr>
      </w:pPr>
      <w:r>
        <w:rPr>
          <w:rFonts w:ascii="Arial" w:cs="Arial" w:eastAsia="Arial" w:hAnsi="Arial"/>
          <w:sz w:val="18"/>
          <w:szCs w:val="18"/>
          <w:b w:val="1"/>
          <w:bCs w:val="1"/>
          <w:color w:val="auto"/>
        </w:rPr>
        <w:t>Our Data Sources and Data Engine</w:t>
      </w:r>
    </w:p>
    <w:p>
      <w:pPr>
        <w:spacing w:after="0" w:line="121" w:lineRule="exact"/>
        <w:rPr>
          <w:sz w:val="20"/>
          <w:szCs w:val="20"/>
          <w:color w:val="auto"/>
        </w:rPr>
      </w:pPr>
    </w:p>
    <w:p>
      <w:pPr>
        <w:ind w:left="120" w:firstLine="440"/>
        <w:spacing w:after="0" w:line="296" w:lineRule="auto"/>
        <w:rPr>
          <w:sz w:val="20"/>
          <w:szCs w:val="20"/>
          <w:color w:val="auto"/>
        </w:rPr>
      </w:pPr>
      <w:r>
        <w:rPr>
          <w:rFonts w:ascii="Arial" w:cs="Arial" w:eastAsia="Arial" w:hAnsi="Arial"/>
          <w:sz w:val="16"/>
          <w:szCs w:val="16"/>
          <w:color w:val="auto"/>
        </w:rPr>
        <w:t>Our comprehensive, high-quality intelligence is made up of thousands of data sources and billions of data points that enrich and power our platform. We transform this data into intelligence through A.I. and M.L. algorithms that ingest, cleanse, link and analyze the data to create powerful new intelligence and analytics. Each new data source and each new algorithm created by our data science team makes our entire platform and the intelligence modules contained within more valuable to our clients. Built and enhanced over the last 11 years, our platform contains a full 360-degree, longitudinal view of the healthcare ecosystem and depicts how the ecosystem connects together, creating a true barrier to entry. Our sources of information include:</w:t>
      </w:r>
    </w:p>
    <w:p>
      <w:pPr>
        <w:spacing w:after="0" w:line="63" w:lineRule="exact"/>
        <w:rPr>
          <w:sz w:val="20"/>
          <w:szCs w:val="20"/>
          <w:color w:val="auto"/>
        </w:rPr>
      </w:pPr>
    </w:p>
    <w:p>
      <w:pPr>
        <w:ind w:left="1080" w:hanging="532"/>
        <w:spacing w:after="0"/>
        <w:tabs>
          <w:tab w:leader="none" w:pos="1080" w:val="left"/>
        </w:tabs>
        <w:numPr>
          <w:ilvl w:val="0"/>
          <w:numId w:val="101"/>
        </w:numPr>
        <w:rPr>
          <w:rFonts w:ascii="Arial" w:cs="Arial" w:eastAsia="Arial" w:hAnsi="Arial"/>
          <w:sz w:val="16"/>
          <w:szCs w:val="16"/>
          <w:color w:val="auto"/>
        </w:rPr>
      </w:pPr>
      <w:r>
        <w:rPr>
          <w:rFonts w:ascii="Arial" w:cs="Arial" w:eastAsia="Arial" w:hAnsi="Arial"/>
          <w:sz w:val="16"/>
          <w:szCs w:val="16"/>
          <w:b w:val="1"/>
          <w:bCs w:val="1"/>
          <w:i w:val="1"/>
          <w:iCs w:val="1"/>
          <w:color w:val="auto"/>
        </w:rPr>
        <w:t>First party research</w:t>
      </w:r>
      <w:r>
        <w:rPr>
          <w:rFonts w:ascii="Arial" w:cs="Arial" w:eastAsia="Arial" w:hAnsi="Arial"/>
          <w:sz w:val="16"/>
          <w:szCs w:val="16"/>
          <w:b w:val="1"/>
          <w:bCs w:val="1"/>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Our team conducts primary research via 650,000 annual research calls and 3.7 million e-mail outreaches per year.</w:t>
      </w:r>
    </w:p>
    <w:p>
      <w:pPr>
        <w:spacing w:after="0" w:line="153" w:lineRule="exact"/>
        <w:rPr>
          <w:rFonts w:ascii="Arial" w:cs="Arial" w:eastAsia="Arial" w:hAnsi="Arial"/>
          <w:sz w:val="16"/>
          <w:szCs w:val="16"/>
          <w:color w:val="auto"/>
        </w:rPr>
      </w:pPr>
    </w:p>
    <w:p>
      <w:pPr>
        <w:ind w:left="1080" w:right="100" w:hanging="532"/>
        <w:spacing w:after="0" w:line="282" w:lineRule="auto"/>
        <w:tabs>
          <w:tab w:leader="none" w:pos="1080" w:val="left"/>
        </w:tabs>
        <w:numPr>
          <w:ilvl w:val="0"/>
          <w:numId w:val="101"/>
        </w:numPr>
        <w:rPr>
          <w:rFonts w:ascii="Arial" w:cs="Arial" w:eastAsia="Arial" w:hAnsi="Arial"/>
          <w:sz w:val="18"/>
          <w:szCs w:val="18"/>
          <w:color w:val="auto"/>
        </w:rPr>
      </w:pPr>
      <w:r>
        <w:rPr>
          <w:rFonts w:ascii="Arial" w:cs="Arial" w:eastAsia="Arial" w:hAnsi="Arial"/>
          <w:sz w:val="18"/>
          <w:szCs w:val="18"/>
          <w:b w:val="1"/>
          <w:bCs w:val="1"/>
          <w:i w:val="1"/>
          <w:iCs w:val="1"/>
          <w:color w:val="auto"/>
        </w:rPr>
        <w:t>Unstructured public information</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We have developed proprietary technologies to extract unstructured information found in over 250,000</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websites, journals, publications, news articles, job postings and other public information.</w:t>
      </w:r>
    </w:p>
    <w:p>
      <w:pPr>
        <w:spacing w:after="0" w:line="67" w:lineRule="exact"/>
        <w:rPr>
          <w:rFonts w:ascii="Arial" w:cs="Arial" w:eastAsia="Arial" w:hAnsi="Arial"/>
          <w:sz w:val="18"/>
          <w:szCs w:val="18"/>
          <w:color w:val="auto"/>
        </w:rPr>
      </w:pPr>
    </w:p>
    <w:p>
      <w:pPr>
        <w:ind w:left="1080" w:right="160" w:hanging="532"/>
        <w:spacing w:after="0" w:line="347" w:lineRule="auto"/>
        <w:tabs>
          <w:tab w:leader="none" w:pos="1080" w:val="left"/>
        </w:tabs>
        <w:numPr>
          <w:ilvl w:val="0"/>
          <w:numId w:val="101"/>
        </w:numPr>
        <w:rPr>
          <w:rFonts w:ascii="Arial" w:cs="Arial" w:eastAsia="Arial" w:hAnsi="Arial"/>
          <w:sz w:val="16"/>
          <w:szCs w:val="16"/>
          <w:color w:val="auto"/>
        </w:rPr>
      </w:pPr>
      <w:r>
        <w:rPr>
          <w:rFonts w:ascii="Arial" w:cs="Arial" w:eastAsia="Arial" w:hAnsi="Arial"/>
          <w:sz w:val="16"/>
          <w:szCs w:val="16"/>
          <w:b w:val="1"/>
          <w:bCs w:val="1"/>
          <w:i w:val="1"/>
          <w:iCs w:val="1"/>
          <w:color w:val="auto"/>
        </w:rPr>
        <w:t>Government and regulatory sources</w:t>
      </w:r>
      <w:r>
        <w:rPr>
          <w:rFonts w:ascii="Arial" w:cs="Arial" w:eastAsia="Arial" w:hAnsi="Arial"/>
          <w:sz w:val="16"/>
          <w:szCs w:val="16"/>
          <w:b w:val="1"/>
          <w:bCs w:val="1"/>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We have developed automated processes for ingesting, updating and linking information from over</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20,000 governmental and regulatory sources, including the federal government, states, towns and municipalities across the U.S.</w:t>
      </w:r>
    </w:p>
    <w:p>
      <w:pPr>
        <w:spacing w:after="0" w:line="21" w:lineRule="exact"/>
        <w:rPr>
          <w:rFonts w:ascii="Arial" w:cs="Arial" w:eastAsia="Arial" w:hAnsi="Arial"/>
          <w:sz w:val="16"/>
          <w:szCs w:val="16"/>
          <w:color w:val="auto"/>
        </w:rPr>
      </w:pPr>
    </w:p>
    <w:p>
      <w:pPr>
        <w:ind w:left="1080" w:right="200" w:hanging="532"/>
        <w:spacing w:after="0" w:line="282" w:lineRule="auto"/>
        <w:tabs>
          <w:tab w:leader="none" w:pos="1080" w:val="left"/>
        </w:tabs>
        <w:numPr>
          <w:ilvl w:val="0"/>
          <w:numId w:val="101"/>
        </w:numPr>
        <w:rPr>
          <w:rFonts w:ascii="Arial" w:cs="Arial" w:eastAsia="Arial" w:hAnsi="Arial"/>
          <w:sz w:val="18"/>
          <w:szCs w:val="18"/>
          <w:color w:val="auto"/>
        </w:rPr>
      </w:pPr>
      <w:r>
        <w:rPr>
          <w:rFonts w:ascii="Arial" w:cs="Arial" w:eastAsia="Arial" w:hAnsi="Arial"/>
          <w:sz w:val="18"/>
          <w:szCs w:val="18"/>
          <w:b w:val="1"/>
          <w:bCs w:val="1"/>
          <w:i w:val="1"/>
          <w:iCs w:val="1"/>
          <w:color w:val="auto"/>
        </w:rPr>
        <w:t>Third-party data</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We integrate, cleanse and link raw claims data and other information from third- party vendors, which provide us with</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over 17 billion claims covering over 250 million patients as of May 2021.</w:t>
      </w:r>
    </w:p>
    <w:p>
      <w:pPr>
        <w:spacing w:after="0" w:line="67" w:lineRule="exact"/>
        <w:rPr>
          <w:rFonts w:ascii="Arial" w:cs="Arial" w:eastAsia="Arial" w:hAnsi="Arial"/>
          <w:sz w:val="18"/>
          <w:szCs w:val="18"/>
          <w:color w:val="auto"/>
        </w:rPr>
      </w:pPr>
    </w:p>
    <w:p>
      <w:pPr>
        <w:ind w:left="1080" w:right="380" w:hanging="532"/>
        <w:spacing w:after="0" w:line="282" w:lineRule="auto"/>
        <w:tabs>
          <w:tab w:leader="none" w:pos="1080" w:val="left"/>
        </w:tabs>
        <w:numPr>
          <w:ilvl w:val="0"/>
          <w:numId w:val="101"/>
        </w:numPr>
        <w:rPr>
          <w:rFonts w:ascii="Arial" w:cs="Arial" w:eastAsia="Arial" w:hAnsi="Arial"/>
          <w:sz w:val="18"/>
          <w:szCs w:val="18"/>
          <w:color w:val="auto"/>
        </w:rPr>
      </w:pPr>
      <w:r>
        <w:rPr>
          <w:rFonts w:ascii="Arial" w:cs="Arial" w:eastAsia="Arial" w:hAnsi="Arial"/>
          <w:sz w:val="18"/>
          <w:szCs w:val="18"/>
          <w:b w:val="1"/>
          <w:bCs w:val="1"/>
          <w:i w:val="1"/>
          <w:iCs w:val="1"/>
          <w:color w:val="auto"/>
        </w:rPr>
        <w:t>Data science</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We create new intelligence that is proprietary to us, which includes buyer intent, market extrapolations, cost and quality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analytics and other intelligence.</w:t>
      </w:r>
    </w:p>
    <w:p>
      <w:pPr>
        <w:spacing w:after="0" w:line="98" w:lineRule="exact"/>
        <w:rPr>
          <w:sz w:val="20"/>
          <w:szCs w:val="20"/>
          <w:color w:val="auto"/>
        </w:rPr>
      </w:pPr>
    </w:p>
    <w:p>
      <w:pPr>
        <w:jc w:val="center"/>
        <w:ind w:right="-359"/>
        <w:spacing w:after="0"/>
        <w:rPr>
          <w:sz w:val="20"/>
          <w:szCs w:val="20"/>
          <w:color w:val="auto"/>
        </w:rPr>
      </w:pPr>
      <w:r>
        <w:rPr>
          <w:rFonts w:ascii="Arial" w:cs="Arial" w:eastAsia="Arial" w:hAnsi="Arial"/>
          <w:sz w:val="18"/>
          <w:szCs w:val="18"/>
          <w:color w:val="auto"/>
        </w:rPr>
        <w:t>112</w:t>
      </w:r>
    </w:p>
    <w:p>
      <w:pPr>
        <w:sectPr>
          <w:pgSz w:w="11900" w:h="16838" w:orient="portrait"/>
          <w:cols w:equalWidth="0" w:num="1">
            <w:col w:w="11120"/>
          </w:cols>
          <w:pgMar w:left="320" w:top="459" w:right="459" w:bottom="1440" w:gutter="0" w:footer="0" w:header="0"/>
        </w:sectPr>
      </w:pPr>
    </w:p>
    <w:bookmarkStart w:id="119" w:name="page120"/>
    <w:bookmarkEnd w:id="1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Confidential Treatment Requested by Definitive Healthcare Corp.</w:t>
      </w:r>
    </w:p>
    <w:p>
      <w:pPr>
        <w:spacing w:after="0" w:line="27"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Pursuant to 17 C.F.R. Section 200.83</w:t>
      </w:r>
    </w:p>
    <w:p>
      <w:pPr>
        <w:spacing w:after="0" w:line="143" w:lineRule="exact"/>
        <w:rPr>
          <w:sz w:val="20"/>
          <w:szCs w:val="20"/>
          <w:color w:val="auto"/>
        </w:rPr>
      </w:pPr>
    </w:p>
    <w:p>
      <w:pPr>
        <w:ind w:left="120" w:firstLine="440"/>
        <w:spacing w:after="0" w:line="259" w:lineRule="auto"/>
        <w:rPr>
          <w:sz w:val="20"/>
          <w:szCs w:val="20"/>
          <w:color w:val="auto"/>
        </w:rPr>
      </w:pPr>
      <w:r>
        <w:rPr>
          <w:rFonts w:ascii="Arial" w:cs="Arial" w:eastAsia="Arial" w:hAnsi="Arial"/>
          <w:sz w:val="18"/>
          <w:szCs w:val="18"/>
          <w:color w:val="auto"/>
        </w:rPr>
        <w:t>As we continue to pull in new data sources and assets, we transform this raw information into highly integrated, high-quality intelligence by leveraging an A.I. and M.L. powered engine that cleans and standardizes raw data, then links the processed data within the platform to generate insights. Each new data source and each new algorithm created by our data science team makes our entire platform and the intelligence contained within more valuable to our customers.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1119505</wp:posOffset>
            </wp:positionH>
            <wp:positionV relativeFrom="paragraph">
              <wp:posOffset>144780</wp:posOffset>
            </wp:positionV>
            <wp:extent cx="4911725" cy="213423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4911725" cy="21342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Delivery through a Cutting-edge SaaS Platform</w:t>
      </w:r>
    </w:p>
    <w:p>
      <w:pPr>
        <w:spacing w:after="0" w:line="117" w:lineRule="exact"/>
        <w:rPr>
          <w:sz w:val="20"/>
          <w:szCs w:val="20"/>
          <w:color w:val="auto"/>
        </w:rPr>
      </w:pPr>
    </w:p>
    <w:p>
      <w:pPr>
        <w:jc w:val="both"/>
        <w:ind w:left="120" w:right="540" w:firstLine="440"/>
        <w:spacing w:after="0" w:line="286" w:lineRule="auto"/>
        <w:rPr>
          <w:sz w:val="20"/>
          <w:szCs w:val="20"/>
          <w:color w:val="auto"/>
        </w:rPr>
      </w:pPr>
      <w:r>
        <w:rPr>
          <w:rFonts w:ascii="Arial" w:cs="Arial" w:eastAsia="Arial" w:hAnsi="Arial"/>
          <w:sz w:val="17"/>
          <w:szCs w:val="17"/>
          <w:color w:val="auto"/>
        </w:rPr>
        <w:t>Our healthcare commercial intelligence is delivered through a SaaS platform that combines our comprehensive intelligence with analytical capabilities. The platform helps our customers uncover actionable insights, makes decision making easier and simplifies trend identification. The integration of this intelligence into our customers’ daily workflow is demonstrated by the following statistics:</w:t>
      </w:r>
    </w:p>
    <w:p>
      <w:pPr>
        <w:spacing w:after="0" w:line="71" w:lineRule="exact"/>
        <w:rPr>
          <w:sz w:val="20"/>
          <w:szCs w:val="20"/>
          <w:color w:val="auto"/>
        </w:rPr>
      </w:pPr>
    </w:p>
    <w:p>
      <w:pPr>
        <w:ind w:left="1080" w:hanging="532"/>
        <w:spacing w:after="0"/>
        <w:tabs>
          <w:tab w:leader="none" w:pos="1080" w:val="left"/>
        </w:tabs>
        <w:numPr>
          <w:ilvl w:val="0"/>
          <w:numId w:val="102"/>
        </w:numPr>
        <w:rPr>
          <w:rFonts w:ascii="Arial" w:cs="Arial" w:eastAsia="Arial" w:hAnsi="Arial"/>
          <w:sz w:val="18"/>
          <w:szCs w:val="18"/>
          <w:color w:val="auto"/>
        </w:rPr>
      </w:pPr>
      <w:r>
        <w:rPr>
          <w:rFonts w:ascii="Arial" w:cs="Arial" w:eastAsia="Arial" w:hAnsi="Arial"/>
          <w:sz w:val="18"/>
          <w:szCs w:val="18"/>
          <w:color w:val="auto"/>
        </w:rPr>
        <w:t>Over 1.5 million reports are run every month by our customers.</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102"/>
        </w:numPr>
        <w:rPr>
          <w:rFonts w:ascii="Arial" w:cs="Arial" w:eastAsia="Arial" w:hAnsi="Arial"/>
          <w:sz w:val="17"/>
          <w:szCs w:val="17"/>
          <w:color w:val="auto"/>
        </w:rPr>
      </w:pPr>
      <w:r>
        <w:rPr>
          <w:rFonts w:ascii="Arial" w:cs="Arial" w:eastAsia="Arial" w:hAnsi="Arial"/>
          <w:sz w:val="17"/>
          <w:szCs w:val="17"/>
          <w:color w:val="auto"/>
        </w:rPr>
        <w:t>Over 34,000 users actively utilize the platform. We define active utilization as accessing the platform directly in the last quarter.</w:t>
      </w:r>
    </w:p>
    <w:p>
      <w:pPr>
        <w:spacing w:after="0" w:line="142" w:lineRule="exact"/>
        <w:rPr>
          <w:rFonts w:ascii="Arial" w:cs="Arial" w:eastAsia="Arial" w:hAnsi="Arial"/>
          <w:sz w:val="17"/>
          <w:szCs w:val="17"/>
          <w:color w:val="auto"/>
        </w:rPr>
      </w:pPr>
    </w:p>
    <w:p>
      <w:pPr>
        <w:ind w:left="1080" w:right="100" w:hanging="532"/>
        <w:spacing w:after="0" w:line="263" w:lineRule="auto"/>
        <w:tabs>
          <w:tab w:leader="none" w:pos="1080" w:val="left"/>
        </w:tabs>
        <w:numPr>
          <w:ilvl w:val="0"/>
          <w:numId w:val="102"/>
        </w:numPr>
        <w:rPr>
          <w:rFonts w:ascii="Arial" w:cs="Arial" w:eastAsia="Arial" w:hAnsi="Arial"/>
          <w:sz w:val="18"/>
          <w:szCs w:val="18"/>
          <w:color w:val="auto"/>
        </w:rPr>
      </w:pPr>
      <w:r>
        <w:rPr>
          <w:rFonts w:ascii="Arial" w:cs="Arial" w:eastAsia="Arial" w:hAnsi="Arial"/>
          <w:sz w:val="18"/>
          <w:szCs w:val="18"/>
          <w:color w:val="auto"/>
        </w:rPr>
        <w:t>Over 50% of our overall customers and approximately 70% of our Enterprise Customers measured by ARR integrate our intelligence into their internal systems. Such customer relationship management software includes Salesforce.com</w:t>
      </w:r>
      <w:r>
        <w:rPr>
          <w:rFonts w:ascii="Arial" w:cs="Arial" w:eastAsia="Arial" w:hAnsi="Arial"/>
          <w:sz w:val="15"/>
          <w:szCs w:val="15"/>
          <w:color w:val="auto"/>
        </w:rPr>
        <w:t>®</w:t>
      </w:r>
      <w:r>
        <w:rPr>
          <w:rFonts w:ascii="Arial" w:cs="Arial" w:eastAsia="Arial" w:hAnsi="Arial"/>
          <w:sz w:val="18"/>
          <w:szCs w:val="18"/>
          <w:color w:val="auto"/>
        </w:rPr>
        <w:t xml:space="preserve"> and Veeva</w:t>
      </w:r>
      <w:r>
        <w:rPr>
          <w:rFonts w:ascii="Arial" w:cs="Arial" w:eastAsia="Arial" w:hAnsi="Arial"/>
          <w:sz w:val="15"/>
          <w:szCs w:val="15"/>
          <w:color w:val="auto"/>
        </w:rPr>
        <w:t>®</w:t>
      </w:r>
      <w:r>
        <w:rPr>
          <w:rFonts w:ascii="Arial" w:cs="Arial" w:eastAsia="Arial" w:hAnsi="Arial"/>
          <w:sz w:val="18"/>
          <w:szCs w:val="18"/>
          <w:color w:val="auto"/>
        </w:rPr>
        <w:t>, sales as well as other Marketing Automation and Business Intelligence platforms.</w:t>
      </w:r>
    </w:p>
    <w:p>
      <w:pPr>
        <w:spacing w:after="0" w:line="28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Our Competitive Strengths</w:t>
      </w:r>
    </w:p>
    <w:p>
      <w:pPr>
        <w:spacing w:after="0" w:line="135" w:lineRule="exact"/>
        <w:rPr>
          <w:sz w:val="20"/>
          <w:szCs w:val="20"/>
          <w:color w:val="auto"/>
        </w:rPr>
      </w:pPr>
    </w:p>
    <w:p>
      <w:pPr>
        <w:ind w:left="1080" w:right="40" w:hanging="532"/>
        <w:spacing w:after="0" w:line="275" w:lineRule="auto"/>
        <w:tabs>
          <w:tab w:leader="none" w:pos="1080" w:val="left"/>
        </w:tabs>
        <w:numPr>
          <w:ilvl w:val="0"/>
          <w:numId w:val="103"/>
        </w:numPr>
        <w:rPr>
          <w:rFonts w:ascii="Arial" w:cs="Arial" w:eastAsia="Arial" w:hAnsi="Arial"/>
          <w:sz w:val="17"/>
          <w:szCs w:val="17"/>
          <w:color w:val="auto"/>
        </w:rPr>
      </w:pPr>
      <w:r>
        <w:rPr>
          <w:rFonts w:ascii="Arial" w:cs="Arial" w:eastAsia="Arial" w:hAnsi="Arial"/>
          <w:sz w:val="17"/>
          <w:szCs w:val="17"/>
          <w:b w:val="1"/>
          <w:bCs w:val="1"/>
          <w:i w:val="1"/>
          <w:iCs w:val="1"/>
          <w:color w:val="auto"/>
        </w:rPr>
        <w:t>Proprietary Healthcare-specific Intelligence</w:t>
      </w:r>
      <w:r>
        <w:rPr>
          <w:rFonts w:ascii="Arial" w:cs="Arial" w:eastAsia="Arial" w:hAnsi="Arial"/>
          <w:sz w:val="17"/>
          <w:szCs w:val="17"/>
          <w:color w:val="auto"/>
        </w:rPr>
        <w:t>. Over the last 11 years, we have built proprietary intelligence via first party research and</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developed a highly comprehensive healthcare commercial intelligence platform. During this time, we have sourced, aggregated, linked, cleansed and inferred information from thousands of data sources, and tied billions of data points together into a single longitudinal view of the entire healthcare ecosystem. Our data science team has continuously evolved and enhanced our A.I. and M.L. data engines based on customer feedback and iterated in an effort to provide accurate and insightful intelligence.</w:t>
      </w:r>
    </w:p>
    <w:p>
      <w:pPr>
        <w:spacing w:after="0" w:line="81" w:lineRule="exact"/>
        <w:rPr>
          <w:rFonts w:ascii="Arial" w:cs="Arial" w:eastAsia="Arial" w:hAnsi="Arial"/>
          <w:sz w:val="17"/>
          <w:szCs w:val="17"/>
          <w:color w:val="auto"/>
        </w:rPr>
      </w:pPr>
    </w:p>
    <w:p>
      <w:pPr>
        <w:ind w:left="1080" w:right="100" w:hanging="532"/>
        <w:spacing w:after="0" w:line="279" w:lineRule="auto"/>
        <w:tabs>
          <w:tab w:leader="none" w:pos="1080" w:val="left"/>
        </w:tabs>
        <w:numPr>
          <w:ilvl w:val="0"/>
          <w:numId w:val="103"/>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An Integrated Data and Technology Foundation that Creates a Flywheel of Innovation. </w:t>
      </w:r>
      <w:r>
        <w:rPr>
          <w:rFonts w:ascii="Arial" w:cs="Arial" w:eastAsia="Arial" w:hAnsi="Arial"/>
          <w:sz w:val="17"/>
          <w:szCs w:val="17"/>
          <w:color w:val="auto"/>
        </w:rPr>
        <w:t>Our technology platform provides the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foundation for rapid product development and innovation by leveraging our existing data assets to produce new modules and features that solve a growing number of our customers’ business problems. As our data sets expand each year, the ability for us to introduce increasingly sophisticated features, analytics and tools continues to accelerate. Since our inception, we</w:t>
      </w:r>
    </w:p>
    <w:p>
      <w:pPr>
        <w:spacing w:after="0" w:line="104" w:lineRule="exact"/>
        <w:rPr>
          <w:sz w:val="20"/>
          <w:szCs w:val="20"/>
          <w:color w:val="auto"/>
        </w:rPr>
      </w:pPr>
    </w:p>
    <w:p>
      <w:pPr>
        <w:jc w:val="center"/>
        <w:ind w:right="-379"/>
        <w:spacing w:after="0"/>
        <w:rPr>
          <w:sz w:val="20"/>
          <w:szCs w:val="20"/>
          <w:color w:val="auto"/>
        </w:rPr>
      </w:pPr>
      <w:r>
        <w:rPr>
          <w:rFonts w:ascii="Arial" w:cs="Arial" w:eastAsia="Arial" w:hAnsi="Arial"/>
          <w:sz w:val="18"/>
          <w:szCs w:val="18"/>
          <w:color w:val="auto"/>
        </w:rPr>
        <w:t>113</w:t>
      </w:r>
    </w:p>
    <w:p>
      <w:pPr>
        <w:sectPr>
          <w:pgSz w:w="11900" w:h="16838" w:orient="portrait"/>
          <w:cols w:equalWidth="0" w:num="1">
            <w:col w:w="11100"/>
          </w:cols>
          <w:pgMar w:left="320" w:top="459" w:right="479" w:bottom="1440" w:gutter="0" w:footer="0" w:header="0"/>
        </w:sectPr>
      </w:pPr>
    </w:p>
    <w:bookmarkStart w:id="120" w:name="page121"/>
    <w:bookmarkEnd w:id="1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Confidential Treatment Requested by Definitive Healthcare Corp.</w:t>
      </w:r>
    </w:p>
    <w:p>
      <w:pPr>
        <w:spacing w:after="0" w:line="27"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Pursuant to 17 C.F.R. Section 200.83</w:t>
      </w:r>
    </w:p>
    <w:p>
      <w:pPr>
        <w:spacing w:after="0" w:line="143" w:lineRule="exact"/>
        <w:rPr>
          <w:sz w:val="20"/>
          <w:szCs w:val="20"/>
          <w:color w:val="auto"/>
        </w:rPr>
      </w:pPr>
    </w:p>
    <w:p>
      <w:pPr>
        <w:ind w:left="1100" w:right="540"/>
        <w:spacing w:after="0" w:line="277" w:lineRule="auto"/>
        <w:rPr>
          <w:sz w:val="20"/>
          <w:szCs w:val="20"/>
          <w:color w:val="auto"/>
        </w:rPr>
      </w:pPr>
      <w:r>
        <w:rPr>
          <w:rFonts w:ascii="Arial" w:cs="Arial" w:eastAsia="Arial" w:hAnsi="Arial"/>
          <w:sz w:val="18"/>
          <w:szCs w:val="18"/>
          <w:color w:val="auto"/>
        </w:rPr>
        <w:t>have developed and launched 13 intelligence modules, each of which creates opportunities to deepen our relationships with existing customers, increase deal velocity and expand our end-markets.</w:t>
      </w:r>
    </w:p>
    <w:p>
      <w:pPr>
        <w:spacing w:after="0" w:line="76" w:lineRule="exact"/>
        <w:rPr>
          <w:sz w:val="20"/>
          <w:szCs w:val="20"/>
          <w:color w:val="auto"/>
        </w:rPr>
      </w:pPr>
    </w:p>
    <w:p>
      <w:pPr>
        <w:ind w:left="1080" w:right="120" w:hanging="532"/>
        <w:spacing w:after="0" w:line="259" w:lineRule="auto"/>
        <w:tabs>
          <w:tab w:leader="none" w:pos="1080" w:val="left"/>
        </w:tabs>
        <w:numPr>
          <w:ilvl w:val="0"/>
          <w:numId w:val="104"/>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Powerful Go-to-Market Engine. </w:t>
      </w:r>
      <w:r>
        <w:rPr>
          <w:rFonts w:ascii="Arial" w:cs="Arial" w:eastAsia="Arial" w:hAnsi="Arial"/>
          <w:sz w:val="18"/>
          <w:szCs w:val="18"/>
          <w:color w:val="auto"/>
        </w:rPr>
        <w:t>We have a highly efficient and effective go-to-market engine that combines effective marketing with an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inside sales force comprised of highly trained, vertically focused SEs. The efficiency of our model is demonstrated through our 2020 LTV to CAC ratio of over 10x. This metric highlights the effectiveness of our commercial team as well as the strong value proposition of our platform and solutions for our customers.</w:t>
      </w:r>
    </w:p>
    <w:p>
      <w:pPr>
        <w:spacing w:after="0" w:line="92" w:lineRule="exact"/>
        <w:rPr>
          <w:rFonts w:ascii="Arial" w:cs="Arial" w:eastAsia="Arial" w:hAnsi="Arial"/>
          <w:sz w:val="18"/>
          <w:szCs w:val="18"/>
          <w:color w:val="auto"/>
        </w:rPr>
      </w:pPr>
    </w:p>
    <w:p>
      <w:pPr>
        <w:ind w:left="1080" w:right="60" w:hanging="532"/>
        <w:spacing w:after="0" w:line="255" w:lineRule="auto"/>
        <w:tabs>
          <w:tab w:leader="none" w:pos="1080" w:val="left"/>
        </w:tabs>
        <w:numPr>
          <w:ilvl w:val="0"/>
          <w:numId w:val="104"/>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Visionary, Founder-Led Management Team with a Track Record of Execution. </w:t>
      </w:r>
      <w:r>
        <w:rPr>
          <w:rFonts w:ascii="Arial" w:cs="Arial" w:eastAsia="Arial" w:hAnsi="Arial"/>
          <w:sz w:val="18"/>
          <w:szCs w:val="18"/>
          <w:color w:val="auto"/>
        </w:rPr>
        <w:t>Our founder-led management team has a strong track</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record of exceptional financial performance and of building an award-winning culture to attract and retain highly talented individuals. We seek to attract, hire, retain and develop the very best by creating an environment that fosters a culture of collaboration, innovation, decisiveness and community-minded values. This effort has been recognized as we have been named a Best Place to Work in each of the last five years in Massachusetts and were named the #1 Best Place to Work in Massachusetts, in the category of “Large” companies, by the Boston Business Journal in 2019.</w:t>
      </w:r>
    </w:p>
    <w:p>
      <w:pPr>
        <w:spacing w:after="0" w:line="296"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Our Market Opportunity</w:t>
      </w:r>
    </w:p>
    <w:p>
      <w:pPr>
        <w:spacing w:after="0" w:line="121" w:lineRule="exact"/>
        <w:rPr>
          <w:sz w:val="20"/>
          <w:szCs w:val="20"/>
          <w:color w:val="auto"/>
        </w:rPr>
      </w:pPr>
    </w:p>
    <w:p>
      <w:pPr>
        <w:ind w:left="120" w:right="20" w:firstLine="440"/>
        <w:spacing w:after="0" w:line="259" w:lineRule="auto"/>
        <w:rPr>
          <w:sz w:val="20"/>
          <w:szCs w:val="20"/>
          <w:color w:val="auto"/>
        </w:rPr>
      </w:pPr>
      <w:r>
        <w:rPr>
          <w:rFonts w:ascii="Arial" w:cs="Arial" w:eastAsia="Arial" w:hAnsi="Arial"/>
          <w:sz w:val="18"/>
          <w:szCs w:val="18"/>
          <w:color w:val="auto"/>
        </w:rPr>
        <w:t>With the proliferation in types and availability of healthcare data, companies competing in the nearly $4 trillion healthcare ecosystem are investing heavily in data and analytics. According to BIS Research, the global healthcare analytics market is expected to reach $69 billion by 2025, with a compound annual growth rate of 22% since 2017. Given the breadth and diverse applicability of our platform and intelligence, we are uniquely positioned to take advantage of this growth.</w:t>
      </w:r>
    </w:p>
    <w:p>
      <w:pPr>
        <w:spacing w:after="0" w:line="295"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Our TAM is $10 billion and growing</w:t>
      </w:r>
    </w:p>
    <w:p>
      <w:pPr>
        <w:spacing w:after="0" w:line="117" w:lineRule="exact"/>
        <w:rPr>
          <w:sz w:val="20"/>
          <w:szCs w:val="20"/>
          <w:color w:val="auto"/>
        </w:rPr>
      </w:pPr>
    </w:p>
    <w:p>
      <w:pPr>
        <w:ind w:left="120" w:right="80" w:firstLine="440"/>
        <w:spacing w:after="0" w:line="254" w:lineRule="auto"/>
        <w:rPr>
          <w:sz w:val="20"/>
          <w:szCs w:val="20"/>
          <w:color w:val="auto"/>
        </w:rPr>
      </w:pPr>
      <w:r>
        <w:rPr>
          <w:rFonts w:ascii="Arial" w:cs="Arial" w:eastAsia="Arial" w:hAnsi="Arial"/>
          <w:sz w:val="18"/>
          <w:szCs w:val="18"/>
          <w:color w:val="auto"/>
        </w:rPr>
        <w:t>We estimate our TAM today to be over $10 billion and growing, much of which remains underpenetrated. We calculate our TAM by estimating the total number of potential customers (including current customers with whom we can expand our relationships) across Life Sciences, Healthcare IT, Healthcare Providers and other companies such as financial institutions, staffing firms and consultants selling into the healthcare ecosystem and then applying an ARR figure to each segment based on internal company data on existing customer spend. For companies in the Life Sciences segment, who we believe have the potential for the broadest use of our platform, we have applied the average ARR of our top quartile of existing customers in that segment. For companies in the HCIT and Healthcare Providers segments, we have applied the average ARR of the top half, and for companies in the Other segment, we have applied an average ARR, in each case based on spend for existing customers in each respective segment for the period ending March 31, 2021.</w:t>
      </w:r>
    </w:p>
    <w:p>
      <w:pPr>
        <w:spacing w:after="0" w:line="192" w:lineRule="exact"/>
        <w:rPr>
          <w:sz w:val="20"/>
          <w:szCs w:val="20"/>
          <w:color w:val="auto"/>
        </w:rPr>
      </w:pPr>
    </w:p>
    <w:p>
      <w:pPr>
        <w:ind w:left="560"/>
        <w:spacing w:after="0"/>
        <w:rPr>
          <w:sz w:val="20"/>
          <w:szCs w:val="20"/>
          <w:color w:val="auto"/>
        </w:rPr>
      </w:pPr>
      <w:r>
        <w:rPr>
          <w:rFonts w:ascii="Arial" w:cs="Arial" w:eastAsia="Arial" w:hAnsi="Arial"/>
          <w:sz w:val="18"/>
          <w:szCs w:val="18"/>
          <w:color w:val="auto"/>
        </w:rPr>
        <w:t>Our TAM continues to expand each year in the following ways:</w:t>
      </w:r>
    </w:p>
    <w:p>
      <w:pPr>
        <w:spacing w:after="0" w:line="131" w:lineRule="exact"/>
        <w:rPr>
          <w:sz w:val="20"/>
          <w:szCs w:val="20"/>
          <w:color w:val="auto"/>
        </w:rPr>
      </w:pPr>
    </w:p>
    <w:p>
      <w:pPr>
        <w:ind w:left="1080" w:hanging="532"/>
        <w:spacing w:after="0"/>
        <w:tabs>
          <w:tab w:leader="none" w:pos="1080" w:val="left"/>
        </w:tabs>
        <w:numPr>
          <w:ilvl w:val="0"/>
          <w:numId w:val="105"/>
        </w:numPr>
        <w:rPr>
          <w:rFonts w:ascii="Arial" w:cs="Arial" w:eastAsia="Arial" w:hAnsi="Arial"/>
          <w:sz w:val="16"/>
          <w:szCs w:val="16"/>
          <w:color w:val="auto"/>
        </w:rPr>
      </w:pPr>
      <w:r>
        <w:rPr>
          <w:rFonts w:ascii="Arial" w:cs="Arial" w:eastAsia="Arial" w:hAnsi="Arial"/>
          <w:sz w:val="16"/>
          <w:szCs w:val="16"/>
          <w:color w:val="auto"/>
        </w:rPr>
        <w:t>The healthcare industry is growing fast and becoming increasingly complex, driving further demand for healthcare business intelligence.</w:t>
      </w:r>
    </w:p>
    <w:p>
      <w:pPr>
        <w:spacing w:after="0" w:line="153" w:lineRule="exact"/>
        <w:rPr>
          <w:rFonts w:ascii="Arial" w:cs="Arial" w:eastAsia="Arial" w:hAnsi="Arial"/>
          <w:sz w:val="16"/>
          <w:szCs w:val="16"/>
          <w:color w:val="auto"/>
        </w:rPr>
      </w:pPr>
    </w:p>
    <w:p>
      <w:pPr>
        <w:ind w:left="1080" w:hanging="532"/>
        <w:spacing w:after="0"/>
        <w:tabs>
          <w:tab w:leader="none" w:pos="1080" w:val="left"/>
        </w:tabs>
        <w:numPr>
          <w:ilvl w:val="0"/>
          <w:numId w:val="105"/>
        </w:numPr>
        <w:rPr>
          <w:rFonts w:ascii="Arial" w:cs="Arial" w:eastAsia="Arial" w:hAnsi="Arial"/>
          <w:sz w:val="18"/>
          <w:szCs w:val="18"/>
          <w:color w:val="auto"/>
        </w:rPr>
      </w:pPr>
      <w:r>
        <w:rPr>
          <w:rFonts w:ascii="Arial" w:cs="Arial" w:eastAsia="Arial" w:hAnsi="Arial"/>
          <w:sz w:val="18"/>
          <w:szCs w:val="18"/>
          <w:color w:val="auto"/>
        </w:rPr>
        <w:t>Attractive market dynamics are luring more companies into the healthcare ecosystem.</w:t>
      </w:r>
    </w:p>
    <w:p>
      <w:pPr>
        <w:spacing w:after="0" w:line="225" w:lineRule="exact"/>
        <w:rPr>
          <w:sz w:val="20"/>
          <w:szCs w:val="20"/>
          <w:color w:val="auto"/>
        </w:rPr>
      </w:pPr>
    </w:p>
    <w:p>
      <w:pPr>
        <w:ind w:left="120" w:right="640" w:firstLine="440"/>
        <w:spacing w:after="0" w:line="277" w:lineRule="auto"/>
        <w:rPr>
          <w:sz w:val="20"/>
          <w:szCs w:val="20"/>
          <w:color w:val="auto"/>
        </w:rPr>
      </w:pPr>
      <w:r>
        <w:rPr>
          <w:rFonts w:ascii="Arial" w:cs="Arial" w:eastAsia="Arial" w:hAnsi="Arial"/>
          <w:sz w:val="18"/>
          <w:szCs w:val="18"/>
          <w:color w:val="auto"/>
        </w:rPr>
        <w:t>We continue to broaden our use cases, further expanding our potential customer base and creating additional opportunity with our existing customers.</w:t>
      </w:r>
    </w:p>
    <w:p>
      <w:pPr>
        <w:spacing w:after="0" w:line="27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The dynamics of the Healthcare industry create tailwinds for Definitive Healthcare</w:t>
      </w:r>
    </w:p>
    <w:p>
      <w:pPr>
        <w:spacing w:after="0" w:line="117" w:lineRule="exact"/>
        <w:rPr>
          <w:sz w:val="20"/>
          <w:szCs w:val="20"/>
          <w:color w:val="auto"/>
        </w:rPr>
      </w:pPr>
    </w:p>
    <w:p>
      <w:pPr>
        <w:ind w:left="120" w:firstLine="440"/>
        <w:spacing w:after="0" w:line="263" w:lineRule="auto"/>
        <w:rPr>
          <w:sz w:val="20"/>
          <w:szCs w:val="20"/>
          <w:color w:val="auto"/>
        </w:rPr>
      </w:pPr>
      <w:r>
        <w:rPr>
          <w:rFonts w:ascii="Arial" w:cs="Arial" w:eastAsia="Arial" w:hAnsi="Arial"/>
          <w:sz w:val="18"/>
          <w:szCs w:val="18"/>
          <w:color w:val="auto"/>
        </w:rPr>
        <w:t>Healthcare is a growing market undergoing a period of rapid changes that will likely continue. These rapid changes create significant opportunities for us as our customers seek to navigate the impacts of change on their prospects and markets. The Definitive Healthcare platform helps our customers define strategies to navigate</w:t>
      </w:r>
    </w:p>
    <w:p>
      <w:pPr>
        <w:spacing w:after="0" w:line="116"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114</w:t>
      </w:r>
    </w:p>
    <w:p>
      <w:pPr>
        <w:sectPr>
          <w:pgSz w:w="11900" w:h="16838" w:orient="portrait"/>
          <w:cols w:equalWidth="0" w:num="1">
            <w:col w:w="11140"/>
          </w:cols>
          <w:pgMar w:left="320" w:top="459" w:right="439" w:bottom="1440" w:gutter="0" w:footer="0" w:header="0"/>
        </w:sectPr>
      </w:pPr>
    </w:p>
    <w:bookmarkStart w:id="121" w:name="page122"/>
    <w:bookmarkEnd w:id="1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Confidential Treatment Requested by Definitive Healthcare Corp.</w:t>
      </w:r>
    </w:p>
    <w:p>
      <w:pPr>
        <w:spacing w:after="0" w:line="27"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Pursuant to 17 C.F.R. Section 200.83</w:t>
      </w:r>
    </w:p>
    <w:p>
      <w:pPr>
        <w:spacing w:after="0" w:line="143" w:lineRule="exact"/>
        <w:rPr>
          <w:sz w:val="20"/>
          <w:szCs w:val="20"/>
          <w:color w:val="auto"/>
        </w:rPr>
      </w:pPr>
    </w:p>
    <w:p>
      <w:pPr>
        <w:ind w:left="120"/>
        <w:spacing w:after="0"/>
        <w:rPr>
          <w:sz w:val="20"/>
          <w:szCs w:val="20"/>
          <w:color w:val="auto"/>
        </w:rPr>
      </w:pPr>
      <w:r>
        <w:rPr>
          <w:rFonts w:ascii="Arial" w:cs="Arial" w:eastAsia="Arial" w:hAnsi="Arial"/>
          <w:sz w:val="18"/>
          <w:szCs w:val="18"/>
          <w:color w:val="auto"/>
        </w:rPr>
        <w:t>change. A few examples of the dynamics of the healthcare industry that create significant tailwinds for us include:</w:t>
      </w:r>
    </w:p>
    <w:p>
      <w:pPr>
        <w:spacing w:after="0" w:line="131" w:lineRule="exact"/>
        <w:rPr>
          <w:sz w:val="20"/>
          <w:szCs w:val="20"/>
          <w:color w:val="auto"/>
        </w:rPr>
      </w:pPr>
    </w:p>
    <w:p>
      <w:pPr>
        <w:ind w:left="1080" w:right="40" w:hanging="532"/>
        <w:spacing w:after="0" w:line="263" w:lineRule="auto"/>
        <w:tabs>
          <w:tab w:leader="none" w:pos="1080" w:val="left"/>
        </w:tabs>
        <w:numPr>
          <w:ilvl w:val="0"/>
          <w:numId w:val="106"/>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Growth in Overall U.S. Healthcare Spending. </w:t>
      </w:r>
      <w:r>
        <w:rPr>
          <w:rFonts w:ascii="Arial" w:cs="Arial" w:eastAsia="Arial" w:hAnsi="Arial"/>
          <w:sz w:val="18"/>
          <w:szCs w:val="18"/>
          <w:color w:val="auto"/>
        </w:rPr>
        <w:t>According to the Center for Medicare and Medicaid Services, healthcare spending will</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continue to grow rapidly. Research suggests that growth will be driven in large part by an aging population and the emphasis on healthcare spurred by the COVID-19 pandemic.</w:t>
      </w:r>
    </w:p>
    <w:p>
      <w:pPr>
        <w:spacing w:after="0" w:line="89" w:lineRule="exact"/>
        <w:rPr>
          <w:rFonts w:ascii="Arial" w:cs="Arial" w:eastAsia="Arial" w:hAnsi="Arial"/>
          <w:sz w:val="18"/>
          <w:szCs w:val="18"/>
          <w:color w:val="auto"/>
        </w:rPr>
      </w:pPr>
    </w:p>
    <w:p>
      <w:pPr>
        <w:ind w:left="1080" w:hanging="532"/>
        <w:spacing w:after="0" w:line="263" w:lineRule="auto"/>
        <w:tabs>
          <w:tab w:leader="none" w:pos="1080" w:val="left"/>
        </w:tabs>
        <w:numPr>
          <w:ilvl w:val="0"/>
          <w:numId w:val="106"/>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Shift to Value-based Care. </w:t>
      </w:r>
      <w:r>
        <w:rPr>
          <w:rFonts w:ascii="Arial" w:cs="Arial" w:eastAsia="Arial" w:hAnsi="Arial"/>
          <w:sz w:val="18"/>
          <w:szCs w:val="18"/>
          <w:color w:val="auto"/>
        </w:rPr>
        <w:t>Stakeholders in the healthcare system are focused on measuring outcomes of care delivery within the context of</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cost. We believe value-based care is pushing fundamental changes in healthcare companies’ economics and is reliant on data-driven analytics as stakeholders reward positive health outcomes and cost efficiencies.</w:t>
      </w:r>
    </w:p>
    <w:p>
      <w:pPr>
        <w:spacing w:after="0" w:line="89" w:lineRule="exact"/>
        <w:rPr>
          <w:rFonts w:ascii="Arial" w:cs="Arial" w:eastAsia="Arial" w:hAnsi="Arial"/>
          <w:sz w:val="18"/>
          <w:szCs w:val="18"/>
          <w:color w:val="auto"/>
        </w:rPr>
      </w:pPr>
    </w:p>
    <w:p>
      <w:pPr>
        <w:ind w:left="1080" w:right="420" w:hanging="532"/>
        <w:spacing w:after="0" w:line="286" w:lineRule="auto"/>
        <w:tabs>
          <w:tab w:leader="none" w:pos="1080" w:val="left"/>
        </w:tabs>
        <w:numPr>
          <w:ilvl w:val="0"/>
          <w:numId w:val="106"/>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Shift to Ambulatory Care and Telemedicine. </w:t>
      </w:r>
      <w:r>
        <w:rPr>
          <w:rFonts w:ascii="Arial" w:cs="Arial" w:eastAsia="Arial" w:hAnsi="Arial"/>
          <w:sz w:val="17"/>
          <w:szCs w:val="17"/>
          <w:color w:val="auto"/>
        </w:rPr>
        <w:t>The continued shift to ambulatory care, telemedicine and other outpatient care channels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creates further fragmentation in the healthcare ecosystem. Additionally, the COVID-19 pandemic has accelerated the adoption of telemedicine, further decentralizing the delivery of healthcare and cementing the importance of data analytics.</w:t>
      </w:r>
    </w:p>
    <w:p>
      <w:pPr>
        <w:spacing w:after="0" w:line="70" w:lineRule="exact"/>
        <w:rPr>
          <w:rFonts w:ascii="Arial" w:cs="Arial" w:eastAsia="Arial" w:hAnsi="Arial"/>
          <w:sz w:val="17"/>
          <w:szCs w:val="17"/>
          <w:color w:val="auto"/>
        </w:rPr>
      </w:pPr>
    </w:p>
    <w:p>
      <w:pPr>
        <w:jc w:val="both"/>
        <w:ind w:left="1080" w:right="60" w:hanging="532"/>
        <w:spacing w:after="0" w:line="263" w:lineRule="auto"/>
        <w:tabs>
          <w:tab w:leader="none" w:pos="1080" w:val="left"/>
        </w:tabs>
        <w:numPr>
          <w:ilvl w:val="0"/>
          <w:numId w:val="106"/>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Exponential Growth of Complex Data. </w:t>
      </w:r>
      <w:r>
        <w:rPr>
          <w:rFonts w:ascii="Arial" w:cs="Arial" w:eastAsia="Arial" w:hAnsi="Arial"/>
          <w:sz w:val="18"/>
          <w:szCs w:val="18"/>
          <w:color w:val="auto"/>
        </w:rPr>
        <w:t>Electronic health records and other systems have created a proliferation of healthcare information.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We believe successful companies in the healthcare industry will leverage advanced analytics and A.I. engines in order to manage data that is too complex for traditional technologies.</w:t>
      </w:r>
    </w:p>
    <w:p>
      <w:pPr>
        <w:spacing w:after="0" w:line="89" w:lineRule="exact"/>
        <w:rPr>
          <w:rFonts w:ascii="Arial" w:cs="Arial" w:eastAsia="Arial" w:hAnsi="Arial"/>
          <w:sz w:val="18"/>
          <w:szCs w:val="18"/>
          <w:color w:val="auto"/>
        </w:rPr>
      </w:pPr>
    </w:p>
    <w:p>
      <w:pPr>
        <w:ind w:left="1080" w:right="200" w:hanging="532"/>
        <w:spacing w:after="0" w:line="308" w:lineRule="auto"/>
        <w:tabs>
          <w:tab w:leader="none" w:pos="1080" w:val="left"/>
        </w:tabs>
        <w:numPr>
          <w:ilvl w:val="0"/>
          <w:numId w:val="106"/>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Increased Regulation in Healthcare. </w:t>
      </w:r>
      <w:r>
        <w:rPr>
          <w:rFonts w:ascii="Arial" w:cs="Arial" w:eastAsia="Arial" w:hAnsi="Arial"/>
          <w:sz w:val="17"/>
          <w:szCs w:val="17"/>
          <w:color w:val="auto"/>
        </w:rPr>
        <w:t>New presidential administrations bring in new ideas and changes. We believe we will benefit from</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recent increases in healthcare regulation as customers require deeper insight to navigate through these changes.</w:t>
      </w:r>
    </w:p>
    <w:p>
      <w:pPr>
        <w:spacing w:after="0" w:line="250"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Our Growth Strategies</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We intend to drive growth through the following strategies:</w:t>
      </w:r>
    </w:p>
    <w:p>
      <w:pPr>
        <w:spacing w:after="0" w:line="131" w:lineRule="exact"/>
        <w:rPr>
          <w:sz w:val="20"/>
          <w:szCs w:val="20"/>
          <w:color w:val="auto"/>
        </w:rPr>
      </w:pPr>
    </w:p>
    <w:p>
      <w:pPr>
        <w:ind w:left="1080" w:right="180" w:hanging="532"/>
        <w:spacing w:after="0" w:line="287" w:lineRule="auto"/>
        <w:tabs>
          <w:tab w:leader="none" w:pos="1080" w:val="left"/>
        </w:tabs>
        <w:numPr>
          <w:ilvl w:val="0"/>
          <w:numId w:val="107"/>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Acquire New Customers. </w:t>
      </w:r>
      <w:r>
        <w:rPr>
          <w:rFonts w:ascii="Arial" w:cs="Arial" w:eastAsia="Arial" w:hAnsi="Arial"/>
          <w:sz w:val="16"/>
          <w:szCs w:val="16"/>
          <w:color w:val="auto"/>
        </w:rPr>
        <w:t>We believe we have a significant opportunity to continue to expand our market presence through our efficient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go-to-market engine. We have identified 100,000 potential customers across the healthcare ecosystem that we believe could benefit from our platform, a number that continues to grow. Our current customer base of over 2,600 customers implies penetration of less than 3%.</w:t>
      </w:r>
    </w:p>
    <w:p>
      <w:pPr>
        <w:spacing w:after="0" w:line="2" w:lineRule="exact"/>
        <w:rPr>
          <w:rFonts w:ascii="Arial" w:cs="Arial" w:eastAsia="Arial" w:hAnsi="Arial"/>
          <w:sz w:val="16"/>
          <w:szCs w:val="16"/>
          <w:color w:val="auto"/>
        </w:rPr>
      </w:pPr>
    </w:p>
    <w:p>
      <w:pPr>
        <w:ind w:left="1080"/>
        <w:spacing w:after="0" w:line="260" w:lineRule="auto"/>
        <w:rPr>
          <w:rFonts w:ascii="Arial" w:cs="Arial" w:eastAsia="Arial" w:hAnsi="Arial"/>
          <w:sz w:val="16"/>
          <w:szCs w:val="16"/>
          <w:color w:val="auto"/>
        </w:rPr>
      </w:pPr>
      <w:r>
        <w:rPr>
          <w:rFonts w:ascii="Arial" w:cs="Arial" w:eastAsia="Arial" w:hAnsi="Arial"/>
          <w:sz w:val="18"/>
          <w:szCs w:val="18"/>
          <w:color w:val="auto"/>
        </w:rPr>
        <w:t>Since June 30, 2020, we added more than 750 new customers and increased our investment in new logo sales capacity by 20% as measured by the number of directors and sales executives.</w:t>
      </w:r>
    </w:p>
    <w:p>
      <w:pPr>
        <w:spacing w:after="0" w:line="90" w:lineRule="exact"/>
        <w:rPr>
          <w:rFonts w:ascii="Arial" w:cs="Arial" w:eastAsia="Arial" w:hAnsi="Arial"/>
          <w:sz w:val="16"/>
          <w:szCs w:val="16"/>
          <w:color w:val="auto"/>
        </w:rPr>
      </w:pPr>
    </w:p>
    <w:p>
      <w:pPr>
        <w:ind w:left="1080" w:right="40" w:hanging="532"/>
        <w:spacing w:after="0" w:line="259" w:lineRule="auto"/>
        <w:tabs>
          <w:tab w:leader="none" w:pos="1080" w:val="left"/>
        </w:tabs>
        <w:numPr>
          <w:ilvl w:val="0"/>
          <w:numId w:val="107"/>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Expand our Relationships with Existing Customers. </w:t>
      </w:r>
      <w:r>
        <w:rPr>
          <w:rFonts w:ascii="Arial" w:cs="Arial" w:eastAsia="Arial" w:hAnsi="Arial"/>
          <w:sz w:val="18"/>
          <w:szCs w:val="18"/>
          <w:color w:val="auto"/>
        </w:rPr>
        <w:t>We have significant opportunity to generate additional revenue from our existing</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customer relationships by selling additional modules, functionality and features in addition to increasing the number of users at a customer by expanding into new teams and departments. As of June 30, 2021, 78% of our customers subscribe to fewer than four of our modules, highlighting the opportunity to expand the usage of our platform.</w:t>
      </w:r>
    </w:p>
    <w:p>
      <w:pPr>
        <w:spacing w:after="0" w:line="92" w:lineRule="exact"/>
        <w:rPr>
          <w:rFonts w:ascii="Arial" w:cs="Arial" w:eastAsia="Arial" w:hAnsi="Arial"/>
          <w:sz w:val="18"/>
          <w:szCs w:val="18"/>
          <w:color w:val="auto"/>
        </w:rPr>
      </w:pPr>
    </w:p>
    <w:p>
      <w:pPr>
        <w:jc w:val="both"/>
        <w:ind w:left="1080" w:right="160" w:hanging="532"/>
        <w:spacing w:after="0" w:line="259" w:lineRule="auto"/>
        <w:tabs>
          <w:tab w:leader="none" w:pos="1080" w:val="left"/>
        </w:tabs>
        <w:numPr>
          <w:ilvl w:val="0"/>
          <w:numId w:val="107"/>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Continue to Innovate to Strengthen our Platform and Market Leadership Position. </w:t>
      </w:r>
      <w:r>
        <w:rPr>
          <w:rFonts w:ascii="Arial" w:cs="Arial" w:eastAsia="Arial" w:hAnsi="Arial"/>
          <w:sz w:val="18"/>
          <w:szCs w:val="18"/>
          <w:color w:val="auto"/>
        </w:rPr>
        <w:t>We have been highly innovative since our founding</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 2011, and we continue to disrupt the healthcare ecosystem with new data sources, analytics, data science and workflow products. New innovations allow us to increase new deal velocity, deepen our relationships with existing customers and demand higher prices. We have and will continue to innovate in the following ways:</w:t>
      </w:r>
    </w:p>
    <w:p>
      <w:pPr>
        <w:spacing w:after="0" w:line="92" w:lineRule="exact"/>
        <w:rPr>
          <w:rFonts w:ascii="Arial" w:cs="Arial" w:eastAsia="Arial" w:hAnsi="Arial"/>
          <w:sz w:val="18"/>
          <w:szCs w:val="18"/>
          <w:color w:val="auto"/>
        </w:rPr>
      </w:pPr>
    </w:p>
    <w:p>
      <w:pPr>
        <w:ind w:left="1540" w:right="400" w:hanging="439"/>
        <w:spacing w:after="0" w:line="277" w:lineRule="auto"/>
        <w:tabs>
          <w:tab w:leader="none" w:pos="1540" w:val="left"/>
        </w:tabs>
        <w:numPr>
          <w:ilvl w:val="1"/>
          <w:numId w:val="107"/>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New data sources: </w:t>
      </w:r>
      <w:r>
        <w:rPr>
          <w:rFonts w:ascii="Arial" w:cs="Arial" w:eastAsia="Arial" w:hAnsi="Arial"/>
          <w:sz w:val="18"/>
          <w:szCs w:val="18"/>
          <w:color w:val="auto"/>
        </w:rPr>
        <w:t>To date, we have launched 13 highly integrated intelligence modules that make up the Definitive Healthcare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platform, including our most recent addition of a prescription drug claims source of data.</w:t>
      </w:r>
    </w:p>
    <w:p>
      <w:pPr>
        <w:spacing w:after="0" w:line="75" w:lineRule="exact"/>
        <w:rPr>
          <w:rFonts w:ascii="Arial" w:cs="Arial" w:eastAsia="Arial" w:hAnsi="Arial"/>
          <w:sz w:val="18"/>
          <w:szCs w:val="18"/>
          <w:color w:val="auto"/>
        </w:rPr>
      </w:pPr>
    </w:p>
    <w:p>
      <w:pPr>
        <w:ind w:left="1540" w:right="260" w:hanging="439"/>
        <w:spacing w:after="0" w:line="263" w:lineRule="auto"/>
        <w:tabs>
          <w:tab w:leader="none" w:pos="1540" w:val="left"/>
        </w:tabs>
        <w:numPr>
          <w:ilvl w:val="1"/>
          <w:numId w:val="107"/>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Analytics: </w:t>
      </w:r>
      <w:r>
        <w:rPr>
          <w:rFonts w:ascii="Arial" w:cs="Arial" w:eastAsia="Arial" w:hAnsi="Arial"/>
          <w:sz w:val="18"/>
          <w:szCs w:val="18"/>
          <w:color w:val="auto"/>
        </w:rPr>
        <w:t>We are continuously updating our platform to include new features and updates to our intelligence modules. These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enhancements drive customer renewals, average price and deal velocity. For example, our historical affiliation trends and updated diagnosis includes ICD-10 designations from medical billing and coding.</w:t>
      </w:r>
    </w:p>
    <w:p>
      <w:pPr>
        <w:spacing w:after="0" w:line="116" w:lineRule="exact"/>
        <w:rPr>
          <w:sz w:val="20"/>
          <w:szCs w:val="20"/>
          <w:color w:val="auto"/>
        </w:rPr>
      </w:pPr>
    </w:p>
    <w:p>
      <w:pPr>
        <w:jc w:val="center"/>
        <w:ind w:right="-359"/>
        <w:spacing w:after="0"/>
        <w:rPr>
          <w:sz w:val="20"/>
          <w:szCs w:val="20"/>
          <w:color w:val="auto"/>
        </w:rPr>
      </w:pPr>
      <w:r>
        <w:rPr>
          <w:rFonts w:ascii="Arial" w:cs="Arial" w:eastAsia="Arial" w:hAnsi="Arial"/>
          <w:sz w:val="18"/>
          <w:szCs w:val="18"/>
          <w:color w:val="auto"/>
        </w:rPr>
        <w:t>115</w:t>
      </w:r>
    </w:p>
    <w:p>
      <w:pPr>
        <w:sectPr>
          <w:pgSz w:w="11900" w:h="16838" w:orient="portrait"/>
          <w:cols w:equalWidth="0" w:num="1">
            <w:col w:w="11120"/>
          </w:cols>
          <w:pgMar w:left="320" w:top="459" w:right="459" w:bottom="1440" w:gutter="0" w:footer="0" w:header="0"/>
        </w:sectPr>
      </w:pPr>
    </w:p>
    <w:bookmarkStart w:id="122" w:name="page123"/>
    <w:bookmarkEnd w:id="1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Confidential Treatment Requested by Definitive Healthcare Corp.</w:t>
      </w:r>
    </w:p>
    <w:p>
      <w:pPr>
        <w:spacing w:after="0" w:line="27"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Pursuant to 17 C.F.R. Section 200.83</w:t>
      </w:r>
    </w:p>
    <w:p>
      <w:pPr>
        <w:spacing w:after="0" w:line="143" w:lineRule="exact"/>
        <w:rPr>
          <w:sz w:val="20"/>
          <w:szCs w:val="20"/>
          <w:color w:val="auto"/>
        </w:rPr>
      </w:pPr>
    </w:p>
    <w:p>
      <w:pPr>
        <w:ind w:left="1540" w:right="80" w:hanging="439"/>
        <w:spacing w:after="0" w:line="257" w:lineRule="auto"/>
        <w:tabs>
          <w:tab w:leader="none" w:pos="1540" w:val="left"/>
        </w:tabs>
        <w:numPr>
          <w:ilvl w:val="1"/>
          <w:numId w:val="108"/>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Data science: </w:t>
      </w:r>
      <w:r>
        <w:rPr>
          <w:rFonts w:ascii="Arial" w:cs="Arial" w:eastAsia="Arial" w:hAnsi="Arial"/>
          <w:sz w:val="18"/>
          <w:szCs w:val="18"/>
          <w:color w:val="auto"/>
        </w:rPr>
        <w:t>We continue to add skilled data scientists to our growing team to focus on building out new linkages and intelligence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using AI. Our data scientists are important to our growth and we are always working to develop new algorithms to better link, cleanse and ingest information from multiple disparate sources and also generate new intelligence to be added to the platform. Our telemedicine propensity score and our strength of affiliation metrics demonstrate that data science is an important driver of our growth.</w:t>
      </w:r>
    </w:p>
    <w:p>
      <w:pPr>
        <w:spacing w:after="0" w:line="93" w:lineRule="exact"/>
        <w:rPr>
          <w:rFonts w:ascii="Arial" w:cs="Arial" w:eastAsia="Arial" w:hAnsi="Arial"/>
          <w:sz w:val="18"/>
          <w:szCs w:val="18"/>
          <w:color w:val="auto"/>
        </w:rPr>
      </w:pPr>
    </w:p>
    <w:p>
      <w:pPr>
        <w:ind w:left="1540" w:right="40" w:hanging="439"/>
        <w:spacing w:after="0" w:line="259" w:lineRule="auto"/>
        <w:tabs>
          <w:tab w:leader="none" w:pos="1540" w:val="left"/>
        </w:tabs>
        <w:numPr>
          <w:ilvl w:val="1"/>
          <w:numId w:val="108"/>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Workflow products: </w:t>
      </w:r>
      <w:r>
        <w:rPr>
          <w:rFonts w:ascii="Arial" w:cs="Arial" w:eastAsia="Arial" w:hAnsi="Arial"/>
          <w:sz w:val="18"/>
          <w:szCs w:val="18"/>
          <w:color w:val="auto"/>
        </w:rPr>
        <w:t>We continue to build solutions to our customers’ important problems and seamlessly embed our platform into</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our customers’ workflow. For example, our Latitude module allows customers to not only identify valuable patient cohorts, but also provides customers with a workflow product for Life Sciences sales representatives to build deep relationships with targeted physicians.</w:t>
      </w:r>
    </w:p>
    <w:p>
      <w:pPr>
        <w:spacing w:after="0" w:line="92" w:lineRule="exact"/>
        <w:rPr>
          <w:rFonts w:ascii="Arial" w:cs="Arial" w:eastAsia="Arial" w:hAnsi="Arial"/>
          <w:sz w:val="18"/>
          <w:szCs w:val="18"/>
          <w:color w:val="auto"/>
        </w:rPr>
      </w:pPr>
    </w:p>
    <w:p>
      <w:pPr>
        <w:ind w:left="1080" w:right="80" w:hanging="532"/>
        <w:spacing w:after="0" w:line="257" w:lineRule="auto"/>
        <w:tabs>
          <w:tab w:leader="none" w:pos="1080" w:val="left"/>
        </w:tabs>
        <w:numPr>
          <w:ilvl w:val="0"/>
          <w:numId w:val="108"/>
        </w:numPr>
        <w:rPr>
          <w:rFonts w:ascii="Arial" w:cs="Arial" w:eastAsia="Arial" w:hAnsi="Arial"/>
          <w:sz w:val="18"/>
          <w:szCs w:val="18"/>
          <w:color w:val="auto"/>
        </w:rPr>
      </w:pPr>
      <w:r>
        <w:rPr>
          <w:rFonts w:ascii="Arial" w:cs="Arial" w:eastAsia="Arial" w:hAnsi="Arial"/>
          <w:sz w:val="18"/>
          <w:szCs w:val="18"/>
          <w:b w:val="1"/>
          <w:bCs w:val="1"/>
          <w:i w:val="1"/>
          <w:iCs w:val="1"/>
          <w:color w:val="auto"/>
        </w:rPr>
        <w:t>Make Selective Strategic Acquisitions</w:t>
      </w:r>
      <w:r>
        <w:rPr>
          <w:rFonts w:ascii="Arial" w:cs="Arial" w:eastAsia="Arial" w:hAnsi="Arial"/>
          <w:sz w:val="18"/>
          <w:szCs w:val="18"/>
          <w:color w:val="auto"/>
        </w:rPr>
        <w:t>. We will continue to consider acquisitions that we believe would enhance our capabilities or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increase the scope of our platform, including new data assets, new analytics to deliver value from our intelligence or new paths to further integrate our platform into customer workflows. We have a successful track record of M&amp;A execution and integration, with five acquisitions over the last several years. While we expect organic expansion to continue to be the primary driver of our growth, we believe acquisitions can be a meaningful driver of incremental growth.</w:t>
      </w:r>
    </w:p>
    <w:p>
      <w:pPr>
        <w:spacing w:after="0" w:line="188" w:lineRule="exact"/>
        <w:rPr>
          <w:sz w:val="20"/>
          <w:szCs w:val="20"/>
          <w:color w:val="auto"/>
        </w:rPr>
      </w:pPr>
    </w:p>
    <w:p>
      <w:pPr>
        <w:ind w:left="120" w:right="240" w:firstLine="440"/>
        <w:spacing w:after="0" w:line="263" w:lineRule="auto"/>
        <w:rPr>
          <w:sz w:val="20"/>
          <w:szCs w:val="20"/>
          <w:color w:val="auto"/>
        </w:rPr>
      </w:pPr>
      <w:r>
        <w:rPr>
          <w:rFonts w:ascii="Arial" w:cs="Arial" w:eastAsia="Arial" w:hAnsi="Arial"/>
          <w:sz w:val="18"/>
          <w:szCs w:val="18"/>
          <w:color w:val="auto"/>
        </w:rPr>
        <w:t>We also regularly assess investment opportunities that will further our continued growth. We are currently targeting three key areas for investments: the expansion of our sales capacity and marketing capabilities, innovation and product development to expand our platform and general and administrative investments to support our operations as a public company.</w:t>
      </w:r>
    </w:p>
    <w:p>
      <w:pPr>
        <w:spacing w:after="0" w:line="28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Our Platform Modules</w:t>
      </w:r>
    </w:p>
    <w:p>
      <w:pPr>
        <w:spacing w:after="0" w:line="121" w:lineRule="exact"/>
        <w:rPr>
          <w:sz w:val="20"/>
          <w:szCs w:val="20"/>
          <w:color w:val="auto"/>
        </w:rPr>
      </w:pPr>
    </w:p>
    <w:p>
      <w:pPr>
        <w:ind w:left="120" w:right="160" w:firstLine="440"/>
        <w:spacing w:after="0" w:line="342" w:lineRule="auto"/>
        <w:rPr>
          <w:sz w:val="20"/>
          <w:szCs w:val="20"/>
          <w:color w:val="auto"/>
        </w:rPr>
      </w:pPr>
      <w:r>
        <w:rPr>
          <w:rFonts w:ascii="Arial" w:cs="Arial" w:eastAsia="Arial" w:hAnsi="Arial"/>
          <w:sz w:val="16"/>
          <w:szCs w:val="16"/>
          <w:color w:val="auto"/>
        </w:rPr>
        <w:t>Our platform is comprised of comprehensive intelligence and analytics on healthcare providers across the U.S. healthcare ecosystem. Integrated together through data science and our SaaS platform, we deliver in-depth commercial intelligence to help our customers succeed in healthcare.</w:t>
      </w:r>
    </w:p>
    <w:p>
      <w:pPr>
        <w:spacing w:after="0" w:line="124" w:lineRule="exact"/>
        <w:rPr>
          <w:sz w:val="20"/>
          <w:szCs w:val="20"/>
          <w:color w:val="auto"/>
        </w:rPr>
      </w:pPr>
    </w:p>
    <w:p>
      <w:pPr>
        <w:ind w:left="120" w:right="100" w:firstLine="440"/>
        <w:spacing w:after="0" w:line="277" w:lineRule="auto"/>
        <w:rPr>
          <w:sz w:val="20"/>
          <w:szCs w:val="20"/>
          <w:color w:val="auto"/>
        </w:rPr>
      </w:pPr>
      <w:r>
        <w:rPr>
          <w:rFonts w:ascii="Arial" w:cs="Arial" w:eastAsia="Arial" w:hAnsi="Arial"/>
          <w:sz w:val="18"/>
          <w:szCs w:val="18"/>
          <w:color w:val="auto"/>
        </w:rPr>
        <w:t>Our platform includes integrated intelligence modules and workflow products that provide customers access to intelligence and tools at all levels of the healthcare ecosystem.</w:t>
      </w:r>
    </w:p>
    <w:p>
      <w:pPr>
        <w:spacing w:after="0" w:line="76" w:lineRule="exact"/>
        <w:rPr>
          <w:sz w:val="20"/>
          <w:szCs w:val="20"/>
          <w:color w:val="auto"/>
        </w:rPr>
      </w:pPr>
    </w:p>
    <w:p>
      <w:pPr>
        <w:ind w:left="1080" w:right="140" w:hanging="532"/>
        <w:spacing w:after="0" w:line="259" w:lineRule="auto"/>
        <w:tabs>
          <w:tab w:leader="none" w:pos="1080" w:val="left"/>
        </w:tabs>
        <w:numPr>
          <w:ilvl w:val="0"/>
          <w:numId w:val="109"/>
        </w:numPr>
        <w:rPr>
          <w:rFonts w:ascii="Arial" w:cs="Arial" w:eastAsia="Arial" w:hAnsi="Arial"/>
          <w:sz w:val="18"/>
          <w:szCs w:val="18"/>
          <w:color w:val="auto"/>
        </w:rPr>
      </w:pPr>
      <w:r>
        <w:rPr>
          <w:rFonts w:ascii="Arial" w:cs="Arial" w:eastAsia="Arial" w:hAnsi="Arial"/>
          <w:sz w:val="18"/>
          <w:szCs w:val="18"/>
          <w:i w:val="1"/>
          <w:iCs w:val="1"/>
          <w:color w:val="auto"/>
        </w:rPr>
        <w:t>Integrated Intelligence Modules</w:t>
      </w:r>
      <w:r>
        <w:rPr>
          <w:rFonts w:ascii="Arial" w:cs="Arial" w:eastAsia="Arial" w:hAnsi="Arial"/>
          <w:sz w:val="18"/>
          <w:szCs w:val="18"/>
          <w:color w:val="auto"/>
        </w:rPr>
        <w:t>: Customers may purchase any of 13 different intelligence modules providing access to intelligence on</w:t>
      </w:r>
      <w:r>
        <w:rPr>
          <w:rFonts w:ascii="Arial" w:cs="Arial" w:eastAsia="Arial" w:hAnsi="Arial"/>
          <w:sz w:val="18"/>
          <w:szCs w:val="18"/>
          <w:i w:val="1"/>
          <w:iCs w:val="1"/>
          <w:color w:val="auto"/>
        </w:rPr>
        <w:t xml:space="preserve"> </w:t>
      </w:r>
      <w:r>
        <w:rPr>
          <w:rFonts w:ascii="Arial" w:cs="Arial" w:eastAsia="Arial" w:hAnsi="Arial"/>
          <w:sz w:val="18"/>
          <w:szCs w:val="18"/>
          <w:color w:val="auto"/>
        </w:rPr>
        <w:t>different segments of the healthcare ecosystem. These modules include ClaimsMx, ClaimsRx, ConnectedCareView, ClinicView, HospitalView, ImagingView, LongTermCareView, PhysicianGroupView, PhysicianView, SpecialtyRxView, SurgeryCenterView, Monocl ExpertInsight and Monocl ClaimsMx.</w:t>
      </w:r>
    </w:p>
    <w:p>
      <w:pPr>
        <w:spacing w:after="0" w:line="92" w:lineRule="exact"/>
        <w:rPr>
          <w:rFonts w:ascii="Arial" w:cs="Arial" w:eastAsia="Arial" w:hAnsi="Arial"/>
          <w:sz w:val="18"/>
          <w:szCs w:val="18"/>
          <w:color w:val="auto"/>
        </w:rPr>
      </w:pPr>
    </w:p>
    <w:p>
      <w:pPr>
        <w:ind w:left="1080" w:hanging="532"/>
        <w:spacing w:after="0" w:line="263" w:lineRule="auto"/>
        <w:tabs>
          <w:tab w:leader="none" w:pos="1080" w:val="left"/>
        </w:tabs>
        <w:numPr>
          <w:ilvl w:val="0"/>
          <w:numId w:val="109"/>
        </w:numPr>
        <w:rPr>
          <w:rFonts w:ascii="Arial" w:cs="Arial" w:eastAsia="Arial" w:hAnsi="Arial"/>
          <w:sz w:val="18"/>
          <w:szCs w:val="18"/>
          <w:color w:val="auto"/>
        </w:rPr>
      </w:pPr>
      <w:r>
        <w:rPr>
          <w:rFonts w:ascii="Arial" w:cs="Arial" w:eastAsia="Arial" w:hAnsi="Arial"/>
          <w:sz w:val="18"/>
          <w:szCs w:val="18"/>
          <w:i w:val="1"/>
          <w:iCs w:val="1"/>
          <w:color w:val="auto"/>
        </w:rPr>
        <w:t>Workflow products</w:t>
      </w:r>
      <w:r>
        <w:rPr>
          <w:rFonts w:ascii="Arial" w:cs="Arial" w:eastAsia="Arial" w:hAnsi="Arial"/>
          <w:sz w:val="18"/>
          <w:szCs w:val="18"/>
          <w:color w:val="auto"/>
        </w:rPr>
        <w:t>: Customers can add additional workflow tools to power deeper analytics or to connect our intelligence deeper into their</w:t>
      </w:r>
      <w:r>
        <w:rPr>
          <w:rFonts w:ascii="Arial" w:cs="Arial" w:eastAsia="Arial" w:hAnsi="Arial"/>
          <w:sz w:val="18"/>
          <w:szCs w:val="18"/>
          <w:i w:val="1"/>
          <w:iCs w:val="1"/>
          <w:color w:val="auto"/>
        </w:rPr>
        <w:t xml:space="preserve"> </w:t>
      </w:r>
      <w:r>
        <w:rPr>
          <w:rFonts w:ascii="Arial" w:cs="Arial" w:eastAsia="Arial" w:hAnsi="Arial"/>
          <w:sz w:val="18"/>
          <w:szCs w:val="18"/>
          <w:color w:val="auto"/>
        </w:rPr>
        <w:t>organization. These modules include Definitive Healthcare Data Integration Package, Definitive Healthcare Mobile, Latitude Reporting, PatientFinder, Definitive Healthcare Connect, Monocl Engage and Monocl Connect.</w:t>
      </w:r>
    </w:p>
    <w:p>
      <w:pPr>
        <w:spacing w:after="0" w:line="184" w:lineRule="exact"/>
        <w:rPr>
          <w:sz w:val="20"/>
          <w:szCs w:val="20"/>
          <w:color w:val="auto"/>
        </w:rPr>
      </w:pPr>
    </w:p>
    <w:p>
      <w:pPr>
        <w:ind w:left="120" w:right="140" w:firstLine="440"/>
        <w:spacing w:after="0" w:line="263" w:lineRule="auto"/>
        <w:rPr>
          <w:sz w:val="20"/>
          <w:szCs w:val="20"/>
          <w:color w:val="auto"/>
        </w:rPr>
      </w:pPr>
      <w:r>
        <w:rPr>
          <w:rFonts w:ascii="Arial" w:cs="Arial" w:eastAsia="Arial" w:hAnsi="Arial"/>
          <w:sz w:val="18"/>
          <w:szCs w:val="18"/>
          <w:color w:val="auto"/>
        </w:rPr>
        <w:t>Each of the providers in our integrated platform is tied together with a universal identifier called the Definitive Healthcare ID. The Definitive Healthcare ID has become the standard for many of our customers and allows them to understand the linkages between providers as well as to connect the intelligence from the Definitive Healthcare platform to both internal and third-party information.</w:t>
      </w:r>
    </w:p>
    <w:p>
      <w:pPr>
        <w:spacing w:after="0" w:line="184" w:lineRule="exact"/>
        <w:rPr>
          <w:sz w:val="20"/>
          <w:szCs w:val="20"/>
          <w:color w:val="auto"/>
        </w:rPr>
      </w:pPr>
    </w:p>
    <w:p>
      <w:pPr>
        <w:ind w:left="120" w:right="20" w:firstLine="440"/>
        <w:spacing w:after="0" w:line="263" w:lineRule="auto"/>
        <w:rPr>
          <w:sz w:val="20"/>
          <w:szCs w:val="20"/>
          <w:color w:val="auto"/>
        </w:rPr>
      </w:pPr>
      <w:r>
        <w:rPr>
          <w:rFonts w:ascii="Arial" w:cs="Arial" w:eastAsia="Arial" w:hAnsi="Arial"/>
          <w:sz w:val="18"/>
          <w:szCs w:val="18"/>
          <w:color w:val="auto"/>
        </w:rPr>
        <w:t>Customers often purchase multiple modules in bundles to help develop products for or compete in the healthcare ecosystem. Within each of our modules, we provide in-depth intelligence and analytical features that help our customers segment the provider universe, perform deep research on each provider and identify decision makers.</w:t>
      </w:r>
    </w:p>
    <w:p>
      <w:pPr>
        <w:spacing w:after="0" w:line="116" w:lineRule="exact"/>
        <w:rPr>
          <w:sz w:val="20"/>
          <w:szCs w:val="20"/>
          <w:color w:val="auto"/>
        </w:rPr>
      </w:pPr>
    </w:p>
    <w:p>
      <w:pPr>
        <w:jc w:val="center"/>
        <w:ind w:right="-399"/>
        <w:spacing w:after="0"/>
        <w:rPr>
          <w:sz w:val="20"/>
          <w:szCs w:val="20"/>
          <w:color w:val="auto"/>
        </w:rPr>
      </w:pPr>
      <w:r>
        <w:rPr>
          <w:rFonts w:ascii="Arial" w:cs="Arial" w:eastAsia="Arial" w:hAnsi="Arial"/>
          <w:sz w:val="18"/>
          <w:szCs w:val="18"/>
          <w:color w:val="auto"/>
        </w:rPr>
        <w:t>116</w:t>
      </w:r>
    </w:p>
    <w:p>
      <w:pPr>
        <w:sectPr>
          <w:pgSz w:w="11900" w:h="16838" w:orient="portrait"/>
          <w:cols w:equalWidth="0" w:num="1">
            <w:col w:w="11080"/>
          </w:cols>
          <w:pgMar w:left="320" w:top="459" w:right="499" w:bottom="1440" w:gutter="0" w:footer="0" w:header="0"/>
        </w:sectPr>
      </w:pPr>
    </w:p>
    <w:bookmarkStart w:id="123" w:name="page124"/>
    <w:bookmarkEnd w:id="1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Confidential Treatment Requested by Definitive Healthcare Corp.</w:t>
      </w:r>
    </w:p>
    <w:p>
      <w:pPr>
        <w:spacing w:after="0" w:line="27"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Pursuant to 17 C.F.R. Section 200.83</w:t>
      </w:r>
    </w:p>
    <w:p>
      <w:pPr>
        <w:spacing w:after="0" w:line="143" w:lineRule="exact"/>
        <w:rPr>
          <w:sz w:val="20"/>
          <w:szCs w:val="20"/>
          <w:color w:val="auto"/>
        </w:rPr>
      </w:pPr>
    </w:p>
    <w:p>
      <w:pPr>
        <w:ind w:left="560"/>
        <w:spacing w:after="0"/>
        <w:rPr>
          <w:sz w:val="20"/>
          <w:szCs w:val="20"/>
          <w:color w:val="auto"/>
        </w:rPr>
      </w:pPr>
      <w:r>
        <w:rPr>
          <w:rFonts w:ascii="Arial" w:cs="Arial" w:eastAsia="Arial" w:hAnsi="Arial"/>
          <w:sz w:val="18"/>
          <w:szCs w:val="18"/>
          <w:color w:val="auto"/>
        </w:rPr>
        <w:t>Examples of important intelligence provided within the modules include the following:</w:t>
      </w:r>
    </w:p>
    <w:p>
      <w:pPr>
        <w:spacing w:after="0" w:line="131" w:lineRule="exact"/>
        <w:rPr>
          <w:sz w:val="20"/>
          <w:szCs w:val="20"/>
          <w:color w:val="auto"/>
        </w:rPr>
      </w:pPr>
    </w:p>
    <w:p>
      <w:pPr>
        <w:ind w:left="1080" w:hanging="532"/>
        <w:spacing w:after="0"/>
        <w:tabs>
          <w:tab w:leader="none" w:pos="1080" w:val="left"/>
        </w:tabs>
        <w:numPr>
          <w:ilvl w:val="0"/>
          <w:numId w:val="110"/>
        </w:numPr>
        <w:rPr>
          <w:rFonts w:ascii="Arial" w:cs="Arial" w:eastAsia="Arial" w:hAnsi="Arial"/>
          <w:sz w:val="18"/>
          <w:szCs w:val="18"/>
          <w:color w:val="auto"/>
        </w:rPr>
      </w:pPr>
      <w:r>
        <w:rPr>
          <w:rFonts w:ascii="Arial" w:cs="Arial" w:eastAsia="Arial" w:hAnsi="Arial"/>
          <w:sz w:val="18"/>
          <w:szCs w:val="18"/>
          <w:color w:val="auto"/>
        </w:rPr>
        <w:t>Affiliations and relationships</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110"/>
        </w:numPr>
        <w:rPr>
          <w:rFonts w:ascii="Arial" w:cs="Arial" w:eastAsia="Arial" w:hAnsi="Arial"/>
          <w:sz w:val="18"/>
          <w:szCs w:val="18"/>
          <w:color w:val="auto"/>
        </w:rPr>
      </w:pPr>
      <w:r>
        <w:rPr>
          <w:rFonts w:ascii="Arial" w:cs="Arial" w:eastAsia="Arial" w:hAnsi="Arial"/>
          <w:sz w:val="18"/>
          <w:szCs w:val="18"/>
          <w:color w:val="auto"/>
        </w:rPr>
        <w:t>Referral patterns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110"/>
        </w:numPr>
        <w:rPr>
          <w:rFonts w:ascii="Arial" w:cs="Arial" w:eastAsia="Arial" w:hAnsi="Arial"/>
          <w:sz w:val="18"/>
          <w:szCs w:val="18"/>
          <w:color w:val="auto"/>
        </w:rPr>
      </w:pPr>
      <w:r>
        <w:rPr>
          <w:rFonts w:ascii="Arial" w:cs="Arial" w:eastAsia="Arial" w:hAnsi="Arial"/>
          <w:sz w:val="18"/>
          <w:szCs w:val="18"/>
          <w:color w:val="auto"/>
        </w:rPr>
        <w:t>Procedure and diagnosis volumes</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110"/>
        </w:numPr>
        <w:rPr>
          <w:rFonts w:ascii="Arial" w:cs="Arial" w:eastAsia="Arial" w:hAnsi="Arial"/>
          <w:sz w:val="18"/>
          <w:szCs w:val="18"/>
          <w:color w:val="auto"/>
        </w:rPr>
      </w:pPr>
      <w:r>
        <w:rPr>
          <w:rFonts w:ascii="Arial" w:cs="Arial" w:eastAsia="Arial" w:hAnsi="Arial"/>
          <w:sz w:val="18"/>
          <w:szCs w:val="18"/>
          <w:color w:val="auto"/>
        </w:rPr>
        <w:t>Financial metrics and technology installs</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110"/>
        </w:numPr>
        <w:rPr>
          <w:rFonts w:ascii="Arial" w:cs="Arial" w:eastAsia="Arial" w:hAnsi="Arial"/>
          <w:sz w:val="18"/>
          <w:szCs w:val="18"/>
          <w:color w:val="auto"/>
        </w:rPr>
      </w:pPr>
      <w:r>
        <w:rPr>
          <w:rFonts w:ascii="Arial" w:cs="Arial" w:eastAsia="Arial" w:hAnsi="Arial"/>
          <w:sz w:val="18"/>
          <w:szCs w:val="18"/>
          <w:color w:val="auto"/>
        </w:rPr>
        <w:t>Executive and physician decision makers</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110"/>
        </w:numPr>
        <w:rPr>
          <w:rFonts w:ascii="Arial" w:cs="Arial" w:eastAsia="Arial" w:hAnsi="Arial"/>
          <w:sz w:val="18"/>
          <w:szCs w:val="18"/>
          <w:color w:val="auto"/>
        </w:rPr>
      </w:pPr>
      <w:r>
        <w:rPr>
          <w:rFonts w:ascii="Arial" w:cs="Arial" w:eastAsia="Arial" w:hAnsi="Arial"/>
          <w:sz w:val="18"/>
          <w:szCs w:val="18"/>
          <w:color w:val="auto"/>
        </w:rPr>
        <w:t>Dashboards that provide insight not data</w:t>
      </w:r>
    </w:p>
    <w:p>
      <w:pPr>
        <w:spacing w:after="0" w:line="225" w:lineRule="exact"/>
        <w:rPr>
          <w:sz w:val="20"/>
          <w:szCs w:val="20"/>
          <w:color w:val="auto"/>
        </w:rPr>
      </w:pPr>
    </w:p>
    <w:p>
      <w:pPr>
        <w:ind w:left="120" w:right="300" w:firstLine="440"/>
        <w:spacing w:after="0" w:line="277" w:lineRule="auto"/>
        <w:rPr>
          <w:sz w:val="20"/>
          <w:szCs w:val="20"/>
          <w:color w:val="auto"/>
        </w:rPr>
      </w:pPr>
      <w:r>
        <w:rPr>
          <w:rFonts w:ascii="Arial" w:cs="Arial" w:eastAsia="Arial" w:hAnsi="Arial"/>
          <w:sz w:val="18"/>
          <w:szCs w:val="18"/>
          <w:color w:val="auto"/>
        </w:rPr>
        <w:t>Customers utilize the Definitive Healthcare platform broadly throughout their organization to solve a variety of large, high-stakes problems as demonstrated by the following examples.</w:t>
      </w:r>
    </w:p>
    <w:p>
      <w:pPr>
        <w:spacing w:after="0" w:line="72" w:lineRule="exact"/>
        <w:rPr>
          <w:sz w:val="20"/>
          <w:szCs w:val="20"/>
          <w:color w:val="auto"/>
        </w:rPr>
      </w:pPr>
    </w:p>
    <w:p>
      <w:pPr>
        <w:ind w:left="1080" w:hanging="532"/>
        <w:spacing w:after="0"/>
        <w:tabs>
          <w:tab w:leader="none" w:pos="1080" w:val="left"/>
        </w:tabs>
        <w:numPr>
          <w:ilvl w:val="0"/>
          <w:numId w:val="111"/>
        </w:numPr>
        <w:rPr>
          <w:rFonts w:ascii="Arial" w:cs="Arial" w:eastAsia="Arial" w:hAnsi="Arial"/>
          <w:sz w:val="18"/>
          <w:szCs w:val="18"/>
          <w:color w:val="auto"/>
        </w:rPr>
      </w:pPr>
      <w:r>
        <w:rPr>
          <w:rFonts w:ascii="Arial" w:cs="Arial" w:eastAsia="Arial" w:hAnsi="Arial"/>
          <w:sz w:val="18"/>
          <w:szCs w:val="18"/>
          <w:b w:val="1"/>
          <w:bCs w:val="1"/>
          <w:color w:val="auto"/>
        </w:rPr>
        <w:t xml:space="preserve">Sales: </w:t>
      </w:r>
      <w:r>
        <w:rPr>
          <w:rFonts w:ascii="Arial" w:cs="Arial" w:eastAsia="Arial" w:hAnsi="Arial"/>
          <w:sz w:val="18"/>
          <w:szCs w:val="18"/>
          <w:color w:val="auto"/>
        </w:rPr>
        <w:t>Identifying the Right Prospects</w:t>
      </w:r>
    </w:p>
    <w:p>
      <w:pPr>
        <w:spacing w:after="0" w:line="134" w:lineRule="exact"/>
        <w:rPr>
          <w:rFonts w:ascii="Arial" w:cs="Arial" w:eastAsia="Arial" w:hAnsi="Arial"/>
          <w:sz w:val="18"/>
          <w:szCs w:val="18"/>
          <w:color w:val="auto"/>
        </w:rPr>
      </w:pPr>
    </w:p>
    <w:p>
      <w:pPr>
        <w:ind w:left="1540" w:hanging="439"/>
        <w:spacing w:after="0" w:line="257" w:lineRule="auto"/>
        <w:tabs>
          <w:tab w:leader="none" w:pos="1540" w:val="left"/>
        </w:tabs>
        <w:numPr>
          <w:ilvl w:val="1"/>
          <w:numId w:val="111"/>
        </w:numPr>
        <w:rPr>
          <w:rFonts w:ascii="Arial" w:cs="Arial" w:eastAsia="Arial" w:hAnsi="Arial"/>
          <w:sz w:val="15"/>
          <w:szCs w:val="15"/>
          <w:color w:val="auto"/>
        </w:rPr>
      </w:pPr>
      <w:r>
        <w:rPr>
          <w:rFonts w:ascii="Arial" w:cs="Arial" w:eastAsia="Arial" w:hAnsi="Arial"/>
          <w:sz w:val="18"/>
          <w:szCs w:val="18"/>
          <w:color w:val="auto"/>
        </w:rPr>
        <w:t>A HCIT company wanted to identify health systems and physician groups that were most likely to engage with their new telemedicine technology. Utilizing the Definitive Healthcare platform, the company was able to understand adoption of telemedicine at the provider level and combine that with details on the existing electronic health record (“EHR”) system to identify provider prospects that not only would be interested in the new technology, but also would have an ease of implementation given the EHR linkages that had already been built.</w:t>
      </w:r>
    </w:p>
    <w:p>
      <w:pPr>
        <w:spacing w:after="0" w:line="93" w:lineRule="exact"/>
        <w:rPr>
          <w:rFonts w:ascii="Arial" w:cs="Arial" w:eastAsia="Arial" w:hAnsi="Arial"/>
          <w:sz w:val="15"/>
          <w:szCs w:val="15"/>
          <w:color w:val="auto"/>
        </w:rPr>
      </w:pPr>
    </w:p>
    <w:p>
      <w:pPr>
        <w:ind w:left="1540" w:hanging="439"/>
        <w:spacing w:after="0" w:line="275" w:lineRule="auto"/>
        <w:tabs>
          <w:tab w:leader="none" w:pos="1540" w:val="left"/>
        </w:tabs>
        <w:numPr>
          <w:ilvl w:val="1"/>
          <w:numId w:val="111"/>
        </w:numPr>
        <w:rPr>
          <w:rFonts w:ascii="Arial" w:cs="Arial" w:eastAsia="Arial" w:hAnsi="Arial"/>
          <w:sz w:val="14"/>
          <w:szCs w:val="14"/>
          <w:color w:val="auto"/>
        </w:rPr>
      </w:pPr>
      <w:r>
        <w:rPr>
          <w:rFonts w:ascii="Arial" w:cs="Arial" w:eastAsia="Arial" w:hAnsi="Arial"/>
          <w:sz w:val="17"/>
          <w:szCs w:val="17"/>
          <w:color w:val="auto"/>
        </w:rPr>
        <w:t>A HCIT company makes a solution that streamlines the patient waiting room experience and optimizes healthcare practices’ operations. The company was bringing a new product to market that integrates with a specific EMR system and needed to identify physician groups that utilized this EMR to increase their conversion rate. Using Definitive Healthcare data, the company was able to effectively segment their market by physician group and compatible technology criteria and identify the right decision makers at each organization. In doing so, the company increased its conversion rate from 4% to 19%.</w:t>
      </w:r>
    </w:p>
    <w:p>
      <w:pPr>
        <w:spacing w:after="0" w:line="392"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i w:val="1"/>
          <w:iCs w:val="1"/>
          <w:color w:val="auto"/>
        </w:rPr>
        <w:t>Map Technology Implementations Used by Providers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1016635</wp:posOffset>
            </wp:positionH>
            <wp:positionV relativeFrom="paragraph">
              <wp:posOffset>168910</wp:posOffset>
            </wp:positionV>
            <wp:extent cx="5117465" cy="221170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5117465" cy="22117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center"/>
        <w:ind w:right="-399"/>
        <w:spacing w:after="0"/>
        <w:rPr>
          <w:sz w:val="20"/>
          <w:szCs w:val="20"/>
          <w:color w:val="auto"/>
        </w:rPr>
      </w:pPr>
      <w:r>
        <w:rPr>
          <w:rFonts w:ascii="Arial" w:cs="Arial" w:eastAsia="Arial" w:hAnsi="Arial"/>
          <w:sz w:val="18"/>
          <w:szCs w:val="18"/>
          <w:color w:val="auto"/>
        </w:rPr>
        <w:t>117</w:t>
      </w:r>
    </w:p>
    <w:p>
      <w:pPr>
        <w:sectPr>
          <w:pgSz w:w="11900" w:h="16838" w:orient="portrait"/>
          <w:cols w:equalWidth="0" w:num="1">
            <w:col w:w="11080"/>
          </w:cols>
          <w:pgMar w:left="320" w:top="459" w:right="499" w:bottom="1440" w:gutter="0" w:footer="0" w:header="0"/>
        </w:sectPr>
      </w:pPr>
    </w:p>
    <w:bookmarkStart w:id="124" w:name="page125"/>
    <w:bookmarkEnd w:id="1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Confidential Treatment Requested by Definitive Healthcare Corp.</w:t>
      </w:r>
    </w:p>
    <w:p>
      <w:pPr>
        <w:spacing w:after="0" w:line="27"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Pursuant to 17 C.F.R. Section 200.83</w:t>
      </w:r>
    </w:p>
    <w:p>
      <w:pPr>
        <w:spacing w:after="0" w:line="139" w:lineRule="exact"/>
        <w:rPr>
          <w:sz w:val="20"/>
          <w:szCs w:val="20"/>
          <w:color w:val="auto"/>
        </w:rPr>
      </w:pPr>
    </w:p>
    <w:p>
      <w:pPr>
        <w:ind w:left="1080" w:hanging="532"/>
        <w:spacing w:after="0"/>
        <w:tabs>
          <w:tab w:leader="none" w:pos="1080" w:val="left"/>
        </w:tabs>
        <w:numPr>
          <w:ilvl w:val="0"/>
          <w:numId w:val="112"/>
        </w:numPr>
        <w:rPr>
          <w:rFonts w:ascii="Arial" w:cs="Arial" w:eastAsia="Arial" w:hAnsi="Arial"/>
          <w:sz w:val="18"/>
          <w:szCs w:val="18"/>
          <w:color w:val="auto"/>
        </w:rPr>
      </w:pPr>
      <w:r>
        <w:rPr>
          <w:rFonts w:ascii="Arial" w:cs="Arial" w:eastAsia="Arial" w:hAnsi="Arial"/>
          <w:sz w:val="18"/>
          <w:szCs w:val="18"/>
          <w:b w:val="1"/>
          <w:bCs w:val="1"/>
          <w:color w:val="auto"/>
        </w:rPr>
        <w:t xml:space="preserve">Marketing: </w:t>
      </w:r>
      <w:r>
        <w:rPr>
          <w:rFonts w:ascii="Arial" w:cs="Arial" w:eastAsia="Arial" w:hAnsi="Arial"/>
          <w:sz w:val="18"/>
          <w:szCs w:val="18"/>
          <w:color w:val="auto"/>
        </w:rPr>
        <w:t>Demonstrating a Quantifiable ROI</w:t>
      </w:r>
    </w:p>
    <w:p>
      <w:pPr>
        <w:spacing w:after="0" w:line="134" w:lineRule="exact"/>
        <w:rPr>
          <w:rFonts w:ascii="Arial" w:cs="Arial" w:eastAsia="Arial" w:hAnsi="Arial"/>
          <w:sz w:val="18"/>
          <w:szCs w:val="18"/>
          <w:color w:val="auto"/>
        </w:rPr>
      </w:pPr>
    </w:p>
    <w:p>
      <w:pPr>
        <w:ind w:left="1540" w:hanging="439"/>
        <w:spacing w:after="0" w:line="254" w:lineRule="auto"/>
        <w:tabs>
          <w:tab w:leader="none" w:pos="1540" w:val="left"/>
        </w:tabs>
        <w:numPr>
          <w:ilvl w:val="1"/>
          <w:numId w:val="112"/>
        </w:numPr>
        <w:rPr>
          <w:rFonts w:ascii="Arial" w:cs="Arial" w:eastAsia="Arial" w:hAnsi="Arial"/>
          <w:sz w:val="15"/>
          <w:szCs w:val="15"/>
          <w:color w:val="auto"/>
        </w:rPr>
      </w:pPr>
      <w:r>
        <w:rPr>
          <w:rFonts w:ascii="Arial" w:cs="Arial" w:eastAsia="Arial" w:hAnsi="Arial"/>
          <w:sz w:val="18"/>
          <w:szCs w:val="18"/>
          <w:i w:val="1"/>
          <w:iCs w:val="1"/>
          <w:color w:val="auto"/>
        </w:rPr>
        <w:t>A medical device company was launching a product that minimizes the risk of acute kidney injury and wanted a way to educate their buyers on how this novel approach could benefit at-risk patient populations. The company leveraged the Definitive Healthcare platform to (i) identify the providers and their referrers with the at-risk patients, (ii) quantify the ROI by demonstrating the value of reducing acute kidney injury based on the number of patients impacted for each provider, and (iii) execute the campaign utilizing our deep executive and physician decision maker intelligence. The company ultimately increased its booked meetings by nearly 70% in the four months following implementing the Definitive Healthcare platform when compared against the four months prior to its implementation.</w:t>
      </w:r>
    </w:p>
    <w:p>
      <w:pPr>
        <w:spacing w:after="0" w:line="200" w:lineRule="exact"/>
        <w:rPr>
          <w:sz w:val="20"/>
          <w:szCs w:val="20"/>
          <w:color w:val="auto"/>
        </w:rPr>
      </w:pPr>
    </w:p>
    <w:p>
      <w:pPr>
        <w:spacing w:after="0" w:line="211"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i w:val="1"/>
          <w:iCs w:val="1"/>
          <w:color w:val="auto"/>
        </w:rPr>
        <w:t>View Referral Patterns to Identify Key Decision Makers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1102360</wp:posOffset>
            </wp:positionH>
            <wp:positionV relativeFrom="paragraph">
              <wp:posOffset>168910</wp:posOffset>
            </wp:positionV>
            <wp:extent cx="4946015" cy="211709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4946015" cy="21170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left="1080" w:hanging="532"/>
        <w:spacing w:after="0"/>
        <w:tabs>
          <w:tab w:leader="none" w:pos="1080" w:val="left"/>
        </w:tabs>
        <w:numPr>
          <w:ilvl w:val="0"/>
          <w:numId w:val="113"/>
        </w:numPr>
        <w:rPr>
          <w:rFonts w:ascii="Arial" w:cs="Arial" w:eastAsia="Arial" w:hAnsi="Arial"/>
          <w:sz w:val="18"/>
          <w:szCs w:val="18"/>
          <w:color w:val="auto"/>
        </w:rPr>
      </w:pPr>
      <w:r>
        <w:rPr>
          <w:rFonts w:ascii="Arial" w:cs="Arial" w:eastAsia="Arial" w:hAnsi="Arial"/>
          <w:sz w:val="18"/>
          <w:szCs w:val="18"/>
          <w:b w:val="1"/>
          <w:bCs w:val="1"/>
          <w:color w:val="auto"/>
        </w:rPr>
        <w:t xml:space="preserve">Clinical Research &amp; Product Development: </w:t>
      </w:r>
      <w:r>
        <w:rPr>
          <w:rFonts w:ascii="Arial" w:cs="Arial" w:eastAsia="Arial" w:hAnsi="Arial"/>
          <w:sz w:val="18"/>
          <w:szCs w:val="18"/>
          <w:color w:val="auto"/>
        </w:rPr>
        <w:t>Disease and Commercial Market Targeting</w:t>
      </w:r>
    </w:p>
    <w:p>
      <w:pPr>
        <w:spacing w:after="0" w:line="134" w:lineRule="exact"/>
        <w:rPr>
          <w:rFonts w:ascii="Arial" w:cs="Arial" w:eastAsia="Arial" w:hAnsi="Arial"/>
          <w:sz w:val="18"/>
          <w:szCs w:val="18"/>
          <w:color w:val="auto"/>
        </w:rPr>
      </w:pPr>
    </w:p>
    <w:p>
      <w:pPr>
        <w:ind w:left="1540" w:right="60" w:hanging="439"/>
        <w:spacing w:after="0" w:line="255" w:lineRule="auto"/>
        <w:tabs>
          <w:tab w:leader="none" w:pos="1540" w:val="left"/>
        </w:tabs>
        <w:numPr>
          <w:ilvl w:val="1"/>
          <w:numId w:val="113"/>
        </w:numPr>
        <w:rPr>
          <w:rFonts w:ascii="Arial" w:cs="Arial" w:eastAsia="Arial" w:hAnsi="Arial"/>
          <w:sz w:val="15"/>
          <w:szCs w:val="15"/>
          <w:color w:val="auto"/>
        </w:rPr>
      </w:pPr>
      <w:r>
        <w:rPr>
          <w:rFonts w:ascii="Arial" w:cs="Arial" w:eastAsia="Arial" w:hAnsi="Arial"/>
          <w:sz w:val="18"/>
          <w:szCs w:val="18"/>
          <w:i w:val="1"/>
          <w:iCs w:val="1"/>
          <w:color w:val="auto"/>
        </w:rPr>
        <w:t>The Medical Affairs department within the rare disease division of a mid-sized international biotech company had a 20-person field team of medical science liaisons (“MSLs”). This organization had a list of external experts for the MSLs to target, the list was created via a one-time project with no real time updates. The company utilized the Definitive Healthcare platform to identify experts globally within their field and stay updated on new research, clinical trials and speaking engagements for those experts. This real-time access ensured the company was at the forefront of cutting-edge research and was able to identify new emerging experts across the globe.</w:t>
      </w:r>
    </w:p>
    <w:p>
      <w:pPr>
        <w:spacing w:after="0" w:line="125"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118</w:t>
      </w:r>
    </w:p>
    <w:p>
      <w:pPr>
        <w:sectPr>
          <w:pgSz w:w="11900" w:h="16838" w:orient="portrait"/>
          <w:cols w:equalWidth="0" w:num="1">
            <w:col w:w="11120"/>
          </w:cols>
          <w:pgMar w:left="320" w:top="459" w:right="459" w:bottom="1440" w:gutter="0" w:footer="0" w:header="0"/>
        </w:sectPr>
      </w:pPr>
    </w:p>
    <w:bookmarkStart w:id="125" w:name="page126"/>
    <w:bookmarkEnd w:id="1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Confidential Treatment Requested by Definitive Healthcare Corp.</w:t>
      </w:r>
    </w:p>
    <w:p>
      <w:pPr>
        <w:spacing w:after="0" w:line="27"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Pursuant to 17 C.F.R. Section 200.83</w:t>
      </w:r>
    </w:p>
    <w:p>
      <w:pPr>
        <w:spacing w:after="0" w:line="143"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i w:val="1"/>
          <w:iCs w:val="1"/>
          <w:color w:val="auto"/>
        </w:rPr>
        <w:t>Size Markets and Commit Investment Resources Based on Sound Intelligence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1102360</wp:posOffset>
            </wp:positionH>
            <wp:positionV relativeFrom="paragraph">
              <wp:posOffset>168910</wp:posOffset>
            </wp:positionV>
            <wp:extent cx="4946015" cy="211709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4946015" cy="21170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1080" w:hanging="532"/>
        <w:spacing w:after="0"/>
        <w:tabs>
          <w:tab w:leader="none" w:pos="1080" w:val="left"/>
        </w:tabs>
        <w:numPr>
          <w:ilvl w:val="0"/>
          <w:numId w:val="114"/>
        </w:numPr>
        <w:rPr>
          <w:rFonts w:ascii="Arial" w:cs="Arial" w:eastAsia="Arial" w:hAnsi="Arial"/>
          <w:sz w:val="18"/>
          <w:szCs w:val="18"/>
          <w:color w:val="auto"/>
        </w:rPr>
      </w:pPr>
      <w:r>
        <w:rPr>
          <w:rFonts w:ascii="Arial" w:cs="Arial" w:eastAsia="Arial" w:hAnsi="Arial"/>
          <w:sz w:val="18"/>
          <w:szCs w:val="18"/>
          <w:b w:val="1"/>
          <w:bCs w:val="1"/>
          <w:color w:val="auto"/>
        </w:rPr>
        <w:t xml:space="preserve">Strategy: </w:t>
      </w:r>
      <w:r>
        <w:rPr>
          <w:rFonts w:ascii="Arial" w:cs="Arial" w:eastAsia="Arial" w:hAnsi="Arial"/>
          <w:sz w:val="18"/>
          <w:szCs w:val="18"/>
          <w:color w:val="auto"/>
        </w:rPr>
        <w:t>Locating Adjacent Markets and Underdiagnosed Patients</w:t>
      </w:r>
    </w:p>
    <w:p>
      <w:pPr>
        <w:spacing w:after="0" w:line="134" w:lineRule="exact"/>
        <w:rPr>
          <w:rFonts w:ascii="Arial" w:cs="Arial" w:eastAsia="Arial" w:hAnsi="Arial"/>
          <w:sz w:val="18"/>
          <w:szCs w:val="18"/>
          <w:color w:val="auto"/>
        </w:rPr>
      </w:pPr>
    </w:p>
    <w:p>
      <w:pPr>
        <w:ind w:left="1540" w:hanging="439"/>
        <w:spacing w:after="0" w:line="279" w:lineRule="auto"/>
        <w:tabs>
          <w:tab w:leader="none" w:pos="1540" w:val="left"/>
        </w:tabs>
        <w:numPr>
          <w:ilvl w:val="1"/>
          <w:numId w:val="114"/>
        </w:numPr>
        <w:rPr>
          <w:rFonts w:ascii="Arial" w:cs="Arial" w:eastAsia="Arial" w:hAnsi="Arial"/>
          <w:sz w:val="14"/>
          <w:szCs w:val="14"/>
          <w:color w:val="auto"/>
        </w:rPr>
      </w:pPr>
      <w:r>
        <w:rPr>
          <w:rFonts w:ascii="Arial" w:cs="Arial" w:eastAsia="Arial" w:hAnsi="Arial"/>
          <w:sz w:val="17"/>
          <w:szCs w:val="17"/>
          <w:i w:val="1"/>
          <w:iCs w:val="1"/>
          <w:color w:val="auto"/>
        </w:rPr>
        <w:t>The oncology division of an international biopharmaceutical company faced difficulties finding physicians who treated an ultra-rare disease. Using the Definitive Healthcare claims analytics modules, the company was able to search for patients with co-morbidities that potentially indicated the presence of a more severe, rare disease. By educating the identified physicians treating these patients, the company was able to yield 15 net new physicians that were not previously on their radar.</w:t>
      </w:r>
    </w:p>
    <w:p>
      <w:pPr>
        <w:spacing w:after="0" w:line="387"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i w:val="1"/>
          <w:iCs w:val="1"/>
          <w:color w:val="auto"/>
        </w:rPr>
        <w:t>Find Patient Populations for More Informed Practitioner Conversations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ind w:left="1080" w:hanging="532"/>
        <w:spacing w:after="0"/>
        <w:tabs>
          <w:tab w:leader="none" w:pos="1080" w:val="left"/>
        </w:tabs>
        <w:numPr>
          <w:ilvl w:val="0"/>
          <w:numId w:val="115"/>
        </w:numPr>
        <w:rPr>
          <w:rFonts w:ascii="Arial" w:cs="Arial" w:eastAsia="Arial" w:hAnsi="Arial"/>
          <w:sz w:val="18"/>
          <w:szCs w:val="18"/>
          <w:color w:val="auto"/>
        </w:rPr>
      </w:pPr>
      <w:r>
        <w:rPr>
          <w:rFonts w:ascii="Arial" w:cs="Arial" w:eastAsia="Arial" w:hAnsi="Arial"/>
          <w:sz w:val="18"/>
          <w:szCs w:val="18"/>
          <w:b w:val="1"/>
          <w:bCs w:val="1"/>
          <w:color w:val="auto"/>
        </w:rPr>
        <w:t xml:space="preserve">Talent Acquisition: </w:t>
      </w:r>
      <w:r>
        <w:rPr>
          <w:rFonts w:ascii="Arial" w:cs="Arial" w:eastAsia="Arial" w:hAnsi="Arial"/>
          <w:sz w:val="18"/>
          <w:szCs w:val="18"/>
          <w:color w:val="auto"/>
        </w:rPr>
        <w:t>Addressing Turnover in Critical Healthcare Positions</w:t>
      </w:r>
    </w:p>
    <w:p>
      <w:pPr>
        <w:spacing w:after="0" w:line="134" w:lineRule="exact"/>
        <w:rPr>
          <w:rFonts w:ascii="Arial" w:cs="Arial" w:eastAsia="Arial" w:hAnsi="Arial"/>
          <w:sz w:val="18"/>
          <w:szCs w:val="18"/>
          <w:color w:val="auto"/>
        </w:rPr>
      </w:pPr>
    </w:p>
    <w:p>
      <w:pPr>
        <w:ind w:left="1540" w:right="160" w:hanging="439"/>
        <w:spacing w:after="0" w:line="279" w:lineRule="auto"/>
        <w:tabs>
          <w:tab w:leader="none" w:pos="1540" w:val="left"/>
        </w:tabs>
        <w:numPr>
          <w:ilvl w:val="1"/>
          <w:numId w:val="115"/>
        </w:numPr>
        <w:rPr>
          <w:rFonts w:ascii="Arial" w:cs="Arial" w:eastAsia="Arial" w:hAnsi="Arial"/>
          <w:sz w:val="14"/>
          <w:szCs w:val="14"/>
          <w:color w:val="auto"/>
        </w:rPr>
      </w:pPr>
      <w:r>
        <w:rPr>
          <w:rFonts w:ascii="Arial" w:cs="Arial" w:eastAsia="Arial" w:hAnsi="Arial"/>
          <w:sz w:val="17"/>
          <w:szCs w:val="17"/>
          <w:i w:val="1"/>
          <w:iCs w:val="1"/>
          <w:color w:val="auto"/>
        </w:rPr>
        <w:t>A leading staffing firm struggled to quickly and accurately identify hospitals most understaffed, indicating the need for an agency. Additionally, identifying substitute physician status to accurately capture physicians most likely to work with an agency was a challenge. Utilizing the Definitive Healthcare Platform the client analyzed bed utilization rate and contract labor spend to identify the hospitals with the largest need. Once these hospitals and systems were identified, the</w:t>
      </w:r>
    </w:p>
    <w:p>
      <w:pPr>
        <w:spacing w:after="0" w:line="104" w:lineRule="exact"/>
        <w:rPr>
          <w:sz w:val="20"/>
          <w:szCs w:val="20"/>
          <w:color w:val="auto"/>
        </w:rPr>
      </w:pPr>
    </w:p>
    <w:p>
      <w:pPr>
        <w:jc w:val="center"/>
        <w:ind w:right="-379"/>
        <w:spacing w:after="0"/>
        <w:rPr>
          <w:sz w:val="20"/>
          <w:szCs w:val="20"/>
          <w:color w:val="auto"/>
        </w:rPr>
      </w:pPr>
      <w:r>
        <w:rPr>
          <w:rFonts w:ascii="Arial" w:cs="Arial" w:eastAsia="Arial" w:hAnsi="Arial"/>
          <w:sz w:val="18"/>
          <w:szCs w:val="18"/>
          <w:color w:val="auto"/>
        </w:rPr>
        <w:t>119</w:t>
      </w:r>
    </w:p>
    <w:p>
      <w:pPr>
        <w:sectPr>
          <w:pgSz w:w="11900" w:h="16838" w:orient="portrait"/>
          <w:cols w:equalWidth="0" w:num="1">
            <w:col w:w="11100"/>
          </w:cols>
          <w:pgMar w:left="320" w:top="459" w:right="479" w:bottom="1440" w:gutter="0" w:footer="0" w:header="0"/>
        </w:sectPr>
      </w:pPr>
    </w:p>
    <w:bookmarkStart w:id="126" w:name="page127"/>
    <w:bookmarkEnd w:id="1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Confidential Treatment Requested by Definitive Healthcare Corp.</w:t>
      </w:r>
    </w:p>
    <w:p>
      <w:pPr>
        <w:spacing w:after="0" w:line="27"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Pursuant to 17 C.F.R. Section 200.83</w:t>
      </w:r>
    </w:p>
    <w:p>
      <w:pPr>
        <w:spacing w:after="0" w:line="143" w:lineRule="exact"/>
        <w:rPr>
          <w:sz w:val="20"/>
          <w:szCs w:val="20"/>
          <w:color w:val="auto"/>
        </w:rPr>
      </w:pPr>
    </w:p>
    <w:p>
      <w:pPr>
        <w:ind w:left="1540"/>
        <w:spacing w:after="0"/>
        <w:rPr>
          <w:sz w:val="20"/>
          <w:szCs w:val="20"/>
          <w:color w:val="auto"/>
        </w:rPr>
      </w:pPr>
      <w:r>
        <w:rPr>
          <w:rFonts w:ascii="Arial" w:cs="Arial" w:eastAsia="Arial" w:hAnsi="Arial"/>
          <w:sz w:val="18"/>
          <w:szCs w:val="18"/>
          <w:i w:val="1"/>
          <w:iCs w:val="1"/>
          <w:color w:val="auto"/>
        </w:rPr>
        <w:t>agency analyzed individual physician behavior at the hospital level to understand potential physician availability.</w:t>
      </w:r>
    </w:p>
    <w:p>
      <w:pPr>
        <w:spacing w:after="0" w:line="200" w:lineRule="exact"/>
        <w:rPr>
          <w:sz w:val="20"/>
          <w:szCs w:val="20"/>
          <w:color w:val="auto"/>
        </w:rPr>
      </w:pPr>
    </w:p>
    <w:p>
      <w:pPr>
        <w:spacing w:after="0" w:line="241"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i w:val="1"/>
          <w:iCs w:val="1"/>
          <w:color w:val="auto"/>
        </w:rPr>
        <w:t>Track Ongoing Activity in the Healthcare Ecosystem through Daily-updated News Feeds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1119505</wp:posOffset>
            </wp:positionH>
            <wp:positionV relativeFrom="paragraph">
              <wp:posOffset>168910</wp:posOffset>
            </wp:positionV>
            <wp:extent cx="4903470" cy="209994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4903470" cy="20999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left="1080" w:hanging="532"/>
        <w:spacing w:after="0"/>
        <w:tabs>
          <w:tab w:leader="none" w:pos="1080" w:val="left"/>
        </w:tabs>
        <w:numPr>
          <w:ilvl w:val="0"/>
          <w:numId w:val="116"/>
        </w:numPr>
        <w:rPr>
          <w:rFonts w:ascii="Arial" w:cs="Arial" w:eastAsia="Arial" w:hAnsi="Arial"/>
          <w:sz w:val="18"/>
          <w:szCs w:val="18"/>
          <w:color w:val="auto"/>
        </w:rPr>
      </w:pPr>
      <w:r>
        <w:rPr>
          <w:rFonts w:ascii="Arial" w:cs="Arial" w:eastAsia="Arial" w:hAnsi="Arial"/>
          <w:sz w:val="18"/>
          <w:szCs w:val="18"/>
          <w:b w:val="1"/>
          <w:bCs w:val="1"/>
          <w:color w:val="auto"/>
        </w:rPr>
        <w:t xml:space="preserve">Physician Network Management: </w:t>
      </w:r>
      <w:r>
        <w:rPr>
          <w:rFonts w:ascii="Arial" w:cs="Arial" w:eastAsia="Arial" w:hAnsi="Arial"/>
          <w:sz w:val="18"/>
          <w:szCs w:val="18"/>
          <w:color w:val="auto"/>
        </w:rPr>
        <w:t>Entering New Healthcare End-Markets</w:t>
      </w:r>
    </w:p>
    <w:p>
      <w:pPr>
        <w:spacing w:after="0" w:line="134" w:lineRule="exact"/>
        <w:rPr>
          <w:rFonts w:ascii="Arial" w:cs="Arial" w:eastAsia="Arial" w:hAnsi="Arial"/>
          <w:sz w:val="18"/>
          <w:szCs w:val="18"/>
          <w:color w:val="auto"/>
        </w:rPr>
      </w:pPr>
    </w:p>
    <w:p>
      <w:pPr>
        <w:ind w:left="1540" w:hanging="439"/>
        <w:spacing w:after="0" w:line="296" w:lineRule="auto"/>
        <w:tabs>
          <w:tab w:leader="none" w:pos="1540" w:val="left"/>
        </w:tabs>
        <w:numPr>
          <w:ilvl w:val="1"/>
          <w:numId w:val="116"/>
        </w:numPr>
        <w:rPr>
          <w:rFonts w:ascii="Arial" w:cs="Arial" w:eastAsia="Arial" w:hAnsi="Arial"/>
          <w:sz w:val="13"/>
          <w:szCs w:val="13"/>
          <w:color w:val="auto"/>
        </w:rPr>
      </w:pPr>
      <w:r>
        <w:rPr>
          <w:rFonts w:ascii="Arial" w:cs="Arial" w:eastAsia="Arial" w:hAnsi="Arial"/>
          <w:sz w:val="16"/>
          <w:szCs w:val="16"/>
          <w:i w:val="1"/>
          <w:iCs w:val="1"/>
          <w:color w:val="auto"/>
        </w:rPr>
        <w:t>A healthcare provider specializing in behavioral health looking to penetrate new markets relied on time-consuming and cumbersome methods of gathering data and evaluating opportunities. Using the Definitive Healthcare platform, the marketing and business development teams were able to analyze markets much more broadly and quickly to determine market saturation and opportunities where healthcare care access in certain key service lines was limited. As a result, the healthcare provider entered a new market where there was previously limited penetration and is seeking to build out or acquire new facilities in the geographic region.</w:t>
      </w:r>
    </w:p>
    <w:p>
      <w:pPr>
        <w:spacing w:after="0" w:line="377"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i w:val="1"/>
          <w:iCs w:val="1"/>
          <w:color w:val="auto"/>
        </w:rPr>
        <w:t>Analyze Market Data to Create Opportunities that Convert to Business Growth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1136650</wp:posOffset>
            </wp:positionH>
            <wp:positionV relativeFrom="paragraph">
              <wp:posOffset>168910</wp:posOffset>
            </wp:positionV>
            <wp:extent cx="4869180" cy="209994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4869180" cy="20999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Innovation of our Platform</w:t>
      </w:r>
    </w:p>
    <w:p>
      <w:pPr>
        <w:spacing w:after="0" w:line="121" w:lineRule="exact"/>
        <w:rPr>
          <w:sz w:val="20"/>
          <w:szCs w:val="20"/>
          <w:color w:val="auto"/>
        </w:rPr>
      </w:pPr>
    </w:p>
    <w:p>
      <w:pPr>
        <w:ind w:left="120" w:right="760" w:firstLine="440"/>
        <w:spacing w:after="0" w:line="277" w:lineRule="auto"/>
        <w:rPr>
          <w:sz w:val="20"/>
          <w:szCs w:val="20"/>
          <w:color w:val="auto"/>
        </w:rPr>
      </w:pPr>
      <w:r>
        <w:rPr>
          <w:rFonts w:ascii="Arial" w:cs="Arial" w:eastAsia="Arial" w:hAnsi="Arial"/>
          <w:sz w:val="18"/>
          <w:szCs w:val="18"/>
          <w:color w:val="auto"/>
        </w:rPr>
        <w:t>We are constantly innovating, evolving and improving our platform in order to adapt to the rapidly changing dynamics of the healthcare ecosystem, as well as to expand the number and sophistication of business problems</w:t>
      </w:r>
    </w:p>
    <w:p>
      <w:pPr>
        <w:spacing w:after="0" w:line="103" w:lineRule="exact"/>
        <w:rPr>
          <w:sz w:val="20"/>
          <w:szCs w:val="20"/>
          <w:color w:val="auto"/>
        </w:rPr>
      </w:pPr>
    </w:p>
    <w:p>
      <w:pPr>
        <w:jc w:val="center"/>
        <w:ind w:right="-359"/>
        <w:spacing w:after="0"/>
        <w:rPr>
          <w:sz w:val="20"/>
          <w:szCs w:val="20"/>
          <w:color w:val="auto"/>
        </w:rPr>
      </w:pPr>
      <w:r>
        <w:rPr>
          <w:rFonts w:ascii="Arial" w:cs="Arial" w:eastAsia="Arial" w:hAnsi="Arial"/>
          <w:sz w:val="18"/>
          <w:szCs w:val="18"/>
          <w:color w:val="auto"/>
        </w:rPr>
        <w:t>120</w:t>
      </w:r>
    </w:p>
    <w:p>
      <w:pPr>
        <w:sectPr>
          <w:pgSz w:w="11900" w:h="16838" w:orient="portrait"/>
          <w:cols w:equalWidth="0" w:num="1">
            <w:col w:w="11100"/>
          </w:cols>
          <w:pgMar w:left="320" w:top="459" w:right="479" w:bottom="1440" w:gutter="0" w:footer="0" w:header="0"/>
        </w:sectPr>
      </w:pPr>
    </w:p>
    <w:bookmarkStart w:id="127" w:name="page128"/>
    <w:bookmarkEnd w:id="1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Confidential Treatment Requested by Definitive Healthcare Corp.</w:t>
      </w:r>
    </w:p>
    <w:p>
      <w:pPr>
        <w:spacing w:after="0" w:line="27"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Pursuant to 17 C.F.R. Section 200.83</w:t>
      </w:r>
    </w:p>
    <w:p>
      <w:pPr>
        <w:spacing w:after="0" w:line="143" w:lineRule="exact"/>
        <w:rPr>
          <w:sz w:val="20"/>
          <w:szCs w:val="20"/>
          <w:color w:val="auto"/>
        </w:rPr>
      </w:pPr>
    </w:p>
    <w:p>
      <w:pPr>
        <w:ind w:left="120" w:right="60"/>
        <w:spacing w:after="0" w:line="277" w:lineRule="auto"/>
        <w:rPr>
          <w:sz w:val="20"/>
          <w:szCs w:val="20"/>
          <w:color w:val="auto"/>
        </w:rPr>
      </w:pPr>
      <w:r>
        <w:rPr>
          <w:rFonts w:ascii="Arial" w:cs="Arial" w:eastAsia="Arial" w:hAnsi="Arial"/>
          <w:sz w:val="18"/>
          <w:szCs w:val="18"/>
          <w:color w:val="auto"/>
        </w:rPr>
        <w:t>that we help our customers solve. This innovation translates into increased value for our customers, as well as deal velocity and creates opportunities to increase sales into our broad existing customer base.</w:t>
      </w:r>
    </w:p>
    <w:p>
      <w:pPr>
        <w:spacing w:after="0" w:line="170" w:lineRule="exact"/>
        <w:rPr>
          <w:sz w:val="20"/>
          <w:szCs w:val="20"/>
          <w:color w:val="auto"/>
        </w:rPr>
      </w:pPr>
    </w:p>
    <w:p>
      <w:pPr>
        <w:ind w:left="560"/>
        <w:spacing w:after="0"/>
        <w:rPr>
          <w:sz w:val="20"/>
          <w:szCs w:val="20"/>
          <w:color w:val="auto"/>
        </w:rPr>
      </w:pPr>
      <w:r>
        <w:rPr>
          <w:rFonts w:ascii="Arial" w:cs="Arial" w:eastAsia="Arial" w:hAnsi="Arial"/>
          <w:sz w:val="18"/>
          <w:szCs w:val="18"/>
          <w:color w:val="auto"/>
        </w:rPr>
        <w:t>We innovate through a combination of the following key activities:</w:t>
      </w:r>
    </w:p>
    <w:p>
      <w:pPr>
        <w:spacing w:after="0" w:line="131" w:lineRule="exact"/>
        <w:rPr>
          <w:sz w:val="20"/>
          <w:szCs w:val="20"/>
          <w:color w:val="auto"/>
        </w:rPr>
      </w:pPr>
    </w:p>
    <w:p>
      <w:pPr>
        <w:jc w:val="both"/>
        <w:ind w:left="1080" w:hanging="532"/>
        <w:spacing w:after="0" w:line="263" w:lineRule="auto"/>
        <w:tabs>
          <w:tab w:leader="none" w:pos="1080" w:val="left"/>
        </w:tabs>
        <w:numPr>
          <w:ilvl w:val="0"/>
          <w:numId w:val="117"/>
        </w:numPr>
        <w:rPr>
          <w:rFonts w:ascii="Arial" w:cs="Arial" w:eastAsia="Arial" w:hAnsi="Arial"/>
          <w:sz w:val="18"/>
          <w:szCs w:val="18"/>
          <w:color w:val="auto"/>
        </w:rPr>
      </w:pPr>
      <w:r>
        <w:rPr>
          <w:rFonts w:ascii="Arial" w:cs="Arial" w:eastAsia="Arial" w:hAnsi="Arial"/>
          <w:sz w:val="18"/>
          <w:szCs w:val="18"/>
          <w:b w:val="1"/>
          <w:bCs w:val="1"/>
          <w:i w:val="1"/>
          <w:iCs w:val="1"/>
          <w:color w:val="auto"/>
        </w:rPr>
        <w:t>Adding New Data Sources</w:t>
      </w:r>
      <w:r>
        <w:rPr>
          <w:rFonts w:ascii="Arial" w:cs="Arial" w:eastAsia="Arial" w:hAnsi="Arial"/>
          <w:sz w:val="18"/>
          <w:szCs w:val="18"/>
          <w:color w:val="auto"/>
        </w:rPr>
        <w:t>. We are constantly identifying new data sources, big and small, which add to the depth of intelligence we have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on each provider in our platform. A few examples of recent additions include intelligence on updated Medicare incentives and information on over 5 billion prescription drugs claims.</w:t>
      </w:r>
    </w:p>
    <w:p>
      <w:pPr>
        <w:spacing w:after="0" w:line="89" w:lineRule="exact"/>
        <w:rPr>
          <w:rFonts w:ascii="Arial" w:cs="Arial" w:eastAsia="Arial" w:hAnsi="Arial"/>
          <w:sz w:val="18"/>
          <w:szCs w:val="18"/>
          <w:color w:val="auto"/>
        </w:rPr>
      </w:pPr>
    </w:p>
    <w:p>
      <w:pPr>
        <w:ind w:left="1080" w:right="240" w:hanging="532"/>
        <w:spacing w:after="0" w:line="259" w:lineRule="auto"/>
        <w:tabs>
          <w:tab w:leader="none" w:pos="1080" w:val="left"/>
        </w:tabs>
        <w:numPr>
          <w:ilvl w:val="0"/>
          <w:numId w:val="117"/>
        </w:numPr>
        <w:rPr>
          <w:rFonts w:ascii="Arial" w:cs="Arial" w:eastAsia="Arial" w:hAnsi="Arial"/>
          <w:sz w:val="18"/>
          <w:szCs w:val="18"/>
          <w:color w:val="auto"/>
        </w:rPr>
      </w:pPr>
      <w:r>
        <w:rPr>
          <w:rFonts w:ascii="Arial" w:cs="Arial" w:eastAsia="Arial" w:hAnsi="Arial"/>
          <w:sz w:val="18"/>
          <w:szCs w:val="18"/>
          <w:b w:val="1"/>
          <w:bCs w:val="1"/>
          <w:i w:val="1"/>
          <w:iCs w:val="1"/>
          <w:color w:val="auto"/>
        </w:rPr>
        <w:t>Building New Capabilities and Analytics</w:t>
      </w:r>
      <w:r>
        <w:rPr>
          <w:rFonts w:ascii="Arial" w:cs="Arial" w:eastAsia="Arial" w:hAnsi="Arial"/>
          <w:sz w:val="18"/>
          <w:szCs w:val="18"/>
          <w:color w:val="auto"/>
        </w:rPr>
        <w:t>. Giving our customers answers, not data, is at the core of our platform. To do this, we seek to</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add new analytical capabilities to provide our users with an intuitive platform that gets them to the intelligence they need quickly and effectively. Recently, we added a visual journey of physician affiliations over time and have continued to enhance our report builder capability to allow for increased customization.</w:t>
      </w:r>
    </w:p>
    <w:p>
      <w:pPr>
        <w:spacing w:after="0" w:line="92" w:lineRule="exact"/>
        <w:rPr>
          <w:rFonts w:ascii="Arial" w:cs="Arial" w:eastAsia="Arial" w:hAnsi="Arial"/>
          <w:sz w:val="18"/>
          <w:szCs w:val="18"/>
          <w:color w:val="auto"/>
        </w:rPr>
      </w:pPr>
    </w:p>
    <w:p>
      <w:pPr>
        <w:ind w:left="1080" w:right="40" w:hanging="532"/>
        <w:spacing w:after="0" w:line="311" w:lineRule="auto"/>
        <w:tabs>
          <w:tab w:leader="none" w:pos="1080" w:val="left"/>
        </w:tabs>
        <w:numPr>
          <w:ilvl w:val="0"/>
          <w:numId w:val="117"/>
        </w:numPr>
        <w:rPr>
          <w:rFonts w:ascii="Arial" w:cs="Arial" w:eastAsia="Arial" w:hAnsi="Arial"/>
          <w:sz w:val="16"/>
          <w:szCs w:val="16"/>
          <w:color w:val="auto"/>
        </w:rPr>
      </w:pPr>
      <w:r>
        <w:rPr>
          <w:rFonts w:ascii="Arial" w:cs="Arial" w:eastAsia="Arial" w:hAnsi="Arial"/>
          <w:sz w:val="16"/>
          <w:szCs w:val="16"/>
          <w:b w:val="1"/>
          <w:bCs w:val="1"/>
          <w:i w:val="1"/>
          <w:iCs w:val="1"/>
          <w:color w:val="auto"/>
        </w:rPr>
        <w:t>Creating New Data Science</w:t>
      </w:r>
      <w:r>
        <w:rPr>
          <w:rFonts w:ascii="Arial" w:cs="Arial" w:eastAsia="Arial" w:hAnsi="Arial"/>
          <w:sz w:val="16"/>
          <w:szCs w:val="16"/>
          <w:color w:val="auto"/>
        </w:rPr>
        <w:t>. Our data science team is constantly refining our data and creating new algorithms that generate tangible new</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intelligence for our customers. Examples include our recently added telemedicine propensity metric as well as our medical claims extrapolations that provide a complete view of procedure and diagnosis volumes across the entire physician universe.</w:t>
      </w:r>
    </w:p>
    <w:p>
      <w:pPr>
        <w:spacing w:after="0" w:line="253"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The Flywheel Effect of our Growing Platform</w:t>
      </w:r>
    </w:p>
    <w:p>
      <w:pPr>
        <w:spacing w:after="0" w:line="121" w:lineRule="exact"/>
        <w:rPr>
          <w:sz w:val="20"/>
          <w:szCs w:val="20"/>
          <w:color w:val="auto"/>
        </w:rPr>
      </w:pPr>
    </w:p>
    <w:p>
      <w:pPr>
        <w:ind w:left="120" w:right="480" w:firstLine="440"/>
        <w:spacing w:after="0" w:line="277" w:lineRule="auto"/>
        <w:rPr>
          <w:sz w:val="20"/>
          <w:szCs w:val="20"/>
          <w:color w:val="auto"/>
        </w:rPr>
      </w:pPr>
      <w:r>
        <w:rPr>
          <w:rFonts w:ascii="Arial" w:cs="Arial" w:eastAsia="Arial" w:hAnsi="Arial"/>
          <w:sz w:val="18"/>
          <w:szCs w:val="18"/>
          <w:color w:val="auto"/>
        </w:rPr>
        <w:t>As our intelligence platform continues to expand, each new data source, analytic and algorithm we create has a compounding impact on the overall value of our platform, thereby further increasing our competitive advantage.</w:t>
      </w:r>
    </w:p>
    <w:p>
      <w:pPr>
        <w:spacing w:after="0" w:line="170" w:lineRule="exact"/>
        <w:rPr>
          <w:sz w:val="20"/>
          <w:szCs w:val="20"/>
          <w:color w:val="auto"/>
        </w:rPr>
      </w:pPr>
    </w:p>
    <w:p>
      <w:pPr>
        <w:ind w:left="560"/>
        <w:spacing w:after="0"/>
        <w:rPr>
          <w:sz w:val="20"/>
          <w:szCs w:val="20"/>
          <w:color w:val="auto"/>
        </w:rPr>
      </w:pPr>
      <w:r>
        <w:rPr>
          <w:rFonts w:ascii="Arial" w:cs="Arial" w:eastAsia="Arial" w:hAnsi="Arial"/>
          <w:sz w:val="18"/>
          <w:szCs w:val="18"/>
          <w:color w:val="auto"/>
        </w:rPr>
        <w:t>Examples of how this works include:</w:t>
      </w:r>
    </w:p>
    <w:p>
      <w:pPr>
        <w:spacing w:after="0" w:line="131" w:lineRule="exact"/>
        <w:rPr>
          <w:sz w:val="20"/>
          <w:szCs w:val="20"/>
          <w:color w:val="auto"/>
        </w:rPr>
      </w:pPr>
    </w:p>
    <w:p>
      <w:pPr>
        <w:ind w:left="1080" w:right="540" w:hanging="532"/>
        <w:spacing w:after="0" w:line="277" w:lineRule="auto"/>
        <w:tabs>
          <w:tab w:leader="none" w:pos="1080" w:val="left"/>
        </w:tabs>
        <w:numPr>
          <w:ilvl w:val="0"/>
          <w:numId w:val="118"/>
        </w:numPr>
        <w:rPr>
          <w:rFonts w:ascii="Arial" w:cs="Arial" w:eastAsia="Arial" w:hAnsi="Arial"/>
          <w:sz w:val="18"/>
          <w:szCs w:val="18"/>
          <w:color w:val="auto"/>
        </w:rPr>
      </w:pPr>
      <w:r>
        <w:rPr>
          <w:rFonts w:ascii="Arial" w:cs="Arial" w:eastAsia="Arial" w:hAnsi="Arial"/>
          <w:sz w:val="18"/>
          <w:szCs w:val="18"/>
          <w:color w:val="auto"/>
        </w:rPr>
        <w:t>By integrating in scientific research publications, our algorithms are able to identify additional affiliations and increase precision of existing affiliation information;</w:t>
      </w:r>
    </w:p>
    <w:p>
      <w:pPr>
        <w:spacing w:after="0" w:line="75" w:lineRule="exact"/>
        <w:rPr>
          <w:rFonts w:ascii="Arial" w:cs="Arial" w:eastAsia="Arial" w:hAnsi="Arial"/>
          <w:sz w:val="18"/>
          <w:szCs w:val="18"/>
          <w:color w:val="auto"/>
        </w:rPr>
      </w:pPr>
    </w:p>
    <w:p>
      <w:pPr>
        <w:ind w:left="1080" w:right="700" w:hanging="532"/>
        <w:spacing w:after="0" w:line="277" w:lineRule="auto"/>
        <w:tabs>
          <w:tab w:leader="none" w:pos="1080" w:val="left"/>
        </w:tabs>
        <w:numPr>
          <w:ilvl w:val="0"/>
          <w:numId w:val="118"/>
        </w:numPr>
        <w:rPr>
          <w:rFonts w:ascii="Arial" w:cs="Arial" w:eastAsia="Arial" w:hAnsi="Arial"/>
          <w:sz w:val="18"/>
          <w:szCs w:val="18"/>
          <w:color w:val="auto"/>
        </w:rPr>
      </w:pPr>
      <w:r>
        <w:rPr>
          <w:rFonts w:ascii="Arial" w:cs="Arial" w:eastAsia="Arial" w:hAnsi="Arial"/>
          <w:sz w:val="18"/>
          <w:szCs w:val="18"/>
          <w:color w:val="auto"/>
        </w:rPr>
        <w:t>With the addition of historical claims data to our platform, we can use our affiliations information to understand and map referral relationships as they change over time;</w:t>
      </w:r>
    </w:p>
    <w:p>
      <w:pPr>
        <w:spacing w:after="0" w:line="75" w:lineRule="exact"/>
        <w:rPr>
          <w:rFonts w:ascii="Arial" w:cs="Arial" w:eastAsia="Arial" w:hAnsi="Arial"/>
          <w:sz w:val="18"/>
          <w:szCs w:val="18"/>
          <w:color w:val="auto"/>
        </w:rPr>
      </w:pPr>
    </w:p>
    <w:p>
      <w:pPr>
        <w:ind w:left="1080" w:hanging="532"/>
        <w:spacing w:after="0"/>
        <w:tabs>
          <w:tab w:leader="none" w:pos="1080" w:val="left"/>
        </w:tabs>
        <w:numPr>
          <w:ilvl w:val="0"/>
          <w:numId w:val="118"/>
        </w:numPr>
        <w:rPr>
          <w:rFonts w:ascii="Arial" w:cs="Arial" w:eastAsia="Arial" w:hAnsi="Arial"/>
          <w:sz w:val="17"/>
          <w:szCs w:val="17"/>
          <w:color w:val="auto"/>
        </w:rPr>
      </w:pPr>
      <w:r>
        <w:rPr>
          <w:rFonts w:ascii="Arial" w:cs="Arial" w:eastAsia="Arial" w:hAnsi="Arial"/>
          <w:sz w:val="17"/>
          <w:szCs w:val="17"/>
          <w:color w:val="auto"/>
        </w:rPr>
        <w:t>By pulling in new information on job postings, we can enhance our view on new technology implementations across a health system;</w:t>
      </w:r>
    </w:p>
    <w:p>
      <w:pPr>
        <w:spacing w:after="0" w:line="142" w:lineRule="exact"/>
        <w:rPr>
          <w:rFonts w:ascii="Arial" w:cs="Arial" w:eastAsia="Arial" w:hAnsi="Arial"/>
          <w:sz w:val="17"/>
          <w:szCs w:val="17"/>
          <w:color w:val="auto"/>
        </w:rPr>
      </w:pPr>
    </w:p>
    <w:p>
      <w:pPr>
        <w:ind w:left="1080" w:right="360" w:hanging="532"/>
        <w:spacing w:after="0" w:line="277" w:lineRule="auto"/>
        <w:tabs>
          <w:tab w:leader="none" w:pos="1080" w:val="left"/>
        </w:tabs>
        <w:numPr>
          <w:ilvl w:val="0"/>
          <w:numId w:val="118"/>
        </w:numPr>
        <w:rPr>
          <w:rFonts w:ascii="Arial" w:cs="Arial" w:eastAsia="Arial" w:hAnsi="Arial"/>
          <w:sz w:val="18"/>
          <w:szCs w:val="18"/>
          <w:color w:val="auto"/>
        </w:rPr>
      </w:pPr>
      <w:r>
        <w:rPr>
          <w:rFonts w:ascii="Arial" w:cs="Arial" w:eastAsia="Arial" w:hAnsi="Arial"/>
          <w:sz w:val="18"/>
          <w:szCs w:val="18"/>
          <w:color w:val="auto"/>
        </w:rPr>
        <w:t>As a result of comparing procedure data at the physician level to that at the physician group and health system level we can determine where decision making power exists; and</w:t>
      </w:r>
    </w:p>
    <w:p>
      <w:pPr>
        <w:spacing w:after="0" w:line="75" w:lineRule="exact"/>
        <w:rPr>
          <w:rFonts w:ascii="Arial" w:cs="Arial" w:eastAsia="Arial" w:hAnsi="Arial"/>
          <w:sz w:val="18"/>
          <w:szCs w:val="18"/>
          <w:color w:val="auto"/>
        </w:rPr>
      </w:pPr>
    </w:p>
    <w:p>
      <w:pPr>
        <w:ind w:left="1080" w:right="520" w:hanging="532"/>
        <w:spacing w:after="0" w:line="277" w:lineRule="auto"/>
        <w:tabs>
          <w:tab w:leader="none" w:pos="1080" w:val="left"/>
        </w:tabs>
        <w:numPr>
          <w:ilvl w:val="0"/>
          <w:numId w:val="118"/>
        </w:numPr>
        <w:rPr>
          <w:rFonts w:ascii="Arial" w:cs="Arial" w:eastAsia="Arial" w:hAnsi="Arial"/>
          <w:sz w:val="18"/>
          <w:szCs w:val="18"/>
          <w:color w:val="auto"/>
        </w:rPr>
      </w:pPr>
      <w:r>
        <w:rPr>
          <w:rFonts w:ascii="Arial" w:cs="Arial" w:eastAsia="Arial" w:hAnsi="Arial"/>
          <w:sz w:val="18"/>
          <w:szCs w:val="18"/>
          <w:color w:val="auto"/>
        </w:rPr>
        <w:t>Through collecting physician address information for individual physicians from numerous locations, we can triangulate the data to determine primary practice locations with a high degree of accuracy.</w:t>
      </w:r>
    </w:p>
    <w:p>
      <w:pPr>
        <w:spacing w:after="0" w:line="103" w:lineRule="exact"/>
        <w:rPr>
          <w:sz w:val="20"/>
          <w:szCs w:val="20"/>
          <w:color w:val="auto"/>
        </w:rPr>
      </w:pPr>
    </w:p>
    <w:p>
      <w:pPr>
        <w:jc w:val="center"/>
        <w:ind w:right="-399"/>
        <w:spacing w:after="0"/>
        <w:rPr>
          <w:sz w:val="20"/>
          <w:szCs w:val="20"/>
          <w:color w:val="auto"/>
        </w:rPr>
      </w:pPr>
      <w:r>
        <w:rPr>
          <w:rFonts w:ascii="Arial" w:cs="Arial" w:eastAsia="Arial" w:hAnsi="Arial"/>
          <w:sz w:val="18"/>
          <w:szCs w:val="18"/>
          <w:color w:val="auto"/>
        </w:rPr>
        <w:t>121</w:t>
      </w:r>
    </w:p>
    <w:p>
      <w:pPr>
        <w:sectPr>
          <w:pgSz w:w="11900" w:h="16838" w:orient="portrait"/>
          <w:cols w:equalWidth="0" w:num="1">
            <w:col w:w="11080"/>
          </w:cols>
          <w:pgMar w:left="320" w:top="459" w:right="499" w:bottom="1440" w:gutter="0" w:footer="0" w:header="0"/>
        </w:sectPr>
      </w:pPr>
    </w:p>
    <w:bookmarkStart w:id="128" w:name="page129"/>
    <w:bookmarkEnd w:id="1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Confidential Treatment Requested by Definitive Healthcare Corp.</w:t>
      </w:r>
    </w:p>
    <w:p>
      <w:pPr>
        <w:spacing w:after="0" w:line="27"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Pursuant to 17 C.F.R. Section 200.83</w:t>
      </w:r>
    </w:p>
    <w:p>
      <w:pPr>
        <w:spacing w:after="0" w:line="13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A Continually Reinforcing Platform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2567940</wp:posOffset>
            </wp:positionH>
            <wp:positionV relativeFrom="paragraph">
              <wp:posOffset>171450</wp:posOffset>
            </wp:positionV>
            <wp:extent cx="2005965" cy="1997710"/>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2005965" cy="19977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Our Technology</w:t>
      </w:r>
    </w:p>
    <w:p>
      <w:pPr>
        <w:spacing w:after="0" w:line="121" w:lineRule="exact"/>
        <w:rPr>
          <w:sz w:val="20"/>
          <w:szCs w:val="20"/>
          <w:color w:val="auto"/>
        </w:rPr>
      </w:pPr>
    </w:p>
    <w:p>
      <w:pPr>
        <w:ind w:left="120" w:right="80" w:firstLine="440"/>
        <w:spacing w:after="0" w:line="286" w:lineRule="auto"/>
        <w:rPr>
          <w:sz w:val="20"/>
          <w:szCs w:val="20"/>
          <w:color w:val="auto"/>
        </w:rPr>
      </w:pPr>
      <w:r>
        <w:rPr>
          <w:rFonts w:ascii="Arial" w:cs="Arial" w:eastAsia="Arial" w:hAnsi="Arial"/>
          <w:sz w:val="17"/>
          <w:szCs w:val="17"/>
          <w:color w:val="auto"/>
        </w:rPr>
        <w:t>The Definitive Healthcare platform is built upon an innovative data-driven, multi-tenant architecture that delivers a secure and reliable solution to our customers. The solution is designed to deeply integrate into customer workflows and channels via Internet browsers, mobile devices, consumable application program interfaces and a variety of other integrations and data exchange mechanisms.</w:t>
      </w:r>
    </w:p>
    <w:p>
      <w:pPr>
        <w:spacing w:after="0" w:line="165" w:lineRule="exact"/>
        <w:rPr>
          <w:sz w:val="20"/>
          <w:szCs w:val="20"/>
          <w:color w:val="auto"/>
        </w:rPr>
      </w:pPr>
    </w:p>
    <w:p>
      <w:pPr>
        <w:ind w:left="120" w:firstLine="440"/>
        <w:spacing w:after="0" w:line="286" w:lineRule="auto"/>
        <w:rPr>
          <w:sz w:val="20"/>
          <w:szCs w:val="20"/>
          <w:color w:val="auto"/>
        </w:rPr>
      </w:pPr>
      <w:r>
        <w:rPr>
          <w:rFonts w:ascii="Arial" w:cs="Arial" w:eastAsia="Arial" w:hAnsi="Arial"/>
          <w:sz w:val="17"/>
          <w:szCs w:val="17"/>
          <w:color w:val="auto"/>
        </w:rPr>
        <w:t>The platform utilizes a multi-tenant, geographically redundant, hybrid solution to leverage innovative technologies offered by cloud leaders. Using M.L. and deep learning capabilities, proprietary data science models are integrated seamlessly into the data processing pipeline, along with traditional data cleansing and normalization routines, to quickly and efficiently deliver mission critical analytics and insights to market.</w:t>
      </w:r>
    </w:p>
    <w:p>
      <w:pPr>
        <w:spacing w:after="0" w:line="165" w:lineRule="exact"/>
        <w:rPr>
          <w:sz w:val="20"/>
          <w:szCs w:val="20"/>
          <w:color w:val="auto"/>
        </w:rPr>
      </w:pPr>
    </w:p>
    <w:p>
      <w:pPr>
        <w:ind w:left="120" w:right="160" w:firstLine="440"/>
        <w:spacing w:after="0" w:line="308" w:lineRule="auto"/>
        <w:rPr>
          <w:sz w:val="20"/>
          <w:szCs w:val="20"/>
          <w:color w:val="auto"/>
        </w:rPr>
      </w:pPr>
      <w:r>
        <w:rPr>
          <w:rFonts w:ascii="Arial" w:cs="Arial" w:eastAsia="Arial" w:hAnsi="Arial"/>
          <w:sz w:val="17"/>
          <w:szCs w:val="17"/>
          <w:color w:val="auto"/>
        </w:rPr>
        <w:t>Through our continuous integration and delivery model, we can deliver new use cases and workflows quickly and efficiently. New data domains and elements, new analytics, reports and visualizations are consistently being added to the platform to drive additional customer value.</w:t>
      </w:r>
    </w:p>
    <w:p>
      <w:pPr>
        <w:spacing w:after="0" w:line="250"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Our Customers</w:t>
      </w:r>
    </w:p>
    <w:p>
      <w:pPr>
        <w:spacing w:after="0" w:line="121" w:lineRule="exact"/>
        <w:rPr>
          <w:sz w:val="20"/>
          <w:szCs w:val="20"/>
          <w:color w:val="auto"/>
        </w:rPr>
      </w:pPr>
    </w:p>
    <w:p>
      <w:pPr>
        <w:ind w:left="120" w:firstLine="440"/>
        <w:spacing w:after="0" w:line="270" w:lineRule="auto"/>
        <w:rPr>
          <w:sz w:val="20"/>
          <w:szCs w:val="20"/>
          <w:color w:val="auto"/>
        </w:rPr>
      </w:pPr>
      <w:r>
        <w:rPr>
          <w:rFonts w:ascii="Arial" w:cs="Arial" w:eastAsia="Arial" w:hAnsi="Arial"/>
          <w:sz w:val="17"/>
          <w:szCs w:val="17"/>
          <w:color w:val="auto"/>
        </w:rPr>
        <w:t>As of June 30, 2021, we have a large and diverse base of over 2,600 customers that sell into or compete in the healthcare ecosystem. Our customers range across include healthcare focused companies such as Life Sciences, HCIT and Healthcare Providers as well as other diversified companies, such as financial institutions, health insurance and medical insurance companies, staffing firms and consultants that are looking to sell into the large healthcare market. Our customer contracts are generally one to three years in term, and typically automatically renew unless terminated. We had 292 Enterprise Customers with over $100,000 in ARR at year end 2020, compared to 221 Enterprise Customers for the year ended December 31, 2019 and our NDR for Enterprise Customers for the year ended December 31, 2020 was 124%. For 2020, our NDR for all customers over $17,500 in ARR was 108%. For the trailing twelve months ended June 30, 2021, our NDR for our 349 Enterprise Customers was 125% and our NDR for all customers over $17,500 in ARR was 111%. No single customer accounted for more than 2% of revenue for the year ended December 31, 2020 or the six months ended June 30, 2021.</w:t>
      </w:r>
    </w:p>
    <w:p>
      <w:pPr>
        <w:spacing w:after="0" w:line="181" w:lineRule="exact"/>
        <w:rPr>
          <w:sz w:val="20"/>
          <w:szCs w:val="20"/>
          <w:color w:val="auto"/>
        </w:rPr>
      </w:pPr>
    </w:p>
    <w:p>
      <w:pPr>
        <w:ind w:left="120" w:right="180" w:firstLine="440"/>
        <w:spacing w:after="0" w:line="277" w:lineRule="auto"/>
        <w:rPr>
          <w:sz w:val="20"/>
          <w:szCs w:val="20"/>
          <w:color w:val="auto"/>
        </w:rPr>
      </w:pPr>
      <w:r>
        <w:rPr>
          <w:rFonts w:ascii="Arial" w:cs="Arial" w:eastAsia="Arial" w:hAnsi="Arial"/>
          <w:sz w:val="18"/>
          <w:szCs w:val="18"/>
          <w:color w:val="auto"/>
        </w:rPr>
        <w:t>Our integrated platform is designed to drive commercial success for companies that sell into or competes in the healthcare ecosystem, creating a large end-market for us. Significant end markets include:</w:t>
      </w:r>
    </w:p>
    <w:p>
      <w:pPr>
        <w:spacing w:after="0" w:line="76" w:lineRule="exact"/>
        <w:rPr>
          <w:sz w:val="20"/>
          <w:szCs w:val="20"/>
          <w:color w:val="auto"/>
        </w:rPr>
      </w:pPr>
    </w:p>
    <w:p>
      <w:pPr>
        <w:ind w:left="1080" w:right="200" w:hanging="532"/>
        <w:spacing w:after="0" w:line="308" w:lineRule="auto"/>
        <w:tabs>
          <w:tab w:leader="none" w:pos="1080" w:val="left"/>
        </w:tabs>
        <w:numPr>
          <w:ilvl w:val="0"/>
          <w:numId w:val="119"/>
        </w:numPr>
        <w:rPr>
          <w:rFonts w:ascii="Arial" w:cs="Arial" w:eastAsia="Arial" w:hAnsi="Arial"/>
          <w:sz w:val="17"/>
          <w:szCs w:val="17"/>
          <w:color w:val="auto"/>
        </w:rPr>
      </w:pPr>
      <w:r>
        <w:rPr>
          <w:rFonts w:ascii="Arial" w:cs="Arial" w:eastAsia="Arial" w:hAnsi="Arial"/>
          <w:sz w:val="17"/>
          <w:szCs w:val="17"/>
          <w:b w:val="1"/>
          <w:bCs w:val="1"/>
          <w:i w:val="1"/>
          <w:iCs w:val="1"/>
          <w:color w:val="auto"/>
        </w:rPr>
        <w:t>Life Sciences</w:t>
      </w:r>
      <w:r>
        <w:rPr>
          <w:rFonts w:ascii="Arial" w:cs="Arial" w:eastAsia="Arial" w:hAnsi="Arial"/>
          <w:sz w:val="17"/>
          <w:szCs w:val="17"/>
          <w:color w:val="auto"/>
        </w:rPr>
        <w:t>, including biopharmaceutical, medical device and biotechnology companies who utilize the Definitive platform to analyze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patient populations, identify experts for clinical trials, develop go-to-market strategies and measure their success.</w:t>
      </w:r>
    </w:p>
    <w:p>
      <w:pPr>
        <w:spacing w:after="0" w:line="79" w:lineRule="exact"/>
        <w:rPr>
          <w:sz w:val="20"/>
          <w:szCs w:val="20"/>
          <w:color w:val="auto"/>
        </w:rPr>
      </w:pPr>
    </w:p>
    <w:p>
      <w:pPr>
        <w:jc w:val="center"/>
        <w:ind w:right="-359"/>
        <w:spacing w:after="0"/>
        <w:rPr>
          <w:sz w:val="20"/>
          <w:szCs w:val="20"/>
          <w:color w:val="auto"/>
        </w:rPr>
      </w:pPr>
      <w:r>
        <w:rPr>
          <w:rFonts w:ascii="Arial" w:cs="Arial" w:eastAsia="Arial" w:hAnsi="Arial"/>
          <w:sz w:val="18"/>
          <w:szCs w:val="18"/>
          <w:color w:val="auto"/>
        </w:rPr>
        <w:t>122</w:t>
      </w:r>
    </w:p>
    <w:p>
      <w:pPr>
        <w:sectPr>
          <w:pgSz w:w="11900" w:h="16838" w:orient="portrait"/>
          <w:cols w:equalWidth="0" w:num="1">
            <w:col w:w="11120"/>
          </w:cols>
          <w:pgMar w:left="320" w:top="459" w:right="459" w:bottom="1440" w:gutter="0" w:footer="0" w:header="0"/>
        </w:sectPr>
      </w:pPr>
    </w:p>
    <w:bookmarkStart w:id="129" w:name="page130"/>
    <w:bookmarkEnd w:id="1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Confidential Treatment Requested by Definitive Healthcare Corp.</w:t>
      </w:r>
    </w:p>
    <w:p>
      <w:pPr>
        <w:spacing w:after="0" w:line="27"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Pursuant to 17 C.F.R. Section 200.83</w:t>
      </w:r>
    </w:p>
    <w:p>
      <w:pPr>
        <w:spacing w:after="0" w:line="143" w:lineRule="exact"/>
        <w:rPr>
          <w:sz w:val="20"/>
          <w:szCs w:val="20"/>
          <w:color w:val="auto"/>
        </w:rPr>
      </w:pPr>
    </w:p>
    <w:p>
      <w:pPr>
        <w:ind w:left="1080" w:right="120" w:hanging="532"/>
        <w:spacing w:after="0" w:line="263" w:lineRule="auto"/>
        <w:tabs>
          <w:tab w:leader="none" w:pos="1080" w:val="left"/>
        </w:tabs>
        <w:numPr>
          <w:ilvl w:val="0"/>
          <w:numId w:val="120"/>
        </w:numPr>
        <w:rPr>
          <w:rFonts w:ascii="Arial" w:cs="Arial" w:eastAsia="Arial" w:hAnsi="Arial"/>
          <w:sz w:val="18"/>
          <w:szCs w:val="18"/>
          <w:color w:val="auto"/>
        </w:rPr>
      </w:pPr>
      <w:r>
        <w:rPr>
          <w:rFonts w:ascii="Arial" w:cs="Arial" w:eastAsia="Arial" w:hAnsi="Arial"/>
          <w:sz w:val="18"/>
          <w:szCs w:val="18"/>
          <w:b w:val="1"/>
          <w:bCs w:val="1"/>
          <w:i w:val="1"/>
          <w:iCs w:val="1"/>
          <w:color w:val="auto"/>
        </w:rPr>
        <w:t>Healthcare Information Technology (HCIT)</w:t>
      </w:r>
      <w:r>
        <w:rPr>
          <w:rFonts w:ascii="Arial" w:cs="Arial" w:eastAsia="Arial" w:hAnsi="Arial"/>
          <w:sz w:val="18"/>
          <w:szCs w:val="18"/>
          <w:color w:val="auto"/>
        </w:rPr>
        <w:t>, including companies that develop software or related services for the healthcare ecosystem</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utilize the Definitive Healthcare platform to target and segment providers based on need such as high readmission rates, growing service lines (e.g. cardiovascular) or new locations.</w:t>
      </w:r>
    </w:p>
    <w:p>
      <w:pPr>
        <w:spacing w:after="0" w:line="89" w:lineRule="exact"/>
        <w:rPr>
          <w:rFonts w:ascii="Arial" w:cs="Arial" w:eastAsia="Arial" w:hAnsi="Arial"/>
          <w:sz w:val="18"/>
          <w:szCs w:val="18"/>
          <w:color w:val="auto"/>
        </w:rPr>
      </w:pPr>
    </w:p>
    <w:p>
      <w:pPr>
        <w:ind w:left="1080" w:right="520" w:hanging="532"/>
        <w:spacing w:after="0" w:line="263" w:lineRule="auto"/>
        <w:tabs>
          <w:tab w:leader="none" w:pos="1080" w:val="left"/>
        </w:tabs>
        <w:numPr>
          <w:ilvl w:val="0"/>
          <w:numId w:val="120"/>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Healthcare Providers, </w:t>
      </w:r>
      <w:r>
        <w:rPr>
          <w:rFonts w:ascii="Arial" w:cs="Arial" w:eastAsia="Arial" w:hAnsi="Arial"/>
          <w:sz w:val="18"/>
          <w:szCs w:val="18"/>
          <w:color w:val="auto"/>
        </w:rPr>
        <w:t>including hospitals, accountable care organizations, long-term care facilities and other healthcare providers,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leverage the Definitive Healthcare platform to identify and build relationships with referring physicians and facilities and to identify opportunities to keep patients in their provider network.</w:t>
      </w:r>
    </w:p>
    <w:p>
      <w:pPr>
        <w:spacing w:after="0" w:line="89" w:lineRule="exact"/>
        <w:rPr>
          <w:rFonts w:ascii="Arial" w:cs="Arial" w:eastAsia="Arial" w:hAnsi="Arial"/>
          <w:sz w:val="18"/>
          <w:szCs w:val="18"/>
          <w:color w:val="auto"/>
        </w:rPr>
      </w:pPr>
    </w:p>
    <w:p>
      <w:pPr>
        <w:jc w:val="both"/>
        <w:ind w:left="1080" w:right="80" w:hanging="532"/>
        <w:spacing w:after="0" w:line="286" w:lineRule="auto"/>
        <w:tabs>
          <w:tab w:leader="none" w:pos="1080" w:val="left"/>
        </w:tabs>
        <w:numPr>
          <w:ilvl w:val="0"/>
          <w:numId w:val="120"/>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Diversified Companies, </w:t>
      </w:r>
      <w:r>
        <w:rPr>
          <w:rFonts w:ascii="Arial" w:cs="Arial" w:eastAsia="Arial" w:hAnsi="Arial"/>
          <w:sz w:val="17"/>
          <w:szCs w:val="17"/>
          <w:color w:val="auto"/>
        </w:rPr>
        <w:t>including professional services, financial services, staffing, waste management and other companies that sell into</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or compete in the healthcare ecosystem, access the Definitive Healthcare platform for pricing, targeting and segmentation and for building an ROI case for their products and services based on deep contextual information found in the platform.</w:t>
      </w:r>
    </w:p>
    <w:p>
      <w:pPr>
        <w:spacing w:after="0" w:line="273" w:lineRule="exact"/>
        <w:rPr>
          <w:sz w:val="20"/>
          <w:szCs w:val="20"/>
          <w:color w:val="auto"/>
        </w:rPr>
      </w:pPr>
    </w:p>
    <w:p>
      <w:pPr>
        <w:ind w:left="120"/>
        <w:spacing w:after="0"/>
        <w:rPr>
          <w:sz w:val="20"/>
          <w:szCs w:val="20"/>
          <w:color w:val="auto"/>
        </w:rPr>
      </w:pPr>
      <w:r>
        <w:rPr>
          <w:rFonts w:ascii="Arial" w:cs="Arial" w:eastAsia="Arial" w:hAnsi="Arial"/>
          <w:sz w:val="18"/>
          <w:szCs w:val="18"/>
          <w:color w:val="auto"/>
        </w:rPr>
        <w:t>Customer case studies include:</w:t>
      </w:r>
    </w:p>
    <w:p>
      <w:pPr>
        <w:spacing w:after="0" w:line="131" w:lineRule="exact"/>
        <w:rPr>
          <w:sz w:val="20"/>
          <w:szCs w:val="20"/>
          <w:color w:val="auto"/>
        </w:rPr>
      </w:pPr>
    </w:p>
    <w:p>
      <w:pPr>
        <w:ind w:left="1080" w:right="40" w:hanging="532"/>
        <w:spacing w:after="0" w:line="255" w:lineRule="auto"/>
        <w:tabs>
          <w:tab w:leader="none" w:pos="1080" w:val="left"/>
        </w:tabs>
        <w:numPr>
          <w:ilvl w:val="0"/>
          <w:numId w:val="121"/>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A multinational, biotechnology company </w:t>
      </w:r>
      <w:r>
        <w:rPr>
          <w:rFonts w:ascii="Arial" w:cs="Arial" w:eastAsia="Arial" w:hAnsi="Arial"/>
          <w:sz w:val="18"/>
          <w:szCs w:val="18"/>
          <w:color w:val="auto"/>
        </w:rPr>
        <w:t>first subscribed to the Definitive Healthcare platform in January 2019 at $500,000 ARR in order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to enhance their sales strategy with one of their franchises which focuses in rare disease. Given the difficulties of the rare disease space, coupled with being a relatively new drug to market, the customer needed help reaching, communicating with and educating a hard-to- find patient and provider community. Data from Definitive Healthcare’s PhysicianView, HospitalView, ClaimsMx, ClaimsRx and LongTermCareView enabled them to position themselves as a trusted partner and the #1 experts in their space, translating into more of the correct patients on therapy.</w:t>
      </w:r>
    </w:p>
    <w:p>
      <w:pPr>
        <w:spacing w:after="0" w:line="84" w:lineRule="exact"/>
        <w:rPr>
          <w:rFonts w:ascii="Arial" w:cs="Arial" w:eastAsia="Arial" w:hAnsi="Arial"/>
          <w:sz w:val="18"/>
          <w:szCs w:val="18"/>
          <w:color w:val="auto"/>
        </w:rPr>
      </w:pPr>
    </w:p>
    <w:p>
      <w:pPr>
        <w:ind w:left="1100"/>
        <w:spacing w:after="0" w:line="273" w:lineRule="auto"/>
        <w:rPr>
          <w:rFonts w:ascii="Arial" w:cs="Arial" w:eastAsia="Arial" w:hAnsi="Arial"/>
          <w:sz w:val="18"/>
          <w:szCs w:val="18"/>
          <w:color w:val="auto"/>
        </w:rPr>
      </w:pPr>
      <w:r>
        <w:rPr>
          <w:rFonts w:ascii="Arial" w:cs="Arial" w:eastAsia="Arial" w:hAnsi="Arial"/>
          <w:sz w:val="17"/>
          <w:szCs w:val="17"/>
          <w:color w:val="auto"/>
        </w:rPr>
        <w:t>The customer started by leveraging a custom report from Definitive Healthcare to show them exactly how care is delivered in this rare therapy area. It enabled them to provide education to 3 new providers who had not previously known how to diagnose this condition. In this rare disease space, every net new physician had sizable opportunity potential, and this discovery led to getting new patients on therapy. In April 2019, the company expanded on their initial success by purchasing additional Definitive Healthcare data, increasing ARR from $500,000 to $600,000. The additional data supported several outreach campaigns and to design 2 additional custom reports throughout 2019 which resulted in finding 16 more opportunities to provide correct care to this rare community.</w:t>
      </w:r>
    </w:p>
    <w:p>
      <w:pPr>
        <w:spacing w:after="0" w:line="69" w:lineRule="exact"/>
        <w:rPr>
          <w:rFonts w:ascii="Arial" w:cs="Arial" w:eastAsia="Arial" w:hAnsi="Arial"/>
          <w:sz w:val="18"/>
          <w:szCs w:val="18"/>
          <w:color w:val="auto"/>
        </w:rPr>
      </w:pPr>
    </w:p>
    <w:p>
      <w:pPr>
        <w:ind w:left="1100" w:right="60"/>
        <w:spacing w:after="0" w:line="271" w:lineRule="auto"/>
        <w:rPr>
          <w:rFonts w:ascii="Arial" w:cs="Arial" w:eastAsia="Arial" w:hAnsi="Arial"/>
          <w:sz w:val="18"/>
          <w:szCs w:val="18"/>
          <w:color w:val="auto"/>
        </w:rPr>
      </w:pPr>
      <w:r>
        <w:rPr>
          <w:rFonts w:ascii="Arial" w:cs="Arial" w:eastAsia="Arial" w:hAnsi="Arial"/>
          <w:sz w:val="17"/>
          <w:szCs w:val="17"/>
          <w:color w:val="auto"/>
        </w:rPr>
        <w:t>Based on the success with the rare disease franchise, the customer decided to also rely on Definitive Healthcare in another franchise, focused on launching a new candidate for a CNS chronic disease. They purchased additional Definitive Healthcare data and access in March 2020 for $480,000, bringing the total ARR to over $1,000,000 across two major franchises. By May 2020, the chronic disease franchise decided to expand so that 2 additional teams could use Definitive Healthcare. The teams used Definitive Healthcare to completely map their field teams and hiring plans, and to prioritize which hospitals, physician groups and healthcare professionals to support, saving time and improving efficiencies across the franchise. Based on this success, the customer decided to expand to yet another team and to add ImagingCenterView between November and December of 2020. Over the course of the relationship, the customer has built their Definitive Healthcare investment from an ARR of $500,000 to over $1,500,000.</w:t>
      </w:r>
    </w:p>
    <w:p>
      <w:pPr>
        <w:spacing w:after="0" w:line="83" w:lineRule="exact"/>
        <w:rPr>
          <w:rFonts w:ascii="Arial" w:cs="Arial" w:eastAsia="Arial" w:hAnsi="Arial"/>
          <w:sz w:val="18"/>
          <w:szCs w:val="18"/>
          <w:color w:val="auto"/>
        </w:rPr>
      </w:pPr>
    </w:p>
    <w:p>
      <w:pPr>
        <w:ind w:left="1080" w:right="100" w:hanging="532"/>
        <w:spacing w:after="0" w:line="255" w:lineRule="auto"/>
        <w:tabs>
          <w:tab w:leader="none" w:pos="1080" w:val="left"/>
        </w:tabs>
        <w:numPr>
          <w:ilvl w:val="0"/>
          <w:numId w:val="121"/>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A leading medical technology company </w:t>
      </w:r>
      <w:r>
        <w:rPr>
          <w:rFonts w:ascii="Arial" w:cs="Arial" w:eastAsia="Arial" w:hAnsi="Arial"/>
          <w:sz w:val="18"/>
          <w:szCs w:val="18"/>
          <w:color w:val="auto"/>
        </w:rPr>
        <w:t>that helps healthcare providers prevent illnesses and correctly diagnose and treat patients chose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Definitive Healthcare to prove the value of its clinical precision support tool, which uses tests to help determine the right care for pulmonary embolisms. To grow its market share, the company needed to segment the market by hospitals and oncology practices that saw high volumes of patients receiving radiation equipment. It then needed to target organizations that would benefit from its technology. The company used Definitive Healthcare’s platform to map the target market and identify hospitals that over-utilize costly scans when testing for pulmonary</w:t>
      </w:r>
    </w:p>
    <w:p>
      <w:pPr>
        <w:spacing w:after="0" w:line="125"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123</w:t>
      </w:r>
    </w:p>
    <w:p>
      <w:pPr>
        <w:sectPr>
          <w:pgSz w:w="11900" w:h="16838" w:orient="portrait"/>
          <w:cols w:equalWidth="0" w:num="1">
            <w:col w:w="11120"/>
          </w:cols>
          <w:pgMar w:left="320" w:top="459" w:right="459" w:bottom="1440" w:gutter="0" w:footer="0" w:header="0"/>
        </w:sectPr>
      </w:pPr>
    </w:p>
    <w:bookmarkStart w:id="130" w:name="page131"/>
    <w:bookmarkEnd w:id="1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Confidential Treatment Requested by Definitive Healthcare Corp.</w:t>
      </w:r>
    </w:p>
    <w:p>
      <w:pPr>
        <w:spacing w:after="0" w:line="27"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Pursuant to 17 C.F.R. Section 200.83</w:t>
      </w:r>
    </w:p>
    <w:p>
      <w:pPr>
        <w:spacing w:after="0" w:line="143" w:lineRule="exact"/>
        <w:rPr>
          <w:sz w:val="20"/>
          <w:szCs w:val="20"/>
          <w:color w:val="auto"/>
        </w:rPr>
      </w:pPr>
    </w:p>
    <w:p>
      <w:pPr>
        <w:ind w:left="1100" w:right="60"/>
        <w:spacing w:after="0" w:line="257" w:lineRule="auto"/>
        <w:rPr>
          <w:sz w:val="20"/>
          <w:szCs w:val="20"/>
          <w:color w:val="auto"/>
        </w:rPr>
      </w:pPr>
      <w:r>
        <w:rPr>
          <w:rFonts w:ascii="Arial" w:cs="Arial" w:eastAsia="Arial" w:hAnsi="Arial"/>
          <w:sz w:val="18"/>
          <w:szCs w:val="18"/>
          <w:color w:val="auto"/>
        </w:rPr>
        <w:t>embolisms. Through Definitive Healthcare’s affiliations data, the customer identified linkages across the target market and health systems impacted. The customer also used affiliations data to access key decision makers, including contacts at health insurance companies and Chief Quality Officers, that are impacted by costly pulmonary embolism scans. The customer aggregated this data to build ROI specific to each health system. Definitive Healthcare enabled the company to prove the value-add of its product by demonstrating the over-utilization of scans to prospective customers.</w:t>
      </w:r>
    </w:p>
    <w:p>
      <w:pPr>
        <w:spacing w:after="0" w:line="80" w:lineRule="exact"/>
        <w:rPr>
          <w:sz w:val="20"/>
          <w:szCs w:val="20"/>
          <w:color w:val="auto"/>
        </w:rPr>
      </w:pPr>
    </w:p>
    <w:p>
      <w:pPr>
        <w:ind w:left="1100"/>
        <w:spacing w:after="0" w:line="259" w:lineRule="auto"/>
        <w:rPr>
          <w:sz w:val="20"/>
          <w:szCs w:val="20"/>
          <w:color w:val="auto"/>
        </w:rPr>
      </w:pPr>
      <w:r>
        <w:rPr>
          <w:rFonts w:ascii="Arial" w:cs="Arial" w:eastAsia="Arial" w:hAnsi="Arial"/>
          <w:sz w:val="18"/>
          <w:szCs w:val="18"/>
          <w:color w:val="auto"/>
        </w:rPr>
        <w:t>Based on the success with this division, the customer decided to purchase ClaimsMx hospital data for $250,000 in 2020. It used ClaimsMx to gain enhanced market insight into scan volumes and other diagnostic procedures in additional therapeutic areas. For example, the customer identified physicians performing specific procedures and billing specific codes on a national level, which was critical market intelligence to drive development of its go-to-market strategy.</w:t>
      </w:r>
    </w:p>
    <w:p>
      <w:pPr>
        <w:spacing w:after="0" w:line="79" w:lineRule="exact"/>
        <w:rPr>
          <w:sz w:val="20"/>
          <w:szCs w:val="20"/>
          <w:color w:val="auto"/>
        </w:rPr>
      </w:pPr>
    </w:p>
    <w:p>
      <w:pPr>
        <w:ind w:left="1100" w:right="40"/>
        <w:spacing w:after="0" w:line="277" w:lineRule="auto"/>
        <w:rPr>
          <w:sz w:val="20"/>
          <w:szCs w:val="20"/>
          <w:color w:val="auto"/>
        </w:rPr>
      </w:pPr>
      <w:r>
        <w:rPr>
          <w:rFonts w:ascii="Arial" w:cs="Arial" w:eastAsia="Arial" w:hAnsi="Arial"/>
          <w:sz w:val="18"/>
          <w:szCs w:val="18"/>
          <w:color w:val="auto"/>
        </w:rPr>
        <w:t>Due to the continued success from using Definitive Healthcare’s data, the company increased its Definitive Healthcare investment from an ARR of $40,000 to over $600,000 in 6 years.</w:t>
      </w:r>
    </w:p>
    <w:p>
      <w:pPr>
        <w:spacing w:after="0" w:line="76" w:lineRule="exact"/>
        <w:rPr>
          <w:sz w:val="20"/>
          <w:szCs w:val="20"/>
          <w:color w:val="auto"/>
        </w:rPr>
      </w:pPr>
    </w:p>
    <w:p>
      <w:pPr>
        <w:ind w:left="1080" w:hanging="532"/>
        <w:spacing w:after="0" w:line="271" w:lineRule="auto"/>
        <w:tabs>
          <w:tab w:leader="none" w:pos="1080" w:val="left"/>
        </w:tabs>
        <w:numPr>
          <w:ilvl w:val="0"/>
          <w:numId w:val="122"/>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A major healthcare technology company </w:t>
      </w:r>
      <w:r>
        <w:rPr>
          <w:rFonts w:ascii="Arial" w:cs="Arial" w:eastAsia="Arial" w:hAnsi="Arial"/>
          <w:sz w:val="17"/>
          <w:szCs w:val="17"/>
          <w:color w:val="auto"/>
        </w:rPr>
        <w:t>that improves patient care with their clinical collaboration and information sharing solutions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chose Definitive Healthcare to size their market, develop an annual sales strategy and enable their sales force with detailed account-specific intelligence. Definitive Healthcare provided the customer with key healthcare commercial intelligence including technology, affiliations, quality metrics and executive contact information. By using Definitive Healthcare’s platform, the customer used intelligence from Hospital Search, Technology Search, Technology Vendor Market Share and financial metrics to gain a complete picture of their TAM. To power their sales strategy, they leveraged Medicare quality performance information to identify and target underperforming hospitals. The quality metrics analysis yielded great results for the sales team and helped them identify an additional 140 hospitals that were struggling in quality metrics that the customer’s software solution could improve.</w:t>
      </w:r>
    </w:p>
    <w:p>
      <w:pPr>
        <w:spacing w:after="0" w:line="70" w:lineRule="exact"/>
        <w:rPr>
          <w:rFonts w:ascii="Arial" w:cs="Arial" w:eastAsia="Arial" w:hAnsi="Arial"/>
          <w:sz w:val="17"/>
          <w:szCs w:val="17"/>
          <w:color w:val="auto"/>
        </w:rPr>
      </w:pPr>
    </w:p>
    <w:p>
      <w:pPr>
        <w:ind w:left="1100" w:right="180"/>
        <w:spacing w:after="0" w:line="277" w:lineRule="auto"/>
        <w:rPr>
          <w:rFonts w:ascii="Arial" w:cs="Arial" w:eastAsia="Arial" w:hAnsi="Arial"/>
          <w:sz w:val="17"/>
          <w:szCs w:val="17"/>
          <w:color w:val="auto"/>
        </w:rPr>
      </w:pPr>
      <w:r>
        <w:rPr>
          <w:rFonts w:ascii="Arial" w:cs="Arial" w:eastAsia="Arial" w:hAnsi="Arial"/>
          <w:sz w:val="18"/>
          <w:szCs w:val="18"/>
          <w:color w:val="auto"/>
        </w:rPr>
        <w:t>This commercial intelligence allowed the customer to quantify ROI for their product and find optimal targets, proving to their customers that implementing their platform drives down Medicare incentive program penalties.</w:t>
      </w:r>
    </w:p>
    <w:p>
      <w:pPr>
        <w:spacing w:after="0" w:line="62" w:lineRule="exact"/>
        <w:rPr>
          <w:rFonts w:ascii="Arial" w:cs="Arial" w:eastAsia="Arial" w:hAnsi="Arial"/>
          <w:sz w:val="17"/>
          <w:szCs w:val="17"/>
          <w:color w:val="auto"/>
        </w:rPr>
      </w:pPr>
    </w:p>
    <w:p>
      <w:pPr>
        <w:ind w:left="1100" w:right="580"/>
        <w:spacing w:after="0" w:line="277" w:lineRule="auto"/>
        <w:rPr>
          <w:rFonts w:ascii="Arial" w:cs="Arial" w:eastAsia="Arial" w:hAnsi="Arial"/>
          <w:sz w:val="17"/>
          <w:szCs w:val="17"/>
          <w:color w:val="auto"/>
        </w:rPr>
      </w:pPr>
      <w:r>
        <w:rPr>
          <w:rFonts w:ascii="Arial" w:cs="Arial" w:eastAsia="Arial" w:hAnsi="Arial"/>
          <w:sz w:val="18"/>
          <w:szCs w:val="18"/>
          <w:color w:val="auto"/>
        </w:rPr>
        <w:t>This customer continues to use Definitive Healthcare to drive a sophisticated sales engine by identifying the right customer targets, identifying which organizations have purchasing power and accessing decision makers.</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Our Go-to-Market Strategy</w:t>
      </w:r>
    </w:p>
    <w:p>
      <w:pPr>
        <w:spacing w:after="0" w:line="121" w:lineRule="exact"/>
        <w:rPr>
          <w:sz w:val="20"/>
          <w:szCs w:val="20"/>
          <w:color w:val="auto"/>
        </w:rPr>
      </w:pPr>
    </w:p>
    <w:p>
      <w:pPr>
        <w:ind w:left="120" w:right="420" w:firstLine="440"/>
        <w:spacing w:after="0" w:line="277" w:lineRule="auto"/>
        <w:rPr>
          <w:sz w:val="20"/>
          <w:szCs w:val="20"/>
          <w:color w:val="auto"/>
        </w:rPr>
      </w:pPr>
      <w:r>
        <w:rPr>
          <w:rFonts w:ascii="Arial" w:cs="Arial" w:eastAsia="Arial" w:hAnsi="Arial"/>
          <w:sz w:val="18"/>
          <w:szCs w:val="18"/>
          <w:color w:val="auto"/>
        </w:rPr>
        <w:t>We have a very efficient go-to-market model, driven by a high-velocity inside sales and marketing team, experienced SEs and a well-defined verticalized sales strategy.</w:t>
      </w:r>
    </w:p>
    <w:p>
      <w:pPr>
        <w:spacing w:after="0" w:line="170" w:lineRule="exact"/>
        <w:rPr>
          <w:sz w:val="20"/>
          <w:szCs w:val="20"/>
          <w:color w:val="auto"/>
        </w:rPr>
      </w:pPr>
    </w:p>
    <w:p>
      <w:pPr>
        <w:ind w:left="120" w:right="20" w:firstLine="440"/>
        <w:spacing w:after="0" w:line="257" w:lineRule="auto"/>
        <w:rPr>
          <w:sz w:val="20"/>
          <w:szCs w:val="20"/>
          <w:color w:val="auto"/>
        </w:rPr>
      </w:pPr>
      <w:r>
        <w:rPr>
          <w:rFonts w:ascii="Arial" w:cs="Arial" w:eastAsia="Arial" w:hAnsi="Arial"/>
          <w:sz w:val="18"/>
          <w:szCs w:val="18"/>
          <w:color w:val="auto"/>
        </w:rPr>
        <w:t>Our go-to-market strategy begins with a high-velocity marketing engine that generates over 10,000 inbound Marketing Qualified Leads (“MQLs”) each year. These inbound leads are quickly converted into demos for our SEs, who are organized into specific verticals. This vertical specialization ensures that each SE understands the specific business problems of their customers and can guide them through an online-demo to the exact intelligence that will be most impactful to their business. As our brand presence continues to grow, we have seen a significant increase in the number of inbound MQLs received.</w:t>
      </w:r>
    </w:p>
    <w:p>
      <w:pPr>
        <w:spacing w:after="0" w:line="188" w:lineRule="exact"/>
        <w:rPr>
          <w:sz w:val="20"/>
          <w:szCs w:val="20"/>
          <w:color w:val="auto"/>
        </w:rPr>
      </w:pPr>
    </w:p>
    <w:p>
      <w:pPr>
        <w:ind w:left="120" w:right="300" w:firstLine="440"/>
        <w:spacing w:after="0" w:line="342" w:lineRule="auto"/>
        <w:rPr>
          <w:sz w:val="20"/>
          <w:szCs w:val="20"/>
          <w:color w:val="auto"/>
        </w:rPr>
      </w:pPr>
      <w:r>
        <w:rPr>
          <w:rFonts w:ascii="Arial" w:cs="Arial" w:eastAsia="Arial" w:hAnsi="Arial"/>
          <w:sz w:val="16"/>
          <w:szCs w:val="16"/>
          <w:color w:val="auto"/>
        </w:rPr>
        <w:t>We complement our marketing efforts with a highly targeted outbound effort focused on important prospects across our target universe of over 100,000 companies. These companies are prioritized and targeted with a measurable outbound effort led by our inside sales representative team.</w:t>
      </w:r>
    </w:p>
    <w:p>
      <w:pPr>
        <w:spacing w:after="0" w:line="124" w:lineRule="exact"/>
        <w:rPr>
          <w:sz w:val="20"/>
          <w:szCs w:val="20"/>
          <w:color w:val="auto"/>
        </w:rPr>
      </w:pPr>
    </w:p>
    <w:p>
      <w:pPr>
        <w:ind w:left="120" w:right="120" w:firstLine="440"/>
        <w:spacing w:after="0" w:line="277" w:lineRule="auto"/>
        <w:rPr>
          <w:sz w:val="20"/>
          <w:szCs w:val="20"/>
          <w:color w:val="auto"/>
        </w:rPr>
      </w:pPr>
      <w:r>
        <w:rPr>
          <w:rFonts w:ascii="Arial" w:cs="Arial" w:eastAsia="Arial" w:hAnsi="Arial"/>
          <w:sz w:val="18"/>
          <w:szCs w:val="18"/>
          <w:color w:val="auto"/>
        </w:rPr>
        <w:t>Once a new company signs up as a subscriber, they are transferred to our Customer Experience managers (“Cx”) who assist with onboarding and training, answering questions and maintaining a “health score,” a</w:t>
      </w:r>
    </w:p>
    <w:p>
      <w:pPr>
        <w:spacing w:after="0" w:line="103"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124</w:t>
      </w:r>
    </w:p>
    <w:p>
      <w:pPr>
        <w:sectPr>
          <w:pgSz w:w="11900" w:h="16838" w:orient="portrait"/>
          <w:cols w:equalWidth="0" w:num="1">
            <w:col w:w="11120"/>
          </w:cols>
          <w:pgMar w:left="320" w:top="459" w:right="459" w:bottom="1440" w:gutter="0" w:footer="0" w:header="0"/>
        </w:sectPr>
      </w:pPr>
    </w:p>
    <w:bookmarkStart w:id="131" w:name="page132"/>
    <w:bookmarkEnd w:id="1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Confidential Treatment Requested by Definitive Healthcare Corp.</w:t>
      </w:r>
    </w:p>
    <w:p>
      <w:pPr>
        <w:spacing w:after="0" w:line="27"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Pursuant to 17 C.F.R. Section 200.83</w:t>
      </w:r>
    </w:p>
    <w:p>
      <w:pPr>
        <w:spacing w:after="0" w:line="143" w:lineRule="exact"/>
        <w:rPr>
          <w:sz w:val="20"/>
          <w:szCs w:val="20"/>
          <w:color w:val="auto"/>
        </w:rPr>
      </w:pPr>
    </w:p>
    <w:p>
      <w:pPr>
        <w:jc w:val="both"/>
        <w:ind w:left="120" w:right="180"/>
        <w:spacing w:after="0" w:line="311" w:lineRule="auto"/>
        <w:rPr>
          <w:sz w:val="20"/>
          <w:szCs w:val="20"/>
          <w:color w:val="auto"/>
        </w:rPr>
      </w:pPr>
      <w:r>
        <w:rPr>
          <w:rFonts w:ascii="Arial" w:cs="Arial" w:eastAsia="Arial" w:hAnsi="Arial"/>
          <w:sz w:val="16"/>
          <w:szCs w:val="16"/>
          <w:color w:val="auto"/>
        </w:rPr>
        <w:t>predictive metric used to determine whether customers are likely to renew their subscription. In addition, an SE is typically assigned to each customer, with a focus on deepening the relationship and identifying opportunities to expand the relationship to new departments and sell additional intelligence modules and workflow products. The Cx and SE teams are also organized by vertical segment to ensure subject matter expertise.</w:t>
      </w:r>
    </w:p>
    <w:p>
      <w:pPr>
        <w:spacing w:after="0" w:line="253"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Our People, Culture and Values</w:t>
      </w:r>
    </w:p>
    <w:p>
      <w:pPr>
        <w:spacing w:after="0" w:line="121" w:lineRule="exact"/>
        <w:rPr>
          <w:sz w:val="20"/>
          <w:szCs w:val="20"/>
          <w:color w:val="auto"/>
        </w:rPr>
      </w:pPr>
    </w:p>
    <w:p>
      <w:pPr>
        <w:ind w:left="120" w:right="520" w:firstLine="440"/>
        <w:spacing w:after="0" w:line="277" w:lineRule="auto"/>
        <w:rPr>
          <w:sz w:val="20"/>
          <w:szCs w:val="20"/>
          <w:color w:val="auto"/>
        </w:rPr>
      </w:pPr>
      <w:r>
        <w:rPr>
          <w:rFonts w:ascii="Arial" w:cs="Arial" w:eastAsia="Arial" w:hAnsi="Arial"/>
          <w:sz w:val="18"/>
          <w:szCs w:val="18"/>
          <w:color w:val="auto"/>
        </w:rPr>
        <w:t>Our success is built upon an award-winning culture that is designed to ensure we can attract, develop and retain premier talent. Our guiding principles include:</w:t>
      </w:r>
    </w:p>
    <w:p>
      <w:pPr>
        <w:spacing w:after="0" w:line="76" w:lineRule="exact"/>
        <w:rPr>
          <w:sz w:val="20"/>
          <w:szCs w:val="20"/>
          <w:color w:val="auto"/>
        </w:rPr>
      </w:pPr>
    </w:p>
    <w:p>
      <w:pPr>
        <w:ind w:left="1080" w:right="480" w:hanging="532"/>
        <w:spacing w:after="0" w:line="277" w:lineRule="auto"/>
        <w:tabs>
          <w:tab w:leader="none" w:pos="1080" w:val="left"/>
        </w:tabs>
        <w:numPr>
          <w:ilvl w:val="0"/>
          <w:numId w:val="123"/>
        </w:numPr>
        <w:rPr>
          <w:rFonts w:ascii="Arial" w:cs="Arial" w:eastAsia="Arial" w:hAnsi="Arial"/>
          <w:sz w:val="18"/>
          <w:szCs w:val="18"/>
          <w:color w:val="auto"/>
        </w:rPr>
      </w:pPr>
      <w:r>
        <w:rPr>
          <w:rFonts w:ascii="Arial" w:cs="Arial" w:eastAsia="Arial" w:hAnsi="Arial"/>
          <w:sz w:val="18"/>
          <w:szCs w:val="18"/>
          <w:b w:val="1"/>
          <w:bCs w:val="1"/>
          <w:i w:val="1"/>
          <w:iCs w:val="1"/>
          <w:color w:val="auto"/>
        </w:rPr>
        <w:t>We Want to Be the Very Best</w:t>
      </w:r>
      <w:r>
        <w:rPr>
          <w:rFonts w:ascii="Arial" w:cs="Arial" w:eastAsia="Arial" w:hAnsi="Arial"/>
          <w:sz w:val="18"/>
          <w:szCs w:val="18"/>
          <w:color w:val="auto"/>
        </w:rPr>
        <w:t>. We focus on hiring motivated employees who are focused on delivering a high-quality platform to our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customers.</w:t>
      </w:r>
    </w:p>
    <w:p>
      <w:pPr>
        <w:spacing w:after="0" w:line="75" w:lineRule="exact"/>
        <w:rPr>
          <w:rFonts w:ascii="Arial" w:cs="Arial" w:eastAsia="Arial" w:hAnsi="Arial"/>
          <w:sz w:val="18"/>
          <w:szCs w:val="18"/>
          <w:color w:val="auto"/>
        </w:rPr>
      </w:pPr>
    </w:p>
    <w:p>
      <w:pPr>
        <w:jc w:val="both"/>
        <w:ind w:left="1080" w:right="420" w:hanging="532"/>
        <w:spacing w:after="0" w:line="263" w:lineRule="auto"/>
        <w:tabs>
          <w:tab w:leader="none" w:pos="1080" w:val="left"/>
        </w:tabs>
        <w:numPr>
          <w:ilvl w:val="0"/>
          <w:numId w:val="123"/>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Innovation is at Our Core. </w:t>
      </w:r>
      <w:r>
        <w:rPr>
          <w:rFonts w:ascii="Arial" w:cs="Arial" w:eastAsia="Arial" w:hAnsi="Arial"/>
          <w:sz w:val="18"/>
          <w:szCs w:val="18"/>
          <w:color w:val="auto"/>
        </w:rPr>
        <w:t>We are constantly disrupting the status quo. We deliver solutions to customers that can have a significant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impact on their workflow and decision making. We welcome new challenges and are not afraid to push ourselves beyond our comfort zones</w:t>
      </w:r>
    </w:p>
    <w:p>
      <w:pPr>
        <w:spacing w:after="0" w:line="89" w:lineRule="exact"/>
        <w:rPr>
          <w:rFonts w:ascii="Arial" w:cs="Arial" w:eastAsia="Arial" w:hAnsi="Arial"/>
          <w:sz w:val="18"/>
          <w:szCs w:val="18"/>
          <w:color w:val="auto"/>
        </w:rPr>
      </w:pPr>
    </w:p>
    <w:p>
      <w:pPr>
        <w:ind w:left="1080" w:hanging="532"/>
        <w:spacing w:after="0" w:line="277" w:lineRule="auto"/>
        <w:tabs>
          <w:tab w:leader="none" w:pos="1080" w:val="left"/>
        </w:tabs>
        <w:numPr>
          <w:ilvl w:val="0"/>
          <w:numId w:val="123"/>
        </w:numPr>
        <w:rPr>
          <w:rFonts w:ascii="Arial" w:cs="Arial" w:eastAsia="Arial" w:hAnsi="Arial"/>
          <w:sz w:val="18"/>
          <w:szCs w:val="18"/>
          <w:color w:val="auto"/>
        </w:rPr>
      </w:pPr>
      <w:r>
        <w:rPr>
          <w:rFonts w:ascii="Arial" w:cs="Arial" w:eastAsia="Arial" w:hAnsi="Arial"/>
          <w:sz w:val="18"/>
          <w:szCs w:val="18"/>
          <w:b w:val="1"/>
          <w:bCs w:val="1"/>
          <w:i w:val="1"/>
          <w:iCs w:val="1"/>
          <w:color w:val="auto"/>
        </w:rPr>
        <w:t>We Are Decisive</w:t>
      </w:r>
      <w:r>
        <w:rPr>
          <w:rFonts w:ascii="Arial" w:cs="Arial" w:eastAsia="Arial" w:hAnsi="Arial"/>
          <w:sz w:val="18"/>
          <w:szCs w:val="18"/>
          <w:color w:val="auto"/>
        </w:rPr>
        <w:t>. Healthcare is evolving rapidly and we meet these changes head on through decisive decision making. If we need to pivot,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we do so in a quick and timely manner</w:t>
      </w:r>
    </w:p>
    <w:p>
      <w:pPr>
        <w:spacing w:after="0" w:line="75" w:lineRule="exact"/>
        <w:rPr>
          <w:rFonts w:ascii="Arial" w:cs="Arial" w:eastAsia="Arial" w:hAnsi="Arial"/>
          <w:sz w:val="18"/>
          <w:szCs w:val="18"/>
          <w:color w:val="auto"/>
        </w:rPr>
      </w:pPr>
    </w:p>
    <w:p>
      <w:pPr>
        <w:ind w:left="1080" w:right="180" w:hanging="532"/>
        <w:spacing w:after="0" w:line="308" w:lineRule="auto"/>
        <w:tabs>
          <w:tab w:leader="none" w:pos="1080" w:val="left"/>
        </w:tabs>
        <w:numPr>
          <w:ilvl w:val="0"/>
          <w:numId w:val="123"/>
        </w:numPr>
        <w:rPr>
          <w:rFonts w:ascii="Arial" w:cs="Arial" w:eastAsia="Arial" w:hAnsi="Arial"/>
          <w:sz w:val="17"/>
          <w:szCs w:val="17"/>
          <w:color w:val="auto"/>
        </w:rPr>
      </w:pPr>
      <w:r>
        <w:rPr>
          <w:rFonts w:ascii="Arial" w:cs="Arial" w:eastAsia="Arial" w:hAnsi="Arial"/>
          <w:sz w:val="17"/>
          <w:szCs w:val="17"/>
          <w:b w:val="1"/>
          <w:bCs w:val="1"/>
          <w:i w:val="1"/>
          <w:iCs w:val="1"/>
          <w:color w:val="auto"/>
        </w:rPr>
        <w:t>We Measure Everything</w:t>
      </w:r>
      <w:r>
        <w:rPr>
          <w:rFonts w:ascii="Arial" w:cs="Arial" w:eastAsia="Arial" w:hAnsi="Arial"/>
          <w:sz w:val="17"/>
          <w:szCs w:val="17"/>
          <w:color w:val="auto"/>
        </w:rPr>
        <w:t>. In order to continuously improve, we track our progress. We measure everything from sales productivity to the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yield of our latest A.I. algorithm. This constant benchmarking ensures we optimize the way we deploy our resources.</w:t>
      </w:r>
    </w:p>
    <w:p>
      <w:pPr>
        <w:spacing w:after="0" w:line="51" w:lineRule="exact"/>
        <w:rPr>
          <w:rFonts w:ascii="Arial" w:cs="Arial" w:eastAsia="Arial" w:hAnsi="Arial"/>
          <w:sz w:val="17"/>
          <w:szCs w:val="17"/>
          <w:color w:val="auto"/>
        </w:rPr>
      </w:pPr>
    </w:p>
    <w:p>
      <w:pPr>
        <w:ind w:left="1080" w:right="60" w:hanging="532"/>
        <w:spacing w:after="0" w:line="259" w:lineRule="auto"/>
        <w:tabs>
          <w:tab w:leader="none" w:pos="1080" w:val="left"/>
        </w:tabs>
        <w:numPr>
          <w:ilvl w:val="0"/>
          <w:numId w:val="123"/>
        </w:numPr>
        <w:rPr>
          <w:rFonts w:ascii="Arial" w:cs="Arial" w:eastAsia="Arial" w:hAnsi="Arial"/>
          <w:sz w:val="18"/>
          <w:szCs w:val="18"/>
          <w:color w:val="auto"/>
        </w:rPr>
      </w:pPr>
      <w:r>
        <w:rPr>
          <w:rFonts w:ascii="Arial" w:cs="Arial" w:eastAsia="Arial" w:hAnsi="Arial"/>
          <w:sz w:val="18"/>
          <w:szCs w:val="18"/>
          <w:b w:val="1"/>
          <w:bCs w:val="1"/>
          <w:i w:val="1"/>
          <w:iCs w:val="1"/>
          <w:color w:val="auto"/>
        </w:rPr>
        <w:t>We Are Proud</w:t>
      </w:r>
      <w:r>
        <w:rPr>
          <w:rFonts w:ascii="Arial" w:cs="Arial" w:eastAsia="Arial" w:hAnsi="Arial"/>
          <w:sz w:val="18"/>
          <w:szCs w:val="18"/>
          <w:color w:val="auto"/>
        </w:rPr>
        <w:t>. We have won numerous workplace awards, including Inc. 5000’s Fastest Growing Companies, Stevie Awards for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Achievement in Customer Satisfaction, CODiE Award for Best Big Data Reporting &amp; Analytics Solution as well as culture awards including being named the #1 Best Place to Work in Massachusetts, in the category of “Large” companies, by the Boston Business Journal in 2019.</w:t>
      </w:r>
    </w:p>
    <w:p>
      <w:pPr>
        <w:spacing w:after="0" w:line="92" w:lineRule="exact"/>
        <w:rPr>
          <w:rFonts w:ascii="Arial" w:cs="Arial" w:eastAsia="Arial" w:hAnsi="Arial"/>
          <w:sz w:val="18"/>
          <w:szCs w:val="18"/>
          <w:color w:val="auto"/>
        </w:rPr>
      </w:pPr>
    </w:p>
    <w:p>
      <w:pPr>
        <w:ind w:left="1080" w:right="160" w:hanging="532"/>
        <w:spacing w:after="0" w:line="279" w:lineRule="auto"/>
        <w:tabs>
          <w:tab w:leader="none" w:pos="1080" w:val="left"/>
        </w:tabs>
        <w:numPr>
          <w:ilvl w:val="0"/>
          <w:numId w:val="123"/>
        </w:numPr>
        <w:rPr>
          <w:rFonts w:ascii="Arial" w:cs="Arial" w:eastAsia="Arial" w:hAnsi="Arial"/>
          <w:sz w:val="17"/>
          <w:szCs w:val="17"/>
          <w:color w:val="auto"/>
        </w:rPr>
      </w:pPr>
      <w:r>
        <w:rPr>
          <w:rFonts w:ascii="Arial" w:cs="Arial" w:eastAsia="Arial" w:hAnsi="Arial"/>
          <w:sz w:val="17"/>
          <w:szCs w:val="17"/>
          <w:b w:val="1"/>
          <w:bCs w:val="1"/>
          <w:i w:val="1"/>
          <w:iCs w:val="1"/>
          <w:color w:val="auto"/>
        </w:rPr>
        <w:t>We Give Back</w:t>
      </w:r>
      <w:r>
        <w:rPr>
          <w:rFonts w:ascii="Arial" w:cs="Arial" w:eastAsia="Arial" w:hAnsi="Arial"/>
          <w:sz w:val="17"/>
          <w:szCs w:val="17"/>
          <w:color w:val="auto"/>
        </w:rPr>
        <w:t>. We are committed to putting our community first and have developed a culture centered around collaboration and</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community engagement. Our DefinitiveCares program is an employee-directed charitable organization with a mission to give back to the community through volunteer initiatives. DefinitiveCares provides support to the community through volunteer hours and charitable donations and has 100% employee participation and has accumulated more than 7,000 volunteer hours since 2018.</w:t>
      </w:r>
    </w:p>
    <w:p>
      <w:pPr>
        <w:spacing w:after="0" w:line="76" w:lineRule="exact"/>
        <w:rPr>
          <w:rFonts w:ascii="Arial" w:cs="Arial" w:eastAsia="Arial" w:hAnsi="Arial"/>
          <w:sz w:val="17"/>
          <w:szCs w:val="17"/>
          <w:color w:val="auto"/>
        </w:rPr>
      </w:pPr>
    </w:p>
    <w:p>
      <w:pPr>
        <w:ind w:left="1080" w:right="180" w:hanging="532"/>
        <w:spacing w:after="0" w:line="257" w:lineRule="auto"/>
        <w:tabs>
          <w:tab w:leader="none" w:pos="1080" w:val="left"/>
        </w:tabs>
        <w:numPr>
          <w:ilvl w:val="0"/>
          <w:numId w:val="123"/>
        </w:numPr>
        <w:rPr>
          <w:rFonts w:ascii="Arial" w:cs="Arial" w:eastAsia="Arial" w:hAnsi="Arial"/>
          <w:sz w:val="18"/>
          <w:szCs w:val="18"/>
          <w:color w:val="auto"/>
        </w:rPr>
      </w:pPr>
      <w:r>
        <w:rPr>
          <w:rFonts w:ascii="Arial" w:cs="Arial" w:eastAsia="Arial" w:hAnsi="Arial"/>
          <w:sz w:val="18"/>
          <w:szCs w:val="18"/>
          <w:b w:val="1"/>
          <w:bCs w:val="1"/>
          <w:i w:val="1"/>
          <w:iCs w:val="1"/>
          <w:color w:val="auto"/>
        </w:rPr>
        <w:t>We Support Diversity</w:t>
      </w:r>
      <w:r>
        <w:rPr>
          <w:rFonts w:ascii="Arial" w:cs="Arial" w:eastAsia="Arial" w:hAnsi="Arial"/>
          <w:sz w:val="18"/>
          <w:szCs w:val="18"/>
          <w:color w:val="auto"/>
        </w:rPr>
        <w:t>. We are dedicated to supporting diversity and inclusion both inside and outside of the office. We provide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opportunities for our employees to grow and develop awareness around diversity, equity and inclusion through company-sponsored speakers and presentations. In addition, we promote diversity and inclusion in our hiring processes by training our hiring managers on unconscious bias, engaging with diverse student groups at college fairs, increasing our work visa sponsorship program and incorporating inclusive, gender-neutral language into our job descriptions.</w:t>
      </w:r>
    </w:p>
    <w:p>
      <w:pPr>
        <w:spacing w:after="0" w:line="188" w:lineRule="exact"/>
        <w:rPr>
          <w:sz w:val="20"/>
          <w:szCs w:val="20"/>
          <w:color w:val="auto"/>
        </w:rPr>
      </w:pPr>
    </w:p>
    <w:p>
      <w:pPr>
        <w:ind w:left="120" w:right="360" w:firstLine="440"/>
        <w:spacing w:after="0" w:line="342" w:lineRule="auto"/>
        <w:rPr>
          <w:sz w:val="20"/>
          <w:szCs w:val="20"/>
          <w:color w:val="auto"/>
        </w:rPr>
      </w:pPr>
      <w:r>
        <w:rPr>
          <w:rFonts w:ascii="Arial" w:cs="Arial" w:eastAsia="Arial" w:hAnsi="Arial"/>
          <w:sz w:val="16"/>
          <w:szCs w:val="16"/>
          <w:color w:val="auto"/>
        </w:rPr>
        <w:t>As of June 30, 2021, we had 625 employees, including 379 in Sales and Marketing, 57 in Research and Development, 77 in Product and Data Science, 52 in Software Development and 60 in Administrative and Other functions. We consider our employee relations to be in good standing.</w:t>
      </w:r>
    </w:p>
    <w:p>
      <w:pPr>
        <w:spacing w:after="0" w:line="22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Competition</w:t>
      </w:r>
    </w:p>
    <w:p>
      <w:pPr>
        <w:spacing w:after="0" w:line="121" w:lineRule="exact"/>
        <w:rPr>
          <w:sz w:val="20"/>
          <w:szCs w:val="20"/>
          <w:color w:val="auto"/>
        </w:rPr>
      </w:pPr>
    </w:p>
    <w:p>
      <w:pPr>
        <w:ind w:left="120" w:right="260" w:firstLine="440"/>
        <w:spacing w:after="0" w:line="263" w:lineRule="auto"/>
        <w:rPr>
          <w:sz w:val="20"/>
          <w:szCs w:val="20"/>
          <w:color w:val="auto"/>
        </w:rPr>
      </w:pPr>
      <w:r>
        <w:rPr>
          <w:rFonts w:ascii="Arial" w:cs="Arial" w:eastAsia="Arial" w:hAnsi="Arial"/>
          <w:sz w:val="18"/>
          <w:szCs w:val="18"/>
          <w:color w:val="auto"/>
        </w:rPr>
        <w:t>We operate in a highly fragmented market. We have a competitive advantage that is based on our comprehensive dataset built up over 11 years, our application of the data science, which has created proprietary intelligence and linkages that we do not see elsewhere, and a user interface that provides customers access to</w:t>
      </w:r>
    </w:p>
    <w:p>
      <w:pPr>
        <w:spacing w:after="0" w:line="116" w:lineRule="exact"/>
        <w:rPr>
          <w:sz w:val="20"/>
          <w:szCs w:val="20"/>
          <w:color w:val="auto"/>
        </w:rPr>
      </w:pPr>
    </w:p>
    <w:p>
      <w:pPr>
        <w:jc w:val="center"/>
        <w:ind w:right="-359"/>
        <w:spacing w:after="0"/>
        <w:rPr>
          <w:sz w:val="20"/>
          <w:szCs w:val="20"/>
          <w:color w:val="auto"/>
        </w:rPr>
      </w:pPr>
      <w:r>
        <w:rPr>
          <w:rFonts w:ascii="Arial" w:cs="Arial" w:eastAsia="Arial" w:hAnsi="Arial"/>
          <w:sz w:val="18"/>
          <w:szCs w:val="18"/>
          <w:color w:val="auto"/>
        </w:rPr>
        <w:t>125</w:t>
      </w:r>
    </w:p>
    <w:p>
      <w:pPr>
        <w:sectPr>
          <w:pgSz w:w="11900" w:h="16838" w:orient="portrait"/>
          <w:cols w:equalWidth="0" w:num="1">
            <w:col w:w="11120"/>
          </w:cols>
          <w:pgMar w:left="320" w:top="459" w:right="459" w:bottom="1440" w:gutter="0" w:footer="0" w:header="0"/>
        </w:sectPr>
      </w:pPr>
    </w:p>
    <w:bookmarkStart w:id="132" w:name="page133"/>
    <w:bookmarkEnd w:id="1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Confidential Treatment Requested by Definitive Healthcare Corp.</w:t>
      </w:r>
    </w:p>
    <w:p>
      <w:pPr>
        <w:spacing w:after="0" w:line="27"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Pursuant to 17 C.F.R. Section 200.83</w:t>
      </w:r>
    </w:p>
    <w:p>
      <w:pPr>
        <w:spacing w:after="0" w:line="143" w:lineRule="exact"/>
        <w:rPr>
          <w:sz w:val="20"/>
          <w:szCs w:val="20"/>
          <w:color w:val="auto"/>
        </w:rPr>
      </w:pPr>
    </w:p>
    <w:p>
      <w:pPr>
        <w:ind w:left="120" w:right="240"/>
        <w:spacing w:after="0" w:line="277" w:lineRule="auto"/>
        <w:rPr>
          <w:sz w:val="20"/>
          <w:szCs w:val="20"/>
          <w:color w:val="auto"/>
        </w:rPr>
      </w:pPr>
      <w:r>
        <w:rPr>
          <w:rFonts w:ascii="Arial" w:cs="Arial" w:eastAsia="Arial" w:hAnsi="Arial"/>
          <w:sz w:val="18"/>
          <w:szCs w:val="18"/>
          <w:color w:val="auto"/>
        </w:rPr>
        <w:t>answers, not data, in an integrated manner. While we believe no competitor matches our breadth of data and intelligence solutions, we compete either directly or indirectly with:</w:t>
      </w:r>
    </w:p>
    <w:p>
      <w:pPr>
        <w:spacing w:after="0" w:line="76" w:lineRule="exact"/>
        <w:rPr>
          <w:sz w:val="20"/>
          <w:szCs w:val="20"/>
          <w:color w:val="auto"/>
        </w:rPr>
      </w:pPr>
    </w:p>
    <w:p>
      <w:pPr>
        <w:ind w:left="1080" w:hanging="532"/>
        <w:spacing w:after="0"/>
        <w:tabs>
          <w:tab w:leader="none" w:pos="1080" w:val="left"/>
        </w:tabs>
        <w:numPr>
          <w:ilvl w:val="0"/>
          <w:numId w:val="124"/>
        </w:numPr>
        <w:rPr>
          <w:rFonts w:ascii="Arial" w:cs="Arial" w:eastAsia="Arial" w:hAnsi="Arial"/>
          <w:sz w:val="18"/>
          <w:szCs w:val="18"/>
          <w:color w:val="auto"/>
        </w:rPr>
      </w:pPr>
      <w:r>
        <w:rPr>
          <w:rFonts w:ascii="Arial" w:cs="Arial" w:eastAsia="Arial" w:hAnsi="Arial"/>
          <w:sz w:val="18"/>
          <w:szCs w:val="18"/>
          <w:color w:val="auto"/>
        </w:rPr>
        <w:t>Legacy raw claims data providers, such as Clarivate, IQVIA and Symphony Health;</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124"/>
        </w:numPr>
        <w:rPr>
          <w:rFonts w:ascii="Arial" w:cs="Arial" w:eastAsia="Arial" w:hAnsi="Arial"/>
          <w:sz w:val="18"/>
          <w:szCs w:val="18"/>
          <w:color w:val="auto"/>
        </w:rPr>
      </w:pPr>
      <w:r>
        <w:rPr>
          <w:rFonts w:ascii="Arial" w:cs="Arial" w:eastAsia="Arial" w:hAnsi="Arial"/>
          <w:sz w:val="18"/>
          <w:szCs w:val="18"/>
          <w:color w:val="auto"/>
        </w:rPr>
        <w:t>Niche healthcare specialists, such as Komodo Health, H1 Healthcare, Marketware, Trella Health and Trilliant Health;</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124"/>
        </w:numPr>
        <w:rPr>
          <w:rFonts w:ascii="Arial" w:cs="Arial" w:eastAsia="Arial" w:hAnsi="Arial"/>
          <w:sz w:val="18"/>
          <w:szCs w:val="18"/>
          <w:color w:val="auto"/>
        </w:rPr>
      </w:pPr>
      <w:r>
        <w:rPr>
          <w:rFonts w:ascii="Arial" w:cs="Arial" w:eastAsia="Arial" w:hAnsi="Arial"/>
          <w:sz w:val="18"/>
          <w:szCs w:val="18"/>
          <w:color w:val="auto"/>
        </w:rPr>
        <w:t>Ecosystem players that may house or analyze similar intelligence, such as SG2, and Veeva; and</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124"/>
        </w:numPr>
        <w:rPr>
          <w:rFonts w:ascii="Arial" w:cs="Arial" w:eastAsia="Arial" w:hAnsi="Arial"/>
          <w:sz w:val="18"/>
          <w:szCs w:val="18"/>
          <w:color w:val="auto"/>
        </w:rPr>
      </w:pPr>
      <w:r>
        <w:rPr>
          <w:rFonts w:ascii="Arial" w:cs="Arial" w:eastAsia="Arial" w:hAnsi="Arial"/>
          <w:sz w:val="18"/>
          <w:szCs w:val="18"/>
          <w:color w:val="auto"/>
        </w:rPr>
        <w:t>Horizontal go-to-market intelligence platforms, such as ZoomInfo, LinkedIn and Dun &amp; Bradstreet.</w:t>
      </w:r>
    </w:p>
    <w:p>
      <w:pPr>
        <w:spacing w:after="0" w:line="225" w:lineRule="exact"/>
        <w:rPr>
          <w:sz w:val="20"/>
          <w:szCs w:val="20"/>
          <w:color w:val="auto"/>
        </w:rPr>
      </w:pPr>
    </w:p>
    <w:p>
      <w:pPr>
        <w:ind w:left="560"/>
        <w:spacing w:after="0"/>
        <w:rPr>
          <w:sz w:val="20"/>
          <w:szCs w:val="20"/>
          <w:color w:val="auto"/>
        </w:rPr>
      </w:pPr>
      <w:r>
        <w:rPr>
          <w:rFonts w:ascii="Arial" w:cs="Arial" w:eastAsia="Arial" w:hAnsi="Arial"/>
          <w:sz w:val="18"/>
          <w:szCs w:val="18"/>
          <w:color w:val="auto"/>
        </w:rPr>
        <w:t>We believe the principal competitive factors in our markets are:</w:t>
      </w:r>
    </w:p>
    <w:p>
      <w:pPr>
        <w:spacing w:after="0" w:line="131" w:lineRule="exact"/>
        <w:rPr>
          <w:sz w:val="20"/>
          <w:szCs w:val="20"/>
          <w:color w:val="auto"/>
        </w:rPr>
      </w:pPr>
    </w:p>
    <w:p>
      <w:pPr>
        <w:ind w:left="1080" w:hanging="532"/>
        <w:spacing w:after="0"/>
        <w:tabs>
          <w:tab w:leader="none" w:pos="1080" w:val="left"/>
        </w:tabs>
        <w:numPr>
          <w:ilvl w:val="0"/>
          <w:numId w:val="125"/>
        </w:numPr>
        <w:rPr>
          <w:rFonts w:ascii="Arial" w:cs="Arial" w:eastAsia="Arial" w:hAnsi="Arial"/>
          <w:sz w:val="18"/>
          <w:szCs w:val="18"/>
          <w:color w:val="auto"/>
        </w:rPr>
      </w:pPr>
      <w:r>
        <w:rPr>
          <w:rFonts w:ascii="Arial" w:cs="Arial" w:eastAsia="Arial" w:hAnsi="Arial"/>
          <w:sz w:val="18"/>
          <w:szCs w:val="18"/>
          <w:color w:val="auto"/>
        </w:rPr>
        <w:t>Depth, breadth and accuracy of healthcare-specific intelligence;</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125"/>
        </w:numPr>
        <w:rPr>
          <w:rFonts w:ascii="Arial" w:cs="Arial" w:eastAsia="Arial" w:hAnsi="Arial"/>
          <w:sz w:val="18"/>
          <w:szCs w:val="18"/>
          <w:color w:val="auto"/>
        </w:rPr>
      </w:pPr>
      <w:r>
        <w:rPr>
          <w:rFonts w:ascii="Arial" w:cs="Arial" w:eastAsia="Arial" w:hAnsi="Arial"/>
          <w:sz w:val="18"/>
          <w:szCs w:val="18"/>
          <w:color w:val="auto"/>
        </w:rPr>
        <w:t>Healthcare subject matter expertise;</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125"/>
        </w:numPr>
        <w:rPr>
          <w:rFonts w:ascii="Arial" w:cs="Arial" w:eastAsia="Arial" w:hAnsi="Arial"/>
          <w:sz w:val="18"/>
          <w:szCs w:val="18"/>
          <w:color w:val="auto"/>
        </w:rPr>
      </w:pPr>
      <w:r>
        <w:rPr>
          <w:rFonts w:ascii="Arial" w:cs="Arial" w:eastAsia="Arial" w:hAnsi="Arial"/>
          <w:sz w:val="18"/>
          <w:szCs w:val="18"/>
          <w:color w:val="auto"/>
        </w:rPr>
        <w:t>A.I. and data science capabilities;</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125"/>
        </w:numPr>
        <w:rPr>
          <w:rFonts w:ascii="Arial" w:cs="Arial" w:eastAsia="Arial" w:hAnsi="Arial"/>
          <w:sz w:val="18"/>
          <w:szCs w:val="18"/>
          <w:color w:val="auto"/>
        </w:rPr>
      </w:pPr>
      <w:r>
        <w:rPr>
          <w:rFonts w:ascii="Arial" w:cs="Arial" w:eastAsia="Arial" w:hAnsi="Arial"/>
          <w:sz w:val="18"/>
          <w:szCs w:val="18"/>
          <w:color w:val="auto"/>
        </w:rPr>
        <w:t>Ease of use and deployment; and</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125"/>
        </w:numPr>
        <w:rPr>
          <w:rFonts w:ascii="Arial" w:cs="Arial" w:eastAsia="Arial" w:hAnsi="Arial"/>
          <w:sz w:val="18"/>
          <w:szCs w:val="18"/>
          <w:color w:val="auto"/>
        </w:rPr>
      </w:pPr>
      <w:r>
        <w:rPr>
          <w:rFonts w:ascii="Arial" w:cs="Arial" w:eastAsia="Arial" w:hAnsi="Arial"/>
          <w:sz w:val="18"/>
          <w:szCs w:val="18"/>
          <w:color w:val="auto"/>
        </w:rPr>
        <w:t>Data privacy and security.</w:t>
      </w:r>
    </w:p>
    <w:p>
      <w:pPr>
        <w:spacing w:after="0" w:line="32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Intellectual Property</w:t>
      </w:r>
    </w:p>
    <w:p>
      <w:pPr>
        <w:spacing w:after="0" w:line="121" w:lineRule="exact"/>
        <w:rPr>
          <w:sz w:val="20"/>
          <w:szCs w:val="20"/>
          <w:color w:val="auto"/>
        </w:rPr>
      </w:pPr>
    </w:p>
    <w:p>
      <w:pPr>
        <w:ind w:left="120" w:firstLine="440"/>
        <w:spacing w:after="0" w:line="275" w:lineRule="auto"/>
        <w:rPr>
          <w:sz w:val="20"/>
          <w:szCs w:val="20"/>
          <w:color w:val="auto"/>
        </w:rPr>
      </w:pPr>
      <w:r>
        <w:rPr>
          <w:rFonts w:ascii="Arial" w:cs="Arial" w:eastAsia="Arial" w:hAnsi="Arial"/>
          <w:sz w:val="17"/>
          <w:szCs w:val="17"/>
          <w:color w:val="auto"/>
        </w:rPr>
        <w:t>Our data driven platform and our approach to keeping it up to date is our defensive moat and protecting our intellectual property is a crucial aspect of our business. While we have not pursued any patents or other registered intellectual property assets other than a few registered trademarks, we secure and protect our intellectual property rights in material non-registered intellectual property by entering into invention assignment contracts with all of our employees and confidentiality agreements with our employees, vendors, customers and other parties with whom we conduct business and share confidential information to control access to our proprietary information, technology and processes.</w:t>
      </w:r>
    </w:p>
    <w:p>
      <w:pPr>
        <w:spacing w:after="0" w:line="176" w:lineRule="exact"/>
        <w:rPr>
          <w:sz w:val="20"/>
          <w:szCs w:val="20"/>
          <w:color w:val="auto"/>
        </w:rPr>
      </w:pPr>
    </w:p>
    <w:p>
      <w:pPr>
        <w:ind w:left="120" w:right="820" w:firstLine="440"/>
        <w:spacing w:after="0" w:line="308" w:lineRule="auto"/>
        <w:rPr>
          <w:sz w:val="20"/>
          <w:szCs w:val="20"/>
          <w:color w:val="auto"/>
        </w:rPr>
      </w:pPr>
      <w:r>
        <w:rPr>
          <w:rFonts w:ascii="Arial" w:cs="Arial" w:eastAsia="Arial" w:hAnsi="Arial"/>
          <w:sz w:val="17"/>
          <w:szCs w:val="17"/>
          <w:color w:val="auto"/>
        </w:rPr>
        <w:t>We continually assess our strategy with respect to the protection of new intellectual property and intend to pursue additional avenues to intellectual property protection to the extent we believe it would be cost-effective and beneficial to our business.</w:t>
      </w:r>
    </w:p>
    <w:p>
      <w:pPr>
        <w:spacing w:after="0" w:line="250"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Data Privacy and Security</w:t>
      </w:r>
    </w:p>
    <w:p>
      <w:pPr>
        <w:spacing w:after="0" w:line="121" w:lineRule="exact"/>
        <w:rPr>
          <w:sz w:val="20"/>
          <w:szCs w:val="20"/>
          <w:color w:val="auto"/>
        </w:rPr>
      </w:pPr>
    </w:p>
    <w:p>
      <w:pPr>
        <w:ind w:left="120" w:right="120" w:firstLine="440"/>
        <w:spacing w:after="0" w:line="269" w:lineRule="auto"/>
        <w:rPr>
          <w:sz w:val="20"/>
          <w:szCs w:val="20"/>
          <w:color w:val="auto"/>
        </w:rPr>
      </w:pPr>
      <w:r>
        <w:rPr>
          <w:rFonts w:ascii="Arial" w:cs="Arial" w:eastAsia="Arial" w:hAnsi="Arial"/>
          <w:sz w:val="17"/>
          <w:szCs w:val="17"/>
          <w:color w:val="auto"/>
        </w:rPr>
        <w:t>The healthcare and customer-level data we collect, process, use and disclose from healthcare organizations and professionals are integral to enabling us to provide a comprehensive healthcare commercial intelligence platform to our customers. Numerous state, federal and foreign laws, including consumer protection laws and regulations, govern the collection, dissemination, use, access to, confidentiality, and security of personal information, including health-related information. In the United States, numerous federal and state laws and regulations, including data breach notification laws, health information privacy and security laws, including HIPAA, and federal and state consumer protection laws and regulations (e.g., Section 5 of the Federal Trade Commission Act) that govern the collection, use, disclosure, and protection of health-related and other personal information could apply to our operations or the operations of our partners. We are passionate about protecting the information we collect and have rigorous policies and processes in place to adhere to the applicable laws, including the de-identification standards under the HIPAA de-identification rules. All patient-level personal information we collect is de-identified by third parties before we receive it so it never enters our network in an identifiable format. Additionally, we engage a qualified third-party statistician to annually assess and certify our compliance with the HIPAA de-identification rules.</w:t>
      </w:r>
    </w:p>
    <w:p>
      <w:pPr>
        <w:spacing w:after="0" w:line="114" w:lineRule="exact"/>
        <w:rPr>
          <w:sz w:val="20"/>
          <w:szCs w:val="20"/>
          <w:color w:val="auto"/>
        </w:rPr>
      </w:pPr>
    </w:p>
    <w:p>
      <w:pPr>
        <w:jc w:val="center"/>
        <w:ind w:right="-359"/>
        <w:spacing w:after="0"/>
        <w:rPr>
          <w:sz w:val="20"/>
          <w:szCs w:val="20"/>
          <w:color w:val="auto"/>
        </w:rPr>
      </w:pPr>
      <w:r>
        <w:rPr>
          <w:rFonts w:ascii="Arial" w:cs="Arial" w:eastAsia="Arial" w:hAnsi="Arial"/>
          <w:sz w:val="18"/>
          <w:szCs w:val="18"/>
          <w:color w:val="auto"/>
        </w:rPr>
        <w:t>126</w:t>
      </w:r>
    </w:p>
    <w:p>
      <w:pPr>
        <w:sectPr>
          <w:pgSz w:w="11900" w:h="16838" w:orient="portrait"/>
          <w:cols w:equalWidth="0" w:num="1">
            <w:col w:w="11120"/>
          </w:cols>
          <w:pgMar w:left="320" w:top="459" w:right="459" w:bottom="1440" w:gutter="0" w:footer="0" w:header="0"/>
        </w:sectPr>
      </w:pPr>
    </w:p>
    <w:bookmarkStart w:id="133" w:name="page134"/>
    <w:bookmarkEnd w:id="1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Confidential Treatment Requested by Definitive Healthcare Corp.</w:t>
      </w:r>
    </w:p>
    <w:p>
      <w:pPr>
        <w:spacing w:after="0" w:line="27"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Pursuant to 17 C.F.R. Section 200.83</w:t>
      </w:r>
    </w:p>
    <w:p>
      <w:pPr>
        <w:spacing w:after="0" w:line="143" w:lineRule="exact"/>
        <w:rPr>
          <w:sz w:val="20"/>
          <w:szCs w:val="20"/>
          <w:color w:val="auto"/>
        </w:rPr>
      </w:pPr>
    </w:p>
    <w:p>
      <w:pPr>
        <w:ind w:left="120" w:firstLine="440"/>
        <w:spacing w:after="0" w:line="253" w:lineRule="auto"/>
        <w:rPr>
          <w:sz w:val="20"/>
          <w:szCs w:val="20"/>
          <w:color w:val="auto"/>
        </w:rPr>
      </w:pPr>
      <w:r>
        <w:rPr>
          <w:rFonts w:ascii="Arial" w:cs="Arial" w:eastAsia="Arial" w:hAnsi="Arial"/>
          <w:sz w:val="18"/>
          <w:szCs w:val="18"/>
          <w:color w:val="auto"/>
        </w:rPr>
        <w:t>In addition, certain state and non-U.S. laws, such as the CCPA, the CPRA and the GDPR govern the privacy and security of personal information / personal data, including health-related information in certain circumstances, some of which are more stringent than HIPAA and many of which differ from each other in significant ways and may not have the same effect, thus complicating compliance efforts. Failure to comply with these laws, where applicable, can result in the imposition of significant civil and/or criminal penalties and private litigation. Privacy and security laws, regulations, and other obligations are constantly evolving, may conflict with each other to make compliance efforts more challenging, and can result in investigations, proceedings, or actions that lead to significant penalties and restrictions on data processing. We strive to comply with applicable data privacy and security laws, and we closely monitor the development of similar legislation across the United States and the globe. Additionally, we have developed a privacy policy on our website to describe our practices related to the collection, maintenance, security, use and sharing of personal information on our platform.</w:t>
      </w:r>
    </w:p>
    <w:p>
      <w:pPr>
        <w:spacing w:after="0" w:line="300"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Facilities</w:t>
      </w:r>
    </w:p>
    <w:p>
      <w:pPr>
        <w:spacing w:after="0" w:line="121" w:lineRule="exact"/>
        <w:rPr>
          <w:sz w:val="20"/>
          <w:szCs w:val="20"/>
          <w:color w:val="auto"/>
        </w:rPr>
      </w:pPr>
    </w:p>
    <w:p>
      <w:pPr>
        <w:ind w:left="120" w:right="80" w:firstLine="440"/>
        <w:spacing w:after="0" w:line="259" w:lineRule="auto"/>
        <w:rPr>
          <w:sz w:val="20"/>
          <w:szCs w:val="20"/>
          <w:color w:val="auto"/>
        </w:rPr>
      </w:pPr>
      <w:r>
        <w:rPr>
          <w:rFonts w:ascii="Arial" w:cs="Arial" w:eastAsia="Arial" w:hAnsi="Arial"/>
          <w:sz w:val="18"/>
          <w:szCs w:val="18"/>
          <w:color w:val="auto"/>
        </w:rPr>
        <w:t>Our corporate headquarters is located in Framingham, Massachusetts and consists of approximately 41,199 square feet of space under a lease that expires on December 31, 2022. We have other offices in Vermont and Sweden. We lease all of our facilities and do not own any real property. We believe that our facilities are adequate for our current and anticipated future use and that we will be able to secure additional space as needed to accommodate expansion of our operations.</w:t>
      </w:r>
    </w:p>
    <w:p>
      <w:pPr>
        <w:spacing w:after="0" w:line="29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Legal Proceedings</w:t>
      </w:r>
    </w:p>
    <w:p>
      <w:pPr>
        <w:spacing w:after="0" w:line="121" w:lineRule="exact"/>
        <w:rPr>
          <w:sz w:val="20"/>
          <w:szCs w:val="20"/>
          <w:color w:val="auto"/>
        </w:rPr>
      </w:pPr>
    </w:p>
    <w:p>
      <w:pPr>
        <w:ind w:left="120" w:right="40" w:firstLine="440"/>
        <w:spacing w:after="0" w:line="286" w:lineRule="auto"/>
        <w:rPr>
          <w:sz w:val="20"/>
          <w:szCs w:val="20"/>
          <w:color w:val="auto"/>
        </w:rPr>
      </w:pPr>
      <w:r>
        <w:rPr>
          <w:rFonts w:ascii="Arial" w:cs="Arial" w:eastAsia="Arial" w:hAnsi="Arial"/>
          <w:sz w:val="17"/>
          <w:szCs w:val="17"/>
          <w:color w:val="auto"/>
        </w:rPr>
        <w:t>We are subject to various legal proceedings, claims, and governmental inspections, audits, or investigations that arise in the ordinary course of our business. Although the outcomes of these claims cannot be predicted with certainty, in the opinion of management, the ultimate resolution of these matters would not be expected to have a material adverse effect on our business, results of operations or financial condition.</w:t>
      </w:r>
    </w:p>
    <w:p>
      <w:pPr>
        <w:spacing w:after="0" w:line="98" w:lineRule="exact"/>
        <w:rPr>
          <w:sz w:val="20"/>
          <w:szCs w:val="20"/>
          <w:color w:val="auto"/>
        </w:rPr>
      </w:pPr>
    </w:p>
    <w:p>
      <w:pPr>
        <w:jc w:val="center"/>
        <w:ind w:right="-359"/>
        <w:spacing w:after="0"/>
        <w:rPr>
          <w:sz w:val="20"/>
          <w:szCs w:val="20"/>
          <w:color w:val="auto"/>
        </w:rPr>
      </w:pPr>
      <w:r>
        <w:rPr>
          <w:rFonts w:ascii="Arial" w:cs="Arial" w:eastAsia="Arial" w:hAnsi="Arial"/>
          <w:sz w:val="18"/>
          <w:szCs w:val="18"/>
          <w:color w:val="auto"/>
        </w:rPr>
        <w:t>127</w:t>
      </w:r>
    </w:p>
    <w:p>
      <w:pPr>
        <w:sectPr>
          <w:pgSz w:w="11900" w:h="16838" w:orient="portrait"/>
          <w:cols w:equalWidth="0" w:num="1">
            <w:col w:w="11120"/>
          </w:cols>
          <w:pgMar w:left="320" w:top="459" w:right="459" w:bottom="1440" w:gutter="0" w:footer="0" w:header="0"/>
        </w:sectPr>
      </w:pPr>
    </w:p>
    <w:bookmarkStart w:id="134" w:name="page135"/>
    <w:bookmarkEnd w:id="1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Confidential Treatment Requested by Definitive Healthcare Corp.</w:t>
      </w:r>
    </w:p>
    <w:p>
      <w:pPr>
        <w:spacing w:after="0" w:line="27"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Pursuant to 17 C.F.R. Section 200.83</w:t>
      </w:r>
    </w:p>
    <w:p>
      <w:pPr>
        <w:spacing w:after="0" w:line="139"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MANAGEMENT</w:t>
      </w:r>
    </w:p>
    <w:p>
      <w:pPr>
        <w:spacing w:after="0" w:line="333"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Directors and Executive Officers</w:t>
      </w:r>
    </w:p>
    <w:p>
      <w:pPr>
        <w:spacing w:after="0" w:line="121" w:lineRule="exact"/>
        <w:rPr>
          <w:sz w:val="20"/>
          <w:szCs w:val="20"/>
          <w:color w:val="auto"/>
        </w:rPr>
      </w:pPr>
    </w:p>
    <w:p>
      <w:pPr>
        <w:ind w:left="120" w:right="160" w:firstLine="440"/>
        <w:spacing w:after="0" w:line="277" w:lineRule="auto"/>
        <w:rPr>
          <w:sz w:val="20"/>
          <w:szCs w:val="20"/>
          <w:color w:val="auto"/>
        </w:rPr>
      </w:pPr>
      <w:r>
        <w:rPr>
          <w:rFonts w:ascii="Arial" w:cs="Arial" w:eastAsia="Arial" w:hAnsi="Arial"/>
          <w:sz w:val="18"/>
          <w:szCs w:val="18"/>
          <w:color w:val="auto"/>
        </w:rPr>
        <w:t>The below individuals serve as directors of Definitive Healthcare Corp. Biographical summaries and a description of the business experience of those individuals who will serve as directors of Definitive Healthcare Corp. are also set forth below.</w:t>
      </w:r>
    </w:p>
    <w:p>
      <w:pPr>
        <w:spacing w:after="0" w:line="189"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2440" w:type="dxa"/>
            <w:vAlign w:val="bottom"/>
            <w:gridSpan w:val="2"/>
          </w:tcPr>
          <w:p>
            <w:pPr>
              <w:spacing w:after="0"/>
              <w:rPr>
                <w:sz w:val="20"/>
                <w:szCs w:val="20"/>
                <w:color w:val="auto"/>
              </w:rPr>
            </w:pPr>
            <w:r>
              <w:rPr>
                <w:rFonts w:ascii="Arial" w:cs="Arial" w:eastAsia="Arial" w:hAnsi="Arial"/>
                <w:sz w:val="14"/>
                <w:szCs w:val="14"/>
                <w:b w:val="1"/>
                <w:bCs w:val="1"/>
                <w:color w:val="auto"/>
              </w:rPr>
              <w:t>Name</w:t>
            </w:r>
          </w:p>
        </w:tc>
        <w:tc>
          <w:tcPr>
            <w:tcW w:w="1220" w:type="dxa"/>
            <w:vAlign w:val="bottom"/>
            <w:gridSpan w:val="2"/>
          </w:tcPr>
          <w:p>
            <w:pPr>
              <w:jc w:val="center"/>
              <w:ind w:left="891"/>
              <w:spacing w:after="0"/>
              <w:rPr>
                <w:sz w:val="20"/>
                <w:szCs w:val="20"/>
                <w:color w:val="auto"/>
              </w:rPr>
            </w:pPr>
            <w:r>
              <w:rPr>
                <w:rFonts w:ascii="Arial" w:cs="Arial" w:eastAsia="Arial" w:hAnsi="Arial"/>
                <w:sz w:val="14"/>
                <w:szCs w:val="14"/>
                <w:b w:val="1"/>
                <w:bCs w:val="1"/>
                <w:color w:val="auto"/>
                <w:w w:val="90"/>
              </w:rPr>
              <w:t>Age</w:t>
            </w:r>
          </w:p>
        </w:tc>
        <w:tc>
          <w:tcPr>
            <w:tcW w:w="3700" w:type="dxa"/>
            <w:vAlign w:val="bottom"/>
          </w:tcPr>
          <w:p>
            <w:pPr>
              <w:spacing w:after="0"/>
              <w:rPr>
                <w:sz w:val="14"/>
                <w:szCs w:val="14"/>
                <w:color w:val="auto"/>
              </w:rPr>
            </w:pPr>
          </w:p>
        </w:tc>
        <w:tc>
          <w:tcPr>
            <w:tcW w:w="500" w:type="dxa"/>
            <w:vAlign w:val="bottom"/>
          </w:tcPr>
          <w:p>
            <w:pPr>
              <w:spacing w:after="0"/>
              <w:rPr>
                <w:sz w:val="20"/>
                <w:szCs w:val="20"/>
                <w:color w:val="auto"/>
              </w:rPr>
            </w:pPr>
            <w:r>
              <w:rPr>
                <w:rFonts w:ascii="Arial" w:cs="Arial" w:eastAsia="Arial" w:hAnsi="Arial"/>
                <w:sz w:val="14"/>
                <w:szCs w:val="14"/>
                <w:b w:val="1"/>
                <w:bCs w:val="1"/>
                <w:color w:val="auto"/>
                <w:w w:val="86"/>
              </w:rPr>
              <w:t>Position</w:t>
            </w:r>
          </w:p>
        </w:tc>
      </w:tr>
      <w:tr>
        <w:trPr>
          <w:trHeight w:val="195"/>
        </w:trPr>
        <w:tc>
          <w:tcPr>
            <w:tcW w:w="36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w w:val="70"/>
              </w:rPr>
              <w:t>Jason</w:t>
            </w:r>
          </w:p>
        </w:tc>
        <w:tc>
          <w:tcPr>
            <w:tcW w:w="2080" w:type="dxa"/>
            <w:vAlign w:val="bottom"/>
          </w:tcPr>
          <w:p>
            <w:pPr>
              <w:ind w:left="80"/>
              <w:spacing w:after="0" w:line="195" w:lineRule="exact"/>
              <w:rPr>
                <w:sz w:val="20"/>
                <w:szCs w:val="20"/>
                <w:color w:val="auto"/>
              </w:rPr>
            </w:pPr>
            <w:r>
              <w:rPr>
                <w:rFonts w:ascii="Arial" w:cs="Arial" w:eastAsia="Arial" w:hAnsi="Arial"/>
                <w:sz w:val="18"/>
                <w:szCs w:val="18"/>
                <w:color w:val="auto"/>
              </w:rPr>
              <w:t>Krantz</w:t>
            </w:r>
          </w:p>
        </w:tc>
        <w:tc>
          <w:tcPr>
            <w:tcW w:w="980" w:type="dxa"/>
            <w:vAlign w:val="bottom"/>
          </w:tcPr>
          <w:p>
            <w:pPr>
              <w:spacing w:after="0"/>
              <w:rPr>
                <w:sz w:val="16"/>
                <w:szCs w:val="16"/>
                <w:color w:val="auto"/>
              </w:rPr>
            </w:pPr>
          </w:p>
        </w:tc>
        <w:tc>
          <w:tcPr>
            <w:tcW w:w="240" w:type="dxa"/>
            <w:vAlign w:val="bottom"/>
            <w:tcBorders>
              <w:top w:val="single" w:sz="8" w:color="auto"/>
            </w:tcBorders>
          </w:tcPr>
          <w:p>
            <w:pPr>
              <w:jc w:val="center"/>
              <w:spacing w:after="0" w:line="195" w:lineRule="exact"/>
              <w:rPr>
                <w:sz w:val="20"/>
                <w:szCs w:val="20"/>
                <w:color w:val="auto"/>
              </w:rPr>
            </w:pPr>
            <w:r>
              <w:rPr>
                <w:rFonts w:ascii="Arial" w:cs="Arial" w:eastAsia="Arial" w:hAnsi="Arial"/>
                <w:sz w:val="18"/>
                <w:szCs w:val="18"/>
                <w:color w:val="auto"/>
                <w:w w:val="89"/>
              </w:rPr>
              <w:t>48</w:t>
            </w:r>
          </w:p>
        </w:tc>
        <w:tc>
          <w:tcPr>
            <w:tcW w:w="3700" w:type="dxa"/>
            <w:vAlign w:val="bottom"/>
          </w:tcPr>
          <w:p>
            <w:pPr>
              <w:ind w:left="540"/>
              <w:spacing w:after="0" w:line="195" w:lineRule="exact"/>
              <w:rPr>
                <w:sz w:val="20"/>
                <w:szCs w:val="20"/>
                <w:color w:val="auto"/>
              </w:rPr>
            </w:pPr>
            <w:r>
              <w:rPr>
                <w:rFonts w:ascii="Arial" w:cs="Arial" w:eastAsia="Arial" w:hAnsi="Arial"/>
                <w:sz w:val="18"/>
                <w:szCs w:val="18"/>
                <w:color w:val="auto"/>
              </w:rPr>
              <w:t>Chief Executive Officer and Chairman</w:t>
            </w:r>
          </w:p>
        </w:tc>
        <w:tc>
          <w:tcPr>
            <w:tcW w:w="500" w:type="dxa"/>
            <w:vAlign w:val="bottom"/>
            <w:tcBorders>
              <w:top w:val="single" w:sz="8" w:color="auto"/>
            </w:tcBorders>
          </w:tcPr>
          <w:p>
            <w:pPr>
              <w:spacing w:after="0"/>
              <w:rPr>
                <w:sz w:val="16"/>
                <w:szCs w:val="16"/>
                <w:color w:val="auto"/>
              </w:rPr>
            </w:pPr>
          </w:p>
        </w:tc>
      </w:tr>
      <w:tr>
        <w:trPr>
          <w:trHeight w:val="216"/>
        </w:trPr>
        <w:tc>
          <w:tcPr>
            <w:tcW w:w="2440" w:type="dxa"/>
            <w:vAlign w:val="bottom"/>
            <w:gridSpan w:val="2"/>
          </w:tcPr>
          <w:p>
            <w:pPr>
              <w:spacing w:after="0"/>
              <w:rPr>
                <w:sz w:val="20"/>
                <w:szCs w:val="20"/>
                <w:color w:val="auto"/>
              </w:rPr>
            </w:pPr>
            <w:r>
              <w:rPr>
                <w:rFonts w:ascii="Arial" w:cs="Arial" w:eastAsia="Arial" w:hAnsi="Arial"/>
                <w:sz w:val="18"/>
                <w:szCs w:val="18"/>
                <w:color w:val="auto"/>
              </w:rPr>
              <w:t>Richard Booth</w:t>
            </w:r>
          </w:p>
        </w:tc>
        <w:tc>
          <w:tcPr>
            <w:tcW w:w="1220" w:type="dxa"/>
            <w:vAlign w:val="bottom"/>
            <w:gridSpan w:val="2"/>
          </w:tcPr>
          <w:p>
            <w:pPr>
              <w:jc w:val="center"/>
              <w:ind w:left="871"/>
              <w:spacing w:after="0"/>
              <w:rPr>
                <w:sz w:val="20"/>
                <w:szCs w:val="20"/>
                <w:color w:val="auto"/>
              </w:rPr>
            </w:pPr>
            <w:r>
              <w:rPr>
                <w:rFonts w:ascii="Arial" w:cs="Arial" w:eastAsia="Arial" w:hAnsi="Arial"/>
                <w:sz w:val="18"/>
                <w:szCs w:val="18"/>
                <w:color w:val="auto"/>
                <w:w w:val="89"/>
              </w:rPr>
              <w:t>52</w:t>
            </w:r>
          </w:p>
        </w:tc>
        <w:tc>
          <w:tcPr>
            <w:tcW w:w="4200" w:type="dxa"/>
            <w:vAlign w:val="bottom"/>
            <w:gridSpan w:val="2"/>
          </w:tcPr>
          <w:p>
            <w:pPr>
              <w:ind w:left="540"/>
              <w:spacing w:after="0"/>
              <w:rPr>
                <w:sz w:val="20"/>
                <w:szCs w:val="20"/>
                <w:color w:val="auto"/>
              </w:rPr>
            </w:pPr>
            <w:r>
              <w:rPr>
                <w:rFonts w:ascii="Arial" w:cs="Arial" w:eastAsia="Arial" w:hAnsi="Arial"/>
                <w:sz w:val="18"/>
                <w:szCs w:val="18"/>
                <w:color w:val="auto"/>
              </w:rPr>
              <w:t>Chief Financial Officer</w:t>
            </w:r>
          </w:p>
        </w:tc>
      </w:tr>
      <w:tr>
        <w:trPr>
          <w:trHeight w:val="216"/>
        </w:trPr>
        <w:tc>
          <w:tcPr>
            <w:tcW w:w="2440" w:type="dxa"/>
            <w:vAlign w:val="bottom"/>
            <w:gridSpan w:val="2"/>
          </w:tcPr>
          <w:p>
            <w:pPr>
              <w:spacing w:after="0"/>
              <w:rPr>
                <w:sz w:val="20"/>
                <w:szCs w:val="20"/>
                <w:color w:val="auto"/>
              </w:rPr>
            </w:pPr>
            <w:r>
              <w:rPr>
                <w:rFonts w:ascii="Arial" w:cs="Arial" w:eastAsia="Arial" w:hAnsi="Arial"/>
                <w:sz w:val="18"/>
                <w:szCs w:val="18"/>
                <w:color w:val="auto"/>
              </w:rPr>
              <w:t>David Samuels</w:t>
            </w:r>
          </w:p>
        </w:tc>
        <w:tc>
          <w:tcPr>
            <w:tcW w:w="1220" w:type="dxa"/>
            <w:vAlign w:val="bottom"/>
            <w:gridSpan w:val="2"/>
          </w:tcPr>
          <w:p>
            <w:pPr>
              <w:jc w:val="center"/>
              <w:ind w:left="871"/>
              <w:spacing w:after="0"/>
              <w:rPr>
                <w:sz w:val="20"/>
                <w:szCs w:val="20"/>
                <w:color w:val="auto"/>
              </w:rPr>
            </w:pPr>
            <w:r>
              <w:rPr>
                <w:rFonts w:ascii="Arial" w:cs="Arial" w:eastAsia="Arial" w:hAnsi="Arial"/>
                <w:sz w:val="18"/>
                <w:szCs w:val="18"/>
                <w:color w:val="auto"/>
                <w:w w:val="89"/>
              </w:rPr>
              <w:t>59</w:t>
            </w:r>
          </w:p>
        </w:tc>
        <w:tc>
          <w:tcPr>
            <w:tcW w:w="4200" w:type="dxa"/>
            <w:vAlign w:val="bottom"/>
            <w:gridSpan w:val="2"/>
          </w:tcPr>
          <w:p>
            <w:pPr>
              <w:ind w:left="540"/>
              <w:spacing w:after="0"/>
              <w:rPr>
                <w:sz w:val="20"/>
                <w:szCs w:val="20"/>
                <w:color w:val="auto"/>
              </w:rPr>
            </w:pPr>
            <w:r>
              <w:rPr>
                <w:rFonts w:ascii="Arial" w:cs="Arial" w:eastAsia="Arial" w:hAnsi="Arial"/>
                <w:sz w:val="18"/>
                <w:szCs w:val="18"/>
                <w:color w:val="auto"/>
              </w:rPr>
              <w:t>Chief Legal Officer</w:t>
            </w:r>
          </w:p>
        </w:tc>
      </w:tr>
      <w:tr>
        <w:trPr>
          <w:trHeight w:val="216"/>
        </w:trPr>
        <w:tc>
          <w:tcPr>
            <w:tcW w:w="2440" w:type="dxa"/>
            <w:vAlign w:val="bottom"/>
            <w:gridSpan w:val="2"/>
          </w:tcPr>
          <w:p>
            <w:pPr>
              <w:spacing w:after="0"/>
              <w:rPr>
                <w:sz w:val="20"/>
                <w:szCs w:val="20"/>
                <w:color w:val="auto"/>
              </w:rPr>
            </w:pPr>
            <w:r>
              <w:rPr>
                <w:rFonts w:ascii="Arial" w:cs="Arial" w:eastAsia="Arial" w:hAnsi="Arial"/>
                <w:sz w:val="18"/>
                <w:szCs w:val="18"/>
                <w:color w:val="auto"/>
              </w:rPr>
              <w:t>Joseph Mirisola</w:t>
            </w:r>
          </w:p>
        </w:tc>
        <w:tc>
          <w:tcPr>
            <w:tcW w:w="1220" w:type="dxa"/>
            <w:vAlign w:val="bottom"/>
            <w:gridSpan w:val="2"/>
          </w:tcPr>
          <w:p>
            <w:pPr>
              <w:jc w:val="center"/>
              <w:ind w:left="871"/>
              <w:spacing w:after="0"/>
              <w:rPr>
                <w:sz w:val="20"/>
                <w:szCs w:val="20"/>
                <w:color w:val="auto"/>
              </w:rPr>
            </w:pPr>
            <w:r>
              <w:rPr>
                <w:rFonts w:ascii="Arial" w:cs="Arial" w:eastAsia="Arial" w:hAnsi="Arial"/>
                <w:sz w:val="18"/>
                <w:szCs w:val="18"/>
                <w:color w:val="auto"/>
                <w:w w:val="89"/>
              </w:rPr>
              <w:t>38</w:t>
            </w:r>
          </w:p>
        </w:tc>
        <w:tc>
          <w:tcPr>
            <w:tcW w:w="4200" w:type="dxa"/>
            <w:vAlign w:val="bottom"/>
            <w:gridSpan w:val="2"/>
          </w:tcPr>
          <w:p>
            <w:pPr>
              <w:ind w:left="540"/>
              <w:spacing w:after="0"/>
              <w:rPr>
                <w:sz w:val="20"/>
                <w:szCs w:val="20"/>
                <w:color w:val="auto"/>
              </w:rPr>
            </w:pPr>
            <w:r>
              <w:rPr>
                <w:rFonts w:ascii="Arial" w:cs="Arial" w:eastAsia="Arial" w:hAnsi="Arial"/>
                <w:sz w:val="18"/>
                <w:szCs w:val="18"/>
                <w:color w:val="auto"/>
              </w:rPr>
              <w:t>Chief Revenue Officer</w:t>
            </w:r>
          </w:p>
        </w:tc>
      </w:tr>
      <w:tr>
        <w:trPr>
          <w:trHeight w:val="216"/>
        </w:trPr>
        <w:tc>
          <w:tcPr>
            <w:tcW w:w="2440" w:type="dxa"/>
            <w:vAlign w:val="bottom"/>
            <w:gridSpan w:val="2"/>
          </w:tcPr>
          <w:p>
            <w:pPr>
              <w:spacing w:after="0"/>
              <w:rPr>
                <w:sz w:val="20"/>
                <w:szCs w:val="20"/>
                <w:color w:val="auto"/>
              </w:rPr>
            </w:pPr>
            <w:r>
              <w:rPr>
                <w:rFonts w:ascii="Arial" w:cs="Arial" w:eastAsia="Arial" w:hAnsi="Arial"/>
                <w:sz w:val="18"/>
                <w:szCs w:val="18"/>
                <w:color w:val="auto"/>
              </w:rPr>
              <w:t>Kate Shamsuddin</w:t>
            </w:r>
          </w:p>
        </w:tc>
        <w:tc>
          <w:tcPr>
            <w:tcW w:w="1220" w:type="dxa"/>
            <w:vAlign w:val="bottom"/>
            <w:gridSpan w:val="2"/>
          </w:tcPr>
          <w:p>
            <w:pPr>
              <w:jc w:val="center"/>
              <w:ind w:left="871"/>
              <w:spacing w:after="0"/>
              <w:rPr>
                <w:sz w:val="20"/>
                <w:szCs w:val="20"/>
                <w:color w:val="auto"/>
              </w:rPr>
            </w:pPr>
            <w:r>
              <w:rPr>
                <w:rFonts w:ascii="Arial" w:cs="Arial" w:eastAsia="Arial" w:hAnsi="Arial"/>
                <w:sz w:val="18"/>
                <w:szCs w:val="18"/>
                <w:color w:val="auto"/>
                <w:w w:val="89"/>
              </w:rPr>
              <w:t>35</w:t>
            </w:r>
          </w:p>
        </w:tc>
        <w:tc>
          <w:tcPr>
            <w:tcW w:w="4200" w:type="dxa"/>
            <w:vAlign w:val="bottom"/>
            <w:gridSpan w:val="2"/>
          </w:tcPr>
          <w:p>
            <w:pPr>
              <w:ind w:left="540"/>
              <w:spacing w:after="0"/>
              <w:rPr>
                <w:sz w:val="20"/>
                <w:szCs w:val="20"/>
                <w:color w:val="auto"/>
              </w:rPr>
            </w:pPr>
            <w:r>
              <w:rPr>
                <w:rFonts w:ascii="Arial" w:cs="Arial" w:eastAsia="Arial" w:hAnsi="Arial"/>
                <w:sz w:val="18"/>
                <w:szCs w:val="18"/>
                <w:color w:val="auto"/>
              </w:rPr>
              <w:t>Chief Product Officer</w:t>
            </w:r>
          </w:p>
        </w:tc>
      </w:tr>
      <w:tr>
        <w:trPr>
          <w:trHeight w:val="216"/>
        </w:trPr>
        <w:tc>
          <w:tcPr>
            <w:tcW w:w="2440" w:type="dxa"/>
            <w:vAlign w:val="bottom"/>
            <w:gridSpan w:val="2"/>
          </w:tcPr>
          <w:p>
            <w:pPr>
              <w:spacing w:after="0"/>
              <w:rPr>
                <w:sz w:val="20"/>
                <w:szCs w:val="20"/>
                <w:color w:val="auto"/>
              </w:rPr>
            </w:pPr>
            <w:r>
              <w:rPr>
                <w:rFonts w:ascii="Arial" w:cs="Arial" w:eastAsia="Arial" w:hAnsi="Arial"/>
                <w:sz w:val="18"/>
                <w:szCs w:val="18"/>
                <w:color w:val="auto"/>
              </w:rPr>
              <w:t>Robert Musslewhite</w:t>
            </w:r>
          </w:p>
        </w:tc>
        <w:tc>
          <w:tcPr>
            <w:tcW w:w="1220" w:type="dxa"/>
            <w:vAlign w:val="bottom"/>
            <w:gridSpan w:val="2"/>
          </w:tcPr>
          <w:p>
            <w:pPr>
              <w:jc w:val="center"/>
              <w:ind w:left="871"/>
              <w:spacing w:after="0"/>
              <w:rPr>
                <w:sz w:val="20"/>
                <w:szCs w:val="20"/>
                <w:color w:val="auto"/>
              </w:rPr>
            </w:pPr>
            <w:r>
              <w:rPr>
                <w:rFonts w:ascii="Arial" w:cs="Arial" w:eastAsia="Arial" w:hAnsi="Arial"/>
                <w:sz w:val="18"/>
                <w:szCs w:val="18"/>
                <w:color w:val="auto"/>
                <w:w w:val="89"/>
              </w:rPr>
              <w:t>51</w:t>
            </w:r>
          </w:p>
        </w:tc>
        <w:tc>
          <w:tcPr>
            <w:tcW w:w="4200" w:type="dxa"/>
            <w:vAlign w:val="bottom"/>
            <w:gridSpan w:val="2"/>
          </w:tcPr>
          <w:p>
            <w:pPr>
              <w:ind w:left="540"/>
              <w:spacing w:after="0"/>
              <w:rPr>
                <w:sz w:val="20"/>
                <w:szCs w:val="20"/>
                <w:color w:val="auto"/>
              </w:rPr>
            </w:pPr>
            <w:r>
              <w:rPr>
                <w:rFonts w:ascii="Arial" w:cs="Arial" w:eastAsia="Arial" w:hAnsi="Arial"/>
                <w:sz w:val="18"/>
                <w:szCs w:val="18"/>
                <w:color w:val="auto"/>
              </w:rPr>
              <w:t>President and Director</w:t>
            </w:r>
          </w:p>
        </w:tc>
      </w:tr>
      <w:tr>
        <w:trPr>
          <w:trHeight w:val="216"/>
        </w:trPr>
        <w:tc>
          <w:tcPr>
            <w:tcW w:w="2440" w:type="dxa"/>
            <w:vAlign w:val="bottom"/>
            <w:gridSpan w:val="2"/>
          </w:tcPr>
          <w:p>
            <w:pPr>
              <w:spacing w:after="0"/>
              <w:rPr>
                <w:sz w:val="20"/>
                <w:szCs w:val="20"/>
                <w:color w:val="auto"/>
              </w:rPr>
            </w:pPr>
            <w:r>
              <w:rPr>
                <w:rFonts w:ascii="Arial" w:cs="Arial" w:eastAsia="Arial" w:hAnsi="Arial"/>
                <w:sz w:val="18"/>
                <w:szCs w:val="18"/>
                <w:color w:val="auto"/>
              </w:rPr>
              <w:t>Chris Mitchell</w:t>
            </w:r>
          </w:p>
        </w:tc>
        <w:tc>
          <w:tcPr>
            <w:tcW w:w="1220" w:type="dxa"/>
            <w:vAlign w:val="bottom"/>
            <w:gridSpan w:val="2"/>
          </w:tcPr>
          <w:p>
            <w:pPr>
              <w:jc w:val="center"/>
              <w:ind w:left="871"/>
              <w:spacing w:after="0"/>
              <w:rPr>
                <w:sz w:val="20"/>
                <w:szCs w:val="20"/>
                <w:color w:val="auto"/>
              </w:rPr>
            </w:pPr>
            <w:r>
              <w:rPr>
                <w:rFonts w:ascii="Arial" w:cs="Arial" w:eastAsia="Arial" w:hAnsi="Arial"/>
                <w:sz w:val="18"/>
                <w:szCs w:val="18"/>
                <w:color w:val="auto"/>
                <w:w w:val="89"/>
              </w:rPr>
              <w:t>49</w:t>
            </w:r>
          </w:p>
        </w:tc>
        <w:tc>
          <w:tcPr>
            <w:tcW w:w="4200" w:type="dxa"/>
            <w:vAlign w:val="bottom"/>
            <w:gridSpan w:val="2"/>
          </w:tcPr>
          <w:p>
            <w:pPr>
              <w:ind w:left="540"/>
              <w:spacing w:after="0"/>
              <w:rPr>
                <w:sz w:val="20"/>
                <w:szCs w:val="20"/>
                <w:color w:val="auto"/>
              </w:rPr>
            </w:pPr>
            <w:r>
              <w:rPr>
                <w:rFonts w:ascii="Arial" w:cs="Arial" w:eastAsia="Arial" w:hAnsi="Arial"/>
                <w:sz w:val="18"/>
                <w:szCs w:val="18"/>
                <w:color w:val="auto"/>
              </w:rPr>
              <w:t>Director</w:t>
            </w:r>
          </w:p>
        </w:tc>
      </w:tr>
      <w:tr>
        <w:trPr>
          <w:trHeight w:val="216"/>
        </w:trPr>
        <w:tc>
          <w:tcPr>
            <w:tcW w:w="2440" w:type="dxa"/>
            <w:vAlign w:val="bottom"/>
            <w:gridSpan w:val="2"/>
          </w:tcPr>
          <w:p>
            <w:pPr>
              <w:spacing w:after="0"/>
              <w:rPr>
                <w:sz w:val="20"/>
                <w:szCs w:val="20"/>
                <w:color w:val="auto"/>
              </w:rPr>
            </w:pPr>
            <w:r>
              <w:rPr>
                <w:rFonts w:ascii="Arial" w:cs="Arial" w:eastAsia="Arial" w:hAnsi="Arial"/>
                <w:sz w:val="18"/>
                <w:szCs w:val="18"/>
                <w:color w:val="auto"/>
              </w:rPr>
              <w:t>Jeff Haywood</w:t>
            </w:r>
          </w:p>
        </w:tc>
        <w:tc>
          <w:tcPr>
            <w:tcW w:w="1220" w:type="dxa"/>
            <w:vAlign w:val="bottom"/>
            <w:gridSpan w:val="2"/>
          </w:tcPr>
          <w:p>
            <w:pPr>
              <w:jc w:val="center"/>
              <w:ind w:left="871"/>
              <w:spacing w:after="0"/>
              <w:rPr>
                <w:sz w:val="20"/>
                <w:szCs w:val="20"/>
                <w:color w:val="auto"/>
              </w:rPr>
            </w:pPr>
            <w:r>
              <w:rPr>
                <w:rFonts w:ascii="Arial" w:cs="Arial" w:eastAsia="Arial" w:hAnsi="Arial"/>
                <w:sz w:val="18"/>
                <w:szCs w:val="18"/>
                <w:color w:val="auto"/>
                <w:w w:val="89"/>
              </w:rPr>
              <w:t>43</w:t>
            </w:r>
          </w:p>
        </w:tc>
        <w:tc>
          <w:tcPr>
            <w:tcW w:w="4200" w:type="dxa"/>
            <w:vAlign w:val="bottom"/>
            <w:gridSpan w:val="2"/>
          </w:tcPr>
          <w:p>
            <w:pPr>
              <w:ind w:left="540"/>
              <w:spacing w:after="0"/>
              <w:rPr>
                <w:sz w:val="20"/>
                <w:szCs w:val="20"/>
                <w:color w:val="auto"/>
              </w:rPr>
            </w:pPr>
            <w:r>
              <w:rPr>
                <w:rFonts w:ascii="Arial" w:cs="Arial" w:eastAsia="Arial" w:hAnsi="Arial"/>
                <w:sz w:val="18"/>
                <w:szCs w:val="18"/>
                <w:color w:val="auto"/>
              </w:rPr>
              <w:t>Director</w:t>
            </w:r>
          </w:p>
        </w:tc>
      </w:tr>
      <w:tr>
        <w:trPr>
          <w:trHeight w:val="216"/>
        </w:trPr>
        <w:tc>
          <w:tcPr>
            <w:tcW w:w="2440" w:type="dxa"/>
            <w:vAlign w:val="bottom"/>
            <w:gridSpan w:val="2"/>
          </w:tcPr>
          <w:p>
            <w:pPr>
              <w:spacing w:after="0"/>
              <w:rPr>
                <w:sz w:val="20"/>
                <w:szCs w:val="20"/>
                <w:color w:val="auto"/>
              </w:rPr>
            </w:pPr>
            <w:r>
              <w:rPr>
                <w:rFonts w:ascii="Arial" w:cs="Arial" w:eastAsia="Arial" w:hAnsi="Arial"/>
                <w:sz w:val="18"/>
                <w:szCs w:val="18"/>
                <w:color w:val="auto"/>
              </w:rPr>
              <w:t>Lauren Young</w:t>
            </w:r>
          </w:p>
        </w:tc>
        <w:tc>
          <w:tcPr>
            <w:tcW w:w="1220" w:type="dxa"/>
            <w:vAlign w:val="bottom"/>
            <w:gridSpan w:val="2"/>
          </w:tcPr>
          <w:p>
            <w:pPr>
              <w:jc w:val="center"/>
              <w:ind w:left="871"/>
              <w:spacing w:after="0"/>
              <w:rPr>
                <w:sz w:val="20"/>
                <w:szCs w:val="20"/>
                <w:color w:val="auto"/>
              </w:rPr>
            </w:pPr>
            <w:r>
              <w:rPr>
                <w:rFonts w:ascii="Arial" w:cs="Arial" w:eastAsia="Arial" w:hAnsi="Arial"/>
                <w:sz w:val="18"/>
                <w:szCs w:val="18"/>
                <w:color w:val="auto"/>
                <w:w w:val="89"/>
              </w:rPr>
              <w:t>38</w:t>
            </w:r>
          </w:p>
        </w:tc>
        <w:tc>
          <w:tcPr>
            <w:tcW w:w="4200" w:type="dxa"/>
            <w:vAlign w:val="bottom"/>
            <w:gridSpan w:val="2"/>
          </w:tcPr>
          <w:p>
            <w:pPr>
              <w:ind w:left="540"/>
              <w:spacing w:after="0"/>
              <w:rPr>
                <w:sz w:val="20"/>
                <w:szCs w:val="20"/>
                <w:color w:val="auto"/>
              </w:rPr>
            </w:pPr>
            <w:r>
              <w:rPr>
                <w:rFonts w:ascii="Arial" w:cs="Arial" w:eastAsia="Arial" w:hAnsi="Arial"/>
                <w:sz w:val="18"/>
                <w:szCs w:val="18"/>
                <w:color w:val="auto"/>
              </w:rPr>
              <w:t>Director</w:t>
            </w:r>
          </w:p>
        </w:tc>
      </w:tr>
      <w:tr>
        <w:trPr>
          <w:trHeight w:val="216"/>
        </w:trPr>
        <w:tc>
          <w:tcPr>
            <w:tcW w:w="2440" w:type="dxa"/>
            <w:vAlign w:val="bottom"/>
            <w:gridSpan w:val="2"/>
          </w:tcPr>
          <w:p>
            <w:pPr>
              <w:spacing w:after="0"/>
              <w:rPr>
                <w:sz w:val="20"/>
                <w:szCs w:val="20"/>
                <w:color w:val="auto"/>
              </w:rPr>
            </w:pPr>
            <w:r>
              <w:rPr>
                <w:rFonts w:ascii="Arial" w:cs="Arial" w:eastAsia="Arial" w:hAnsi="Arial"/>
                <w:sz w:val="18"/>
                <w:szCs w:val="18"/>
                <w:color w:val="auto"/>
              </w:rPr>
              <w:t>Chris Egan</w:t>
            </w:r>
          </w:p>
        </w:tc>
        <w:tc>
          <w:tcPr>
            <w:tcW w:w="1220" w:type="dxa"/>
            <w:vAlign w:val="bottom"/>
            <w:gridSpan w:val="2"/>
          </w:tcPr>
          <w:p>
            <w:pPr>
              <w:jc w:val="center"/>
              <w:ind w:left="871"/>
              <w:spacing w:after="0"/>
              <w:rPr>
                <w:sz w:val="20"/>
                <w:szCs w:val="20"/>
                <w:color w:val="auto"/>
              </w:rPr>
            </w:pPr>
            <w:r>
              <w:rPr>
                <w:rFonts w:ascii="Arial" w:cs="Arial" w:eastAsia="Arial" w:hAnsi="Arial"/>
                <w:sz w:val="18"/>
                <w:szCs w:val="18"/>
                <w:color w:val="auto"/>
                <w:w w:val="89"/>
              </w:rPr>
              <w:t>44</w:t>
            </w:r>
          </w:p>
        </w:tc>
        <w:tc>
          <w:tcPr>
            <w:tcW w:w="4200" w:type="dxa"/>
            <w:vAlign w:val="bottom"/>
            <w:gridSpan w:val="2"/>
          </w:tcPr>
          <w:p>
            <w:pPr>
              <w:ind w:left="540"/>
              <w:spacing w:after="0"/>
              <w:rPr>
                <w:sz w:val="20"/>
                <w:szCs w:val="20"/>
                <w:color w:val="auto"/>
              </w:rPr>
            </w:pPr>
            <w:r>
              <w:rPr>
                <w:rFonts w:ascii="Arial" w:cs="Arial" w:eastAsia="Arial" w:hAnsi="Arial"/>
                <w:sz w:val="18"/>
                <w:szCs w:val="18"/>
                <w:color w:val="auto"/>
              </w:rPr>
              <w:t>Director</w:t>
            </w:r>
          </w:p>
        </w:tc>
      </w:tr>
      <w:tr>
        <w:trPr>
          <w:trHeight w:val="216"/>
        </w:trPr>
        <w:tc>
          <w:tcPr>
            <w:tcW w:w="2440" w:type="dxa"/>
            <w:vAlign w:val="bottom"/>
            <w:gridSpan w:val="2"/>
          </w:tcPr>
          <w:p>
            <w:pPr>
              <w:spacing w:after="0"/>
              <w:rPr>
                <w:sz w:val="20"/>
                <w:szCs w:val="20"/>
                <w:color w:val="auto"/>
              </w:rPr>
            </w:pPr>
            <w:r>
              <w:rPr>
                <w:rFonts w:ascii="Arial" w:cs="Arial" w:eastAsia="Arial" w:hAnsi="Arial"/>
                <w:sz w:val="18"/>
                <w:szCs w:val="18"/>
                <w:color w:val="auto"/>
              </w:rPr>
              <w:t>D. Randall Winn</w:t>
            </w:r>
          </w:p>
        </w:tc>
        <w:tc>
          <w:tcPr>
            <w:tcW w:w="1220" w:type="dxa"/>
            <w:vAlign w:val="bottom"/>
            <w:gridSpan w:val="2"/>
          </w:tcPr>
          <w:p>
            <w:pPr>
              <w:jc w:val="center"/>
              <w:ind w:left="871"/>
              <w:spacing w:after="0"/>
              <w:rPr>
                <w:sz w:val="20"/>
                <w:szCs w:val="20"/>
                <w:color w:val="auto"/>
              </w:rPr>
            </w:pPr>
            <w:r>
              <w:rPr>
                <w:rFonts w:ascii="Arial" w:cs="Arial" w:eastAsia="Arial" w:hAnsi="Arial"/>
                <w:sz w:val="18"/>
                <w:szCs w:val="18"/>
                <w:color w:val="auto"/>
                <w:w w:val="89"/>
              </w:rPr>
              <w:t>51</w:t>
            </w:r>
          </w:p>
        </w:tc>
        <w:tc>
          <w:tcPr>
            <w:tcW w:w="4200" w:type="dxa"/>
            <w:vAlign w:val="bottom"/>
            <w:gridSpan w:val="2"/>
          </w:tcPr>
          <w:p>
            <w:pPr>
              <w:ind w:left="540"/>
              <w:spacing w:after="0"/>
              <w:rPr>
                <w:sz w:val="20"/>
                <w:szCs w:val="20"/>
                <w:color w:val="auto"/>
              </w:rPr>
            </w:pPr>
            <w:r>
              <w:rPr>
                <w:rFonts w:ascii="Arial" w:cs="Arial" w:eastAsia="Arial" w:hAnsi="Arial"/>
                <w:sz w:val="18"/>
                <w:szCs w:val="18"/>
                <w:color w:val="auto"/>
              </w:rPr>
              <w:t>Director</w:t>
            </w:r>
          </w:p>
        </w:tc>
      </w:tr>
      <w:tr>
        <w:trPr>
          <w:trHeight w:val="216"/>
        </w:trPr>
        <w:tc>
          <w:tcPr>
            <w:tcW w:w="2440" w:type="dxa"/>
            <w:vAlign w:val="bottom"/>
            <w:gridSpan w:val="2"/>
          </w:tcPr>
          <w:p>
            <w:pPr>
              <w:spacing w:after="0"/>
              <w:rPr>
                <w:sz w:val="20"/>
                <w:szCs w:val="20"/>
                <w:color w:val="auto"/>
              </w:rPr>
            </w:pPr>
            <w:r>
              <w:rPr>
                <w:rFonts w:ascii="Arial" w:cs="Arial" w:eastAsia="Arial" w:hAnsi="Arial"/>
                <w:sz w:val="18"/>
                <w:szCs w:val="18"/>
                <w:color w:val="auto"/>
              </w:rPr>
              <w:t>Samuel A. Hamood</w:t>
            </w:r>
          </w:p>
        </w:tc>
        <w:tc>
          <w:tcPr>
            <w:tcW w:w="1220" w:type="dxa"/>
            <w:vAlign w:val="bottom"/>
            <w:gridSpan w:val="2"/>
          </w:tcPr>
          <w:p>
            <w:pPr>
              <w:jc w:val="center"/>
              <w:ind w:left="871"/>
              <w:spacing w:after="0"/>
              <w:rPr>
                <w:sz w:val="20"/>
                <w:szCs w:val="20"/>
                <w:color w:val="auto"/>
              </w:rPr>
            </w:pPr>
            <w:r>
              <w:rPr>
                <w:rFonts w:ascii="Arial" w:cs="Arial" w:eastAsia="Arial" w:hAnsi="Arial"/>
                <w:sz w:val="18"/>
                <w:szCs w:val="18"/>
                <w:color w:val="auto"/>
                <w:w w:val="89"/>
              </w:rPr>
              <w:t>53</w:t>
            </w:r>
          </w:p>
        </w:tc>
        <w:tc>
          <w:tcPr>
            <w:tcW w:w="4200" w:type="dxa"/>
            <w:vAlign w:val="bottom"/>
            <w:gridSpan w:val="2"/>
          </w:tcPr>
          <w:p>
            <w:pPr>
              <w:ind w:left="540"/>
              <w:spacing w:after="0"/>
              <w:rPr>
                <w:sz w:val="20"/>
                <w:szCs w:val="20"/>
                <w:color w:val="auto"/>
              </w:rPr>
            </w:pPr>
            <w:r>
              <w:rPr>
                <w:rFonts w:ascii="Arial" w:cs="Arial" w:eastAsia="Arial" w:hAnsi="Arial"/>
                <w:sz w:val="18"/>
                <w:szCs w:val="18"/>
                <w:color w:val="auto"/>
              </w:rPr>
              <w:t>Director</w:t>
            </w:r>
          </w:p>
        </w:tc>
      </w:tr>
      <w:tr>
        <w:trPr>
          <w:trHeight w:val="216"/>
        </w:trPr>
        <w:tc>
          <w:tcPr>
            <w:tcW w:w="2440" w:type="dxa"/>
            <w:vAlign w:val="bottom"/>
            <w:gridSpan w:val="2"/>
          </w:tcPr>
          <w:p>
            <w:pPr>
              <w:spacing w:after="0"/>
              <w:rPr>
                <w:sz w:val="20"/>
                <w:szCs w:val="20"/>
                <w:color w:val="auto"/>
              </w:rPr>
            </w:pPr>
            <w:r>
              <w:rPr>
                <w:rFonts w:ascii="Arial" w:cs="Arial" w:eastAsia="Arial" w:hAnsi="Arial"/>
                <w:sz w:val="18"/>
                <w:szCs w:val="18"/>
                <w:color w:val="auto"/>
              </w:rPr>
              <w:t>Jill Larsen</w:t>
            </w:r>
          </w:p>
        </w:tc>
        <w:tc>
          <w:tcPr>
            <w:tcW w:w="1220" w:type="dxa"/>
            <w:vAlign w:val="bottom"/>
            <w:gridSpan w:val="2"/>
          </w:tcPr>
          <w:p>
            <w:pPr>
              <w:jc w:val="center"/>
              <w:ind w:left="871"/>
              <w:spacing w:after="0"/>
              <w:rPr>
                <w:sz w:val="20"/>
                <w:szCs w:val="20"/>
                <w:color w:val="auto"/>
              </w:rPr>
            </w:pPr>
            <w:r>
              <w:rPr>
                <w:rFonts w:ascii="Arial" w:cs="Arial" w:eastAsia="Arial" w:hAnsi="Arial"/>
                <w:sz w:val="18"/>
                <w:szCs w:val="18"/>
                <w:color w:val="auto"/>
                <w:w w:val="89"/>
              </w:rPr>
              <w:t>48</w:t>
            </w:r>
          </w:p>
        </w:tc>
        <w:tc>
          <w:tcPr>
            <w:tcW w:w="4200" w:type="dxa"/>
            <w:vAlign w:val="bottom"/>
            <w:gridSpan w:val="2"/>
          </w:tcPr>
          <w:p>
            <w:pPr>
              <w:ind w:left="540"/>
              <w:spacing w:after="0"/>
              <w:rPr>
                <w:sz w:val="20"/>
                <w:szCs w:val="20"/>
                <w:color w:val="auto"/>
              </w:rPr>
            </w:pPr>
            <w:r>
              <w:rPr>
                <w:rFonts w:ascii="Arial" w:cs="Arial" w:eastAsia="Arial" w:hAnsi="Arial"/>
                <w:sz w:val="18"/>
                <w:szCs w:val="18"/>
                <w:color w:val="auto"/>
              </w:rPr>
              <w:t>Director</w:t>
            </w:r>
          </w:p>
        </w:tc>
      </w:tr>
      <w:tr>
        <w:trPr>
          <w:trHeight w:val="230"/>
        </w:trPr>
        <w:tc>
          <w:tcPr>
            <w:tcW w:w="2440" w:type="dxa"/>
            <w:vAlign w:val="bottom"/>
            <w:gridSpan w:val="2"/>
          </w:tcPr>
          <w:p>
            <w:pPr>
              <w:spacing w:after="0"/>
              <w:rPr>
                <w:sz w:val="20"/>
                <w:szCs w:val="20"/>
                <w:color w:val="auto"/>
              </w:rPr>
            </w:pPr>
            <w:r>
              <w:rPr>
                <w:rFonts w:ascii="Arial" w:cs="Arial" w:eastAsia="Arial" w:hAnsi="Arial"/>
                <w:sz w:val="18"/>
                <w:szCs w:val="18"/>
                <w:color w:val="auto"/>
              </w:rPr>
              <w:t>Kathleen A. Winters</w:t>
            </w:r>
          </w:p>
        </w:tc>
        <w:tc>
          <w:tcPr>
            <w:tcW w:w="1220" w:type="dxa"/>
            <w:vAlign w:val="bottom"/>
            <w:gridSpan w:val="2"/>
          </w:tcPr>
          <w:p>
            <w:pPr>
              <w:jc w:val="center"/>
              <w:ind w:left="871"/>
              <w:spacing w:after="0"/>
              <w:rPr>
                <w:sz w:val="20"/>
                <w:szCs w:val="20"/>
                <w:color w:val="auto"/>
              </w:rPr>
            </w:pPr>
            <w:r>
              <w:rPr>
                <w:rFonts w:ascii="Arial" w:cs="Arial" w:eastAsia="Arial" w:hAnsi="Arial"/>
                <w:sz w:val="18"/>
                <w:szCs w:val="18"/>
                <w:color w:val="auto"/>
                <w:w w:val="89"/>
              </w:rPr>
              <w:t>54</w:t>
            </w:r>
          </w:p>
        </w:tc>
        <w:tc>
          <w:tcPr>
            <w:tcW w:w="4200" w:type="dxa"/>
            <w:vAlign w:val="bottom"/>
            <w:gridSpan w:val="2"/>
          </w:tcPr>
          <w:p>
            <w:pPr>
              <w:ind w:left="540"/>
              <w:spacing w:after="0"/>
              <w:rPr>
                <w:sz w:val="20"/>
                <w:szCs w:val="20"/>
                <w:color w:val="auto"/>
              </w:rPr>
            </w:pPr>
            <w:r>
              <w:rPr>
                <w:rFonts w:ascii="Arial" w:cs="Arial" w:eastAsia="Arial" w:hAnsi="Arial"/>
                <w:sz w:val="18"/>
                <w:szCs w:val="18"/>
                <w:color w:val="auto"/>
              </w:rPr>
              <w:t>Director</w:t>
            </w:r>
          </w:p>
        </w:tc>
      </w:tr>
    </w:tbl>
    <w:p>
      <w:pPr>
        <w:spacing w:after="0" w:line="306"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Our Executive Officers</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Jason Krantz</w:t>
      </w:r>
    </w:p>
    <w:p>
      <w:pPr>
        <w:spacing w:after="0" w:line="117" w:lineRule="exact"/>
        <w:rPr>
          <w:sz w:val="20"/>
          <w:szCs w:val="20"/>
          <w:color w:val="auto"/>
        </w:rPr>
      </w:pPr>
    </w:p>
    <w:p>
      <w:pPr>
        <w:ind w:left="560"/>
        <w:spacing w:after="0"/>
        <w:rPr>
          <w:sz w:val="20"/>
          <w:szCs w:val="20"/>
          <w:color w:val="auto"/>
        </w:rPr>
      </w:pPr>
      <w:r>
        <w:rPr>
          <w:rFonts w:ascii="Arial" w:cs="Arial" w:eastAsia="Arial" w:hAnsi="Arial"/>
          <w:sz w:val="18"/>
          <w:szCs w:val="18"/>
          <w:color w:val="auto"/>
        </w:rPr>
        <w:t>Mr. Krantz has served as the Company’s Chief Executive Officer since he founded the Company in February 2011.</w:t>
      </w:r>
    </w:p>
    <w:p>
      <w:pPr>
        <w:spacing w:after="0" w:line="225" w:lineRule="exact"/>
        <w:rPr>
          <w:sz w:val="20"/>
          <w:szCs w:val="20"/>
          <w:color w:val="auto"/>
        </w:rPr>
      </w:pPr>
    </w:p>
    <w:p>
      <w:pPr>
        <w:ind w:left="120" w:right="120" w:firstLine="440"/>
        <w:spacing w:after="0" w:line="273" w:lineRule="auto"/>
        <w:rPr>
          <w:sz w:val="20"/>
          <w:szCs w:val="20"/>
          <w:color w:val="auto"/>
        </w:rPr>
      </w:pPr>
      <w:r>
        <w:rPr>
          <w:rFonts w:ascii="Arial" w:cs="Arial" w:eastAsia="Arial" w:hAnsi="Arial"/>
          <w:sz w:val="17"/>
          <w:szCs w:val="17"/>
          <w:color w:val="auto"/>
        </w:rPr>
        <w:t>Prior to founding the Definitive Healthcare, Mr. Krantz founded and served as CEO of Infinata, a SaaS based provider of intelligence to the pharmaceutical industry under the brand BioPharm Insight, from 1999 to 2007 until the company was sold to Pearson Media Group. In addition, Mr. Krantz has co-founded and helped built several intelligence and analytics companies including Energy Acuity, a privately held provider of intelligence on the alternative energy market and Xtelligent Media, a privately held integrated marketing company focused on the healthcare industry. Mr. Krantz previously served on the board of directors of RainKing Solutions from 2015 until 2017. Mr. Krantz holds a B.S. in Finance and Computer Science from Boston College and an M.B.A. from Harvard Business School.</w:t>
      </w:r>
    </w:p>
    <w:p>
      <w:pPr>
        <w:spacing w:after="0" w:line="178" w:lineRule="exact"/>
        <w:rPr>
          <w:sz w:val="20"/>
          <w:szCs w:val="20"/>
          <w:color w:val="auto"/>
        </w:rPr>
      </w:pPr>
    </w:p>
    <w:p>
      <w:pPr>
        <w:ind w:left="120" w:right="540" w:firstLine="440"/>
        <w:spacing w:after="0" w:line="277" w:lineRule="auto"/>
        <w:rPr>
          <w:sz w:val="20"/>
          <w:szCs w:val="20"/>
          <w:color w:val="auto"/>
        </w:rPr>
      </w:pPr>
      <w:r>
        <w:rPr>
          <w:rFonts w:ascii="Arial" w:cs="Arial" w:eastAsia="Arial" w:hAnsi="Arial"/>
          <w:sz w:val="18"/>
          <w:szCs w:val="18"/>
          <w:color w:val="auto"/>
        </w:rPr>
        <w:t>We believe Mr. Krantz is qualified to serve on our board of directors because of his entrepreneurial experiences, finance and data analytics expertise as well as knowledge of the healthcare industry.</w:t>
      </w:r>
    </w:p>
    <w:p>
      <w:pPr>
        <w:spacing w:after="0" w:line="27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Richard Booth</w:t>
      </w:r>
    </w:p>
    <w:p>
      <w:pPr>
        <w:spacing w:after="0" w:line="117" w:lineRule="exact"/>
        <w:rPr>
          <w:sz w:val="20"/>
          <w:szCs w:val="20"/>
          <w:color w:val="auto"/>
        </w:rPr>
      </w:pPr>
    </w:p>
    <w:p>
      <w:pPr>
        <w:ind w:left="560"/>
        <w:spacing w:after="0"/>
        <w:rPr>
          <w:sz w:val="20"/>
          <w:szCs w:val="20"/>
          <w:color w:val="auto"/>
        </w:rPr>
      </w:pPr>
      <w:r>
        <w:rPr>
          <w:rFonts w:ascii="Arial" w:cs="Arial" w:eastAsia="Arial" w:hAnsi="Arial"/>
          <w:sz w:val="18"/>
          <w:szCs w:val="18"/>
          <w:color w:val="auto"/>
        </w:rPr>
        <w:t>Mr. Booth has served as the Company’s Chief Financial Officer since March 2021.</w:t>
      </w:r>
    </w:p>
    <w:p>
      <w:pPr>
        <w:spacing w:after="0" w:line="225" w:lineRule="exact"/>
        <w:rPr>
          <w:sz w:val="20"/>
          <w:szCs w:val="20"/>
          <w:color w:val="auto"/>
        </w:rPr>
      </w:pPr>
    </w:p>
    <w:p>
      <w:pPr>
        <w:ind w:left="120" w:firstLine="440"/>
        <w:spacing w:after="0" w:line="259" w:lineRule="auto"/>
        <w:rPr>
          <w:sz w:val="20"/>
          <w:szCs w:val="20"/>
          <w:color w:val="auto"/>
        </w:rPr>
      </w:pPr>
      <w:r>
        <w:rPr>
          <w:rFonts w:ascii="Arial" w:cs="Arial" w:eastAsia="Arial" w:hAnsi="Arial"/>
          <w:sz w:val="18"/>
          <w:szCs w:val="18"/>
          <w:color w:val="auto"/>
        </w:rPr>
        <w:t>Prior to joining the Company, Mr. Booth served as Chief Financial Officer of Bottomline Technologies, Inc. (“Bottomline”), a SaaS based business payment provider from April 2015 to March 2021, where he oversaw finance and information security. Before joining Bottomline, Mr. Booth was the VP of Finance and Corporate Controller of Sapient (since renamed Publicis Sapient), a publicly traded digital advertising firm. Prior to Sapient, Mr. Booth oversaw financial matters at Nuance Communications, a publicly traded software and</w:t>
      </w:r>
    </w:p>
    <w:p>
      <w:pPr>
        <w:spacing w:after="0" w:line="119" w:lineRule="exact"/>
        <w:rPr>
          <w:sz w:val="20"/>
          <w:szCs w:val="20"/>
          <w:color w:val="auto"/>
        </w:rPr>
      </w:pPr>
    </w:p>
    <w:p>
      <w:pPr>
        <w:jc w:val="center"/>
        <w:ind w:right="-419"/>
        <w:spacing w:after="0"/>
        <w:rPr>
          <w:sz w:val="20"/>
          <w:szCs w:val="20"/>
          <w:color w:val="auto"/>
        </w:rPr>
      </w:pPr>
      <w:r>
        <w:rPr>
          <w:rFonts w:ascii="Arial" w:cs="Arial" w:eastAsia="Arial" w:hAnsi="Arial"/>
          <w:sz w:val="18"/>
          <w:szCs w:val="18"/>
          <w:color w:val="auto"/>
        </w:rPr>
        <w:t>128</w:t>
      </w:r>
    </w:p>
    <w:p>
      <w:pPr>
        <w:sectPr>
          <w:pgSz w:w="11900" w:h="16838" w:orient="portrait"/>
          <w:cols w:equalWidth="0" w:num="1">
            <w:col w:w="11060"/>
          </w:cols>
          <w:pgMar w:left="320" w:top="459" w:right="519" w:bottom="1440" w:gutter="0" w:footer="0" w:header="0"/>
        </w:sectPr>
      </w:pPr>
    </w:p>
    <w:bookmarkStart w:id="135" w:name="page136"/>
    <w:bookmarkEnd w:id="1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Confidential Treatment Requested by Definitive Healthcare Corp.</w:t>
      </w:r>
    </w:p>
    <w:p>
      <w:pPr>
        <w:spacing w:after="0" w:line="27"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Pursuant to 17 C.F.R. Section 200.83</w:t>
      </w:r>
    </w:p>
    <w:p>
      <w:pPr>
        <w:spacing w:after="0" w:line="143" w:lineRule="exact"/>
        <w:rPr>
          <w:sz w:val="20"/>
          <w:szCs w:val="20"/>
          <w:color w:val="auto"/>
        </w:rPr>
      </w:pPr>
    </w:p>
    <w:p>
      <w:pPr>
        <w:ind w:left="120"/>
        <w:spacing w:after="0" w:line="342" w:lineRule="auto"/>
        <w:rPr>
          <w:sz w:val="20"/>
          <w:szCs w:val="20"/>
          <w:color w:val="auto"/>
        </w:rPr>
      </w:pPr>
      <w:r>
        <w:rPr>
          <w:rFonts w:ascii="Arial" w:cs="Arial" w:eastAsia="Arial" w:hAnsi="Arial"/>
          <w:sz w:val="16"/>
          <w:szCs w:val="16"/>
          <w:color w:val="auto"/>
        </w:rPr>
        <w:t>services firm, culminating in his role as VP of Business Financial Planning &amp; Analysis. Mr. Booth currently serves as a member of the Audit Committee of CRA International, Inc., a global consulting firm and on the board of directors of 33 Foundation, a community enrichment organization.</w:t>
      </w:r>
    </w:p>
    <w:p>
      <w:pPr>
        <w:spacing w:after="0" w:line="124" w:lineRule="exact"/>
        <w:rPr>
          <w:sz w:val="20"/>
          <w:szCs w:val="20"/>
          <w:color w:val="auto"/>
        </w:rPr>
      </w:pPr>
    </w:p>
    <w:p>
      <w:pPr>
        <w:ind w:left="120" w:right="60" w:firstLine="440"/>
        <w:spacing w:after="0" w:line="263" w:lineRule="auto"/>
        <w:rPr>
          <w:sz w:val="20"/>
          <w:szCs w:val="20"/>
          <w:color w:val="auto"/>
        </w:rPr>
      </w:pPr>
      <w:r>
        <w:rPr>
          <w:rFonts w:ascii="Arial" w:cs="Arial" w:eastAsia="Arial" w:hAnsi="Arial"/>
          <w:sz w:val="18"/>
          <w:szCs w:val="18"/>
          <w:color w:val="auto"/>
        </w:rPr>
        <w:t>Mr. Booth holds a B.S. in accounting with high honors from Penn State University, an M.S.O.D. from American University, an M.S. in taxation from Bentley College and an M.B.A. from Stanford University Graduate School of Business, where he was an Arjay Miller Scholar. Mr. Booth is also a licensed CPA.</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David Samuels</w:t>
      </w:r>
    </w:p>
    <w:p>
      <w:pPr>
        <w:spacing w:after="0" w:line="117" w:lineRule="exact"/>
        <w:rPr>
          <w:sz w:val="20"/>
          <w:szCs w:val="20"/>
          <w:color w:val="auto"/>
        </w:rPr>
      </w:pPr>
    </w:p>
    <w:p>
      <w:pPr>
        <w:ind w:left="560"/>
        <w:spacing w:after="0"/>
        <w:rPr>
          <w:sz w:val="20"/>
          <w:szCs w:val="20"/>
          <w:color w:val="auto"/>
        </w:rPr>
      </w:pPr>
      <w:r>
        <w:rPr>
          <w:rFonts w:ascii="Arial" w:cs="Arial" w:eastAsia="Arial" w:hAnsi="Arial"/>
          <w:sz w:val="18"/>
          <w:szCs w:val="18"/>
          <w:color w:val="auto"/>
        </w:rPr>
        <w:t>Mr. Samuels has served as the Company’s Chief Legal Officer since February 2021.</w:t>
      </w:r>
    </w:p>
    <w:p>
      <w:pPr>
        <w:spacing w:after="0" w:line="225" w:lineRule="exact"/>
        <w:rPr>
          <w:sz w:val="20"/>
          <w:szCs w:val="20"/>
          <w:color w:val="auto"/>
        </w:rPr>
      </w:pPr>
    </w:p>
    <w:p>
      <w:pPr>
        <w:ind w:left="120" w:right="20" w:firstLine="440"/>
        <w:spacing w:after="0" w:line="269" w:lineRule="auto"/>
        <w:rPr>
          <w:sz w:val="20"/>
          <w:szCs w:val="20"/>
          <w:color w:val="auto"/>
        </w:rPr>
      </w:pPr>
      <w:r>
        <w:rPr>
          <w:rFonts w:ascii="Arial" w:cs="Arial" w:eastAsia="Arial" w:hAnsi="Arial"/>
          <w:sz w:val="17"/>
          <w:szCs w:val="17"/>
          <w:color w:val="auto"/>
        </w:rPr>
        <w:t>Prior to joining the Company, Mr. Samuels served as Chief Executive Officer of ReferralMob, Inc., (“Referral Mob”) a software-driven, peer-to-peer job referral staffing service from July 2015 to November 2019. At Referral Mob, Mr. Samuels was responsible for overseeing all operations generally. Prior to joining Referral Mob, Mr. Samuels served as Chief Strategy Officer of Interactions Corporation (“Interactions”), an A.I. service delivering electronic customer care services. Prior to Interactions, he served for seven years as General Counsel of EnerNOC, Inc. (“EnerNOC” and since renamed Enel X North America), a provider of energy intelligence and demand response software, where he led its initial public offering and held various additional roles including EVP Corporate Development, Secretary and Chairman of the Board of Strategic Advisors. At EnerNOC, Mr. Samuels led multiple departments, including legal, corporate development, compliance and governance. Earlier in his career, Mr. Samuels served as General Counsel and Vice president of Corporate Development of publicly traded digital agency International Integration, Inc. (ICUB) and led its merger negotiations with Razorfish. Mr. Samuels served on the board of directors of ReferralMob from 2015 to 2019, Magnus Textile LLC from 2017 to 2018 and ANSWR from 2014 until 2017, each a private company.</w:t>
      </w:r>
    </w:p>
    <w:p>
      <w:pPr>
        <w:spacing w:after="0" w:line="185" w:lineRule="exact"/>
        <w:rPr>
          <w:sz w:val="20"/>
          <w:szCs w:val="20"/>
          <w:color w:val="auto"/>
        </w:rPr>
      </w:pPr>
    </w:p>
    <w:p>
      <w:pPr>
        <w:ind w:left="560"/>
        <w:spacing w:after="0"/>
        <w:rPr>
          <w:sz w:val="20"/>
          <w:szCs w:val="20"/>
          <w:color w:val="auto"/>
        </w:rPr>
      </w:pPr>
      <w:r>
        <w:rPr>
          <w:rFonts w:ascii="Arial" w:cs="Arial" w:eastAsia="Arial" w:hAnsi="Arial"/>
          <w:sz w:val="18"/>
          <w:szCs w:val="18"/>
          <w:color w:val="auto"/>
        </w:rPr>
        <w:t>Mr. Samuels holds a B.A. from Brandeis University and a J.D. from Northeastern University School of Law.</w:t>
      </w:r>
    </w:p>
    <w:p>
      <w:pPr>
        <w:spacing w:after="0" w:line="333"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Joseph Mirisola</w:t>
      </w:r>
    </w:p>
    <w:p>
      <w:pPr>
        <w:spacing w:after="0" w:line="117" w:lineRule="exact"/>
        <w:rPr>
          <w:sz w:val="20"/>
          <w:szCs w:val="20"/>
          <w:color w:val="auto"/>
        </w:rPr>
      </w:pPr>
    </w:p>
    <w:p>
      <w:pPr>
        <w:ind w:left="560"/>
        <w:spacing w:after="0"/>
        <w:rPr>
          <w:sz w:val="20"/>
          <w:szCs w:val="20"/>
          <w:color w:val="auto"/>
        </w:rPr>
      </w:pPr>
      <w:r>
        <w:rPr>
          <w:rFonts w:ascii="Arial" w:cs="Arial" w:eastAsia="Arial" w:hAnsi="Arial"/>
          <w:sz w:val="18"/>
          <w:szCs w:val="18"/>
          <w:color w:val="auto"/>
        </w:rPr>
        <w:t>Mr. Mirisola has served as the Company’s Chief Revenue Officer since January 2020.</w:t>
      </w:r>
    </w:p>
    <w:p>
      <w:pPr>
        <w:spacing w:after="0" w:line="225" w:lineRule="exact"/>
        <w:rPr>
          <w:sz w:val="20"/>
          <w:szCs w:val="20"/>
          <w:color w:val="auto"/>
        </w:rPr>
      </w:pPr>
    </w:p>
    <w:p>
      <w:pPr>
        <w:ind w:left="120" w:right="60" w:firstLine="440"/>
        <w:spacing w:after="0" w:line="259" w:lineRule="auto"/>
        <w:rPr>
          <w:sz w:val="20"/>
          <w:szCs w:val="20"/>
          <w:color w:val="auto"/>
        </w:rPr>
      </w:pPr>
      <w:r>
        <w:rPr>
          <w:rFonts w:ascii="Arial" w:cs="Arial" w:eastAsia="Arial" w:hAnsi="Arial"/>
          <w:sz w:val="18"/>
          <w:szCs w:val="18"/>
          <w:color w:val="auto"/>
        </w:rPr>
        <w:t>Prior to becoming Chief Revenue Officer, Mr. Mirisola served as the Company’s SVP of Sales and Revenue from January 2018 to December 2019, Vice President of Sales from January 2013 to December 2017 and the Director of Business Development from April 2011 to December 2012. Before Mr. Mirisola joined the Company, he held positions as a mortgage banker from 2005 to 2007 and then was a partner at Universal Home Lending Corp and Universal Unsecured Lending Corp until 2010.</w:t>
      </w:r>
    </w:p>
    <w:p>
      <w:pPr>
        <w:spacing w:after="0" w:line="187" w:lineRule="exact"/>
        <w:rPr>
          <w:sz w:val="20"/>
          <w:szCs w:val="20"/>
          <w:color w:val="auto"/>
        </w:rPr>
      </w:pPr>
    </w:p>
    <w:p>
      <w:pPr>
        <w:ind w:left="560"/>
        <w:spacing w:after="0"/>
        <w:rPr>
          <w:sz w:val="20"/>
          <w:szCs w:val="20"/>
          <w:color w:val="auto"/>
        </w:rPr>
      </w:pPr>
      <w:r>
        <w:rPr>
          <w:rFonts w:ascii="Arial" w:cs="Arial" w:eastAsia="Arial" w:hAnsi="Arial"/>
          <w:sz w:val="18"/>
          <w:szCs w:val="18"/>
          <w:color w:val="auto"/>
        </w:rPr>
        <w:t>Mr. Mirisola attended the University of Massachusetts Dartmouth.</w:t>
      </w:r>
    </w:p>
    <w:p>
      <w:pPr>
        <w:spacing w:after="0" w:line="333"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Kate Shamsuddin</w:t>
      </w:r>
    </w:p>
    <w:p>
      <w:pPr>
        <w:spacing w:after="0" w:line="117" w:lineRule="exact"/>
        <w:rPr>
          <w:sz w:val="20"/>
          <w:szCs w:val="20"/>
          <w:color w:val="auto"/>
        </w:rPr>
      </w:pPr>
    </w:p>
    <w:p>
      <w:pPr>
        <w:ind w:left="560"/>
        <w:spacing w:after="0"/>
        <w:rPr>
          <w:sz w:val="20"/>
          <w:szCs w:val="20"/>
          <w:color w:val="auto"/>
        </w:rPr>
      </w:pPr>
      <w:r>
        <w:rPr>
          <w:rFonts w:ascii="Arial" w:cs="Arial" w:eastAsia="Arial" w:hAnsi="Arial"/>
          <w:sz w:val="18"/>
          <w:szCs w:val="18"/>
          <w:color w:val="auto"/>
        </w:rPr>
        <w:t>Ms. Shamsuddin has served as the Company’s Chief Product Officer since January 2020.</w:t>
      </w:r>
    </w:p>
    <w:p>
      <w:pPr>
        <w:spacing w:after="0" w:line="225" w:lineRule="exact"/>
        <w:rPr>
          <w:sz w:val="20"/>
          <w:szCs w:val="20"/>
          <w:color w:val="auto"/>
        </w:rPr>
      </w:pPr>
    </w:p>
    <w:p>
      <w:pPr>
        <w:ind w:left="120" w:firstLine="440"/>
        <w:spacing w:after="0" w:line="275" w:lineRule="auto"/>
        <w:rPr>
          <w:sz w:val="20"/>
          <w:szCs w:val="20"/>
          <w:color w:val="auto"/>
        </w:rPr>
      </w:pPr>
      <w:r>
        <w:rPr>
          <w:rFonts w:ascii="Arial" w:cs="Arial" w:eastAsia="Arial" w:hAnsi="Arial"/>
          <w:sz w:val="17"/>
          <w:szCs w:val="17"/>
          <w:color w:val="auto"/>
        </w:rPr>
        <w:t>Prior to being the Company’s Chief Product Officer, Ms. Shamsuddin served as Senior Vice President of Strategy from January 2018 to December 2019, Vice President of Strategy from September 2016 to December 2017 and Director of Product Strategy from February 2015 to September 2016. Prior to joining the Company, Mrs. Shamsuddin worked in strategic services at Blue Cross Blue Shield Association (“BCBSA”), a national association of 35 independent, community-based, and locally operated Blue Cross Blue Shield companies. At BCBSA, Mrs. Shamsuddin developed strategic initiatives and products to use across all of the Blue Cross Blue Shield companies.</w:t>
      </w:r>
    </w:p>
    <w:p>
      <w:pPr>
        <w:spacing w:after="0" w:line="109" w:lineRule="exact"/>
        <w:rPr>
          <w:sz w:val="20"/>
          <w:szCs w:val="20"/>
          <w:color w:val="auto"/>
        </w:rPr>
      </w:pPr>
    </w:p>
    <w:p>
      <w:pPr>
        <w:jc w:val="center"/>
        <w:ind w:right="-379"/>
        <w:spacing w:after="0"/>
        <w:rPr>
          <w:sz w:val="20"/>
          <w:szCs w:val="20"/>
          <w:color w:val="auto"/>
        </w:rPr>
      </w:pPr>
      <w:r>
        <w:rPr>
          <w:rFonts w:ascii="Arial" w:cs="Arial" w:eastAsia="Arial" w:hAnsi="Arial"/>
          <w:sz w:val="18"/>
          <w:szCs w:val="18"/>
          <w:color w:val="auto"/>
        </w:rPr>
        <w:t>129</w:t>
      </w:r>
    </w:p>
    <w:p>
      <w:pPr>
        <w:sectPr>
          <w:pgSz w:w="11900" w:h="16838" w:orient="portrait"/>
          <w:cols w:equalWidth="0" w:num="1">
            <w:col w:w="11100"/>
          </w:cols>
          <w:pgMar w:left="320" w:top="459" w:right="479" w:bottom="1440" w:gutter="0" w:footer="0" w:header="0"/>
        </w:sectPr>
      </w:pPr>
    </w:p>
    <w:bookmarkStart w:id="136" w:name="page137"/>
    <w:bookmarkEnd w:id="1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Confidential Treatment Requested by Definitive Healthcare Corp.</w:t>
      </w:r>
    </w:p>
    <w:p>
      <w:pPr>
        <w:spacing w:after="0" w:line="27"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Pursuant to 17 C.F.R. Section 200.83</w:t>
      </w:r>
    </w:p>
    <w:p>
      <w:pPr>
        <w:spacing w:after="0" w:line="143" w:lineRule="exact"/>
        <w:rPr>
          <w:sz w:val="20"/>
          <w:szCs w:val="20"/>
          <w:color w:val="auto"/>
        </w:rPr>
      </w:pPr>
    </w:p>
    <w:p>
      <w:pPr>
        <w:ind w:left="120" w:right="180" w:firstLine="440"/>
        <w:spacing w:after="0" w:line="277" w:lineRule="auto"/>
        <w:rPr>
          <w:sz w:val="20"/>
          <w:szCs w:val="20"/>
          <w:color w:val="auto"/>
        </w:rPr>
      </w:pPr>
      <w:r>
        <w:rPr>
          <w:rFonts w:ascii="Arial" w:cs="Arial" w:eastAsia="Arial" w:hAnsi="Arial"/>
          <w:sz w:val="18"/>
          <w:szCs w:val="18"/>
          <w:color w:val="auto"/>
        </w:rPr>
        <w:t>Ms. Shamsuddin holds a B.A. in Anthropology and Global Health from Emory University and an M.S. in Health Policy and Management from Harvard University School of Public Health.</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Our Directors</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Chris Mitchell</w:t>
      </w:r>
    </w:p>
    <w:p>
      <w:pPr>
        <w:spacing w:after="0" w:line="117" w:lineRule="exact"/>
        <w:rPr>
          <w:sz w:val="20"/>
          <w:szCs w:val="20"/>
          <w:color w:val="auto"/>
        </w:rPr>
      </w:pPr>
    </w:p>
    <w:p>
      <w:pPr>
        <w:ind w:left="560"/>
        <w:spacing w:after="0"/>
        <w:rPr>
          <w:sz w:val="20"/>
          <w:szCs w:val="20"/>
          <w:color w:val="auto"/>
        </w:rPr>
      </w:pPr>
      <w:r>
        <w:rPr>
          <w:rFonts w:ascii="Arial" w:cs="Arial" w:eastAsia="Arial" w:hAnsi="Arial"/>
          <w:sz w:val="18"/>
          <w:szCs w:val="18"/>
          <w:color w:val="auto"/>
        </w:rPr>
        <w:t>Mr. Mitchell has served as a member of the board of directors of the Company since February 2015.</w:t>
      </w:r>
    </w:p>
    <w:p>
      <w:pPr>
        <w:spacing w:after="0" w:line="225" w:lineRule="exact"/>
        <w:rPr>
          <w:sz w:val="20"/>
          <w:szCs w:val="20"/>
          <w:color w:val="auto"/>
        </w:rPr>
      </w:pPr>
    </w:p>
    <w:p>
      <w:pPr>
        <w:ind w:left="120" w:right="80" w:firstLine="440"/>
        <w:spacing w:after="0" w:line="273" w:lineRule="auto"/>
        <w:rPr>
          <w:sz w:val="20"/>
          <w:szCs w:val="20"/>
          <w:color w:val="auto"/>
        </w:rPr>
      </w:pPr>
      <w:r>
        <w:rPr>
          <w:rFonts w:ascii="Arial" w:cs="Arial" w:eastAsia="Arial" w:hAnsi="Arial"/>
          <w:sz w:val="17"/>
          <w:szCs w:val="17"/>
          <w:color w:val="auto"/>
        </w:rPr>
        <w:t>Mr. Mitchell is a Managing Director at Spectrum Equity (“Spectrum”), which he joined in 2001. Prior to Spectrum, Mr. Mitchell worked as a principal at Monitor Clipper Partners, a middle-market private equity firm, and as an associate at TA Associates, a global growth private equity firm. Mr. Mitchell currently serves on the board of directors of the privately held Extreme Reach, Tenstreet, and Varicent Software. Previously, Mr. Mitchell has served on the board of directors of a range of private companies in the data analytics and information services industries, including Business Monitor, EagleView, Ethoca, ITA Software, Seisint, Trintech, Verafin, and World-Check, as well as public companies including Bats Global Markets, Cboe Global Markets, and RiskMetrics. Mr. Mitchell holds a B.A. in Classics from Princeton University.</w:t>
      </w:r>
    </w:p>
    <w:p>
      <w:pPr>
        <w:spacing w:after="0" w:line="178" w:lineRule="exact"/>
        <w:rPr>
          <w:sz w:val="20"/>
          <w:szCs w:val="20"/>
          <w:color w:val="auto"/>
        </w:rPr>
      </w:pPr>
    </w:p>
    <w:p>
      <w:pPr>
        <w:ind w:left="120" w:right="340" w:firstLine="440"/>
        <w:spacing w:after="0" w:line="277" w:lineRule="auto"/>
        <w:rPr>
          <w:sz w:val="20"/>
          <w:szCs w:val="20"/>
          <w:color w:val="auto"/>
        </w:rPr>
      </w:pPr>
      <w:r>
        <w:rPr>
          <w:rFonts w:ascii="Arial" w:cs="Arial" w:eastAsia="Arial" w:hAnsi="Arial"/>
          <w:sz w:val="18"/>
          <w:szCs w:val="18"/>
          <w:color w:val="auto"/>
        </w:rPr>
        <w:t>We believe Mr. Mitchell is qualified to serve on our board of directors because of his expertise in finance and investment and his service as a director of a broad range of companies in the data analytics and information services industries.</w:t>
      </w:r>
    </w:p>
    <w:p>
      <w:pPr>
        <w:spacing w:after="0" w:line="27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Jeff Haywood</w:t>
      </w:r>
    </w:p>
    <w:p>
      <w:pPr>
        <w:spacing w:after="0" w:line="117" w:lineRule="exact"/>
        <w:rPr>
          <w:sz w:val="20"/>
          <w:szCs w:val="20"/>
          <w:color w:val="auto"/>
        </w:rPr>
      </w:pPr>
    </w:p>
    <w:p>
      <w:pPr>
        <w:ind w:left="560"/>
        <w:spacing w:after="0"/>
        <w:rPr>
          <w:sz w:val="20"/>
          <w:szCs w:val="20"/>
          <w:color w:val="auto"/>
        </w:rPr>
      </w:pPr>
      <w:r>
        <w:rPr>
          <w:rFonts w:ascii="Arial" w:cs="Arial" w:eastAsia="Arial" w:hAnsi="Arial"/>
          <w:sz w:val="18"/>
          <w:szCs w:val="18"/>
          <w:color w:val="auto"/>
        </w:rPr>
        <w:t>Mr. Haywood has served as a member of the board of directors of the Company since February 2015.</w:t>
      </w:r>
    </w:p>
    <w:p>
      <w:pPr>
        <w:spacing w:after="0" w:line="225" w:lineRule="exact"/>
        <w:rPr>
          <w:sz w:val="20"/>
          <w:szCs w:val="20"/>
          <w:color w:val="auto"/>
        </w:rPr>
      </w:pPr>
    </w:p>
    <w:p>
      <w:pPr>
        <w:ind w:left="120" w:right="20" w:firstLine="440"/>
        <w:spacing w:after="0" w:line="293" w:lineRule="auto"/>
        <w:rPr>
          <w:sz w:val="20"/>
          <w:szCs w:val="20"/>
          <w:color w:val="auto"/>
        </w:rPr>
      </w:pPr>
      <w:r>
        <w:rPr>
          <w:rFonts w:ascii="Arial" w:cs="Arial" w:eastAsia="Arial" w:hAnsi="Arial"/>
          <w:sz w:val="16"/>
          <w:szCs w:val="16"/>
          <w:color w:val="auto"/>
        </w:rPr>
        <w:t>Mr. Haywood is a Managing Director at Spectrum, which he joined in February 2007. Prior to Spectrum, Mr. Haywood served as an associate at Thoma Cressey Equity Partners (since renamed Thoma Bravo LP), an American private equity and growth capital firm, and as an analyst at Goldman Sachs. Mr. Haywood also currently serves on the board of directors of the privately held RxVantage, Datassential, and Payer Compass. Mr. Haywood also currently serves as a Board Observer at Everlywell. Previously, Mr. Haywood has served on the board of directors of a range of private companies such as PWNHealth, Net Health, RainKing Software, Verisys and HealthMEDX. In addition, Mr. Haywood has previously served as Board Observer at MedHOK and Passport Health Communications. Mr. Haywood holds a B.A. in Political Science and History from Duke University.</w:t>
      </w:r>
    </w:p>
    <w:p>
      <w:pPr>
        <w:spacing w:after="0" w:line="164" w:lineRule="exact"/>
        <w:rPr>
          <w:sz w:val="20"/>
          <w:szCs w:val="20"/>
          <w:color w:val="auto"/>
        </w:rPr>
      </w:pPr>
    </w:p>
    <w:p>
      <w:pPr>
        <w:ind w:left="120" w:right="560" w:firstLine="440"/>
        <w:spacing w:after="0" w:line="277" w:lineRule="auto"/>
        <w:rPr>
          <w:sz w:val="20"/>
          <w:szCs w:val="20"/>
          <w:color w:val="auto"/>
        </w:rPr>
      </w:pPr>
      <w:r>
        <w:rPr>
          <w:rFonts w:ascii="Arial" w:cs="Arial" w:eastAsia="Arial" w:hAnsi="Arial"/>
          <w:sz w:val="18"/>
          <w:szCs w:val="18"/>
          <w:color w:val="auto"/>
        </w:rPr>
        <w:t>We believe Mr. Haywood is qualified to serve on our board of directors because of his extensive knowledge of the healthcare industry, his expertise in finance and investment and his service as director of healthcare analytics companies.</w:t>
      </w:r>
    </w:p>
    <w:p>
      <w:pPr>
        <w:spacing w:after="0" w:line="27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Lauren Young</w:t>
      </w:r>
    </w:p>
    <w:p>
      <w:pPr>
        <w:spacing w:after="0" w:line="117" w:lineRule="exact"/>
        <w:rPr>
          <w:sz w:val="20"/>
          <w:szCs w:val="20"/>
          <w:color w:val="auto"/>
        </w:rPr>
      </w:pPr>
    </w:p>
    <w:p>
      <w:pPr>
        <w:ind w:left="560"/>
        <w:spacing w:after="0"/>
        <w:rPr>
          <w:sz w:val="20"/>
          <w:szCs w:val="20"/>
          <w:color w:val="auto"/>
        </w:rPr>
      </w:pPr>
      <w:r>
        <w:rPr>
          <w:rFonts w:ascii="Arial" w:cs="Arial" w:eastAsia="Arial" w:hAnsi="Arial"/>
          <w:sz w:val="18"/>
          <w:szCs w:val="18"/>
          <w:color w:val="auto"/>
        </w:rPr>
        <w:t>Ms. Young has served as a member of the board of directors of the Company since July 2019.</w:t>
      </w:r>
    </w:p>
    <w:p>
      <w:pPr>
        <w:spacing w:after="0" w:line="225" w:lineRule="exact"/>
        <w:rPr>
          <w:sz w:val="20"/>
          <w:szCs w:val="20"/>
          <w:color w:val="auto"/>
        </w:rPr>
      </w:pPr>
    </w:p>
    <w:p>
      <w:pPr>
        <w:ind w:left="120" w:firstLine="440"/>
        <w:spacing w:after="0" w:line="293" w:lineRule="auto"/>
        <w:rPr>
          <w:sz w:val="20"/>
          <w:szCs w:val="20"/>
          <w:color w:val="auto"/>
        </w:rPr>
      </w:pPr>
      <w:r>
        <w:rPr>
          <w:rFonts w:ascii="Arial" w:cs="Arial" w:eastAsia="Arial" w:hAnsi="Arial"/>
          <w:sz w:val="16"/>
          <w:szCs w:val="16"/>
          <w:color w:val="auto"/>
        </w:rPr>
        <w:t>Ms. Young is a Managing Director of Advent International Corporation, a private equity firm that focuses on investments in five core sectors: business and financial services; healthcare; industrial; retail, consumer and leisure; and technology. Ms. Young joined the firm in 2011. Prior to Advent, Ms. Young was a member of the US buyout fund at The Carlyle Group, an American multinational private equity, alternative asset management and financial services corporation, from 2006 to 2009 and served as an analyst at McColl partners from 2004 to 2006. Ms. Young also currently serves on the board of directors of Forescout Technologies and P2 Energy Solutions. Additionally, Ms. Young serves on the board of directors of CCC Intelligent Solutions Holdings Inc., a public company. Ms. Young holds a B.A. from Davidson College and an M.B.A. from the Harvard Business School.</w:t>
      </w:r>
    </w:p>
    <w:p>
      <w:pPr>
        <w:spacing w:after="0" w:line="97" w:lineRule="exact"/>
        <w:rPr>
          <w:sz w:val="20"/>
          <w:szCs w:val="20"/>
          <w:color w:val="auto"/>
        </w:rPr>
      </w:pPr>
    </w:p>
    <w:p>
      <w:pPr>
        <w:jc w:val="center"/>
        <w:ind w:right="-439"/>
        <w:spacing w:after="0"/>
        <w:rPr>
          <w:sz w:val="20"/>
          <w:szCs w:val="20"/>
          <w:color w:val="auto"/>
        </w:rPr>
      </w:pPr>
      <w:r>
        <w:rPr>
          <w:rFonts w:ascii="Arial" w:cs="Arial" w:eastAsia="Arial" w:hAnsi="Arial"/>
          <w:sz w:val="18"/>
          <w:szCs w:val="18"/>
          <w:color w:val="auto"/>
        </w:rPr>
        <w:t>130</w:t>
      </w:r>
    </w:p>
    <w:p>
      <w:pPr>
        <w:sectPr>
          <w:pgSz w:w="11900" w:h="16838" w:orient="portrait"/>
          <w:cols w:equalWidth="0" w:num="1">
            <w:col w:w="11040"/>
          </w:cols>
          <w:pgMar w:left="320" w:top="459" w:right="539" w:bottom="1440" w:gutter="0" w:footer="0" w:header="0"/>
        </w:sectPr>
      </w:pPr>
    </w:p>
    <w:bookmarkStart w:id="137" w:name="page138"/>
    <w:bookmarkEnd w:id="1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Confidential Treatment Requested by Definitive Healthcare Corp.</w:t>
      </w:r>
    </w:p>
    <w:p>
      <w:pPr>
        <w:spacing w:after="0" w:line="27"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Pursuant to 17 C.F.R. Section 200.83</w:t>
      </w:r>
    </w:p>
    <w:p>
      <w:pPr>
        <w:spacing w:after="0" w:line="143" w:lineRule="exact"/>
        <w:rPr>
          <w:sz w:val="20"/>
          <w:szCs w:val="20"/>
          <w:color w:val="auto"/>
        </w:rPr>
      </w:pPr>
    </w:p>
    <w:p>
      <w:pPr>
        <w:ind w:left="120" w:right="80" w:firstLine="440"/>
        <w:spacing w:after="0" w:line="277" w:lineRule="auto"/>
        <w:rPr>
          <w:sz w:val="20"/>
          <w:szCs w:val="20"/>
          <w:color w:val="auto"/>
        </w:rPr>
      </w:pPr>
      <w:r>
        <w:rPr>
          <w:rFonts w:ascii="Arial" w:cs="Arial" w:eastAsia="Arial" w:hAnsi="Arial"/>
          <w:sz w:val="18"/>
          <w:szCs w:val="18"/>
          <w:color w:val="auto"/>
        </w:rPr>
        <w:t>We believe Ms. Young is qualified to serve on our board of directors because of her financial knowledge, investment experience across industries and her service as director of other software solutions companies.</w:t>
      </w:r>
    </w:p>
    <w:p>
      <w:pPr>
        <w:spacing w:after="0" w:line="27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Chris Egan</w:t>
      </w:r>
    </w:p>
    <w:p>
      <w:pPr>
        <w:spacing w:after="0" w:line="117" w:lineRule="exact"/>
        <w:rPr>
          <w:sz w:val="20"/>
          <w:szCs w:val="20"/>
          <w:color w:val="auto"/>
        </w:rPr>
      </w:pPr>
    </w:p>
    <w:p>
      <w:pPr>
        <w:ind w:left="560"/>
        <w:spacing w:after="0"/>
        <w:rPr>
          <w:sz w:val="20"/>
          <w:szCs w:val="20"/>
          <w:color w:val="auto"/>
        </w:rPr>
      </w:pPr>
      <w:r>
        <w:rPr>
          <w:rFonts w:ascii="Arial" w:cs="Arial" w:eastAsia="Arial" w:hAnsi="Arial"/>
          <w:sz w:val="18"/>
          <w:szCs w:val="18"/>
          <w:color w:val="auto"/>
        </w:rPr>
        <w:t>Mr. Egan has served as a member of the board of directors of the Company since July 2019.</w:t>
      </w:r>
    </w:p>
    <w:p>
      <w:pPr>
        <w:spacing w:after="0" w:line="225" w:lineRule="exact"/>
        <w:rPr>
          <w:sz w:val="20"/>
          <w:szCs w:val="20"/>
          <w:color w:val="auto"/>
        </w:rPr>
      </w:pPr>
    </w:p>
    <w:p>
      <w:pPr>
        <w:ind w:left="120" w:firstLine="440"/>
        <w:spacing w:after="0" w:line="279" w:lineRule="auto"/>
        <w:rPr>
          <w:sz w:val="20"/>
          <w:szCs w:val="20"/>
          <w:color w:val="auto"/>
        </w:rPr>
      </w:pPr>
      <w:r>
        <w:rPr>
          <w:rFonts w:ascii="Arial" w:cs="Arial" w:eastAsia="Arial" w:hAnsi="Arial"/>
          <w:sz w:val="17"/>
          <w:szCs w:val="17"/>
          <w:color w:val="auto"/>
        </w:rPr>
        <w:t>Mr. Egan is a Managing Partner of Advent International Corporation, which he joined in 2000. Prior to Advent, Mr. Egan served as an analyst at UBS, a Swiss multinational investment bank and financial services company. Mr. Egan currently serves or has served on the board of directors of Ansira Holdings, NielsenIQ and Prisma Medios de Pagos S.A., each a private company. Additionally, Mr. Egan serves on the board of directors of CCC Intelligent Solutions Holdings Inc., a public company. Mr. Egan holds a B.A. in English and Economics from Dartmouth College.</w:t>
      </w:r>
    </w:p>
    <w:p>
      <w:pPr>
        <w:spacing w:after="0" w:line="171" w:lineRule="exact"/>
        <w:rPr>
          <w:sz w:val="20"/>
          <w:szCs w:val="20"/>
          <w:color w:val="auto"/>
        </w:rPr>
      </w:pPr>
    </w:p>
    <w:p>
      <w:pPr>
        <w:ind w:left="120" w:right="160" w:firstLine="440"/>
        <w:spacing w:after="0" w:line="277" w:lineRule="auto"/>
        <w:rPr>
          <w:sz w:val="20"/>
          <w:szCs w:val="20"/>
          <w:color w:val="auto"/>
        </w:rPr>
      </w:pPr>
      <w:r>
        <w:rPr>
          <w:rFonts w:ascii="Arial" w:cs="Arial" w:eastAsia="Arial" w:hAnsi="Arial"/>
          <w:sz w:val="18"/>
          <w:szCs w:val="18"/>
          <w:color w:val="auto"/>
        </w:rPr>
        <w:t>We believe Mr. Egan is qualified to serve on our board of directors because of his financial knowledge, investment experience and his service as director of other software solutions companies.</w:t>
      </w:r>
    </w:p>
    <w:p>
      <w:pPr>
        <w:spacing w:after="0" w:line="27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D. Randall Winn</w:t>
      </w:r>
    </w:p>
    <w:p>
      <w:pPr>
        <w:spacing w:after="0" w:line="117" w:lineRule="exact"/>
        <w:rPr>
          <w:sz w:val="20"/>
          <w:szCs w:val="20"/>
          <w:color w:val="auto"/>
        </w:rPr>
      </w:pPr>
    </w:p>
    <w:p>
      <w:pPr>
        <w:ind w:left="560"/>
        <w:spacing w:after="0"/>
        <w:rPr>
          <w:sz w:val="20"/>
          <w:szCs w:val="20"/>
          <w:color w:val="auto"/>
        </w:rPr>
      </w:pPr>
      <w:r>
        <w:rPr>
          <w:rFonts w:ascii="Arial" w:cs="Arial" w:eastAsia="Arial" w:hAnsi="Arial"/>
          <w:sz w:val="18"/>
          <w:szCs w:val="18"/>
          <w:color w:val="auto"/>
        </w:rPr>
        <w:t>Mr. Winn has served as a member of the board of directors of the Company since September 2019.</w:t>
      </w:r>
    </w:p>
    <w:p>
      <w:pPr>
        <w:spacing w:after="0" w:line="225" w:lineRule="exact"/>
        <w:rPr>
          <w:sz w:val="20"/>
          <w:szCs w:val="20"/>
          <w:color w:val="auto"/>
        </w:rPr>
      </w:pPr>
    </w:p>
    <w:p>
      <w:pPr>
        <w:ind w:left="120" w:right="40" w:firstLine="440"/>
        <w:spacing w:after="0" w:line="291" w:lineRule="auto"/>
        <w:rPr>
          <w:sz w:val="20"/>
          <w:szCs w:val="20"/>
          <w:color w:val="auto"/>
        </w:rPr>
      </w:pPr>
      <w:r>
        <w:rPr>
          <w:rFonts w:ascii="Arial" w:cs="Arial" w:eastAsia="Arial" w:hAnsi="Arial"/>
          <w:sz w:val="16"/>
          <w:szCs w:val="16"/>
          <w:color w:val="auto"/>
        </w:rPr>
        <w:t>Mr. Winn currently serves as a Managing Member of 22C Capital, a private investment firm and an affiliate of the Company, which he founded in 2017 and also serves as Managing Member of FiveW Capital LLC, a private investment firm. Mr. Winn has also served as a member of the board of directors of ZoomInfo Technologies Inc., which competes with Definitive Healthcare Corp. in some areas since February 2020 and served as a member of the Board of Managers of ZoomInfo Holdings LLC from 2014 to June 2020. Mr. Winn also currently serves on the boards of private companies, including Canoe Software and has served on the boards of Dealogic, Viteos Fund Services, Merit Software, and eMarketer, each a private company. Prior to founding 22C Capital, Mr. Winn was a co-founder of, and Co-Managing Partner and ultimately Executive Managing Director/CEO of, Capital IQ from 1999 to 2011. Mr. Winn holds an A.B. from the Woodrow Wilson School of Public and International Affairs at Princeton University.</w:t>
      </w:r>
    </w:p>
    <w:p>
      <w:pPr>
        <w:spacing w:after="0" w:line="166" w:lineRule="exact"/>
        <w:rPr>
          <w:sz w:val="20"/>
          <w:szCs w:val="20"/>
          <w:color w:val="auto"/>
        </w:rPr>
      </w:pPr>
    </w:p>
    <w:p>
      <w:pPr>
        <w:ind w:left="120" w:right="140" w:firstLine="440"/>
        <w:spacing w:after="0" w:line="277" w:lineRule="auto"/>
        <w:rPr>
          <w:sz w:val="20"/>
          <w:szCs w:val="20"/>
          <w:color w:val="auto"/>
        </w:rPr>
      </w:pPr>
      <w:r>
        <w:rPr>
          <w:rFonts w:ascii="Arial" w:cs="Arial" w:eastAsia="Arial" w:hAnsi="Arial"/>
          <w:sz w:val="18"/>
          <w:szCs w:val="18"/>
          <w:color w:val="auto"/>
        </w:rPr>
        <w:t>We believe Mr. Winn is qualified to serve on our board of directors because of his financial knowledge, investment experience and his service as director of other software solutions companies.</w:t>
      </w:r>
    </w:p>
    <w:p>
      <w:pPr>
        <w:spacing w:after="0" w:line="27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Samuel A. Hamood</w:t>
      </w:r>
    </w:p>
    <w:p>
      <w:pPr>
        <w:spacing w:after="0" w:line="117" w:lineRule="exact"/>
        <w:rPr>
          <w:sz w:val="20"/>
          <w:szCs w:val="20"/>
          <w:color w:val="auto"/>
        </w:rPr>
      </w:pPr>
    </w:p>
    <w:p>
      <w:pPr>
        <w:ind w:left="560"/>
        <w:spacing w:after="0"/>
        <w:rPr>
          <w:sz w:val="20"/>
          <w:szCs w:val="20"/>
          <w:color w:val="auto"/>
        </w:rPr>
      </w:pPr>
      <w:r>
        <w:rPr>
          <w:rFonts w:ascii="Arial" w:cs="Arial" w:eastAsia="Arial" w:hAnsi="Arial"/>
          <w:sz w:val="18"/>
          <w:szCs w:val="18"/>
          <w:color w:val="auto"/>
        </w:rPr>
        <w:t>Mr. Hamood has served as a member of the board of directors of the Company since September 2020.</w:t>
      </w:r>
    </w:p>
    <w:p>
      <w:pPr>
        <w:spacing w:after="0" w:line="225" w:lineRule="exact"/>
        <w:rPr>
          <w:sz w:val="20"/>
          <w:szCs w:val="20"/>
          <w:color w:val="auto"/>
        </w:rPr>
      </w:pPr>
    </w:p>
    <w:p>
      <w:pPr>
        <w:ind w:left="120" w:right="20" w:firstLine="440"/>
        <w:spacing w:after="0" w:line="254" w:lineRule="auto"/>
        <w:rPr>
          <w:sz w:val="20"/>
          <w:szCs w:val="20"/>
          <w:color w:val="auto"/>
        </w:rPr>
      </w:pPr>
      <w:r>
        <w:rPr>
          <w:rFonts w:ascii="Arial" w:cs="Arial" w:eastAsia="Arial" w:hAnsi="Arial"/>
          <w:sz w:val="18"/>
          <w:szCs w:val="18"/>
          <w:color w:val="auto"/>
        </w:rPr>
        <w:t>Mr. Hamood currently serves as President and Chief Administrative and Finance Officer at Culligan International Co (“Culligan”), which he joined in August 2019. Prior to his time at Culligan, Mr. Hamood served as interim Chief Executive Officer and President of ATI, a nationally-recognized rehabilitation provider, from January 2018 to August 2019. Prior to his time at ATI, Mr. Hamood served as Executive Vice President and Chief Financial Officer of Change HealthCare Corporation from 2017 to 2018, and as Executive Vice President and Chief Financial Officer of TransUnion from 2008 to 2018. Mr. Hamood also previously served on the board of directors at Culligan from 2016 to 2019 and currently serves as a director of Accentcare, a privately held leader in post-acute home healthcare services. Mr. Hamood is a Certified Public Accountant (inactive status) and received his Bachelor of Business Administration in finance at The University of Iowa, and his Juris Doctor from Southwestern University School of Law.</w:t>
      </w:r>
    </w:p>
    <w:p>
      <w:pPr>
        <w:spacing w:after="0" w:line="192" w:lineRule="exact"/>
        <w:rPr>
          <w:sz w:val="20"/>
          <w:szCs w:val="20"/>
          <w:color w:val="auto"/>
        </w:rPr>
      </w:pPr>
    </w:p>
    <w:p>
      <w:pPr>
        <w:ind w:left="120" w:right="140" w:firstLine="440"/>
        <w:spacing w:after="0" w:line="277" w:lineRule="auto"/>
        <w:rPr>
          <w:sz w:val="20"/>
          <w:szCs w:val="20"/>
          <w:color w:val="auto"/>
        </w:rPr>
      </w:pPr>
      <w:r>
        <w:rPr>
          <w:rFonts w:ascii="Arial" w:cs="Arial" w:eastAsia="Arial" w:hAnsi="Arial"/>
          <w:sz w:val="18"/>
          <w:szCs w:val="18"/>
          <w:color w:val="auto"/>
        </w:rPr>
        <w:t>We believe Mr. Hamood is qualified to serve on our board of directors because of his financial expertise and experience in and knowledge of the healthcare industry.</w:t>
      </w:r>
    </w:p>
    <w:p>
      <w:pPr>
        <w:spacing w:after="0" w:line="103" w:lineRule="exact"/>
        <w:rPr>
          <w:sz w:val="20"/>
          <w:szCs w:val="20"/>
          <w:color w:val="auto"/>
        </w:rPr>
      </w:pPr>
    </w:p>
    <w:p>
      <w:pPr>
        <w:jc w:val="center"/>
        <w:ind w:right="-379"/>
        <w:spacing w:after="0"/>
        <w:rPr>
          <w:sz w:val="20"/>
          <w:szCs w:val="20"/>
          <w:color w:val="auto"/>
        </w:rPr>
      </w:pPr>
      <w:r>
        <w:rPr>
          <w:rFonts w:ascii="Arial" w:cs="Arial" w:eastAsia="Arial" w:hAnsi="Arial"/>
          <w:sz w:val="18"/>
          <w:szCs w:val="18"/>
          <w:color w:val="auto"/>
        </w:rPr>
        <w:t>131</w:t>
      </w:r>
    </w:p>
    <w:p>
      <w:pPr>
        <w:sectPr>
          <w:pgSz w:w="11900" w:h="16838" w:orient="portrait"/>
          <w:cols w:equalWidth="0" w:num="1">
            <w:col w:w="11100"/>
          </w:cols>
          <w:pgMar w:left="320" w:top="459" w:right="479" w:bottom="1440" w:gutter="0" w:footer="0" w:header="0"/>
        </w:sectPr>
      </w:pPr>
    </w:p>
    <w:bookmarkStart w:id="138" w:name="page139"/>
    <w:bookmarkEnd w:id="13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Confidential Treatment Requested by Definitive Healthcare Corp.</w:t>
      </w:r>
    </w:p>
    <w:p>
      <w:pPr>
        <w:spacing w:after="0" w:line="27"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Pursuant to 17 C.F.R. Section 200.83</w:t>
      </w:r>
    </w:p>
    <w:p>
      <w:pPr>
        <w:spacing w:after="0" w:line="143"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Jill Larsen</w:t>
      </w:r>
    </w:p>
    <w:p>
      <w:pPr>
        <w:spacing w:after="0" w:line="117" w:lineRule="exact"/>
        <w:rPr>
          <w:sz w:val="20"/>
          <w:szCs w:val="20"/>
          <w:color w:val="auto"/>
        </w:rPr>
      </w:pPr>
    </w:p>
    <w:p>
      <w:pPr>
        <w:ind w:left="560"/>
        <w:spacing w:after="0"/>
        <w:rPr>
          <w:sz w:val="20"/>
          <w:szCs w:val="20"/>
          <w:color w:val="auto"/>
        </w:rPr>
      </w:pPr>
      <w:r>
        <w:rPr>
          <w:rFonts w:ascii="Arial" w:cs="Arial" w:eastAsia="Arial" w:hAnsi="Arial"/>
          <w:sz w:val="18"/>
          <w:szCs w:val="18"/>
          <w:color w:val="auto"/>
        </w:rPr>
        <w:t>Ms. Larsen has served as a member of the board of directors of the Company since April 2021.</w:t>
      </w:r>
    </w:p>
    <w:p>
      <w:pPr>
        <w:spacing w:after="0" w:line="225" w:lineRule="exact"/>
        <w:rPr>
          <w:sz w:val="20"/>
          <w:szCs w:val="20"/>
          <w:color w:val="auto"/>
        </w:rPr>
      </w:pPr>
    </w:p>
    <w:p>
      <w:pPr>
        <w:ind w:left="120" w:firstLine="440"/>
        <w:spacing w:after="0" w:line="290" w:lineRule="auto"/>
        <w:rPr>
          <w:sz w:val="20"/>
          <w:szCs w:val="20"/>
          <w:color w:val="auto"/>
        </w:rPr>
      </w:pPr>
      <w:r>
        <w:rPr>
          <w:rFonts w:ascii="Arial" w:cs="Arial" w:eastAsia="Arial" w:hAnsi="Arial"/>
          <w:sz w:val="16"/>
          <w:szCs w:val="16"/>
          <w:color w:val="auto"/>
        </w:rPr>
        <w:t>Jill Larsen currently serves as the Chief People Officer &amp; Executive Vice President at PTC Inc., a global software company in the industrial and manufacturing space. Prior to her time at PTC, Ms. Larsen served as the Executive Vice President—Human Resources and Chief Human Resources Officer of Medidata Solutions, Inc., an American technology company that develops and markets software as a service for clinical trials from April 2018 to January 2020. Ms. Larsen has over 20 years of experience establishing and transforming human resources and talent strategies at global, high-tech companies and has also previously served as senior vice president of talent acquisition and human resources at Cisco Systems, Inc., a public technology conglomerate from April 2013 to April 2018. She also held executive HR leadership roles at Dell EMC, a company that sells products ranging from data storage to information security, and was chief human resources officer of RSA, the security division of Dell EMC. Ms. Larsen is PHR certified and received her B.A. in communications and English from Boston College, and her MBA in Human Resources Management from Emmanuel College.</w:t>
      </w:r>
    </w:p>
    <w:p>
      <w:pPr>
        <w:spacing w:after="0" w:line="165" w:lineRule="exact"/>
        <w:rPr>
          <w:sz w:val="20"/>
          <w:szCs w:val="20"/>
          <w:color w:val="auto"/>
        </w:rPr>
      </w:pPr>
    </w:p>
    <w:p>
      <w:pPr>
        <w:ind w:left="120" w:right="500" w:firstLine="440"/>
        <w:spacing w:after="0" w:line="277" w:lineRule="auto"/>
        <w:rPr>
          <w:sz w:val="20"/>
          <w:szCs w:val="20"/>
          <w:color w:val="auto"/>
        </w:rPr>
      </w:pPr>
      <w:r>
        <w:rPr>
          <w:rFonts w:ascii="Arial" w:cs="Arial" w:eastAsia="Arial" w:hAnsi="Arial"/>
          <w:sz w:val="18"/>
          <w:szCs w:val="18"/>
          <w:color w:val="auto"/>
        </w:rPr>
        <w:t>We believe Ms. Larsen is qualified to serve on our board of directors because of her extensive experience in talent acquisition strategies and human resources expertise in technology companies.</w:t>
      </w:r>
    </w:p>
    <w:p>
      <w:pPr>
        <w:spacing w:after="0" w:line="27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Robert Musslewhite</w:t>
      </w:r>
    </w:p>
    <w:p>
      <w:pPr>
        <w:spacing w:after="0" w:line="117" w:lineRule="exact"/>
        <w:rPr>
          <w:sz w:val="20"/>
          <w:szCs w:val="20"/>
          <w:color w:val="auto"/>
        </w:rPr>
      </w:pPr>
    </w:p>
    <w:p>
      <w:pPr>
        <w:ind w:left="120" w:firstLine="440"/>
        <w:spacing w:after="0" w:line="287" w:lineRule="auto"/>
        <w:rPr>
          <w:sz w:val="20"/>
          <w:szCs w:val="20"/>
          <w:color w:val="auto"/>
        </w:rPr>
      </w:pPr>
      <w:r>
        <w:rPr>
          <w:rFonts w:ascii="Arial" w:cs="Arial" w:eastAsia="Arial" w:hAnsi="Arial"/>
          <w:sz w:val="16"/>
          <w:szCs w:val="16"/>
          <w:color w:val="auto"/>
        </w:rPr>
        <w:t>Mr. Musslewhite has served as a member of the board of directors of the Company since June 2021. Mr. Musslewhite has been the Chief Executive Officer of OptumInsight, Optum’s health services business connecting the health care system with services, analytics, and platforms designed to make clinical and administrative processes easier and more efficient, since August 2019. He joined Optum following Optum’s acquisition of The Advisory Board Company, a publicly traded company that provided best practices research and insight, technology, data-enabled services and consulting services, where he served as Chief Executive Officer from 2008 until 2017 and Chairman from 2013 to 2017. Prior to his appointment as Chief Executive Officer of OptumInsight, Mr. Musslewhite served as Chief Executive Officer of Optum360 from March 2019 until August 2019 and, prior to that, as Chief Executive Officer of Optum Analytics and Chief Executive Officer of Advisory Board Research from 2017 until March 2019. Prior to joining The Advisory Board Company, Mr. Musslewhite was an Associate Principal with McKinsey &amp; Company, a global management consulting firm, in the Washington, D.C., Amsterdam, and Dallas offices. Mr. Musslewhite currently serves on the Boards of Directors of CoStar Group (Nasdaq: CSGP) and Ascend Learning, he is a member of the Economics Club of Washington D.C., and he recently completed service as Chair of the Board of Governors of St. Albans School. Mr. Musslewhite received a J.D. from Harvard Law School and an A.B. in Economics from Princeton University.</w:t>
      </w:r>
    </w:p>
    <w:p>
      <w:pPr>
        <w:spacing w:after="0" w:line="172" w:lineRule="exact"/>
        <w:rPr>
          <w:sz w:val="20"/>
          <w:szCs w:val="20"/>
          <w:color w:val="auto"/>
        </w:rPr>
      </w:pPr>
    </w:p>
    <w:p>
      <w:pPr>
        <w:ind w:left="120" w:right="400" w:firstLine="440"/>
        <w:spacing w:after="0" w:line="277" w:lineRule="auto"/>
        <w:rPr>
          <w:sz w:val="20"/>
          <w:szCs w:val="20"/>
          <w:color w:val="auto"/>
        </w:rPr>
      </w:pPr>
      <w:r>
        <w:rPr>
          <w:rFonts w:ascii="Arial" w:cs="Arial" w:eastAsia="Arial" w:hAnsi="Arial"/>
          <w:sz w:val="18"/>
          <w:szCs w:val="18"/>
          <w:color w:val="auto"/>
        </w:rPr>
        <w:t>We believe Mr. Musslewhite is qualified to serve on our board of directors because of his consulting experience, knowledge of the healthcare industry and experience with healthcare data analytics.</w:t>
      </w:r>
    </w:p>
    <w:p>
      <w:pPr>
        <w:spacing w:after="0" w:line="27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Kathleen A. Winters</w:t>
      </w:r>
    </w:p>
    <w:p>
      <w:pPr>
        <w:spacing w:after="0" w:line="117" w:lineRule="exact"/>
        <w:rPr>
          <w:sz w:val="20"/>
          <w:szCs w:val="20"/>
          <w:color w:val="auto"/>
        </w:rPr>
      </w:pPr>
    </w:p>
    <w:p>
      <w:pPr>
        <w:ind w:left="120" w:right="100" w:firstLine="440"/>
        <w:spacing w:after="0" w:line="271" w:lineRule="auto"/>
        <w:rPr>
          <w:sz w:val="20"/>
          <w:szCs w:val="20"/>
          <w:color w:val="auto"/>
        </w:rPr>
      </w:pPr>
      <w:r>
        <w:rPr>
          <w:rFonts w:ascii="Arial" w:cs="Arial" w:eastAsia="Arial" w:hAnsi="Arial"/>
          <w:sz w:val="17"/>
          <w:szCs w:val="17"/>
          <w:color w:val="auto"/>
        </w:rPr>
        <w:t>Ms. Winters has served as a member of the board of directors of the Company since October 2021. Ms. Winters recently retired, having served as Chief Financial Officer at Automatic Data Processing Inc (“ADP”) (Nasdaq: ADP) since 2019, a global technology company providing human capital management solutions. At ADP, she was responsible for leading the global finance organization and representing the company to investors, lenders and rating agencies, and she played a significant role in driving the company’s strategy, growth and operational effectiveness. Prior to ADP, Ms. Winters served as Chief Financial Officer at MSCI, Inc. (NYSE: MSCI), a provider of investment decision support tools including indexes, for institutional investors for three years. Before that, she spent 14 years in various financial leadership roles at Honeywell International (Nasdaq: HON). Ms. Winters began her career at PricewaterhouseCoopers LLP, serving clients primarily in the entertainment and media industries. Ms. Winters holds a degree from Boston College and is a certified public accountant.</w:t>
      </w:r>
    </w:p>
    <w:p>
      <w:pPr>
        <w:spacing w:after="0" w:line="111"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132</w:t>
      </w:r>
    </w:p>
    <w:p>
      <w:pPr>
        <w:sectPr>
          <w:pgSz w:w="11900" w:h="16838" w:orient="portrait"/>
          <w:cols w:equalWidth="0" w:num="1">
            <w:col w:w="11120"/>
          </w:cols>
          <w:pgMar w:left="320" w:top="459" w:right="459" w:bottom="1440" w:gutter="0" w:footer="0" w:header="0"/>
        </w:sectPr>
      </w:pPr>
    </w:p>
    <w:bookmarkStart w:id="139" w:name="page140"/>
    <w:bookmarkEnd w:id="13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Confidential Treatment Requested by Definitive Healthcare Corp.</w:t>
      </w:r>
    </w:p>
    <w:p>
      <w:pPr>
        <w:spacing w:after="0" w:line="27"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Pursuant to 17 C.F.R. Section 200.83</w:t>
      </w:r>
    </w:p>
    <w:p>
      <w:pPr>
        <w:spacing w:after="0" w:line="143" w:lineRule="exact"/>
        <w:rPr>
          <w:sz w:val="20"/>
          <w:szCs w:val="20"/>
          <w:color w:val="auto"/>
        </w:rPr>
      </w:pPr>
    </w:p>
    <w:p>
      <w:pPr>
        <w:ind w:left="120" w:right="320" w:firstLine="440"/>
        <w:spacing w:after="0" w:line="277" w:lineRule="auto"/>
        <w:rPr>
          <w:sz w:val="20"/>
          <w:szCs w:val="20"/>
          <w:color w:val="auto"/>
        </w:rPr>
      </w:pPr>
      <w:r>
        <w:rPr>
          <w:rFonts w:ascii="Arial" w:cs="Arial" w:eastAsia="Arial" w:hAnsi="Arial"/>
          <w:sz w:val="18"/>
          <w:szCs w:val="18"/>
          <w:color w:val="auto"/>
        </w:rPr>
        <w:t>We believe Ms. Winters is qualified to serve on our board of directors because of her extensive experience serving the financial sector and her various leadership positions in financial roles.</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Board of Directors</w:t>
      </w:r>
    </w:p>
    <w:p>
      <w:pPr>
        <w:spacing w:after="0" w:line="121" w:lineRule="exact"/>
        <w:rPr>
          <w:sz w:val="20"/>
          <w:szCs w:val="20"/>
          <w:color w:val="auto"/>
        </w:rPr>
      </w:pPr>
    </w:p>
    <w:p>
      <w:pPr>
        <w:ind w:left="120" w:firstLine="440"/>
        <w:spacing w:after="0" w:line="289" w:lineRule="auto"/>
        <w:rPr>
          <w:sz w:val="20"/>
          <w:szCs w:val="20"/>
          <w:color w:val="auto"/>
        </w:rPr>
      </w:pPr>
      <w:r>
        <w:rPr>
          <w:rFonts w:ascii="Arial" w:cs="Arial" w:eastAsia="Arial" w:hAnsi="Arial"/>
          <w:sz w:val="16"/>
          <w:szCs w:val="16"/>
          <w:color w:val="auto"/>
        </w:rPr>
        <w:t>Our business and affairs are managed under the direction of our Board. Our amended and restated certificate of incorporation provides that our Board must consist of at least one director, or such larger number as may be fixed from time to time by a resolution of at least a majority of the directors then in office. Our Board is composed of ten directors divided into three classes, with terms staggered according to class. Class I consists of three directors, Class II consists of three directors and Class III consists of three directors. The Class I directors, whose terms will expire at the first annual meeting of our stockholders following the filing of our amended and restated certificate of incorporation, will be Jason Krantz, Chris Mitchell and Lauren Young. The Class II directors, whose terms will expire at the second annual meeting of our stockholders following the filing of our amended and restated certificate of incorporation, will be Chris Egan, Samuel A. Hamood and Jill Larsen. The Class III directors, whose terms will expire at the third annual meeting of our stockholders following the filing of our amended and restated certificate of incorporation, will be Jeff Haywood, Robert Musslewhite, D. Randall Winn and Kathleen A. Winters. See “Description of Capital Stock—Anti-takeover Provisions” for more information.</w:t>
      </w:r>
    </w:p>
    <w:p>
      <w:pPr>
        <w:spacing w:after="0" w:line="166" w:lineRule="exact"/>
        <w:rPr>
          <w:sz w:val="20"/>
          <w:szCs w:val="20"/>
          <w:color w:val="auto"/>
        </w:rPr>
      </w:pPr>
    </w:p>
    <w:p>
      <w:pPr>
        <w:ind w:left="120" w:firstLine="440"/>
        <w:spacing w:after="0" w:line="255" w:lineRule="auto"/>
        <w:rPr>
          <w:sz w:val="20"/>
          <w:szCs w:val="20"/>
          <w:color w:val="auto"/>
        </w:rPr>
      </w:pPr>
      <w:r>
        <w:rPr>
          <w:rFonts w:ascii="Arial" w:cs="Arial" w:eastAsia="Arial" w:hAnsi="Arial"/>
          <w:sz w:val="18"/>
          <w:szCs w:val="18"/>
          <w:color w:val="auto"/>
        </w:rPr>
        <w:t>Mr. Egan and Ms. Young were appointed to serve as members of the Board, each as an Advent Manager, and Messrs. Mitchell and Haywood were appointed to serve as members of the board of managers of Definitive OpCo, each as a Spectrum Equity Manager, pursuant to the Amended and Restated Limited Liability Company Agreement of AIDH Topco, LLC, dated as of July 16, 2019, by and among the Company and members of AIDH Topco, LLC. Mr. Winn was appointed as a member of the board of managers of Definitive OpCo as a 22C Capital Manager pursuant to Amendment No. 1 to the Amended and Restated Limited Liability Company Agreement of AIDH Topco, LLC, dated as of September 13, 2019, by and among the Company and the members of AIDH Topco, LLC.</w:t>
      </w:r>
    </w:p>
    <w:p>
      <w:pPr>
        <w:spacing w:after="0" w:line="296"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Nominating Agreements</w:t>
      </w:r>
    </w:p>
    <w:p>
      <w:pPr>
        <w:spacing w:after="0" w:line="121" w:lineRule="exact"/>
        <w:rPr>
          <w:sz w:val="20"/>
          <w:szCs w:val="20"/>
          <w:color w:val="auto"/>
        </w:rPr>
      </w:pPr>
    </w:p>
    <w:p>
      <w:pPr>
        <w:ind w:left="120" w:right="80" w:firstLine="440"/>
        <w:spacing w:after="0" w:line="257" w:lineRule="auto"/>
        <w:rPr>
          <w:sz w:val="20"/>
          <w:szCs w:val="20"/>
          <w:color w:val="auto"/>
        </w:rPr>
      </w:pPr>
      <w:r>
        <w:rPr>
          <w:rFonts w:ascii="Arial" w:cs="Arial" w:eastAsia="Arial" w:hAnsi="Arial"/>
          <w:sz w:val="18"/>
          <w:szCs w:val="18"/>
          <w:color w:val="auto"/>
        </w:rPr>
        <w:t>On September 17, 2021, we entered into nominating agreements with an affiliate of Advent, Jason Krantz and Spectrum Equity, respectively, which provide that, subject to minimum stock ownership requirements, the Company will include two designees of Advent, one designee of Spectrum Equity and Jason Krantz, respectively, in the slate of nominees recommended to the Company’s stockholders for election and the Company will fill any vacancy of any such designated director previously nominated by Advent, Jason Krantz and Spectrum Equity, respectively, with a new director designated by Advent, Jason Krantz and Spectrum Equity, respectively.</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Board Committees</w:t>
      </w:r>
    </w:p>
    <w:p>
      <w:pPr>
        <w:spacing w:after="0" w:line="121" w:lineRule="exact"/>
        <w:rPr>
          <w:sz w:val="20"/>
          <w:szCs w:val="20"/>
          <w:color w:val="auto"/>
        </w:rPr>
      </w:pPr>
    </w:p>
    <w:p>
      <w:pPr>
        <w:ind w:left="120" w:right="580" w:firstLine="440"/>
        <w:spacing w:after="0" w:line="311" w:lineRule="auto"/>
        <w:rPr>
          <w:sz w:val="20"/>
          <w:szCs w:val="20"/>
          <w:color w:val="auto"/>
        </w:rPr>
      </w:pPr>
      <w:r>
        <w:rPr>
          <w:rFonts w:ascii="Arial" w:cs="Arial" w:eastAsia="Arial" w:hAnsi="Arial"/>
          <w:sz w:val="16"/>
          <w:szCs w:val="16"/>
          <w:color w:val="auto"/>
        </w:rPr>
        <w:t>Our Board currently has an Audit Committee, a Compensation Committee and a Nominating and Corporate Governance Committee. Each committee has a charter that has been approved by our Board and that is available on our website. Each committee has the composition and responsibilities described below. Members serve on our Board committees until their resignations or until otherwise determined by our Board.</w:t>
      </w:r>
    </w:p>
    <w:p>
      <w:pPr>
        <w:spacing w:after="0" w:line="257"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Audit Committee</w:t>
      </w:r>
    </w:p>
    <w:p>
      <w:pPr>
        <w:spacing w:after="0" w:line="117"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primary purposes of our Audit Committee under the committee’s charter are to assist the Board’s oversight of:</w:t>
      </w:r>
    </w:p>
    <w:p>
      <w:pPr>
        <w:spacing w:after="0" w:line="131" w:lineRule="exact"/>
        <w:rPr>
          <w:sz w:val="20"/>
          <w:szCs w:val="20"/>
          <w:color w:val="auto"/>
        </w:rPr>
      </w:pPr>
    </w:p>
    <w:p>
      <w:pPr>
        <w:ind w:left="1080" w:hanging="532"/>
        <w:spacing w:after="0"/>
        <w:tabs>
          <w:tab w:leader="none" w:pos="1080" w:val="left"/>
        </w:tabs>
        <w:numPr>
          <w:ilvl w:val="0"/>
          <w:numId w:val="126"/>
        </w:numPr>
        <w:rPr>
          <w:rFonts w:ascii="Arial" w:cs="Arial" w:eastAsia="Arial" w:hAnsi="Arial"/>
          <w:sz w:val="18"/>
          <w:szCs w:val="18"/>
          <w:color w:val="auto"/>
        </w:rPr>
      </w:pPr>
      <w:r>
        <w:rPr>
          <w:rFonts w:ascii="Arial" w:cs="Arial" w:eastAsia="Arial" w:hAnsi="Arial"/>
          <w:sz w:val="18"/>
          <w:szCs w:val="18"/>
          <w:color w:val="auto"/>
        </w:rPr>
        <w:t>audits of our financial statements;</w:t>
      </w:r>
    </w:p>
    <w:p>
      <w:pPr>
        <w:spacing w:after="0" w:line="158" w:lineRule="exact"/>
        <w:rPr>
          <w:sz w:val="20"/>
          <w:szCs w:val="20"/>
          <w:color w:val="auto"/>
        </w:rPr>
      </w:pPr>
    </w:p>
    <w:p>
      <w:pPr>
        <w:jc w:val="center"/>
        <w:ind w:right="-379"/>
        <w:spacing w:after="0"/>
        <w:rPr>
          <w:sz w:val="20"/>
          <w:szCs w:val="20"/>
          <w:color w:val="auto"/>
        </w:rPr>
      </w:pPr>
      <w:r>
        <w:rPr>
          <w:rFonts w:ascii="Arial" w:cs="Arial" w:eastAsia="Arial" w:hAnsi="Arial"/>
          <w:sz w:val="18"/>
          <w:szCs w:val="18"/>
          <w:color w:val="auto"/>
        </w:rPr>
        <w:t>133</w:t>
      </w:r>
    </w:p>
    <w:p>
      <w:pPr>
        <w:sectPr>
          <w:pgSz w:w="11900" w:h="16838" w:orient="portrait"/>
          <w:cols w:equalWidth="0" w:num="1">
            <w:col w:w="11100"/>
          </w:cols>
          <w:pgMar w:left="320" w:top="459" w:right="479" w:bottom="1440" w:gutter="0" w:footer="0" w:header="0"/>
        </w:sectPr>
      </w:pPr>
    </w:p>
    <w:bookmarkStart w:id="140" w:name="page141"/>
    <w:bookmarkEnd w:id="14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Confidential Treatment Requested by Definitive Healthcare Corp.</w:t>
      </w:r>
    </w:p>
    <w:p>
      <w:pPr>
        <w:spacing w:after="0" w:line="27"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Pursuant to 17 C.F.R. Section 200.83</w:t>
      </w:r>
    </w:p>
    <w:p>
      <w:pPr>
        <w:spacing w:after="0" w:line="143" w:lineRule="exact"/>
        <w:rPr>
          <w:sz w:val="20"/>
          <w:szCs w:val="20"/>
          <w:color w:val="auto"/>
        </w:rPr>
      </w:pPr>
    </w:p>
    <w:p>
      <w:pPr>
        <w:ind w:left="1080" w:hanging="532"/>
        <w:spacing w:after="0"/>
        <w:tabs>
          <w:tab w:leader="none" w:pos="1080" w:val="left"/>
        </w:tabs>
        <w:numPr>
          <w:ilvl w:val="0"/>
          <w:numId w:val="127"/>
        </w:numPr>
        <w:rPr>
          <w:rFonts w:ascii="Arial" w:cs="Arial" w:eastAsia="Arial" w:hAnsi="Arial"/>
          <w:sz w:val="18"/>
          <w:szCs w:val="18"/>
          <w:color w:val="auto"/>
        </w:rPr>
      </w:pPr>
      <w:r>
        <w:rPr>
          <w:rFonts w:ascii="Arial" w:cs="Arial" w:eastAsia="Arial" w:hAnsi="Arial"/>
          <w:sz w:val="18"/>
          <w:szCs w:val="18"/>
          <w:color w:val="auto"/>
        </w:rPr>
        <w:t>the integrity of our financial statements;</w:t>
      </w:r>
    </w:p>
    <w:p>
      <w:pPr>
        <w:spacing w:after="0" w:line="130" w:lineRule="exact"/>
        <w:rPr>
          <w:rFonts w:ascii="Arial" w:cs="Arial" w:eastAsia="Arial" w:hAnsi="Arial"/>
          <w:sz w:val="18"/>
          <w:szCs w:val="18"/>
          <w:color w:val="auto"/>
        </w:rPr>
      </w:pPr>
    </w:p>
    <w:p>
      <w:pPr>
        <w:ind w:left="1080" w:right="180" w:hanging="532"/>
        <w:spacing w:after="0" w:line="277" w:lineRule="auto"/>
        <w:tabs>
          <w:tab w:leader="none" w:pos="1080" w:val="left"/>
        </w:tabs>
        <w:numPr>
          <w:ilvl w:val="0"/>
          <w:numId w:val="127"/>
        </w:numPr>
        <w:rPr>
          <w:rFonts w:ascii="Arial" w:cs="Arial" w:eastAsia="Arial" w:hAnsi="Arial"/>
          <w:sz w:val="18"/>
          <w:szCs w:val="18"/>
          <w:color w:val="auto"/>
        </w:rPr>
      </w:pPr>
      <w:r>
        <w:rPr>
          <w:rFonts w:ascii="Arial" w:cs="Arial" w:eastAsia="Arial" w:hAnsi="Arial"/>
          <w:sz w:val="18"/>
          <w:szCs w:val="18"/>
          <w:color w:val="auto"/>
        </w:rPr>
        <w:t>our process relating to risk management and the conduct and systems of internal control over financial reporting and disclosure controls and procedures;</w:t>
      </w:r>
    </w:p>
    <w:p>
      <w:pPr>
        <w:spacing w:after="0" w:line="75" w:lineRule="exact"/>
        <w:rPr>
          <w:rFonts w:ascii="Arial" w:cs="Arial" w:eastAsia="Arial" w:hAnsi="Arial"/>
          <w:sz w:val="18"/>
          <w:szCs w:val="18"/>
          <w:color w:val="auto"/>
        </w:rPr>
      </w:pPr>
    </w:p>
    <w:p>
      <w:pPr>
        <w:ind w:left="1080" w:hanging="532"/>
        <w:spacing w:after="0"/>
        <w:tabs>
          <w:tab w:leader="none" w:pos="1080" w:val="left"/>
        </w:tabs>
        <w:numPr>
          <w:ilvl w:val="0"/>
          <w:numId w:val="127"/>
        </w:numPr>
        <w:rPr>
          <w:rFonts w:ascii="Arial" w:cs="Arial" w:eastAsia="Arial" w:hAnsi="Arial"/>
          <w:sz w:val="18"/>
          <w:szCs w:val="18"/>
          <w:color w:val="auto"/>
        </w:rPr>
      </w:pPr>
      <w:r>
        <w:rPr>
          <w:rFonts w:ascii="Arial" w:cs="Arial" w:eastAsia="Arial" w:hAnsi="Arial"/>
          <w:sz w:val="18"/>
          <w:szCs w:val="18"/>
          <w:color w:val="auto"/>
        </w:rPr>
        <w:t>the qualifications, engagement, compensation, independence and performance of our independent auditor; and</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127"/>
        </w:numPr>
        <w:rPr>
          <w:rFonts w:ascii="Arial" w:cs="Arial" w:eastAsia="Arial" w:hAnsi="Arial"/>
          <w:sz w:val="18"/>
          <w:szCs w:val="18"/>
          <w:color w:val="auto"/>
        </w:rPr>
      </w:pPr>
      <w:r>
        <w:rPr>
          <w:rFonts w:ascii="Arial" w:cs="Arial" w:eastAsia="Arial" w:hAnsi="Arial"/>
          <w:sz w:val="18"/>
          <w:szCs w:val="18"/>
          <w:color w:val="auto"/>
        </w:rPr>
        <w:t>the performance of our internal audit function.</w:t>
      </w:r>
    </w:p>
    <w:p>
      <w:pPr>
        <w:spacing w:after="0" w:line="225" w:lineRule="exact"/>
        <w:rPr>
          <w:sz w:val="20"/>
          <w:szCs w:val="20"/>
          <w:color w:val="auto"/>
        </w:rPr>
      </w:pPr>
    </w:p>
    <w:p>
      <w:pPr>
        <w:ind w:left="120" w:right="40" w:firstLine="440"/>
        <w:spacing w:after="0" w:line="275" w:lineRule="auto"/>
        <w:rPr>
          <w:sz w:val="20"/>
          <w:szCs w:val="20"/>
          <w:color w:val="auto"/>
        </w:rPr>
      </w:pPr>
      <w:r>
        <w:rPr>
          <w:rFonts w:ascii="Arial" w:cs="Arial" w:eastAsia="Arial" w:hAnsi="Arial"/>
          <w:sz w:val="17"/>
          <w:szCs w:val="17"/>
          <w:color w:val="auto"/>
        </w:rPr>
        <w:t>Our Audit Committee is composed of Samuel A. Hamood, Chris Egan and Kathleen A. Winters. Samuel A. Hamood serves as chair of the Audit Committee. Samuel A. Hamood and Kathleen A. Winters qualify as an “audit committee financial expert” as such term has been defined by the SEC in Item 407(d) of Regulation S-K. Our Board has affirmatively determined that Samuel A. Hamood, Chris Egan and Kathleen A. Winters meet the definition of an “independent director” for the purposes of serving on the Audit Committee under applicable Nasdaq rules and Rule 10A-3 under the Exchange Act. The Audit Committee is governed by a charter that complies with the rules of Nasdaq.</w:t>
      </w:r>
    </w:p>
    <w:p>
      <w:pPr>
        <w:spacing w:after="0" w:line="284"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Compensation Committee</w:t>
      </w:r>
    </w:p>
    <w:p>
      <w:pPr>
        <w:spacing w:after="0" w:line="117" w:lineRule="exact"/>
        <w:rPr>
          <w:sz w:val="20"/>
          <w:szCs w:val="20"/>
          <w:color w:val="auto"/>
        </w:rPr>
      </w:pPr>
    </w:p>
    <w:p>
      <w:pPr>
        <w:ind w:left="120" w:right="580" w:firstLine="440"/>
        <w:spacing w:after="0" w:line="277" w:lineRule="auto"/>
        <w:rPr>
          <w:sz w:val="20"/>
          <w:szCs w:val="20"/>
          <w:color w:val="auto"/>
        </w:rPr>
      </w:pPr>
      <w:r>
        <w:rPr>
          <w:rFonts w:ascii="Arial" w:cs="Arial" w:eastAsia="Arial" w:hAnsi="Arial"/>
          <w:sz w:val="18"/>
          <w:szCs w:val="18"/>
          <w:color w:val="auto"/>
        </w:rPr>
        <w:t>The primary purpose of our Compensation Committee under the committee’s charter is to assist the Board in overseeing our management compensation policies and practices, including:</w:t>
      </w:r>
    </w:p>
    <w:p>
      <w:pPr>
        <w:spacing w:after="0" w:line="76" w:lineRule="exact"/>
        <w:rPr>
          <w:sz w:val="20"/>
          <w:szCs w:val="20"/>
          <w:color w:val="auto"/>
        </w:rPr>
      </w:pPr>
    </w:p>
    <w:p>
      <w:pPr>
        <w:ind w:left="1080" w:hanging="532"/>
        <w:spacing w:after="0"/>
        <w:tabs>
          <w:tab w:leader="none" w:pos="1080" w:val="left"/>
        </w:tabs>
        <w:numPr>
          <w:ilvl w:val="0"/>
          <w:numId w:val="128"/>
        </w:numPr>
        <w:rPr>
          <w:rFonts w:ascii="Arial" w:cs="Arial" w:eastAsia="Arial" w:hAnsi="Arial"/>
          <w:sz w:val="18"/>
          <w:szCs w:val="18"/>
          <w:color w:val="auto"/>
        </w:rPr>
      </w:pPr>
      <w:r>
        <w:rPr>
          <w:rFonts w:ascii="Arial" w:cs="Arial" w:eastAsia="Arial" w:hAnsi="Arial"/>
          <w:sz w:val="18"/>
          <w:szCs w:val="18"/>
          <w:color w:val="auto"/>
        </w:rPr>
        <w:t>determining and approving and recommending to the Board for its approval the compensation of our executive officers; and</w:t>
      </w:r>
    </w:p>
    <w:p>
      <w:pPr>
        <w:spacing w:after="0" w:line="130" w:lineRule="exact"/>
        <w:rPr>
          <w:rFonts w:ascii="Arial" w:cs="Arial" w:eastAsia="Arial" w:hAnsi="Arial"/>
          <w:sz w:val="18"/>
          <w:szCs w:val="18"/>
          <w:color w:val="auto"/>
        </w:rPr>
      </w:pPr>
    </w:p>
    <w:p>
      <w:pPr>
        <w:ind w:left="1080" w:right="140" w:hanging="532"/>
        <w:spacing w:after="0" w:line="277" w:lineRule="auto"/>
        <w:tabs>
          <w:tab w:leader="none" w:pos="1080" w:val="left"/>
        </w:tabs>
        <w:numPr>
          <w:ilvl w:val="0"/>
          <w:numId w:val="128"/>
        </w:numPr>
        <w:rPr>
          <w:rFonts w:ascii="Arial" w:cs="Arial" w:eastAsia="Arial" w:hAnsi="Arial"/>
          <w:sz w:val="18"/>
          <w:szCs w:val="18"/>
          <w:color w:val="auto"/>
        </w:rPr>
      </w:pPr>
      <w:r>
        <w:rPr>
          <w:rFonts w:ascii="Arial" w:cs="Arial" w:eastAsia="Arial" w:hAnsi="Arial"/>
          <w:sz w:val="18"/>
          <w:szCs w:val="18"/>
          <w:color w:val="auto"/>
        </w:rPr>
        <w:t>reviewing and approving and recommending to the Board for its approval incentive compensation and equity compensation policies and programs.</w:t>
      </w:r>
    </w:p>
    <w:p>
      <w:pPr>
        <w:spacing w:after="0" w:line="170" w:lineRule="exact"/>
        <w:rPr>
          <w:sz w:val="20"/>
          <w:szCs w:val="20"/>
          <w:color w:val="auto"/>
        </w:rPr>
      </w:pPr>
    </w:p>
    <w:p>
      <w:pPr>
        <w:ind w:left="120" w:right="160" w:firstLine="440"/>
        <w:spacing w:after="0" w:line="308" w:lineRule="auto"/>
        <w:rPr>
          <w:sz w:val="20"/>
          <w:szCs w:val="20"/>
          <w:color w:val="auto"/>
        </w:rPr>
      </w:pPr>
      <w:r>
        <w:rPr>
          <w:rFonts w:ascii="Arial" w:cs="Arial" w:eastAsia="Arial" w:hAnsi="Arial"/>
          <w:sz w:val="17"/>
          <w:szCs w:val="17"/>
          <w:color w:val="auto"/>
        </w:rPr>
        <w:t>Our Compensation Committee is composed of Jill Larsen, D. Randall Winn, Jeff Haywood and Lauren Young. Jill Larsen serves as chair of the Compensation Committee. The Compensation Committee is governed by a charter that complies with the rules of Nasdaq.</w:t>
      </w:r>
    </w:p>
    <w:p>
      <w:pPr>
        <w:spacing w:after="0" w:line="254"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Nominating and Corporate Governance Committee</w:t>
      </w:r>
    </w:p>
    <w:p>
      <w:pPr>
        <w:spacing w:after="0" w:line="117" w:lineRule="exact"/>
        <w:rPr>
          <w:sz w:val="20"/>
          <w:szCs w:val="20"/>
          <w:color w:val="auto"/>
        </w:rPr>
      </w:pPr>
    </w:p>
    <w:p>
      <w:pPr>
        <w:ind w:left="120" w:right="40" w:firstLine="440"/>
        <w:spacing w:after="0" w:line="342" w:lineRule="auto"/>
        <w:rPr>
          <w:sz w:val="20"/>
          <w:szCs w:val="20"/>
          <w:color w:val="auto"/>
        </w:rPr>
      </w:pPr>
      <w:r>
        <w:rPr>
          <w:rFonts w:ascii="Arial" w:cs="Arial" w:eastAsia="Arial" w:hAnsi="Arial"/>
          <w:sz w:val="16"/>
          <w:szCs w:val="16"/>
          <w:color w:val="auto"/>
        </w:rPr>
        <w:t>Our Board has established a nominating and corporate governance committee. The primary purpose of our nominating and corporate governance committee is to recommend candidates for appointment to the Board and to review the corporate governance guidelines of the Company, including:</w:t>
      </w:r>
    </w:p>
    <w:p>
      <w:pPr>
        <w:spacing w:after="0" w:line="29" w:lineRule="exact"/>
        <w:rPr>
          <w:sz w:val="20"/>
          <w:szCs w:val="20"/>
          <w:color w:val="auto"/>
        </w:rPr>
      </w:pPr>
    </w:p>
    <w:p>
      <w:pPr>
        <w:ind w:left="1080" w:hanging="532"/>
        <w:spacing w:after="0"/>
        <w:tabs>
          <w:tab w:leader="none" w:pos="1080" w:val="left"/>
        </w:tabs>
        <w:numPr>
          <w:ilvl w:val="0"/>
          <w:numId w:val="129"/>
        </w:numPr>
        <w:rPr>
          <w:rFonts w:ascii="Arial" w:cs="Arial" w:eastAsia="Arial" w:hAnsi="Arial"/>
          <w:sz w:val="18"/>
          <w:szCs w:val="18"/>
          <w:color w:val="auto"/>
        </w:rPr>
      </w:pPr>
      <w:r>
        <w:rPr>
          <w:rFonts w:ascii="Arial" w:cs="Arial" w:eastAsia="Arial" w:hAnsi="Arial"/>
          <w:sz w:val="18"/>
          <w:szCs w:val="18"/>
          <w:color w:val="auto"/>
        </w:rPr>
        <w:t>identifying and screening individuals qualified to serve as directors;</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129"/>
        </w:numPr>
        <w:rPr>
          <w:rFonts w:ascii="Arial" w:cs="Arial" w:eastAsia="Arial" w:hAnsi="Arial"/>
          <w:sz w:val="18"/>
          <w:szCs w:val="18"/>
          <w:color w:val="auto"/>
        </w:rPr>
      </w:pPr>
      <w:r>
        <w:rPr>
          <w:rFonts w:ascii="Arial" w:cs="Arial" w:eastAsia="Arial" w:hAnsi="Arial"/>
          <w:sz w:val="18"/>
          <w:szCs w:val="18"/>
          <w:color w:val="auto"/>
        </w:rPr>
        <w:t>developing, recommending to the Board and reviewing the Company’s corporate governance guidelines;</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129"/>
        </w:numPr>
        <w:rPr>
          <w:rFonts w:ascii="Arial" w:cs="Arial" w:eastAsia="Arial" w:hAnsi="Arial"/>
          <w:sz w:val="18"/>
          <w:szCs w:val="18"/>
          <w:color w:val="auto"/>
        </w:rPr>
      </w:pPr>
      <w:r>
        <w:rPr>
          <w:rFonts w:ascii="Arial" w:cs="Arial" w:eastAsia="Arial" w:hAnsi="Arial"/>
          <w:sz w:val="18"/>
          <w:szCs w:val="18"/>
          <w:color w:val="auto"/>
        </w:rPr>
        <w:t>coordinating and overseeing the annual self-evaluation of the Board and its committees; and</w:t>
      </w:r>
    </w:p>
    <w:p>
      <w:pPr>
        <w:spacing w:after="0" w:line="130" w:lineRule="exact"/>
        <w:rPr>
          <w:rFonts w:ascii="Arial" w:cs="Arial" w:eastAsia="Arial" w:hAnsi="Arial"/>
          <w:sz w:val="18"/>
          <w:szCs w:val="18"/>
          <w:color w:val="auto"/>
        </w:rPr>
      </w:pPr>
    </w:p>
    <w:p>
      <w:pPr>
        <w:ind w:left="1080" w:right="380" w:hanging="532"/>
        <w:spacing w:after="0" w:line="277" w:lineRule="auto"/>
        <w:tabs>
          <w:tab w:leader="none" w:pos="1080" w:val="left"/>
        </w:tabs>
        <w:numPr>
          <w:ilvl w:val="0"/>
          <w:numId w:val="129"/>
        </w:numPr>
        <w:rPr>
          <w:rFonts w:ascii="Arial" w:cs="Arial" w:eastAsia="Arial" w:hAnsi="Arial"/>
          <w:sz w:val="18"/>
          <w:szCs w:val="18"/>
          <w:color w:val="auto"/>
        </w:rPr>
      </w:pPr>
      <w:r>
        <w:rPr>
          <w:rFonts w:ascii="Arial" w:cs="Arial" w:eastAsia="Arial" w:hAnsi="Arial"/>
          <w:sz w:val="18"/>
          <w:szCs w:val="18"/>
          <w:color w:val="auto"/>
        </w:rPr>
        <w:t>reviewing on a regular basis the overall corporate governance of the Company and recommending improvements to the Board where appropriate.</w:t>
      </w:r>
    </w:p>
    <w:p>
      <w:pPr>
        <w:spacing w:after="0" w:line="170" w:lineRule="exact"/>
        <w:rPr>
          <w:sz w:val="20"/>
          <w:szCs w:val="20"/>
          <w:color w:val="auto"/>
        </w:rPr>
      </w:pPr>
    </w:p>
    <w:p>
      <w:pPr>
        <w:jc w:val="both"/>
        <w:ind w:left="120" w:firstLine="440"/>
        <w:spacing w:after="0" w:line="263" w:lineRule="auto"/>
        <w:rPr>
          <w:sz w:val="20"/>
          <w:szCs w:val="20"/>
          <w:color w:val="auto"/>
        </w:rPr>
      </w:pPr>
      <w:r>
        <w:rPr>
          <w:rFonts w:ascii="Arial" w:cs="Arial" w:eastAsia="Arial" w:hAnsi="Arial"/>
          <w:sz w:val="18"/>
          <w:szCs w:val="18"/>
          <w:color w:val="auto"/>
        </w:rPr>
        <w:t>The nominating and corporate governance committee are comprised of Lauren Young, D. Randall Winn and Chris Mitchell. Lauren Young serves as the chair of the nominating and corporate governance committee. The nominating and corporate governance committee is governed by a charter that complies with the rules of Nasdaq.</w:t>
      </w:r>
    </w:p>
    <w:p>
      <w:pPr>
        <w:spacing w:after="0" w:line="28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Compensation Committee Interlocks and Insider Participation</w:t>
      </w:r>
    </w:p>
    <w:p>
      <w:pPr>
        <w:spacing w:after="0" w:line="121" w:lineRule="exact"/>
        <w:rPr>
          <w:sz w:val="20"/>
          <w:szCs w:val="20"/>
          <w:color w:val="auto"/>
        </w:rPr>
      </w:pPr>
    </w:p>
    <w:p>
      <w:pPr>
        <w:ind w:left="120" w:right="140" w:firstLine="440"/>
        <w:spacing w:after="0" w:line="277" w:lineRule="auto"/>
        <w:rPr>
          <w:sz w:val="20"/>
          <w:szCs w:val="20"/>
          <w:color w:val="auto"/>
        </w:rPr>
      </w:pPr>
      <w:r>
        <w:rPr>
          <w:rFonts w:ascii="Arial" w:cs="Arial" w:eastAsia="Arial" w:hAnsi="Arial"/>
          <w:sz w:val="18"/>
          <w:szCs w:val="18"/>
          <w:color w:val="auto"/>
        </w:rPr>
        <w:t>The members of our Compensation Committee during 2021 were Jill Larsen, D. Randall Winn, Jeff Haywood and Lauren Young. During 2021, none of our executive officers served (i) as a member of the</w:t>
      </w:r>
    </w:p>
    <w:p>
      <w:pPr>
        <w:spacing w:after="0" w:line="103" w:lineRule="exact"/>
        <w:rPr>
          <w:sz w:val="20"/>
          <w:szCs w:val="20"/>
          <w:color w:val="auto"/>
        </w:rPr>
      </w:pPr>
    </w:p>
    <w:p>
      <w:pPr>
        <w:jc w:val="center"/>
        <w:ind w:right="-439"/>
        <w:spacing w:after="0"/>
        <w:rPr>
          <w:sz w:val="20"/>
          <w:szCs w:val="20"/>
          <w:color w:val="auto"/>
        </w:rPr>
      </w:pPr>
      <w:r>
        <w:rPr>
          <w:rFonts w:ascii="Arial" w:cs="Arial" w:eastAsia="Arial" w:hAnsi="Arial"/>
          <w:sz w:val="18"/>
          <w:szCs w:val="18"/>
          <w:color w:val="auto"/>
        </w:rPr>
        <w:t>134</w:t>
      </w:r>
    </w:p>
    <w:p>
      <w:pPr>
        <w:sectPr>
          <w:pgSz w:w="11900" w:h="16838" w:orient="portrait"/>
          <w:cols w:equalWidth="0" w:num="1">
            <w:col w:w="11040"/>
          </w:cols>
          <w:pgMar w:left="320" w:top="459" w:right="539" w:bottom="1440" w:gutter="0" w:footer="0" w:header="0"/>
        </w:sectPr>
      </w:pPr>
    </w:p>
    <w:bookmarkStart w:id="141" w:name="page142"/>
    <w:bookmarkEnd w:id="14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Confidential Treatment Requested by Definitive Healthcare Corp.</w:t>
      </w:r>
    </w:p>
    <w:p>
      <w:pPr>
        <w:spacing w:after="0" w:line="27"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Pursuant to 17 C.F.R. Section 200.83</w:t>
      </w:r>
    </w:p>
    <w:p>
      <w:pPr>
        <w:spacing w:after="0" w:line="143" w:lineRule="exact"/>
        <w:rPr>
          <w:sz w:val="20"/>
          <w:szCs w:val="20"/>
          <w:color w:val="auto"/>
        </w:rPr>
      </w:pPr>
    </w:p>
    <w:p>
      <w:pPr>
        <w:ind w:left="120" w:right="160"/>
        <w:spacing w:after="0" w:line="308" w:lineRule="auto"/>
        <w:rPr>
          <w:sz w:val="20"/>
          <w:szCs w:val="20"/>
          <w:color w:val="auto"/>
        </w:rPr>
      </w:pPr>
      <w:r>
        <w:rPr>
          <w:rFonts w:ascii="Arial" w:cs="Arial" w:eastAsia="Arial" w:hAnsi="Arial"/>
          <w:sz w:val="17"/>
          <w:szCs w:val="17"/>
          <w:color w:val="auto"/>
        </w:rPr>
        <w:t>Compensation Committee or board of directors of another entity, one of whose executive officers served on our Compensation Committee, or (ii) as a member of the Compensation Committee of another entity, one of whose executive officers served on our Board.</w:t>
      </w:r>
    </w:p>
    <w:p>
      <w:pPr>
        <w:spacing w:after="0" w:line="250"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Indemnification of Directors</w:t>
      </w:r>
    </w:p>
    <w:p>
      <w:pPr>
        <w:spacing w:after="0" w:line="121" w:lineRule="exact"/>
        <w:rPr>
          <w:sz w:val="20"/>
          <w:szCs w:val="20"/>
          <w:color w:val="auto"/>
        </w:rPr>
      </w:pPr>
    </w:p>
    <w:p>
      <w:pPr>
        <w:ind w:left="120" w:right="280" w:firstLine="440"/>
        <w:spacing w:after="0" w:line="277" w:lineRule="auto"/>
        <w:rPr>
          <w:sz w:val="20"/>
          <w:szCs w:val="20"/>
          <w:color w:val="auto"/>
        </w:rPr>
      </w:pPr>
      <w:r>
        <w:rPr>
          <w:rFonts w:ascii="Arial" w:cs="Arial" w:eastAsia="Arial" w:hAnsi="Arial"/>
          <w:sz w:val="18"/>
          <w:szCs w:val="18"/>
          <w:color w:val="auto"/>
        </w:rPr>
        <w:t>Our amended and restated certificate of incorporation provides that we will indemnify our executive officers and directors to the fullest extent permitted by the DGCL.</w:t>
      </w:r>
    </w:p>
    <w:p>
      <w:pPr>
        <w:spacing w:after="0" w:line="170" w:lineRule="exact"/>
        <w:rPr>
          <w:sz w:val="20"/>
          <w:szCs w:val="20"/>
          <w:color w:val="auto"/>
        </w:rPr>
      </w:pPr>
    </w:p>
    <w:p>
      <w:pPr>
        <w:ind w:left="120" w:right="340" w:firstLine="440"/>
        <w:spacing w:after="0" w:line="263" w:lineRule="auto"/>
        <w:rPr>
          <w:sz w:val="20"/>
          <w:szCs w:val="20"/>
          <w:color w:val="auto"/>
        </w:rPr>
      </w:pPr>
      <w:r>
        <w:rPr>
          <w:rFonts w:ascii="Arial" w:cs="Arial" w:eastAsia="Arial" w:hAnsi="Arial"/>
          <w:sz w:val="18"/>
          <w:szCs w:val="18"/>
          <w:color w:val="auto"/>
        </w:rPr>
        <w:t>We entered into indemnification agreements with each of our executive officers and directors. The indemnification agreements provide the executive officers and directors with contractual rights to indemnification, expense advancement and reimbursement, to the fullest extent permitted under the DGCL, subject to certain exceptions contained in those agreements.</w:t>
      </w:r>
    </w:p>
    <w:p>
      <w:pPr>
        <w:spacing w:after="0" w:line="28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Code of Business Conduct and Ethics</w:t>
      </w:r>
    </w:p>
    <w:p>
      <w:pPr>
        <w:spacing w:after="0" w:line="121" w:lineRule="exact"/>
        <w:rPr>
          <w:sz w:val="20"/>
          <w:szCs w:val="20"/>
          <w:color w:val="auto"/>
        </w:rPr>
      </w:pPr>
    </w:p>
    <w:p>
      <w:pPr>
        <w:ind w:left="120" w:right="140" w:firstLine="440"/>
        <w:spacing w:after="0" w:line="259" w:lineRule="auto"/>
        <w:rPr>
          <w:sz w:val="20"/>
          <w:szCs w:val="20"/>
          <w:color w:val="auto"/>
        </w:rPr>
      </w:pPr>
      <w:r>
        <w:rPr>
          <w:rFonts w:ascii="Arial" w:cs="Arial" w:eastAsia="Arial" w:hAnsi="Arial"/>
          <w:sz w:val="18"/>
          <w:szCs w:val="18"/>
          <w:color w:val="auto"/>
        </w:rPr>
        <w:t>Our code of business conduct and ethics that applies to all of our employees, officers and directors is available on our website located at www.definitivehc.com. Any amendments or waivers from our code for our principal executive officer, principal financial officer, principal accounting officer or controller, or persons performing similar functions that are required to be disclosed will be disclosed on our Internet website promptly following the date of such amendment or waiver.</w:t>
      </w:r>
    </w:p>
    <w:p>
      <w:pPr>
        <w:spacing w:after="0" w:line="29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Corporate Governance Guidelines</w:t>
      </w:r>
    </w:p>
    <w:p>
      <w:pPr>
        <w:spacing w:after="0" w:line="121" w:lineRule="exact"/>
        <w:rPr>
          <w:sz w:val="20"/>
          <w:szCs w:val="20"/>
          <w:color w:val="auto"/>
        </w:rPr>
      </w:pPr>
    </w:p>
    <w:p>
      <w:pPr>
        <w:ind w:left="120" w:firstLine="440"/>
        <w:spacing w:after="0" w:line="272" w:lineRule="auto"/>
        <w:rPr>
          <w:sz w:val="20"/>
          <w:szCs w:val="20"/>
          <w:color w:val="auto"/>
        </w:rPr>
      </w:pPr>
      <w:r>
        <w:rPr>
          <w:rFonts w:ascii="Arial" w:cs="Arial" w:eastAsia="Arial" w:hAnsi="Arial"/>
          <w:sz w:val="17"/>
          <w:szCs w:val="17"/>
          <w:color w:val="auto"/>
        </w:rPr>
        <w:t>Our Board has adopted corporate governance guidelines in accordance with the applicable corporate governance rules of Nasdaq that serve as a flexible framework within which our Board and its committees operate. These guidelines cover a number of areas including the duties and responsibilities of the Board, director independence, Board leadership structure, majority-voting Board resignation policy, executive sessions, Chief Executive Officer evaluations, management development and succession planning, director nomination, qualification and election, director orientation and continuing education, Board agenda, materials, information and presentations, director access to senior managers and independent advisers, Board communication with stockholders and others, director compensation and annual board and committee performance evaluations. A copy of our corporate governance guidelines is posted on our website.</w:t>
      </w:r>
    </w:p>
    <w:p>
      <w:pPr>
        <w:spacing w:after="0" w:line="110" w:lineRule="exact"/>
        <w:rPr>
          <w:sz w:val="20"/>
          <w:szCs w:val="20"/>
          <w:color w:val="auto"/>
        </w:rPr>
      </w:pPr>
    </w:p>
    <w:p>
      <w:pPr>
        <w:jc w:val="center"/>
        <w:ind w:right="-399"/>
        <w:spacing w:after="0"/>
        <w:rPr>
          <w:sz w:val="20"/>
          <w:szCs w:val="20"/>
          <w:color w:val="auto"/>
        </w:rPr>
      </w:pPr>
      <w:r>
        <w:rPr>
          <w:rFonts w:ascii="Arial" w:cs="Arial" w:eastAsia="Arial" w:hAnsi="Arial"/>
          <w:sz w:val="18"/>
          <w:szCs w:val="18"/>
          <w:color w:val="auto"/>
        </w:rPr>
        <w:t>135</w:t>
      </w:r>
    </w:p>
    <w:p>
      <w:pPr>
        <w:sectPr>
          <w:pgSz w:w="11900" w:h="16838" w:orient="portrait"/>
          <w:cols w:equalWidth="0" w:num="1">
            <w:col w:w="11060"/>
          </w:cols>
          <w:pgMar w:left="320" w:top="459" w:right="519" w:bottom="1440" w:gutter="0" w:footer="0" w:header="0"/>
        </w:sectPr>
      </w:pPr>
    </w:p>
    <w:bookmarkStart w:id="142" w:name="page143"/>
    <w:bookmarkEnd w:id="14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Confidential Treatment Requested by Definitive Healthcare Corp.</w:t>
      </w:r>
    </w:p>
    <w:p>
      <w:pPr>
        <w:spacing w:after="0" w:line="27"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Pursuant to 17 C.F.R. Section 200.83</w:t>
      </w:r>
    </w:p>
    <w:p>
      <w:pPr>
        <w:spacing w:after="0" w:line="139"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EXECUTIVE AND DIRECTOR COMPENSATION</w:t>
      </w:r>
    </w:p>
    <w:p>
      <w:pPr>
        <w:spacing w:after="0" w:line="229" w:lineRule="exact"/>
        <w:rPr>
          <w:sz w:val="20"/>
          <w:szCs w:val="20"/>
          <w:color w:val="auto"/>
        </w:rPr>
      </w:pPr>
    </w:p>
    <w:p>
      <w:pPr>
        <w:ind w:left="120" w:right="40" w:firstLine="440"/>
        <w:spacing w:after="0" w:line="286" w:lineRule="auto"/>
        <w:rPr>
          <w:sz w:val="20"/>
          <w:szCs w:val="20"/>
          <w:color w:val="auto"/>
        </w:rPr>
      </w:pPr>
      <w:r>
        <w:rPr>
          <w:rFonts w:ascii="Arial" w:cs="Arial" w:eastAsia="Arial" w:hAnsi="Arial"/>
          <w:sz w:val="17"/>
          <w:szCs w:val="17"/>
          <w:i w:val="1"/>
          <w:iCs w:val="1"/>
          <w:color w:val="auto"/>
        </w:rPr>
        <w:t>The following compensation tables and related disclosure should be read together. This discussion contains forward-looking statements that are based on our current plans and expectations regarding future compensation programs. See “Cautionary Note Regarding Forward-Looking Statements.” Actual compensation programs that we adopt may differ materially from the programs summarized in this discussion.</w:t>
      </w:r>
    </w:p>
    <w:p>
      <w:pPr>
        <w:spacing w:after="0" w:line="26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Overview</w:t>
      </w:r>
    </w:p>
    <w:p>
      <w:pPr>
        <w:spacing w:after="0" w:line="121" w:lineRule="exact"/>
        <w:rPr>
          <w:sz w:val="20"/>
          <w:szCs w:val="20"/>
          <w:color w:val="auto"/>
        </w:rPr>
      </w:pPr>
    </w:p>
    <w:p>
      <w:pPr>
        <w:ind w:left="120" w:right="40" w:firstLine="440"/>
        <w:spacing w:after="0" w:line="287" w:lineRule="auto"/>
        <w:rPr>
          <w:sz w:val="20"/>
          <w:szCs w:val="20"/>
          <w:color w:val="auto"/>
        </w:rPr>
      </w:pPr>
      <w:r>
        <w:rPr>
          <w:rFonts w:ascii="Arial" w:cs="Arial" w:eastAsia="Arial" w:hAnsi="Arial"/>
          <w:sz w:val="16"/>
          <w:szCs w:val="16"/>
          <w:color w:val="auto"/>
        </w:rPr>
        <w:t>This section provides an overview of our executive compensation program, including a narrative description of the material factors necessary to understand the information disclosed in the compensation tables below with respect to our “named executive officers,” or “NEOs,” namely our principal executive officer during fiscal 2020 and our two other most highly compensated executive officers serving at the end of fiscal 2020. Our NEOs for fiscal</w:t>
      </w:r>
    </w:p>
    <w:p>
      <w:pPr>
        <w:spacing w:after="0" w:line="2" w:lineRule="exact"/>
        <w:rPr>
          <w:sz w:val="20"/>
          <w:szCs w:val="20"/>
          <w:color w:val="auto"/>
        </w:rPr>
      </w:pPr>
    </w:p>
    <w:p>
      <w:pPr>
        <w:ind w:left="120"/>
        <w:spacing w:after="0"/>
        <w:rPr>
          <w:sz w:val="20"/>
          <w:szCs w:val="20"/>
          <w:color w:val="auto"/>
        </w:rPr>
      </w:pPr>
      <w:r>
        <w:rPr>
          <w:rFonts w:ascii="Arial" w:cs="Arial" w:eastAsia="Arial" w:hAnsi="Arial"/>
          <w:sz w:val="18"/>
          <w:szCs w:val="18"/>
          <w:color w:val="auto"/>
        </w:rPr>
        <w:t>2020 were:</w:t>
      </w:r>
    </w:p>
    <w:p>
      <w:pPr>
        <w:spacing w:after="0" w:line="116" w:lineRule="exact"/>
        <w:rPr>
          <w:sz w:val="20"/>
          <w:szCs w:val="20"/>
          <w:color w:val="auto"/>
        </w:rPr>
      </w:pPr>
    </w:p>
    <w:p>
      <w:pPr>
        <w:ind w:left="1080" w:hanging="532"/>
        <w:spacing w:after="0"/>
        <w:tabs>
          <w:tab w:leader="none" w:pos="1080" w:val="left"/>
        </w:tabs>
        <w:numPr>
          <w:ilvl w:val="0"/>
          <w:numId w:val="130"/>
        </w:numPr>
        <w:rPr>
          <w:rFonts w:ascii="Arial" w:cs="Arial" w:eastAsia="Arial" w:hAnsi="Arial"/>
          <w:sz w:val="18"/>
          <w:szCs w:val="18"/>
          <w:color w:val="auto"/>
        </w:rPr>
      </w:pPr>
      <w:r>
        <w:rPr>
          <w:rFonts w:ascii="Arial" w:cs="Arial" w:eastAsia="Arial" w:hAnsi="Arial"/>
          <w:sz w:val="18"/>
          <w:szCs w:val="18"/>
          <w:color w:val="auto"/>
        </w:rPr>
        <w:t>Jason Krantz, our Chairman and Chief Executive Officer;</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130"/>
        </w:numPr>
        <w:rPr>
          <w:rFonts w:ascii="Arial" w:cs="Arial" w:eastAsia="Arial" w:hAnsi="Arial"/>
          <w:sz w:val="18"/>
          <w:szCs w:val="18"/>
          <w:color w:val="auto"/>
        </w:rPr>
      </w:pPr>
      <w:r>
        <w:rPr>
          <w:rFonts w:ascii="Arial" w:cs="Arial" w:eastAsia="Arial" w:hAnsi="Arial"/>
          <w:sz w:val="18"/>
          <w:szCs w:val="18"/>
          <w:color w:val="auto"/>
        </w:rPr>
        <w:t>Kevin Shone, our former Chief Financial Officer; and</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130"/>
        </w:numPr>
        <w:rPr>
          <w:rFonts w:ascii="Arial" w:cs="Arial" w:eastAsia="Arial" w:hAnsi="Arial"/>
          <w:sz w:val="18"/>
          <w:szCs w:val="18"/>
          <w:color w:val="auto"/>
        </w:rPr>
      </w:pPr>
      <w:r>
        <w:rPr>
          <w:rFonts w:ascii="Arial" w:cs="Arial" w:eastAsia="Arial" w:hAnsi="Arial"/>
          <w:sz w:val="18"/>
          <w:szCs w:val="18"/>
          <w:color w:val="auto"/>
        </w:rPr>
        <w:t>Joseph Mirisola, our Chief Revenue Officer.</w:t>
      </w:r>
    </w:p>
    <w:p>
      <w:pPr>
        <w:spacing w:after="0" w:line="32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Summary Compensation Table</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7"/>
          <w:szCs w:val="17"/>
          <w:color w:val="auto"/>
        </w:rPr>
        <w:t>The following table sets forth certain information regarding the total compensation awarded to, earned by or paid to our NEOs in fiscal 2020.</w:t>
      </w:r>
    </w:p>
    <w:p>
      <w:pPr>
        <w:spacing w:after="0" w:line="243"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1760" w:type="dxa"/>
            <w:vAlign w:val="bottom"/>
          </w:tcPr>
          <w:p>
            <w:pPr>
              <w:spacing w:after="0"/>
              <w:rPr>
                <w:sz w:val="14"/>
                <w:szCs w:val="14"/>
                <w:color w:val="auto"/>
              </w:rPr>
            </w:pPr>
          </w:p>
        </w:tc>
        <w:tc>
          <w:tcPr>
            <w:tcW w:w="24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20" w:type="dxa"/>
            <w:vAlign w:val="bottom"/>
            <w:gridSpan w:val="2"/>
          </w:tcPr>
          <w:p>
            <w:pPr>
              <w:jc w:val="center"/>
              <w:ind w:right="520"/>
              <w:spacing w:after="0"/>
              <w:rPr>
                <w:sz w:val="20"/>
                <w:szCs w:val="20"/>
                <w:color w:val="auto"/>
              </w:rPr>
            </w:pPr>
            <w:r>
              <w:rPr>
                <w:rFonts w:ascii="Arial" w:cs="Arial" w:eastAsia="Arial" w:hAnsi="Arial"/>
                <w:sz w:val="14"/>
                <w:szCs w:val="14"/>
                <w:b w:val="1"/>
                <w:bCs w:val="1"/>
                <w:color w:val="auto"/>
                <w:w w:val="96"/>
              </w:rPr>
              <w:t>Non-Equity</w:t>
            </w:r>
          </w:p>
        </w:tc>
        <w:tc>
          <w:tcPr>
            <w:tcW w:w="160" w:type="dxa"/>
            <w:vAlign w:val="bottom"/>
          </w:tcPr>
          <w:p>
            <w:pPr>
              <w:spacing w:after="0"/>
              <w:rPr>
                <w:sz w:val="14"/>
                <w:szCs w:val="14"/>
                <w:color w:val="auto"/>
              </w:rPr>
            </w:pPr>
          </w:p>
        </w:tc>
        <w:tc>
          <w:tcPr>
            <w:tcW w:w="110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All Other</w:t>
            </w:r>
          </w:p>
        </w:tc>
        <w:tc>
          <w:tcPr>
            <w:tcW w:w="1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1760" w:type="dxa"/>
            <w:vAlign w:val="bottom"/>
            <w:vMerge w:val="restart"/>
          </w:tcPr>
          <w:p>
            <w:pPr>
              <w:spacing w:after="0"/>
              <w:rPr>
                <w:sz w:val="20"/>
                <w:szCs w:val="20"/>
                <w:color w:val="auto"/>
              </w:rPr>
            </w:pPr>
            <w:r>
              <w:rPr>
                <w:rFonts w:ascii="Arial" w:cs="Arial" w:eastAsia="Arial" w:hAnsi="Arial"/>
                <w:sz w:val="14"/>
                <w:szCs w:val="14"/>
                <w:b w:val="1"/>
                <w:bCs w:val="1"/>
                <w:color w:val="auto"/>
                <w:w w:val="92"/>
              </w:rPr>
              <w:t>Name and Principal Position</w:t>
            </w:r>
          </w:p>
        </w:tc>
        <w:tc>
          <w:tcPr>
            <w:tcW w:w="2460" w:type="dxa"/>
            <w:vAlign w:val="bottom"/>
            <w:vMerge w:val="restart"/>
          </w:tcPr>
          <w:p>
            <w:pPr>
              <w:spacing w:after="0"/>
              <w:rPr>
                <w:sz w:val="12"/>
                <w:szCs w:val="12"/>
                <w:color w:val="auto"/>
              </w:rPr>
            </w:pPr>
          </w:p>
        </w:tc>
        <w:tc>
          <w:tcPr>
            <w:tcW w:w="320" w:type="dxa"/>
            <w:vAlign w:val="bottom"/>
          </w:tcPr>
          <w:p>
            <w:pPr>
              <w:spacing w:after="0"/>
              <w:rPr>
                <w:sz w:val="12"/>
                <w:szCs w:val="12"/>
                <w:color w:val="auto"/>
              </w:rPr>
            </w:pPr>
          </w:p>
        </w:tc>
        <w:tc>
          <w:tcPr>
            <w:tcW w:w="80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Year</w:t>
            </w:r>
          </w:p>
        </w:tc>
        <w:tc>
          <w:tcPr>
            <w:tcW w:w="880" w:type="dxa"/>
            <w:vAlign w:val="bottom"/>
            <w:gridSpan w:val="2"/>
            <w:vMerge w:val="restart"/>
          </w:tcPr>
          <w:p>
            <w:pPr>
              <w:jc w:val="center"/>
              <w:ind w:right="200"/>
              <w:spacing w:after="0"/>
              <w:rPr>
                <w:sz w:val="20"/>
                <w:szCs w:val="20"/>
                <w:color w:val="auto"/>
              </w:rPr>
            </w:pPr>
            <w:r>
              <w:rPr>
                <w:rFonts w:ascii="Arial" w:cs="Arial" w:eastAsia="Arial" w:hAnsi="Arial"/>
                <w:sz w:val="14"/>
                <w:szCs w:val="14"/>
                <w:b w:val="1"/>
                <w:bCs w:val="1"/>
                <w:color w:val="auto"/>
                <w:w w:val="95"/>
              </w:rPr>
              <w:t>Salary</w:t>
            </w:r>
          </w:p>
        </w:tc>
        <w:tc>
          <w:tcPr>
            <w:tcW w:w="180" w:type="dxa"/>
            <w:vAlign w:val="bottom"/>
          </w:tcPr>
          <w:p>
            <w:pPr>
              <w:spacing w:after="0"/>
              <w:rPr>
                <w:sz w:val="12"/>
                <w:szCs w:val="12"/>
                <w:color w:val="auto"/>
              </w:rPr>
            </w:pPr>
          </w:p>
        </w:tc>
        <w:tc>
          <w:tcPr>
            <w:tcW w:w="800" w:type="dxa"/>
            <w:vAlign w:val="bottom"/>
            <w:gridSpan w:val="2"/>
            <w:vMerge w:val="restart"/>
          </w:tcPr>
          <w:p>
            <w:pPr>
              <w:jc w:val="center"/>
              <w:ind w:right="200"/>
              <w:spacing w:after="0"/>
              <w:rPr>
                <w:sz w:val="20"/>
                <w:szCs w:val="20"/>
                <w:color w:val="auto"/>
              </w:rPr>
            </w:pPr>
            <w:r>
              <w:rPr>
                <w:rFonts w:ascii="Arial" w:cs="Arial" w:eastAsia="Arial" w:hAnsi="Arial"/>
                <w:sz w:val="14"/>
                <w:szCs w:val="14"/>
                <w:b w:val="1"/>
                <w:bCs w:val="1"/>
                <w:color w:val="auto"/>
                <w:w w:val="92"/>
              </w:rPr>
              <w:t>Bonus(2)</w:t>
            </w:r>
          </w:p>
        </w:tc>
        <w:tc>
          <w:tcPr>
            <w:tcW w:w="180" w:type="dxa"/>
            <w:vAlign w:val="bottom"/>
          </w:tcPr>
          <w:p>
            <w:pPr>
              <w:spacing w:after="0"/>
              <w:rPr>
                <w:sz w:val="12"/>
                <w:szCs w:val="12"/>
                <w:color w:val="auto"/>
              </w:rPr>
            </w:pPr>
          </w:p>
        </w:tc>
        <w:tc>
          <w:tcPr>
            <w:tcW w:w="1440" w:type="dxa"/>
            <w:vAlign w:val="bottom"/>
            <w:gridSpan w:val="3"/>
          </w:tcPr>
          <w:p>
            <w:pPr>
              <w:jc w:val="center"/>
              <w:ind w:right="400"/>
              <w:spacing w:after="0" w:line="149" w:lineRule="exact"/>
              <w:rPr>
                <w:sz w:val="20"/>
                <w:szCs w:val="20"/>
                <w:color w:val="auto"/>
              </w:rPr>
            </w:pPr>
            <w:r>
              <w:rPr>
                <w:rFonts w:ascii="Arial" w:cs="Arial" w:eastAsia="Arial" w:hAnsi="Arial"/>
                <w:sz w:val="14"/>
                <w:szCs w:val="14"/>
                <w:b w:val="1"/>
                <w:bCs w:val="1"/>
                <w:color w:val="auto"/>
                <w:w w:val="93"/>
              </w:rPr>
              <w:t>Incentive Plan</w:t>
            </w:r>
          </w:p>
        </w:tc>
        <w:tc>
          <w:tcPr>
            <w:tcW w:w="160" w:type="dxa"/>
            <w:vAlign w:val="bottom"/>
          </w:tcPr>
          <w:p>
            <w:pPr>
              <w:spacing w:after="0"/>
              <w:rPr>
                <w:sz w:val="12"/>
                <w:szCs w:val="12"/>
                <w:color w:val="auto"/>
              </w:rPr>
            </w:pPr>
          </w:p>
        </w:tc>
        <w:tc>
          <w:tcPr>
            <w:tcW w:w="110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760" w:type="dxa"/>
            <w:vAlign w:val="bottom"/>
            <w:gridSpan w:val="2"/>
            <w:vMerge w:val="restart"/>
          </w:tcPr>
          <w:p>
            <w:pPr>
              <w:jc w:val="center"/>
              <w:ind w:right="40"/>
              <w:spacing w:after="0"/>
              <w:rPr>
                <w:sz w:val="20"/>
                <w:szCs w:val="20"/>
                <w:color w:val="auto"/>
              </w:rPr>
            </w:pPr>
            <w:r>
              <w:rPr>
                <w:rFonts w:ascii="Arial" w:cs="Arial" w:eastAsia="Arial" w:hAnsi="Arial"/>
                <w:sz w:val="14"/>
                <w:szCs w:val="14"/>
                <w:b w:val="1"/>
                <w:bCs w:val="1"/>
                <w:color w:val="auto"/>
                <w:w w:val="95"/>
              </w:rPr>
              <w:t>Total</w:t>
            </w:r>
          </w:p>
        </w:tc>
        <w:tc>
          <w:tcPr>
            <w:tcW w:w="0" w:type="dxa"/>
            <w:vAlign w:val="bottom"/>
          </w:tcPr>
          <w:p>
            <w:pPr>
              <w:spacing w:after="0"/>
              <w:rPr>
                <w:sz w:val="1"/>
                <w:szCs w:val="1"/>
                <w:color w:val="auto"/>
              </w:rPr>
            </w:pPr>
          </w:p>
        </w:tc>
      </w:tr>
      <w:tr>
        <w:trPr>
          <w:trHeight w:val="178"/>
        </w:trPr>
        <w:tc>
          <w:tcPr>
            <w:tcW w:w="1760" w:type="dxa"/>
            <w:vAlign w:val="bottom"/>
            <w:tcBorders>
              <w:bottom w:val="single" w:sz="8" w:color="auto"/>
            </w:tcBorders>
            <w:vMerge w:val="continue"/>
          </w:tcPr>
          <w:p>
            <w:pPr>
              <w:spacing w:after="0"/>
              <w:rPr>
                <w:sz w:val="15"/>
                <w:szCs w:val="15"/>
                <w:color w:val="auto"/>
              </w:rPr>
            </w:pPr>
          </w:p>
        </w:tc>
        <w:tc>
          <w:tcPr>
            <w:tcW w:w="2460" w:type="dxa"/>
            <w:vAlign w:val="bottom"/>
            <w:vMerge w:val="continue"/>
          </w:tcPr>
          <w:p>
            <w:pPr>
              <w:spacing w:after="0"/>
              <w:rPr>
                <w:sz w:val="15"/>
                <w:szCs w:val="15"/>
                <w:color w:val="auto"/>
              </w:rPr>
            </w:pPr>
          </w:p>
        </w:tc>
        <w:tc>
          <w:tcPr>
            <w:tcW w:w="320" w:type="dxa"/>
            <w:vAlign w:val="bottom"/>
          </w:tcPr>
          <w:p>
            <w:pPr>
              <w:spacing w:after="0"/>
              <w:rPr>
                <w:sz w:val="15"/>
                <w:szCs w:val="15"/>
                <w:color w:val="auto"/>
              </w:rPr>
            </w:pPr>
          </w:p>
        </w:tc>
        <w:tc>
          <w:tcPr>
            <w:tcW w:w="800" w:type="dxa"/>
            <w:vAlign w:val="bottom"/>
            <w:gridSpan w:val="2"/>
            <w:vMerge w:val="continue"/>
          </w:tcPr>
          <w:p>
            <w:pPr>
              <w:spacing w:after="0"/>
              <w:rPr>
                <w:sz w:val="15"/>
                <w:szCs w:val="15"/>
                <w:color w:val="auto"/>
              </w:rPr>
            </w:pPr>
          </w:p>
        </w:tc>
        <w:tc>
          <w:tcPr>
            <w:tcW w:w="880" w:type="dxa"/>
            <w:vAlign w:val="bottom"/>
            <w:gridSpan w:val="2"/>
            <w:vMerge w:val="continue"/>
          </w:tcPr>
          <w:p>
            <w:pPr>
              <w:spacing w:after="0"/>
              <w:rPr>
                <w:sz w:val="15"/>
                <w:szCs w:val="15"/>
                <w:color w:val="auto"/>
              </w:rPr>
            </w:pPr>
          </w:p>
        </w:tc>
        <w:tc>
          <w:tcPr>
            <w:tcW w:w="180" w:type="dxa"/>
            <w:vAlign w:val="bottom"/>
          </w:tcPr>
          <w:p>
            <w:pPr>
              <w:spacing w:after="0"/>
              <w:rPr>
                <w:sz w:val="15"/>
                <w:szCs w:val="15"/>
                <w:color w:val="auto"/>
              </w:rPr>
            </w:pPr>
          </w:p>
        </w:tc>
        <w:tc>
          <w:tcPr>
            <w:tcW w:w="800" w:type="dxa"/>
            <w:vAlign w:val="bottom"/>
            <w:gridSpan w:val="2"/>
            <w:vMerge w:val="continue"/>
          </w:tcPr>
          <w:p>
            <w:pPr>
              <w:spacing w:after="0"/>
              <w:rPr>
                <w:sz w:val="15"/>
                <w:szCs w:val="15"/>
                <w:color w:val="auto"/>
              </w:rPr>
            </w:pPr>
          </w:p>
        </w:tc>
        <w:tc>
          <w:tcPr>
            <w:tcW w:w="180" w:type="dxa"/>
            <w:vAlign w:val="bottom"/>
          </w:tcPr>
          <w:p>
            <w:pPr>
              <w:spacing w:after="0"/>
              <w:rPr>
                <w:sz w:val="15"/>
                <w:szCs w:val="15"/>
                <w:color w:val="auto"/>
              </w:rPr>
            </w:pPr>
          </w:p>
        </w:tc>
        <w:tc>
          <w:tcPr>
            <w:tcW w:w="1440" w:type="dxa"/>
            <w:vAlign w:val="bottom"/>
            <w:gridSpan w:val="3"/>
          </w:tcPr>
          <w:p>
            <w:pPr>
              <w:spacing w:after="0" w:line="158" w:lineRule="exact"/>
              <w:rPr>
                <w:sz w:val="20"/>
                <w:szCs w:val="20"/>
                <w:color w:val="auto"/>
              </w:rPr>
            </w:pPr>
            <w:r>
              <w:rPr>
                <w:rFonts w:ascii="Arial" w:cs="Arial" w:eastAsia="Arial" w:hAnsi="Arial"/>
                <w:sz w:val="14"/>
                <w:szCs w:val="14"/>
                <w:b w:val="1"/>
                <w:bCs w:val="1"/>
                <w:color w:val="auto"/>
              </w:rPr>
              <w:t>Compensation(3)</w:t>
            </w:r>
          </w:p>
        </w:tc>
        <w:tc>
          <w:tcPr>
            <w:tcW w:w="1260" w:type="dxa"/>
            <w:vAlign w:val="bottom"/>
            <w:gridSpan w:val="3"/>
          </w:tcPr>
          <w:p>
            <w:pPr>
              <w:jc w:val="right"/>
              <w:ind w:right="200"/>
              <w:spacing w:after="0" w:line="158" w:lineRule="exact"/>
              <w:rPr>
                <w:sz w:val="20"/>
                <w:szCs w:val="20"/>
                <w:color w:val="auto"/>
              </w:rPr>
            </w:pPr>
            <w:r>
              <w:rPr>
                <w:rFonts w:ascii="Arial" w:cs="Arial" w:eastAsia="Arial" w:hAnsi="Arial"/>
                <w:sz w:val="14"/>
                <w:szCs w:val="14"/>
                <w:b w:val="1"/>
                <w:bCs w:val="1"/>
                <w:color w:val="auto"/>
                <w:w w:val="90"/>
              </w:rPr>
              <w:t>Compensation(4)</w:t>
            </w:r>
          </w:p>
        </w:tc>
        <w:tc>
          <w:tcPr>
            <w:tcW w:w="180" w:type="dxa"/>
            <w:vAlign w:val="bottom"/>
          </w:tcPr>
          <w:p>
            <w:pPr>
              <w:spacing w:after="0"/>
              <w:rPr>
                <w:sz w:val="15"/>
                <w:szCs w:val="15"/>
                <w:color w:val="auto"/>
              </w:rPr>
            </w:pPr>
          </w:p>
        </w:tc>
        <w:tc>
          <w:tcPr>
            <w:tcW w:w="76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4220" w:type="dxa"/>
            <w:vAlign w:val="bottom"/>
            <w:tcBorders>
              <w:top w:val="single" w:sz="8" w:color="CCEEFF"/>
            </w:tcBorders>
            <w:gridSpan w:val="2"/>
            <w:shd w:val="clear" w:color="auto" w:fill="CCEEFF"/>
          </w:tcPr>
          <w:p>
            <w:pPr>
              <w:spacing w:after="0" w:line="203" w:lineRule="exact"/>
              <w:rPr>
                <w:sz w:val="20"/>
                <w:szCs w:val="20"/>
                <w:color w:val="auto"/>
              </w:rPr>
            </w:pPr>
            <w:r>
              <w:rPr>
                <w:rFonts w:ascii="Arial" w:cs="Arial" w:eastAsia="Arial" w:hAnsi="Arial"/>
                <w:sz w:val="18"/>
                <w:szCs w:val="18"/>
                <w:color w:val="auto"/>
              </w:rPr>
              <w:t>Jason Krantz</w:t>
            </w:r>
          </w:p>
        </w:tc>
        <w:tc>
          <w:tcPr>
            <w:tcW w:w="320" w:type="dxa"/>
            <w:vAlign w:val="bottom"/>
            <w:tcBorders>
              <w:top w:val="single" w:sz="8" w:color="CCEEFF"/>
            </w:tcBorders>
            <w:shd w:val="clear" w:color="auto" w:fill="CCEEFF"/>
          </w:tcPr>
          <w:p>
            <w:pPr>
              <w:spacing w:after="0"/>
              <w:rPr>
                <w:sz w:val="17"/>
                <w:szCs w:val="17"/>
                <w:color w:val="auto"/>
              </w:rPr>
            </w:pPr>
          </w:p>
        </w:tc>
        <w:tc>
          <w:tcPr>
            <w:tcW w:w="420" w:type="dxa"/>
            <w:vAlign w:val="bottom"/>
            <w:tcBorders>
              <w:top w:val="single" w:sz="8" w:color="auto"/>
            </w:tcBorders>
            <w:shd w:val="clear" w:color="auto" w:fill="CCEEFF"/>
          </w:tcPr>
          <w:p>
            <w:pPr>
              <w:ind w:left="60"/>
              <w:spacing w:after="0" w:line="203" w:lineRule="exact"/>
              <w:rPr>
                <w:sz w:val="20"/>
                <w:szCs w:val="20"/>
                <w:color w:val="auto"/>
              </w:rPr>
            </w:pPr>
            <w:r>
              <w:rPr>
                <w:rFonts w:ascii="Arial" w:cs="Arial" w:eastAsia="Arial" w:hAnsi="Arial"/>
                <w:sz w:val="18"/>
                <w:szCs w:val="18"/>
                <w:color w:val="auto"/>
                <w:w w:val="84"/>
              </w:rPr>
              <w:t>2020</w:t>
            </w:r>
          </w:p>
        </w:tc>
        <w:tc>
          <w:tcPr>
            <w:tcW w:w="380" w:type="dxa"/>
            <w:vAlign w:val="bottom"/>
            <w:tcBorders>
              <w:top w:val="single" w:sz="8" w:color="CCEEFF"/>
            </w:tcBorders>
            <w:shd w:val="clear" w:color="auto" w:fill="CCEEFF"/>
          </w:tcPr>
          <w:p>
            <w:pPr>
              <w:spacing w:after="0"/>
              <w:rPr>
                <w:sz w:val="17"/>
                <w:szCs w:val="17"/>
                <w:color w:val="auto"/>
              </w:rPr>
            </w:pPr>
          </w:p>
        </w:tc>
        <w:tc>
          <w:tcPr>
            <w:tcW w:w="700" w:type="dxa"/>
            <w:vAlign w:val="bottom"/>
            <w:tcBorders>
              <w:top w:val="single" w:sz="8" w:color="auto"/>
            </w:tcBorders>
            <w:shd w:val="clear" w:color="auto" w:fill="CCEEFF"/>
          </w:tcPr>
          <w:p>
            <w:pPr>
              <w:jc w:val="center"/>
              <w:spacing w:after="0" w:line="203" w:lineRule="exact"/>
              <w:rPr>
                <w:sz w:val="20"/>
                <w:szCs w:val="20"/>
                <w:color w:val="auto"/>
              </w:rPr>
            </w:pPr>
            <w:r>
              <w:rPr>
                <w:rFonts w:ascii="Arial" w:cs="Arial" w:eastAsia="Arial" w:hAnsi="Arial"/>
                <w:sz w:val="18"/>
                <w:szCs w:val="18"/>
                <w:color w:val="auto"/>
                <w:w w:val="93"/>
              </w:rPr>
              <w:t>$420,250</w:t>
            </w:r>
          </w:p>
        </w:tc>
        <w:tc>
          <w:tcPr>
            <w:tcW w:w="18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600" w:type="dxa"/>
            <w:vAlign w:val="bottom"/>
            <w:tcBorders>
              <w:top w:val="single" w:sz="8" w:color="auto"/>
            </w:tcBorders>
            <w:shd w:val="clear" w:color="auto" w:fill="CCEEFF"/>
          </w:tcPr>
          <w:p>
            <w:pPr>
              <w:jc w:val="center"/>
              <w:spacing w:after="0" w:line="203" w:lineRule="exact"/>
              <w:rPr>
                <w:sz w:val="20"/>
                <w:szCs w:val="20"/>
                <w:color w:val="auto"/>
              </w:rPr>
            </w:pPr>
            <w:r>
              <w:rPr>
                <w:rFonts w:ascii="Arial" w:cs="Arial" w:eastAsia="Arial" w:hAnsi="Arial"/>
                <w:sz w:val="18"/>
                <w:szCs w:val="18"/>
                <w:color w:val="auto"/>
                <w:w w:val="92"/>
              </w:rPr>
              <w:t>$25,000</w:t>
            </w:r>
          </w:p>
        </w:tc>
        <w:tc>
          <w:tcPr>
            <w:tcW w:w="20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line="203" w:lineRule="exact"/>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tcBorders>
            <w:shd w:val="clear" w:color="auto" w:fill="CCEEFF"/>
          </w:tcPr>
          <w:p>
            <w:pPr>
              <w:ind w:left="360"/>
              <w:spacing w:after="0" w:line="203" w:lineRule="exact"/>
              <w:rPr>
                <w:sz w:val="20"/>
                <w:szCs w:val="20"/>
                <w:color w:val="auto"/>
              </w:rPr>
            </w:pPr>
            <w:r>
              <w:rPr>
                <w:rFonts w:ascii="Arial" w:cs="Arial" w:eastAsia="Arial" w:hAnsi="Arial"/>
                <w:sz w:val="18"/>
                <w:szCs w:val="18"/>
                <w:color w:val="auto"/>
                <w:w w:val="86"/>
              </w:rPr>
              <w:t>310,770</w:t>
            </w:r>
          </w:p>
        </w:tc>
        <w:tc>
          <w:tcPr>
            <w:tcW w:w="38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29,677</w:t>
            </w:r>
          </w:p>
        </w:tc>
        <w:tc>
          <w:tcPr>
            <w:tcW w:w="18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700" w:type="dxa"/>
            <w:vAlign w:val="bottom"/>
            <w:tcBorders>
              <w:top w:val="single" w:sz="8" w:color="auto"/>
            </w:tcBorders>
            <w:shd w:val="clear" w:color="auto" w:fill="CCEEFF"/>
          </w:tcPr>
          <w:p>
            <w:pPr>
              <w:jc w:val="center"/>
              <w:spacing w:after="0" w:line="203" w:lineRule="exact"/>
              <w:rPr>
                <w:sz w:val="20"/>
                <w:szCs w:val="20"/>
                <w:color w:val="auto"/>
              </w:rPr>
            </w:pPr>
            <w:r>
              <w:rPr>
                <w:rFonts w:ascii="Arial" w:cs="Arial" w:eastAsia="Arial" w:hAnsi="Arial"/>
                <w:sz w:val="18"/>
                <w:szCs w:val="18"/>
                <w:color w:val="auto"/>
                <w:w w:val="93"/>
              </w:rPr>
              <w:t>$760,697</w:t>
            </w:r>
          </w:p>
        </w:tc>
        <w:tc>
          <w:tcPr>
            <w:tcW w:w="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22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Chairman and Chief Executive Officer</w:t>
            </w:r>
          </w:p>
        </w:tc>
        <w:tc>
          <w:tcPr>
            <w:tcW w:w="3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4220" w:type="dxa"/>
            <w:vAlign w:val="bottom"/>
            <w:gridSpan w:val="2"/>
          </w:tcPr>
          <w:p>
            <w:pPr>
              <w:spacing w:after="0" w:line="201" w:lineRule="exact"/>
              <w:rPr>
                <w:sz w:val="20"/>
                <w:szCs w:val="20"/>
                <w:color w:val="auto"/>
              </w:rPr>
            </w:pPr>
            <w:r>
              <w:rPr>
                <w:rFonts w:ascii="Arial" w:cs="Arial" w:eastAsia="Arial" w:hAnsi="Arial"/>
                <w:sz w:val="18"/>
                <w:szCs w:val="18"/>
                <w:color w:val="auto"/>
              </w:rPr>
              <w:t>Kevin Shone</w:t>
            </w:r>
            <w:r>
              <w:rPr>
                <w:rFonts w:ascii="Arial" w:cs="Arial" w:eastAsia="Arial" w:hAnsi="Arial"/>
                <w:sz w:val="15"/>
                <w:szCs w:val="15"/>
                <w:color w:val="auto"/>
              </w:rPr>
              <w:t>(1)</w:t>
            </w:r>
          </w:p>
        </w:tc>
        <w:tc>
          <w:tcPr>
            <w:tcW w:w="1120" w:type="dxa"/>
            <w:vAlign w:val="bottom"/>
            <w:gridSpan w:val="3"/>
          </w:tcPr>
          <w:p>
            <w:pPr>
              <w:ind w:left="380"/>
              <w:spacing w:after="0" w:line="201" w:lineRule="exact"/>
              <w:rPr>
                <w:sz w:val="20"/>
                <w:szCs w:val="20"/>
                <w:color w:val="auto"/>
              </w:rPr>
            </w:pPr>
            <w:r>
              <w:rPr>
                <w:rFonts w:ascii="Arial" w:cs="Arial" w:eastAsia="Arial" w:hAnsi="Arial"/>
                <w:sz w:val="18"/>
                <w:szCs w:val="18"/>
                <w:color w:val="auto"/>
              </w:rPr>
              <w:t>2020</w:t>
            </w:r>
          </w:p>
        </w:tc>
        <w:tc>
          <w:tcPr>
            <w:tcW w:w="880" w:type="dxa"/>
            <w:vAlign w:val="bottom"/>
            <w:gridSpan w:val="2"/>
          </w:tcPr>
          <w:p>
            <w:pPr>
              <w:jc w:val="center"/>
              <w:ind w:right="180"/>
              <w:spacing w:after="0" w:line="201" w:lineRule="exact"/>
              <w:rPr>
                <w:sz w:val="20"/>
                <w:szCs w:val="20"/>
                <w:color w:val="auto"/>
              </w:rPr>
            </w:pPr>
            <w:r>
              <w:rPr>
                <w:rFonts w:ascii="Arial" w:cs="Arial" w:eastAsia="Arial" w:hAnsi="Arial"/>
                <w:sz w:val="18"/>
                <w:szCs w:val="18"/>
                <w:color w:val="auto"/>
                <w:w w:val="93"/>
              </w:rPr>
              <w:t>$280,500</w:t>
            </w:r>
          </w:p>
        </w:tc>
        <w:tc>
          <w:tcPr>
            <w:tcW w:w="980" w:type="dxa"/>
            <w:vAlign w:val="bottom"/>
            <w:gridSpan w:val="3"/>
          </w:tcPr>
          <w:p>
            <w:pPr>
              <w:jc w:val="center"/>
              <w:ind w:right="20"/>
              <w:spacing w:after="0" w:line="201" w:lineRule="exact"/>
              <w:rPr>
                <w:sz w:val="20"/>
                <w:szCs w:val="20"/>
                <w:color w:val="auto"/>
              </w:rPr>
            </w:pPr>
            <w:r>
              <w:rPr>
                <w:rFonts w:ascii="Arial" w:cs="Arial" w:eastAsia="Arial" w:hAnsi="Arial"/>
                <w:sz w:val="18"/>
                <w:szCs w:val="18"/>
                <w:color w:val="auto"/>
                <w:w w:val="92"/>
              </w:rPr>
              <w:t>$25,000</w:t>
            </w:r>
          </w:p>
        </w:tc>
        <w:tc>
          <w:tcPr>
            <w:tcW w:w="300" w:type="dxa"/>
            <w:vAlign w:val="bottom"/>
            <w:gridSpan w:val="2"/>
          </w:tcPr>
          <w:p>
            <w:pPr>
              <w:ind w:left="180"/>
              <w:spacing w:after="0" w:line="201" w:lineRule="exact"/>
              <w:rPr>
                <w:sz w:val="20"/>
                <w:szCs w:val="20"/>
                <w:color w:val="auto"/>
              </w:rPr>
            </w:pPr>
            <w:r>
              <w:rPr>
                <w:rFonts w:ascii="Arial" w:cs="Arial" w:eastAsia="Arial" w:hAnsi="Arial"/>
                <w:sz w:val="18"/>
                <w:szCs w:val="18"/>
                <w:color w:val="auto"/>
                <w:w w:val="99"/>
              </w:rPr>
              <w:t>$</w:t>
            </w:r>
          </w:p>
        </w:tc>
        <w:tc>
          <w:tcPr>
            <w:tcW w:w="1320" w:type="dxa"/>
            <w:vAlign w:val="bottom"/>
            <w:gridSpan w:val="2"/>
          </w:tcPr>
          <w:p>
            <w:pPr>
              <w:ind w:left="360"/>
              <w:spacing w:after="0" w:line="201" w:lineRule="exact"/>
              <w:rPr>
                <w:sz w:val="20"/>
                <w:szCs w:val="20"/>
                <w:color w:val="auto"/>
              </w:rPr>
            </w:pPr>
            <w:r>
              <w:rPr>
                <w:rFonts w:ascii="Arial" w:cs="Arial" w:eastAsia="Arial" w:hAnsi="Arial"/>
                <w:sz w:val="18"/>
                <w:szCs w:val="18"/>
                <w:color w:val="auto"/>
              </w:rPr>
              <w:t>125,000</w:t>
            </w:r>
          </w:p>
        </w:tc>
        <w:tc>
          <w:tcPr>
            <w:tcW w:w="160" w:type="dxa"/>
            <w:vAlign w:val="bottom"/>
          </w:tcPr>
          <w:p>
            <w:pPr>
              <w:jc w:val="right"/>
              <w:spacing w:after="0" w:line="201" w:lineRule="exact"/>
              <w:rPr>
                <w:sz w:val="20"/>
                <w:szCs w:val="20"/>
                <w:color w:val="auto"/>
              </w:rPr>
            </w:pPr>
            <w:r>
              <w:rPr>
                <w:rFonts w:ascii="Arial" w:cs="Arial" w:eastAsia="Arial" w:hAnsi="Arial"/>
                <w:sz w:val="18"/>
                <w:szCs w:val="18"/>
                <w:color w:val="auto"/>
                <w:w w:val="79"/>
              </w:rPr>
              <w:t>$</w:t>
            </w:r>
          </w:p>
        </w:tc>
        <w:tc>
          <w:tcPr>
            <w:tcW w:w="1100" w:type="dxa"/>
            <w:vAlign w:val="bottom"/>
            <w:gridSpan w:val="2"/>
          </w:tcPr>
          <w:p>
            <w:pPr>
              <w:jc w:val="right"/>
              <w:ind w:right="180"/>
              <w:spacing w:after="0" w:line="201" w:lineRule="exact"/>
              <w:rPr>
                <w:sz w:val="20"/>
                <w:szCs w:val="20"/>
                <w:color w:val="auto"/>
              </w:rPr>
            </w:pPr>
            <w:r>
              <w:rPr>
                <w:rFonts w:ascii="Arial" w:cs="Arial" w:eastAsia="Arial" w:hAnsi="Arial"/>
                <w:sz w:val="18"/>
                <w:szCs w:val="18"/>
                <w:color w:val="auto"/>
              </w:rPr>
              <w:t>31,807</w:t>
            </w:r>
          </w:p>
        </w:tc>
        <w:tc>
          <w:tcPr>
            <w:tcW w:w="940" w:type="dxa"/>
            <w:vAlign w:val="bottom"/>
            <w:gridSpan w:val="3"/>
          </w:tcPr>
          <w:p>
            <w:pPr>
              <w:jc w:val="center"/>
              <w:ind w:left="30"/>
              <w:spacing w:after="0" w:line="201" w:lineRule="exact"/>
              <w:rPr>
                <w:sz w:val="20"/>
                <w:szCs w:val="20"/>
                <w:color w:val="auto"/>
              </w:rPr>
            </w:pPr>
            <w:r>
              <w:rPr>
                <w:rFonts w:ascii="Arial" w:cs="Arial" w:eastAsia="Arial" w:hAnsi="Arial"/>
                <w:sz w:val="18"/>
                <w:szCs w:val="18"/>
                <w:color w:val="auto"/>
                <w:w w:val="93"/>
              </w:rPr>
              <w:t>$437,307</w:t>
            </w:r>
          </w:p>
        </w:tc>
        <w:tc>
          <w:tcPr>
            <w:tcW w:w="0" w:type="dxa"/>
            <w:vAlign w:val="bottom"/>
          </w:tcPr>
          <w:p>
            <w:pPr>
              <w:spacing w:after="0"/>
              <w:rPr>
                <w:sz w:val="1"/>
                <w:szCs w:val="1"/>
                <w:color w:val="auto"/>
              </w:rPr>
            </w:pPr>
          </w:p>
        </w:tc>
      </w:tr>
      <w:tr>
        <w:trPr>
          <w:trHeight w:val="230"/>
        </w:trPr>
        <w:tc>
          <w:tcPr>
            <w:tcW w:w="4220" w:type="dxa"/>
            <w:vAlign w:val="bottom"/>
            <w:gridSpan w:val="2"/>
          </w:tcPr>
          <w:p>
            <w:pPr>
              <w:ind w:left="180"/>
              <w:spacing w:after="0"/>
              <w:rPr>
                <w:sz w:val="20"/>
                <w:szCs w:val="20"/>
                <w:color w:val="auto"/>
              </w:rPr>
            </w:pPr>
            <w:r>
              <w:rPr>
                <w:rFonts w:ascii="Arial" w:cs="Arial" w:eastAsia="Arial" w:hAnsi="Arial"/>
                <w:sz w:val="18"/>
                <w:szCs w:val="18"/>
                <w:color w:val="auto"/>
              </w:rPr>
              <w:t>former Chief Financial Officer</w:t>
            </w:r>
          </w:p>
        </w:tc>
        <w:tc>
          <w:tcPr>
            <w:tcW w:w="3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42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Joseph Mirisola</w:t>
            </w:r>
          </w:p>
        </w:tc>
        <w:tc>
          <w:tcPr>
            <w:tcW w:w="1120" w:type="dxa"/>
            <w:vAlign w:val="bottom"/>
            <w:gridSpan w:val="3"/>
            <w:shd w:val="clear" w:color="auto" w:fill="CCEEFF"/>
          </w:tcPr>
          <w:p>
            <w:pPr>
              <w:ind w:left="380"/>
              <w:spacing w:after="0"/>
              <w:rPr>
                <w:sz w:val="20"/>
                <w:szCs w:val="20"/>
                <w:color w:val="auto"/>
              </w:rPr>
            </w:pPr>
            <w:r>
              <w:rPr>
                <w:rFonts w:ascii="Arial" w:cs="Arial" w:eastAsia="Arial" w:hAnsi="Arial"/>
                <w:sz w:val="18"/>
                <w:szCs w:val="18"/>
                <w:color w:val="auto"/>
              </w:rPr>
              <w:t>2020</w:t>
            </w:r>
          </w:p>
        </w:tc>
        <w:tc>
          <w:tcPr>
            <w:tcW w:w="880" w:type="dxa"/>
            <w:vAlign w:val="bottom"/>
            <w:gridSpan w:val="2"/>
            <w:shd w:val="clear" w:color="auto" w:fill="CCEEFF"/>
          </w:tcPr>
          <w:p>
            <w:pPr>
              <w:jc w:val="center"/>
              <w:ind w:right="180"/>
              <w:spacing w:after="0"/>
              <w:rPr>
                <w:sz w:val="20"/>
                <w:szCs w:val="20"/>
                <w:color w:val="auto"/>
              </w:rPr>
            </w:pPr>
            <w:r>
              <w:rPr>
                <w:rFonts w:ascii="Arial" w:cs="Arial" w:eastAsia="Arial" w:hAnsi="Arial"/>
                <w:sz w:val="18"/>
                <w:szCs w:val="18"/>
                <w:color w:val="auto"/>
                <w:w w:val="93"/>
              </w:rPr>
              <w:t>$275,000</w:t>
            </w:r>
          </w:p>
        </w:tc>
        <w:tc>
          <w:tcPr>
            <w:tcW w:w="980" w:type="dxa"/>
            <w:vAlign w:val="bottom"/>
            <w:gridSpan w:val="3"/>
            <w:shd w:val="clear" w:color="auto" w:fill="CCEEFF"/>
          </w:tcPr>
          <w:p>
            <w:pPr>
              <w:jc w:val="center"/>
              <w:ind w:right="20"/>
              <w:spacing w:after="0"/>
              <w:rPr>
                <w:sz w:val="20"/>
                <w:szCs w:val="20"/>
                <w:color w:val="auto"/>
              </w:rPr>
            </w:pPr>
            <w:r>
              <w:rPr>
                <w:rFonts w:ascii="Arial" w:cs="Arial" w:eastAsia="Arial" w:hAnsi="Arial"/>
                <w:sz w:val="18"/>
                <w:szCs w:val="18"/>
                <w:color w:val="auto"/>
                <w:w w:val="92"/>
              </w:rPr>
              <w:t>$25,000</w:t>
            </w:r>
          </w:p>
        </w:tc>
        <w:tc>
          <w:tcPr>
            <w:tcW w:w="30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w w:val="99"/>
              </w:rPr>
              <w:t>$</w:t>
            </w:r>
          </w:p>
        </w:tc>
        <w:tc>
          <w:tcPr>
            <w:tcW w:w="132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200,000</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11,670</w:t>
            </w:r>
          </w:p>
        </w:tc>
        <w:tc>
          <w:tcPr>
            <w:tcW w:w="940" w:type="dxa"/>
            <w:vAlign w:val="bottom"/>
            <w:gridSpan w:val="3"/>
            <w:shd w:val="clear" w:color="auto" w:fill="CCEEFF"/>
          </w:tcPr>
          <w:p>
            <w:pPr>
              <w:jc w:val="center"/>
              <w:ind w:left="30"/>
              <w:spacing w:after="0"/>
              <w:rPr>
                <w:sz w:val="20"/>
                <w:szCs w:val="20"/>
                <w:color w:val="auto"/>
              </w:rPr>
            </w:pPr>
            <w:r>
              <w:rPr>
                <w:rFonts w:ascii="Arial" w:cs="Arial" w:eastAsia="Arial" w:hAnsi="Arial"/>
                <w:sz w:val="18"/>
                <w:szCs w:val="18"/>
                <w:color w:val="auto"/>
                <w:w w:val="93"/>
              </w:rPr>
              <w:t>$486,670</w:t>
            </w:r>
          </w:p>
        </w:tc>
        <w:tc>
          <w:tcPr>
            <w:tcW w:w="0" w:type="dxa"/>
            <w:vAlign w:val="bottom"/>
          </w:tcPr>
          <w:p>
            <w:pPr>
              <w:spacing w:after="0"/>
              <w:rPr>
                <w:sz w:val="1"/>
                <w:szCs w:val="1"/>
                <w:color w:val="auto"/>
              </w:rPr>
            </w:pPr>
          </w:p>
        </w:tc>
      </w:tr>
      <w:tr>
        <w:trPr>
          <w:trHeight w:val="216"/>
        </w:trPr>
        <w:tc>
          <w:tcPr>
            <w:tcW w:w="422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Chief Revenue Officer</w:t>
            </w:r>
          </w:p>
        </w:tc>
        <w:tc>
          <w:tcPr>
            <w:tcW w:w="3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85725</wp:posOffset>
            </wp:positionV>
            <wp:extent cx="771525" cy="825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55" w:lineRule="exact"/>
        <w:rPr>
          <w:sz w:val="20"/>
          <w:szCs w:val="20"/>
          <w:color w:val="auto"/>
        </w:rPr>
      </w:pPr>
    </w:p>
    <w:p>
      <w:pPr>
        <w:ind w:left="540" w:right="760" w:hanging="424"/>
        <w:spacing w:after="0" w:line="258" w:lineRule="auto"/>
        <w:tabs>
          <w:tab w:leader="none" w:pos="540" w:val="left"/>
        </w:tabs>
        <w:numPr>
          <w:ilvl w:val="0"/>
          <w:numId w:val="131"/>
        </w:numPr>
        <w:rPr>
          <w:rFonts w:ascii="Arial" w:cs="Arial" w:eastAsia="Arial" w:hAnsi="Arial"/>
          <w:sz w:val="18"/>
          <w:szCs w:val="18"/>
          <w:color w:val="auto"/>
        </w:rPr>
      </w:pPr>
      <w:r>
        <w:rPr>
          <w:rFonts w:ascii="Arial" w:cs="Arial" w:eastAsia="Arial" w:hAnsi="Arial"/>
          <w:sz w:val="18"/>
          <w:szCs w:val="18"/>
          <w:color w:val="auto"/>
        </w:rPr>
        <w:t>Mr. Shone served as our Chief Financial Officer from April 24, 2018 until March 15, 2021, when he transitioned to the position of Chief Administrative Officer.</w:t>
      </w:r>
    </w:p>
    <w:p>
      <w:pPr>
        <w:spacing w:after="0" w:line="1" w:lineRule="exact"/>
        <w:rPr>
          <w:rFonts w:ascii="Arial" w:cs="Arial" w:eastAsia="Arial" w:hAnsi="Arial"/>
          <w:sz w:val="18"/>
          <w:szCs w:val="18"/>
          <w:color w:val="auto"/>
        </w:rPr>
      </w:pPr>
    </w:p>
    <w:p>
      <w:pPr>
        <w:ind w:left="540" w:hanging="424"/>
        <w:spacing w:after="0"/>
        <w:tabs>
          <w:tab w:leader="none" w:pos="540" w:val="left"/>
        </w:tabs>
        <w:numPr>
          <w:ilvl w:val="0"/>
          <w:numId w:val="131"/>
        </w:numPr>
        <w:rPr>
          <w:rFonts w:ascii="Arial" w:cs="Arial" w:eastAsia="Arial" w:hAnsi="Arial"/>
          <w:sz w:val="18"/>
          <w:szCs w:val="18"/>
          <w:color w:val="auto"/>
        </w:rPr>
      </w:pPr>
      <w:r>
        <w:rPr>
          <w:rFonts w:ascii="Arial" w:cs="Arial" w:eastAsia="Arial" w:hAnsi="Arial"/>
          <w:sz w:val="18"/>
          <w:szCs w:val="18"/>
          <w:color w:val="auto"/>
        </w:rPr>
        <w:t>Reflects amounts paid pursuant to the Executive Stretch tier as described below.</w:t>
      </w:r>
    </w:p>
    <w:p>
      <w:pPr>
        <w:spacing w:after="0" w:line="9" w:lineRule="exact"/>
        <w:rPr>
          <w:rFonts w:ascii="Arial" w:cs="Arial" w:eastAsia="Arial" w:hAnsi="Arial"/>
          <w:sz w:val="18"/>
          <w:szCs w:val="18"/>
          <w:color w:val="auto"/>
        </w:rPr>
      </w:pPr>
    </w:p>
    <w:p>
      <w:pPr>
        <w:ind w:left="540" w:hanging="424"/>
        <w:spacing w:after="0"/>
        <w:tabs>
          <w:tab w:leader="none" w:pos="540" w:val="left"/>
        </w:tabs>
        <w:numPr>
          <w:ilvl w:val="0"/>
          <w:numId w:val="131"/>
        </w:numPr>
        <w:rPr>
          <w:rFonts w:ascii="Arial" w:cs="Arial" w:eastAsia="Arial" w:hAnsi="Arial"/>
          <w:sz w:val="18"/>
          <w:szCs w:val="18"/>
          <w:color w:val="auto"/>
        </w:rPr>
      </w:pPr>
      <w:r>
        <w:rPr>
          <w:rFonts w:ascii="Arial" w:cs="Arial" w:eastAsia="Arial" w:hAnsi="Arial"/>
          <w:sz w:val="18"/>
          <w:szCs w:val="18"/>
          <w:color w:val="auto"/>
        </w:rPr>
        <w:t>Represents performance-based amounts earned in fiscal 2020 under the Definitive Healthcare 2020 Corporate Bonus Program.</w:t>
      </w:r>
    </w:p>
    <w:p>
      <w:pPr>
        <w:spacing w:after="0" w:line="9" w:lineRule="exact"/>
        <w:rPr>
          <w:rFonts w:ascii="Arial" w:cs="Arial" w:eastAsia="Arial" w:hAnsi="Arial"/>
          <w:sz w:val="18"/>
          <w:szCs w:val="18"/>
          <w:color w:val="auto"/>
        </w:rPr>
      </w:pPr>
    </w:p>
    <w:p>
      <w:pPr>
        <w:ind w:left="540" w:hanging="424"/>
        <w:spacing w:after="0"/>
        <w:tabs>
          <w:tab w:leader="none" w:pos="540" w:val="left"/>
        </w:tabs>
        <w:numPr>
          <w:ilvl w:val="0"/>
          <w:numId w:val="131"/>
        </w:numPr>
        <w:rPr>
          <w:rFonts w:ascii="Arial" w:cs="Arial" w:eastAsia="Arial" w:hAnsi="Arial"/>
          <w:sz w:val="18"/>
          <w:szCs w:val="18"/>
          <w:color w:val="auto"/>
        </w:rPr>
      </w:pPr>
      <w:r>
        <w:rPr>
          <w:rFonts w:ascii="Arial" w:cs="Arial" w:eastAsia="Arial" w:hAnsi="Arial"/>
          <w:sz w:val="18"/>
          <w:szCs w:val="18"/>
          <w:color w:val="auto"/>
        </w:rPr>
        <w:t>Payments to our NEOs included in the “All Other Compensation” column include the following:</w:t>
      </w:r>
    </w:p>
    <w:p>
      <w:pPr>
        <w:spacing w:after="0" w:line="217"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360" w:type="dxa"/>
            <w:vAlign w:val="bottom"/>
          </w:tcPr>
          <w:p>
            <w:pPr>
              <w:spacing w:after="0"/>
              <w:rPr>
                <w:sz w:val="14"/>
                <w:szCs w:val="14"/>
                <w:color w:val="auto"/>
              </w:rPr>
            </w:pPr>
          </w:p>
        </w:tc>
        <w:tc>
          <w:tcPr>
            <w:tcW w:w="3100" w:type="dxa"/>
            <w:vAlign w:val="bottom"/>
          </w:tcPr>
          <w:p>
            <w:pPr>
              <w:spacing w:after="0"/>
              <w:rPr>
                <w:sz w:val="14"/>
                <w:szCs w:val="14"/>
                <w:color w:val="auto"/>
              </w:rPr>
            </w:pPr>
          </w:p>
        </w:tc>
        <w:tc>
          <w:tcPr>
            <w:tcW w:w="2300" w:type="dxa"/>
            <w:vAlign w:val="bottom"/>
          </w:tcPr>
          <w:p>
            <w:pPr>
              <w:spacing w:after="0"/>
              <w:rPr>
                <w:sz w:val="14"/>
                <w:szCs w:val="14"/>
                <w:color w:val="auto"/>
              </w:rPr>
            </w:pPr>
          </w:p>
        </w:tc>
        <w:tc>
          <w:tcPr>
            <w:tcW w:w="920" w:type="dxa"/>
            <w:vAlign w:val="bottom"/>
            <w:gridSpan w:val="3"/>
          </w:tcPr>
          <w:p>
            <w:pPr>
              <w:jc w:val="center"/>
              <w:ind w:right="220"/>
              <w:spacing w:after="0"/>
              <w:rPr>
                <w:sz w:val="20"/>
                <w:szCs w:val="20"/>
                <w:color w:val="auto"/>
              </w:rPr>
            </w:pPr>
            <w:r>
              <w:rPr>
                <w:rFonts w:ascii="Arial" w:cs="Arial" w:eastAsia="Arial" w:hAnsi="Arial"/>
                <w:sz w:val="14"/>
                <w:szCs w:val="14"/>
                <w:b w:val="1"/>
                <w:bCs w:val="1"/>
                <w:color w:val="auto"/>
                <w:w w:val="94"/>
              </w:rPr>
              <w:t>Short and</w:t>
            </w: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360" w:type="dxa"/>
            <w:vAlign w:val="bottom"/>
          </w:tcPr>
          <w:p>
            <w:pPr>
              <w:spacing w:after="0"/>
              <w:rPr>
                <w:sz w:val="12"/>
                <w:szCs w:val="12"/>
                <w:color w:val="auto"/>
              </w:rPr>
            </w:pPr>
          </w:p>
        </w:tc>
        <w:tc>
          <w:tcPr>
            <w:tcW w:w="3100" w:type="dxa"/>
            <w:vAlign w:val="bottom"/>
          </w:tcPr>
          <w:p>
            <w:pPr>
              <w:spacing w:after="0"/>
              <w:rPr>
                <w:sz w:val="12"/>
                <w:szCs w:val="12"/>
                <w:color w:val="auto"/>
              </w:rPr>
            </w:pPr>
          </w:p>
        </w:tc>
        <w:tc>
          <w:tcPr>
            <w:tcW w:w="2300" w:type="dxa"/>
            <w:vAlign w:val="bottom"/>
          </w:tcPr>
          <w:p>
            <w:pPr>
              <w:spacing w:after="0"/>
              <w:rPr>
                <w:sz w:val="12"/>
                <w:szCs w:val="12"/>
                <w:color w:val="auto"/>
              </w:rPr>
            </w:pPr>
          </w:p>
        </w:tc>
        <w:tc>
          <w:tcPr>
            <w:tcW w:w="920" w:type="dxa"/>
            <w:vAlign w:val="bottom"/>
            <w:gridSpan w:val="3"/>
          </w:tcPr>
          <w:p>
            <w:pPr>
              <w:jc w:val="center"/>
              <w:ind w:right="240"/>
              <w:spacing w:after="0" w:line="149" w:lineRule="exact"/>
              <w:rPr>
                <w:sz w:val="20"/>
                <w:szCs w:val="20"/>
                <w:color w:val="auto"/>
              </w:rPr>
            </w:pPr>
            <w:r>
              <w:rPr>
                <w:rFonts w:ascii="Arial" w:cs="Arial" w:eastAsia="Arial" w:hAnsi="Arial"/>
                <w:sz w:val="14"/>
                <w:szCs w:val="14"/>
                <w:b w:val="1"/>
                <w:bCs w:val="1"/>
                <w:color w:val="auto"/>
                <w:w w:val="93"/>
              </w:rPr>
              <w:t>Long Term</w:t>
            </w: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Life</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0" w:type="dxa"/>
            <w:vAlign w:val="bottom"/>
            <w:gridSpan w:val="2"/>
            <w:vMerge w:val="restart"/>
          </w:tcPr>
          <w:p>
            <w:pPr>
              <w:jc w:val="center"/>
              <w:ind w:right="540"/>
              <w:spacing w:after="0"/>
              <w:rPr>
                <w:sz w:val="20"/>
                <w:szCs w:val="20"/>
                <w:color w:val="auto"/>
              </w:rPr>
            </w:pPr>
            <w:r>
              <w:rPr>
                <w:rFonts w:ascii="Arial" w:cs="Arial" w:eastAsia="Arial" w:hAnsi="Arial"/>
                <w:sz w:val="14"/>
                <w:szCs w:val="14"/>
                <w:b w:val="1"/>
                <w:bCs w:val="1"/>
                <w:color w:val="auto"/>
                <w:w w:val="93"/>
              </w:rPr>
              <w:t>401(k)</w:t>
            </w:r>
          </w:p>
        </w:tc>
        <w:tc>
          <w:tcPr>
            <w:tcW w:w="1080" w:type="dxa"/>
            <w:vAlign w:val="bottom"/>
            <w:gridSpan w:val="2"/>
            <w:vMerge w:val="restart"/>
          </w:tcPr>
          <w:p>
            <w:pPr>
              <w:jc w:val="center"/>
              <w:ind w:right="440"/>
              <w:spacing w:after="0"/>
              <w:rPr>
                <w:sz w:val="20"/>
                <w:szCs w:val="20"/>
                <w:color w:val="auto"/>
              </w:rPr>
            </w:pPr>
            <w:r>
              <w:rPr>
                <w:rFonts w:ascii="Arial" w:cs="Arial" w:eastAsia="Arial" w:hAnsi="Arial"/>
                <w:sz w:val="14"/>
                <w:szCs w:val="14"/>
                <w:b w:val="1"/>
                <w:bCs w:val="1"/>
                <w:color w:val="auto"/>
                <w:w w:val="93"/>
              </w:rPr>
              <w:t>Health</w:t>
            </w:r>
          </w:p>
        </w:tc>
        <w:tc>
          <w:tcPr>
            <w:tcW w:w="6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60" w:type="dxa"/>
            <w:vAlign w:val="bottom"/>
          </w:tcPr>
          <w:p>
            <w:pPr>
              <w:spacing w:after="0"/>
              <w:rPr>
                <w:sz w:val="12"/>
                <w:szCs w:val="12"/>
                <w:color w:val="auto"/>
              </w:rPr>
            </w:pPr>
          </w:p>
        </w:tc>
        <w:tc>
          <w:tcPr>
            <w:tcW w:w="3100" w:type="dxa"/>
            <w:vAlign w:val="bottom"/>
          </w:tcPr>
          <w:p>
            <w:pPr>
              <w:spacing w:after="0"/>
              <w:rPr>
                <w:sz w:val="12"/>
                <w:szCs w:val="12"/>
                <w:color w:val="auto"/>
              </w:rPr>
            </w:pPr>
          </w:p>
        </w:tc>
        <w:tc>
          <w:tcPr>
            <w:tcW w:w="2300" w:type="dxa"/>
            <w:vAlign w:val="bottom"/>
          </w:tcPr>
          <w:p>
            <w:pPr>
              <w:spacing w:after="0"/>
              <w:rPr>
                <w:sz w:val="12"/>
                <w:szCs w:val="12"/>
                <w:color w:val="auto"/>
              </w:rPr>
            </w:pPr>
          </w:p>
        </w:tc>
        <w:tc>
          <w:tcPr>
            <w:tcW w:w="920" w:type="dxa"/>
            <w:vAlign w:val="bottom"/>
            <w:gridSpan w:val="3"/>
          </w:tcPr>
          <w:p>
            <w:pPr>
              <w:jc w:val="center"/>
              <w:ind w:right="260"/>
              <w:spacing w:after="0" w:line="149" w:lineRule="exact"/>
              <w:rPr>
                <w:sz w:val="20"/>
                <w:szCs w:val="20"/>
                <w:color w:val="auto"/>
              </w:rPr>
            </w:pPr>
            <w:r>
              <w:rPr>
                <w:rFonts w:ascii="Arial" w:cs="Arial" w:eastAsia="Arial" w:hAnsi="Arial"/>
                <w:sz w:val="14"/>
                <w:szCs w:val="14"/>
                <w:b w:val="1"/>
                <w:bCs w:val="1"/>
                <w:color w:val="auto"/>
                <w:w w:val="93"/>
              </w:rPr>
              <w:t>Disability</w:t>
            </w: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gridSpan w:val="2"/>
            <w:vMerge w:val="continue"/>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0" w:type="dxa"/>
            <w:vAlign w:val="bottom"/>
            <w:gridSpan w:val="2"/>
            <w:vMerge w:val="continue"/>
          </w:tcPr>
          <w:p>
            <w:pPr>
              <w:spacing w:after="0"/>
              <w:rPr>
                <w:sz w:val="12"/>
                <w:szCs w:val="12"/>
                <w:color w:val="auto"/>
              </w:rPr>
            </w:pPr>
          </w:p>
        </w:tc>
        <w:tc>
          <w:tcPr>
            <w:tcW w:w="1080" w:type="dxa"/>
            <w:vAlign w:val="bottom"/>
            <w:gridSpan w:val="2"/>
            <w:vMerge w:val="continue"/>
          </w:tcPr>
          <w:p>
            <w:pPr>
              <w:spacing w:after="0"/>
              <w:rPr>
                <w:sz w:val="12"/>
                <w:szCs w:val="12"/>
                <w:color w:val="auto"/>
              </w:rPr>
            </w:pPr>
          </w:p>
        </w:tc>
        <w:tc>
          <w:tcPr>
            <w:tcW w:w="6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60" w:type="dxa"/>
            <w:vAlign w:val="bottom"/>
            <w:vMerge w:val="restart"/>
          </w:tcPr>
          <w:p>
            <w:pPr>
              <w:spacing w:after="0"/>
              <w:rPr>
                <w:sz w:val="20"/>
                <w:szCs w:val="20"/>
                <w:color w:val="auto"/>
              </w:rPr>
            </w:pPr>
            <w:r>
              <w:rPr>
                <w:rFonts w:ascii="Arial" w:cs="Arial" w:eastAsia="Arial" w:hAnsi="Arial"/>
                <w:sz w:val="14"/>
                <w:szCs w:val="14"/>
                <w:b w:val="1"/>
                <w:bCs w:val="1"/>
                <w:color w:val="auto"/>
                <w:w w:val="89"/>
              </w:rPr>
              <w:t>Name</w:t>
            </w:r>
          </w:p>
        </w:tc>
        <w:tc>
          <w:tcPr>
            <w:tcW w:w="3100" w:type="dxa"/>
            <w:vAlign w:val="bottom"/>
            <w:vMerge w:val="restart"/>
          </w:tcPr>
          <w:p>
            <w:pPr>
              <w:spacing w:after="0"/>
              <w:rPr>
                <w:sz w:val="12"/>
                <w:szCs w:val="12"/>
                <w:color w:val="auto"/>
              </w:rPr>
            </w:pPr>
          </w:p>
        </w:tc>
        <w:tc>
          <w:tcPr>
            <w:tcW w:w="2300" w:type="dxa"/>
            <w:vAlign w:val="bottom"/>
          </w:tcPr>
          <w:p>
            <w:pPr>
              <w:spacing w:after="0"/>
              <w:rPr>
                <w:sz w:val="12"/>
                <w:szCs w:val="12"/>
                <w:color w:val="auto"/>
              </w:rPr>
            </w:pPr>
          </w:p>
        </w:tc>
        <w:tc>
          <w:tcPr>
            <w:tcW w:w="920" w:type="dxa"/>
            <w:vAlign w:val="bottom"/>
            <w:gridSpan w:val="3"/>
          </w:tcPr>
          <w:p>
            <w:pPr>
              <w:jc w:val="center"/>
              <w:ind w:right="220"/>
              <w:spacing w:after="0" w:line="149" w:lineRule="exact"/>
              <w:rPr>
                <w:sz w:val="20"/>
                <w:szCs w:val="20"/>
                <w:color w:val="auto"/>
              </w:rPr>
            </w:pPr>
            <w:r>
              <w:rPr>
                <w:rFonts w:ascii="Arial" w:cs="Arial" w:eastAsia="Arial" w:hAnsi="Arial"/>
                <w:sz w:val="14"/>
                <w:szCs w:val="14"/>
                <w:b w:val="1"/>
                <w:bCs w:val="1"/>
                <w:color w:val="auto"/>
                <w:w w:val="93"/>
              </w:rPr>
              <w:t>Insurance</w:t>
            </w:r>
          </w:p>
        </w:tc>
        <w:tc>
          <w:tcPr>
            <w:tcW w:w="220" w:type="dxa"/>
            <w:vAlign w:val="bottom"/>
          </w:tcPr>
          <w:p>
            <w:pPr>
              <w:spacing w:after="0"/>
              <w:rPr>
                <w:sz w:val="12"/>
                <w:szCs w:val="12"/>
                <w:color w:val="auto"/>
              </w:rPr>
            </w:pPr>
          </w:p>
        </w:tc>
        <w:tc>
          <w:tcPr>
            <w:tcW w:w="86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Insurance</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0" w:type="dxa"/>
            <w:vAlign w:val="bottom"/>
            <w:gridSpan w:val="2"/>
          </w:tcPr>
          <w:p>
            <w:pPr>
              <w:jc w:val="center"/>
              <w:ind w:right="540"/>
              <w:spacing w:after="0" w:line="149" w:lineRule="exact"/>
              <w:rPr>
                <w:sz w:val="20"/>
                <w:szCs w:val="20"/>
                <w:color w:val="auto"/>
              </w:rPr>
            </w:pPr>
            <w:r>
              <w:rPr>
                <w:rFonts w:ascii="Arial" w:cs="Arial" w:eastAsia="Arial" w:hAnsi="Arial"/>
                <w:sz w:val="14"/>
                <w:szCs w:val="14"/>
                <w:b w:val="1"/>
                <w:bCs w:val="1"/>
                <w:color w:val="auto"/>
                <w:w w:val="94"/>
              </w:rPr>
              <w:t>Matching</w:t>
            </w:r>
          </w:p>
        </w:tc>
        <w:tc>
          <w:tcPr>
            <w:tcW w:w="1080" w:type="dxa"/>
            <w:vAlign w:val="bottom"/>
            <w:gridSpan w:val="2"/>
          </w:tcPr>
          <w:p>
            <w:pPr>
              <w:jc w:val="center"/>
              <w:ind w:right="440"/>
              <w:spacing w:after="0" w:line="149" w:lineRule="exact"/>
              <w:rPr>
                <w:sz w:val="20"/>
                <w:szCs w:val="20"/>
                <w:color w:val="auto"/>
              </w:rPr>
            </w:pPr>
            <w:r>
              <w:rPr>
                <w:rFonts w:ascii="Arial" w:cs="Arial" w:eastAsia="Arial" w:hAnsi="Arial"/>
                <w:sz w:val="14"/>
                <w:szCs w:val="14"/>
                <w:b w:val="1"/>
                <w:bCs w:val="1"/>
                <w:color w:val="auto"/>
                <w:w w:val="90"/>
              </w:rPr>
              <w:t>Insurance</w:t>
            </w:r>
          </w:p>
        </w:tc>
        <w:tc>
          <w:tcPr>
            <w:tcW w:w="660" w:type="dxa"/>
            <w:vAlign w:val="bottom"/>
            <w:gridSpan w:val="2"/>
            <w:vMerge w:val="restart"/>
          </w:tcPr>
          <w:p>
            <w:pPr>
              <w:jc w:val="center"/>
              <w:ind w:right="60"/>
              <w:spacing w:after="0"/>
              <w:rPr>
                <w:sz w:val="20"/>
                <w:szCs w:val="20"/>
                <w:color w:val="auto"/>
              </w:rPr>
            </w:pPr>
            <w:r>
              <w:rPr>
                <w:rFonts w:ascii="Arial" w:cs="Arial" w:eastAsia="Arial" w:hAnsi="Arial"/>
                <w:sz w:val="14"/>
                <w:szCs w:val="14"/>
                <w:b w:val="1"/>
                <w:bCs w:val="1"/>
                <w:color w:val="auto"/>
                <w:w w:val="95"/>
              </w:rPr>
              <w:t>Total</w:t>
            </w:r>
          </w:p>
        </w:tc>
        <w:tc>
          <w:tcPr>
            <w:tcW w:w="0" w:type="dxa"/>
            <w:vAlign w:val="bottom"/>
          </w:tcPr>
          <w:p>
            <w:pPr>
              <w:spacing w:after="0"/>
              <w:rPr>
                <w:sz w:val="1"/>
                <w:szCs w:val="1"/>
                <w:color w:val="auto"/>
              </w:rPr>
            </w:pPr>
          </w:p>
        </w:tc>
      </w:tr>
      <w:tr>
        <w:trPr>
          <w:trHeight w:val="178"/>
        </w:trPr>
        <w:tc>
          <w:tcPr>
            <w:tcW w:w="360" w:type="dxa"/>
            <w:vAlign w:val="bottom"/>
            <w:tcBorders>
              <w:bottom w:val="single" w:sz="8" w:color="auto"/>
            </w:tcBorders>
            <w:vMerge w:val="continue"/>
          </w:tcPr>
          <w:p>
            <w:pPr>
              <w:spacing w:after="0"/>
              <w:rPr>
                <w:sz w:val="15"/>
                <w:szCs w:val="15"/>
                <w:color w:val="auto"/>
              </w:rPr>
            </w:pPr>
          </w:p>
        </w:tc>
        <w:tc>
          <w:tcPr>
            <w:tcW w:w="3100" w:type="dxa"/>
            <w:vAlign w:val="bottom"/>
            <w:vMerge w:val="continue"/>
          </w:tcPr>
          <w:p>
            <w:pPr>
              <w:spacing w:after="0"/>
              <w:rPr>
                <w:sz w:val="15"/>
                <w:szCs w:val="15"/>
                <w:color w:val="auto"/>
              </w:rPr>
            </w:pPr>
          </w:p>
        </w:tc>
        <w:tc>
          <w:tcPr>
            <w:tcW w:w="2300" w:type="dxa"/>
            <w:vAlign w:val="bottom"/>
          </w:tcPr>
          <w:p>
            <w:pPr>
              <w:spacing w:after="0"/>
              <w:rPr>
                <w:sz w:val="15"/>
                <w:szCs w:val="15"/>
                <w:color w:val="auto"/>
              </w:rPr>
            </w:pPr>
          </w:p>
        </w:tc>
        <w:tc>
          <w:tcPr>
            <w:tcW w:w="920" w:type="dxa"/>
            <w:vAlign w:val="bottom"/>
            <w:gridSpan w:val="3"/>
          </w:tcPr>
          <w:p>
            <w:pPr>
              <w:jc w:val="center"/>
              <w:ind w:right="220"/>
              <w:spacing w:after="0" w:line="158" w:lineRule="exact"/>
              <w:rPr>
                <w:sz w:val="20"/>
                <w:szCs w:val="20"/>
                <w:color w:val="auto"/>
              </w:rPr>
            </w:pPr>
            <w:r>
              <w:rPr>
                <w:rFonts w:ascii="Arial" w:cs="Arial" w:eastAsia="Arial" w:hAnsi="Arial"/>
                <w:sz w:val="14"/>
                <w:szCs w:val="14"/>
                <w:b w:val="1"/>
                <w:bCs w:val="1"/>
                <w:color w:val="auto"/>
                <w:w w:val="91"/>
              </w:rPr>
              <w:t>Premiums</w:t>
            </w:r>
          </w:p>
        </w:tc>
        <w:tc>
          <w:tcPr>
            <w:tcW w:w="220" w:type="dxa"/>
            <w:vAlign w:val="bottom"/>
          </w:tcPr>
          <w:p>
            <w:pPr>
              <w:spacing w:after="0"/>
              <w:rPr>
                <w:sz w:val="15"/>
                <w:szCs w:val="15"/>
                <w:color w:val="auto"/>
              </w:rPr>
            </w:pPr>
          </w:p>
        </w:tc>
        <w:tc>
          <w:tcPr>
            <w:tcW w:w="860" w:type="dxa"/>
            <w:vAlign w:val="bottom"/>
            <w:gridSpan w:val="3"/>
          </w:tcPr>
          <w:p>
            <w:pPr>
              <w:spacing w:after="0" w:line="158" w:lineRule="exact"/>
              <w:rPr>
                <w:sz w:val="20"/>
                <w:szCs w:val="20"/>
                <w:color w:val="auto"/>
              </w:rPr>
            </w:pPr>
            <w:r>
              <w:rPr>
                <w:rFonts w:ascii="Arial" w:cs="Arial" w:eastAsia="Arial" w:hAnsi="Arial"/>
                <w:sz w:val="14"/>
                <w:szCs w:val="14"/>
                <w:b w:val="1"/>
                <w:bCs w:val="1"/>
                <w:color w:val="auto"/>
              </w:rPr>
              <w:t>Premiums</w:t>
            </w:r>
          </w:p>
        </w:tc>
        <w:tc>
          <w:tcPr>
            <w:tcW w:w="220" w:type="dxa"/>
            <w:vAlign w:val="bottom"/>
          </w:tcPr>
          <w:p>
            <w:pPr>
              <w:spacing w:after="0"/>
              <w:rPr>
                <w:sz w:val="15"/>
                <w:szCs w:val="15"/>
                <w:color w:val="auto"/>
              </w:rPr>
            </w:pPr>
          </w:p>
        </w:tc>
        <w:tc>
          <w:tcPr>
            <w:tcW w:w="1300" w:type="dxa"/>
            <w:vAlign w:val="bottom"/>
            <w:gridSpan w:val="3"/>
          </w:tcPr>
          <w:p>
            <w:pPr>
              <w:spacing w:after="0" w:line="158" w:lineRule="exact"/>
              <w:rPr>
                <w:sz w:val="20"/>
                <w:szCs w:val="20"/>
                <w:color w:val="auto"/>
              </w:rPr>
            </w:pPr>
            <w:r>
              <w:rPr>
                <w:rFonts w:ascii="Arial" w:cs="Arial" w:eastAsia="Arial" w:hAnsi="Arial"/>
                <w:sz w:val="14"/>
                <w:szCs w:val="14"/>
                <w:b w:val="1"/>
                <w:bCs w:val="1"/>
                <w:color w:val="auto"/>
              </w:rPr>
              <w:t>Contributions</w:t>
            </w:r>
          </w:p>
        </w:tc>
        <w:tc>
          <w:tcPr>
            <w:tcW w:w="1080" w:type="dxa"/>
            <w:vAlign w:val="bottom"/>
            <w:gridSpan w:val="2"/>
          </w:tcPr>
          <w:p>
            <w:pPr>
              <w:jc w:val="center"/>
              <w:ind w:right="440"/>
              <w:spacing w:after="0" w:line="158" w:lineRule="exact"/>
              <w:rPr>
                <w:sz w:val="20"/>
                <w:szCs w:val="20"/>
                <w:color w:val="auto"/>
              </w:rPr>
            </w:pPr>
            <w:r>
              <w:rPr>
                <w:rFonts w:ascii="Arial" w:cs="Arial" w:eastAsia="Arial" w:hAnsi="Arial"/>
                <w:sz w:val="14"/>
                <w:szCs w:val="14"/>
                <w:b w:val="1"/>
                <w:bCs w:val="1"/>
                <w:color w:val="auto"/>
                <w:w w:val="94"/>
              </w:rPr>
              <w:t>Premiums</w:t>
            </w:r>
          </w:p>
        </w:tc>
        <w:tc>
          <w:tcPr>
            <w:tcW w:w="66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3460" w:type="dxa"/>
            <w:vAlign w:val="bottom"/>
            <w:tcBorders>
              <w:top w:val="single" w:sz="8" w:color="CCEEFF"/>
            </w:tcBorders>
            <w:gridSpan w:val="2"/>
            <w:shd w:val="clear" w:color="auto" w:fill="CCEEFF"/>
          </w:tcPr>
          <w:p>
            <w:pPr>
              <w:spacing w:after="0" w:line="203" w:lineRule="exact"/>
              <w:rPr>
                <w:sz w:val="20"/>
                <w:szCs w:val="20"/>
                <w:color w:val="auto"/>
              </w:rPr>
            </w:pPr>
            <w:r>
              <w:rPr>
                <w:rFonts w:ascii="Arial" w:cs="Arial" w:eastAsia="Arial" w:hAnsi="Arial"/>
                <w:sz w:val="18"/>
                <w:szCs w:val="18"/>
                <w:color w:val="auto"/>
              </w:rPr>
              <w:t>Jason Krantz</w:t>
            </w:r>
          </w:p>
        </w:tc>
        <w:tc>
          <w:tcPr>
            <w:tcW w:w="230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spacing w:after="0"/>
              <w:rPr>
                <w:sz w:val="17"/>
                <w:szCs w:val="17"/>
                <w:color w:val="auto"/>
              </w:rPr>
            </w:pPr>
          </w:p>
        </w:tc>
        <w:tc>
          <w:tcPr>
            <w:tcW w:w="420" w:type="dxa"/>
            <w:vAlign w:val="bottom"/>
            <w:tcBorders>
              <w:top w:val="single" w:sz="8" w:color="auto"/>
            </w:tcBorders>
            <w:shd w:val="clear" w:color="auto" w:fill="CCEEFF"/>
          </w:tcPr>
          <w:p>
            <w:pPr>
              <w:ind w:left="160"/>
              <w:spacing w:after="0" w:line="203" w:lineRule="exact"/>
              <w:rPr>
                <w:sz w:val="20"/>
                <w:szCs w:val="20"/>
                <w:color w:val="auto"/>
              </w:rPr>
            </w:pPr>
            <w:r>
              <w:rPr>
                <w:rFonts w:ascii="Arial" w:cs="Arial" w:eastAsia="Arial" w:hAnsi="Arial"/>
                <w:sz w:val="18"/>
                <w:szCs w:val="18"/>
                <w:color w:val="auto"/>
              </w:rPr>
              <w:t>—</w:t>
            </w:r>
          </w:p>
        </w:tc>
        <w:tc>
          <w:tcPr>
            <w:tcW w:w="24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line="203" w:lineRule="exact"/>
              <w:rPr>
                <w:sz w:val="20"/>
                <w:szCs w:val="20"/>
                <w:color w:val="auto"/>
              </w:rPr>
            </w:pPr>
            <w:r>
              <w:rPr>
                <w:rFonts w:ascii="Arial" w:cs="Arial" w:eastAsia="Arial" w:hAnsi="Arial"/>
                <w:sz w:val="18"/>
                <w:szCs w:val="18"/>
                <w:color w:val="auto"/>
              </w:rPr>
              <w:t>$</w:t>
            </w:r>
          </w:p>
        </w:tc>
        <w:tc>
          <w:tcPr>
            <w:tcW w:w="480" w:type="dxa"/>
            <w:vAlign w:val="bottom"/>
            <w:tcBorders>
              <w:top w:val="single" w:sz="8" w:color="auto"/>
            </w:tcBorders>
            <w:shd w:val="clear" w:color="auto" w:fill="CCEEFF"/>
          </w:tcPr>
          <w:p>
            <w:pPr>
              <w:ind w:left="220"/>
              <w:spacing w:after="0" w:line="203" w:lineRule="exact"/>
              <w:rPr>
                <w:sz w:val="20"/>
                <w:szCs w:val="20"/>
                <w:color w:val="auto"/>
              </w:rPr>
            </w:pPr>
            <w:r>
              <w:rPr>
                <w:rFonts w:ascii="Arial" w:cs="Arial" w:eastAsia="Arial" w:hAnsi="Arial"/>
                <w:sz w:val="18"/>
                <w:szCs w:val="18"/>
                <w:color w:val="auto"/>
                <w:w w:val="79"/>
              </w:rPr>
              <w:t>270</w:t>
            </w:r>
          </w:p>
        </w:tc>
        <w:tc>
          <w:tcPr>
            <w:tcW w:w="24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line="203" w:lineRule="exact"/>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11,400</w:t>
            </w:r>
          </w:p>
        </w:tc>
        <w:tc>
          <w:tcPr>
            <w:tcW w:w="440" w:type="dxa"/>
            <w:vAlign w:val="bottom"/>
            <w:tcBorders>
              <w:top w:val="single" w:sz="8" w:color="CCEEFF"/>
            </w:tcBorders>
            <w:shd w:val="clear" w:color="auto" w:fill="CCEEFF"/>
          </w:tcPr>
          <w:p>
            <w:pPr>
              <w:spacing w:after="0"/>
              <w:rPr>
                <w:sz w:val="17"/>
                <w:szCs w:val="17"/>
                <w:color w:val="auto"/>
              </w:rPr>
            </w:pPr>
          </w:p>
        </w:tc>
        <w:tc>
          <w:tcPr>
            <w:tcW w:w="640" w:type="dxa"/>
            <w:vAlign w:val="bottom"/>
            <w:tcBorders>
              <w:top w:val="single" w:sz="8" w:color="auto"/>
            </w:tcBorders>
            <w:shd w:val="clear" w:color="auto" w:fill="CCEEFF"/>
          </w:tcPr>
          <w:p>
            <w:pPr>
              <w:jc w:val="center"/>
              <w:spacing w:after="0" w:line="203" w:lineRule="exact"/>
              <w:rPr>
                <w:sz w:val="20"/>
                <w:szCs w:val="20"/>
                <w:color w:val="auto"/>
              </w:rPr>
            </w:pPr>
            <w:r>
              <w:rPr>
                <w:rFonts w:ascii="Arial" w:cs="Arial" w:eastAsia="Arial" w:hAnsi="Arial"/>
                <w:sz w:val="18"/>
                <w:szCs w:val="18"/>
                <w:color w:val="auto"/>
                <w:w w:val="91"/>
              </w:rPr>
              <w:t>$ 18,007</w:t>
            </w:r>
          </w:p>
        </w:tc>
        <w:tc>
          <w:tcPr>
            <w:tcW w:w="440" w:type="dxa"/>
            <w:vAlign w:val="bottom"/>
            <w:tcBorders>
              <w:top w:val="single" w:sz="8" w:color="CCEEFF"/>
            </w:tcBorders>
            <w:shd w:val="clear" w:color="auto" w:fill="CCEEFF"/>
          </w:tcPr>
          <w:p>
            <w:pPr>
              <w:spacing w:after="0"/>
              <w:rPr>
                <w:sz w:val="17"/>
                <w:szCs w:val="17"/>
                <w:color w:val="auto"/>
              </w:rPr>
            </w:pPr>
          </w:p>
        </w:tc>
        <w:tc>
          <w:tcPr>
            <w:tcW w:w="600" w:type="dxa"/>
            <w:vAlign w:val="bottom"/>
            <w:tcBorders>
              <w:top w:val="single" w:sz="8" w:color="auto"/>
            </w:tcBorders>
            <w:shd w:val="clear" w:color="auto" w:fill="CCEEFF"/>
          </w:tcPr>
          <w:p>
            <w:pPr>
              <w:jc w:val="center"/>
              <w:spacing w:after="0" w:line="203" w:lineRule="exact"/>
              <w:rPr>
                <w:sz w:val="20"/>
                <w:szCs w:val="20"/>
                <w:color w:val="auto"/>
              </w:rPr>
            </w:pPr>
            <w:r>
              <w:rPr>
                <w:rFonts w:ascii="Arial" w:cs="Arial" w:eastAsia="Arial" w:hAnsi="Arial"/>
                <w:sz w:val="18"/>
                <w:szCs w:val="18"/>
                <w:color w:val="auto"/>
                <w:w w:val="92"/>
              </w:rPr>
              <w:t>$29,677</w:t>
            </w:r>
          </w:p>
        </w:tc>
        <w:tc>
          <w:tcPr>
            <w:tcW w:w="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460" w:type="dxa"/>
            <w:vAlign w:val="bottom"/>
            <w:gridSpan w:val="2"/>
          </w:tcPr>
          <w:p>
            <w:pPr>
              <w:spacing w:after="0"/>
              <w:rPr>
                <w:sz w:val="20"/>
                <w:szCs w:val="20"/>
                <w:color w:val="auto"/>
              </w:rPr>
            </w:pPr>
            <w:r>
              <w:rPr>
                <w:rFonts w:ascii="Arial" w:cs="Arial" w:eastAsia="Arial" w:hAnsi="Arial"/>
                <w:sz w:val="18"/>
                <w:szCs w:val="18"/>
                <w:color w:val="auto"/>
              </w:rPr>
              <w:t>Kevin Shone</w:t>
            </w:r>
          </w:p>
        </w:tc>
        <w:tc>
          <w:tcPr>
            <w:tcW w:w="2560" w:type="dxa"/>
            <w:vAlign w:val="bottom"/>
            <w:gridSpan w:val="2"/>
          </w:tcPr>
          <w:p>
            <w:pPr>
              <w:jc w:val="right"/>
              <w:ind w:right="88"/>
              <w:spacing w:after="0"/>
              <w:rPr>
                <w:sz w:val="20"/>
                <w:szCs w:val="20"/>
                <w:color w:val="auto"/>
              </w:rPr>
            </w:pPr>
            <w:r>
              <w:rPr>
                <w:rFonts w:ascii="Arial" w:cs="Arial" w:eastAsia="Arial" w:hAnsi="Arial"/>
                <w:sz w:val="18"/>
                <w:szCs w:val="18"/>
                <w:color w:val="auto"/>
              </w:rPr>
              <w:t>$</w:t>
            </w:r>
          </w:p>
        </w:tc>
        <w:tc>
          <w:tcPr>
            <w:tcW w:w="660" w:type="dxa"/>
            <w:vAlign w:val="bottom"/>
            <w:gridSpan w:val="2"/>
          </w:tcPr>
          <w:p>
            <w:pPr>
              <w:ind w:left="160"/>
              <w:spacing w:after="0"/>
              <w:rPr>
                <w:sz w:val="20"/>
                <w:szCs w:val="20"/>
                <w:color w:val="auto"/>
              </w:rPr>
            </w:pPr>
            <w:r>
              <w:rPr>
                <w:rFonts w:ascii="Arial" w:cs="Arial" w:eastAsia="Arial" w:hAnsi="Arial"/>
                <w:sz w:val="18"/>
                <w:szCs w:val="18"/>
                <w:color w:val="auto"/>
              </w:rPr>
              <w:t>846</w:t>
            </w:r>
          </w:p>
        </w:tc>
        <w:tc>
          <w:tcPr>
            <w:tcW w:w="360" w:type="dxa"/>
            <w:vAlign w:val="bottom"/>
            <w:gridSpan w:val="2"/>
          </w:tcPr>
          <w:p>
            <w:pPr>
              <w:ind w:left="220"/>
              <w:spacing w:after="0"/>
              <w:rPr>
                <w:sz w:val="20"/>
                <w:szCs w:val="20"/>
                <w:color w:val="auto"/>
              </w:rPr>
            </w:pPr>
            <w:r>
              <w:rPr>
                <w:rFonts w:ascii="Arial" w:cs="Arial" w:eastAsia="Arial" w:hAnsi="Arial"/>
                <w:sz w:val="18"/>
                <w:szCs w:val="18"/>
                <w:color w:val="auto"/>
              </w:rPr>
              <w:t>$</w:t>
            </w:r>
          </w:p>
        </w:tc>
        <w:tc>
          <w:tcPr>
            <w:tcW w:w="720" w:type="dxa"/>
            <w:vAlign w:val="bottom"/>
            <w:gridSpan w:val="2"/>
          </w:tcPr>
          <w:p>
            <w:pPr>
              <w:ind w:left="220"/>
              <w:spacing w:after="0"/>
              <w:rPr>
                <w:sz w:val="20"/>
                <w:szCs w:val="20"/>
                <w:color w:val="auto"/>
              </w:rPr>
            </w:pPr>
            <w:r>
              <w:rPr>
                <w:rFonts w:ascii="Arial" w:cs="Arial" w:eastAsia="Arial" w:hAnsi="Arial"/>
                <w:sz w:val="18"/>
                <w:szCs w:val="18"/>
                <w:color w:val="auto"/>
              </w:rPr>
              <w:t>270</w:t>
            </w:r>
          </w:p>
        </w:tc>
        <w:tc>
          <w:tcPr>
            <w:tcW w:w="320" w:type="dxa"/>
            <w:vAlign w:val="bottom"/>
            <w:gridSpan w:val="2"/>
          </w:tcPr>
          <w:p>
            <w:pPr>
              <w:ind w:left="220"/>
              <w:spacing w:after="0"/>
              <w:rPr>
                <w:sz w:val="20"/>
                <w:szCs w:val="20"/>
                <w:color w:val="auto"/>
              </w:rPr>
            </w:pPr>
            <w:r>
              <w:rPr>
                <w:rFonts w:ascii="Arial" w:cs="Arial" w:eastAsia="Arial" w:hAnsi="Arial"/>
                <w:sz w:val="18"/>
                <w:szCs w:val="18"/>
                <w:color w:val="auto"/>
                <w:w w:val="79"/>
              </w:rPr>
              <w:t>$</w:t>
            </w:r>
          </w:p>
        </w:tc>
        <w:tc>
          <w:tcPr>
            <w:tcW w:w="1200" w:type="dxa"/>
            <w:vAlign w:val="bottom"/>
            <w:gridSpan w:val="2"/>
          </w:tcPr>
          <w:p>
            <w:pPr>
              <w:jc w:val="right"/>
              <w:ind w:right="440"/>
              <w:spacing w:after="0"/>
              <w:rPr>
                <w:sz w:val="20"/>
                <w:szCs w:val="20"/>
                <w:color w:val="auto"/>
              </w:rPr>
            </w:pPr>
            <w:r>
              <w:rPr>
                <w:rFonts w:ascii="Arial" w:cs="Arial" w:eastAsia="Arial" w:hAnsi="Arial"/>
                <w:sz w:val="18"/>
                <w:szCs w:val="18"/>
                <w:color w:val="auto"/>
              </w:rPr>
              <w:t>11,400</w:t>
            </w:r>
          </w:p>
        </w:tc>
        <w:tc>
          <w:tcPr>
            <w:tcW w:w="1080" w:type="dxa"/>
            <w:vAlign w:val="bottom"/>
            <w:gridSpan w:val="2"/>
          </w:tcPr>
          <w:p>
            <w:pPr>
              <w:jc w:val="center"/>
              <w:ind w:right="440"/>
              <w:spacing w:after="0"/>
              <w:rPr>
                <w:sz w:val="20"/>
                <w:szCs w:val="20"/>
                <w:color w:val="auto"/>
              </w:rPr>
            </w:pPr>
            <w:r>
              <w:rPr>
                <w:rFonts w:ascii="Arial" w:cs="Arial" w:eastAsia="Arial" w:hAnsi="Arial"/>
                <w:sz w:val="18"/>
                <w:szCs w:val="18"/>
                <w:color w:val="auto"/>
                <w:w w:val="91"/>
              </w:rPr>
              <w:t>$ 19,291</w:t>
            </w:r>
          </w:p>
        </w:tc>
        <w:tc>
          <w:tcPr>
            <w:tcW w:w="660" w:type="dxa"/>
            <w:vAlign w:val="bottom"/>
            <w:gridSpan w:val="2"/>
          </w:tcPr>
          <w:p>
            <w:pPr>
              <w:jc w:val="center"/>
              <w:ind w:right="60"/>
              <w:spacing w:after="0"/>
              <w:rPr>
                <w:sz w:val="20"/>
                <w:szCs w:val="20"/>
                <w:color w:val="auto"/>
              </w:rPr>
            </w:pPr>
            <w:r>
              <w:rPr>
                <w:rFonts w:ascii="Arial" w:cs="Arial" w:eastAsia="Arial" w:hAnsi="Arial"/>
                <w:sz w:val="18"/>
                <w:szCs w:val="18"/>
                <w:color w:val="auto"/>
                <w:w w:val="92"/>
              </w:rPr>
              <w:t>$31,807</w:t>
            </w:r>
          </w:p>
        </w:tc>
        <w:tc>
          <w:tcPr>
            <w:tcW w:w="0" w:type="dxa"/>
            <w:vAlign w:val="bottom"/>
          </w:tcPr>
          <w:p>
            <w:pPr>
              <w:spacing w:after="0"/>
              <w:rPr>
                <w:sz w:val="1"/>
                <w:szCs w:val="1"/>
                <w:color w:val="auto"/>
              </w:rPr>
            </w:pPr>
          </w:p>
        </w:tc>
      </w:tr>
      <w:tr>
        <w:trPr>
          <w:trHeight w:val="216"/>
        </w:trPr>
        <w:tc>
          <w:tcPr>
            <w:tcW w:w="34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Joseph Mirisola</w:t>
            </w:r>
          </w:p>
        </w:tc>
        <w:tc>
          <w:tcPr>
            <w:tcW w:w="23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6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36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270</w:t>
            </w:r>
          </w:p>
        </w:tc>
        <w:tc>
          <w:tcPr>
            <w:tcW w:w="32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w w:val="79"/>
              </w:rPr>
              <w:t>$</w:t>
            </w:r>
          </w:p>
        </w:tc>
        <w:tc>
          <w:tcPr>
            <w:tcW w:w="120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11,400</w:t>
            </w:r>
          </w:p>
        </w:tc>
        <w:tc>
          <w:tcPr>
            <w:tcW w:w="108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jc w:val="center"/>
              <w:ind w:right="60"/>
              <w:spacing w:after="0"/>
              <w:rPr>
                <w:sz w:val="20"/>
                <w:szCs w:val="20"/>
                <w:color w:val="auto"/>
              </w:rPr>
            </w:pPr>
            <w:r>
              <w:rPr>
                <w:rFonts w:ascii="Arial" w:cs="Arial" w:eastAsia="Arial" w:hAnsi="Arial"/>
                <w:sz w:val="18"/>
                <w:szCs w:val="18"/>
                <w:color w:val="auto"/>
                <w:w w:val="92"/>
              </w:rPr>
              <w:t>$11,670</w:t>
            </w:r>
          </w:p>
        </w:tc>
        <w:tc>
          <w:tcPr>
            <w:tcW w:w="0" w:type="dxa"/>
            <w:vAlign w:val="bottom"/>
          </w:tcPr>
          <w:p>
            <w:pPr>
              <w:spacing w:after="0"/>
              <w:rPr>
                <w:sz w:val="1"/>
                <w:szCs w:val="1"/>
                <w:color w:val="auto"/>
              </w:rPr>
            </w:pPr>
          </w:p>
        </w:tc>
      </w:tr>
    </w:tbl>
    <w:p>
      <w:pPr>
        <w:spacing w:after="0" w:line="306"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Narrative Discussion of the Summary Compensation Table</w:t>
      </w:r>
    </w:p>
    <w:p>
      <w:pPr>
        <w:spacing w:after="0" w:line="121" w:lineRule="exact"/>
        <w:rPr>
          <w:sz w:val="20"/>
          <w:szCs w:val="20"/>
          <w:color w:val="auto"/>
        </w:rPr>
      </w:pPr>
    </w:p>
    <w:p>
      <w:pPr>
        <w:ind w:left="120" w:right="220" w:firstLine="440"/>
        <w:spacing w:after="0" w:line="277" w:lineRule="auto"/>
        <w:rPr>
          <w:sz w:val="20"/>
          <w:szCs w:val="20"/>
          <w:color w:val="auto"/>
        </w:rPr>
      </w:pPr>
      <w:r>
        <w:rPr>
          <w:rFonts w:ascii="Arial" w:cs="Arial" w:eastAsia="Arial" w:hAnsi="Arial"/>
          <w:sz w:val="18"/>
          <w:szCs w:val="18"/>
          <w:color w:val="auto"/>
        </w:rPr>
        <w:t>In fiscal 2020, we primarily compensated our NEOs through a combination of base salary and annual cash incentive awards. Our NEOs are also entitled to certain other benefits, subject to their enrollment, including a</w:t>
      </w:r>
    </w:p>
    <w:p>
      <w:pPr>
        <w:spacing w:after="0" w:line="103"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136</w:t>
      </w:r>
    </w:p>
    <w:p>
      <w:pPr>
        <w:sectPr>
          <w:pgSz w:w="11900" w:h="16838" w:orient="portrait"/>
          <w:cols w:equalWidth="0" w:num="1">
            <w:col w:w="11140"/>
          </w:cols>
          <w:pgMar w:left="320" w:top="459" w:right="439" w:bottom="1440" w:gutter="0" w:footer="0" w:header="0"/>
        </w:sectPr>
      </w:pPr>
    </w:p>
    <w:bookmarkStart w:id="143" w:name="page144"/>
    <w:bookmarkEnd w:id="14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Confidential Treatment Requested by Definitive Healthcare Corp.</w:t>
      </w:r>
    </w:p>
    <w:p>
      <w:pPr>
        <w:spacing w:after="0" w:line="27"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Pursuant to 17 C.F.R. Section 200.83</w:t>
      </w:r>
    </w:p>
    <w:p>
      <w:pPr>
        <w:spacing w:after="0" w:line="143" w:lineRule="exact"/>
        <w:rPr>
          <w:sz w:val="20"/>
          <w:szCs w:val="20"/>
          <w:color w:val="auto"/>
        </w:rPr>
      </w:pPr>
    </w:p>
    <w:p>
      <w:pPr>
        <w:ind w:left="120" w:right="660"/>
        <w:spacing w:after="0" w:line="277" w:lineRule="auto"/>
        <w:rPr>
          <w:sz w:val="20"/>
          <w:szCs w:val="20"/>
          <w:color w:val="auto"/>
        </w:rPr>
      </w:pPr>
      <w:r>
        <w:rPr>
          <w:rFonts w:ascii="Arial" w:cs="Arial" w:eastAsia="Arial" w:hAnsi="Arial"/>
          <w:sz w:val="18"/>
          <w:szCs w:val="18"/>
          <w:color w:val="auto"/>
        </w:rPr>
        <w:t>401(k) plan with matching contributions, medical, dental, vision, life, accidental death and dismemberment, short-term disability and long-term disability insurance.</w:t>
      </w:r>
    </w:p>
    <w:p>
      <w:pPr>
        <w:spacing w:after="0" w:line="170" w:lineRule="exact"/>
        <w:rPr>
          <w:sz w:val="20"/>
          <w:szCs w:val="20"/>
          <w:color w:val="auto"/>
        </w:rPr>
      </w:pPr>
    </w:p>
    <w:p>
      <w:pPr>
        <w:ind w:left="120" w:right="20" w:firstLine="440"/>
        <w:spacing w:after="0" w:line="253" w:lineRule="auto"/>
        <w:rPr>
          <w:sz w:val="20"/>
          <w:szCs w:val="20"/>
          <w:color w:val="auto"/>
        </w:rPr>
      </w:pPr>
      <w:r>
        <w:rPr>
          <w:rFonts w:ascii="Arial" w:cs="Arial" w:eastAsia="Arial" w:hAnsi="Arial"/>
          <w:sz w:val="18"/>
          <w:szCs w:val="18"/>
          <w:color w:val="auto"/>
        </w:rPr>
        <w:t>Although we did not grant equity awards to our NEOs in 2020, we previously granted our executive officers Class B Units. These Class B Units are intended to be treated as “profits interests” for U.S. federal income tax purposes and have economic characteristics similar to stock appreciation rights. The Class B Units in AIDH Management Holdings, LLC correspond on a one-for-one basis to Class B Units issued by Definitive OpCo to AIDH Management Holdings, LLC. On September 18, 2019, we granted Class B Units to our NEOs under the 2019 Plan. Prior to the IPO, the vesting of a portion of the Class B Units was tied to the achievement by Advent of certain specified investment multiples and a portion is subject to time-based vesting. Under the terms of the existing award agreements with our executive officers and certain other award holders, upon the initial public offering, the portion of such awards as to which such investment multiples would not be achieved if Advent were to sell its entire investment at the initial public offering price was forfeited. In connection with the initial public offering, such forfeiture condition was waived and, after the IPO, all such unvested awards are subject to time-based vesting, subject to the service provider’s continued service. See “Executive and Director Compensation—Equity Compensation.”</w:t>
      </w:r>
    </w:p>
    <w:p>
      <w:pPr>
        <w:spacing w:after="0" w:line="194"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The components of our fiscal 2020 compensation program are described in more detail below:</w:t>
      </w:r>
    </w:p>
    <w:p>
      <w:pPr>
        <w:spacing w:after="0" w:line="32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Cash Compensation</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Base Salary</w:t>
      </w:r>
    </w:p>
    <w:p>
      <w:pPr>
        <w:spacing w:after="0" w:line="117" w:lineRule="exact"/>
        <w:rPr>
          <w:sz w:val="20"/>
          <w:szCs w:val="20"/>
          <w:color w:val="auto"/>
        </w:rPr>
      </w:pPr>
    </w:p>
    <w:p>
      <w:pPr>
        <w:ind w:left="120" w:right="140" w:firstLine="440"/>
        <w:spacing w:after="0" w:line="263" w:lineRule="auto"/>
        <w:rPr>
          <w:sz w:val="20"/>
          <w:szCs w:val="20"/>
          <w:color w:val="auto"/>
        </w:rPr>
      </w:pPr>
      <w:r>
        <w:rPr>
          <w:rFonts w:ascii="Arial" w:cs="Arial" w:eastAsia="Arial" w:hAnsi="Arial"/>
          <w:sz w:val="18"/>
          <w:szCs w:val="18"/>
          <w:color w:val="auto"/>
        </w:rPr>
        <w:t>Base salary is paid to attract and retain qualified talent and is set at a level that is commensurate with the executive’s duties and authorities, contributions, prior experience and sustained performance. The annual base salaries for each of Messrs. Krantz, Shone and Mirisola for fiscal 2020 are set forth in the Summary Compensation Table above in the “Salary” column.</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2020 Annual Cash Incentive Awards and Bonus</w:t>
      </w:r>
    </w:p>
    <w:p>
      <w:pPr>
        <w:spacing w:after="0" w:line="117" w:lineRule="exact"/>
        <w:rPr>
          <w:sz w:val="20"/>
          <w:szCs w:val="20"/>
          <w:color w:val="auto"/>
        </w:rPr>
      </w:pPr>
    </w:p>
    <w:p>
      <w:pPr>
        <w:ind w:left="120" w:firstLine="440"/>
        <w:spacing w:after="0" w:line="286" w:lineRule="auto"/>
        <w:rPr>
          <w:sz w:val="20"/>
          <w:szCs w:val="20"/>
          <w:color w:val="auto"/>
        </w:rPr>
      </w:pPr>
      <w:r>
        <w:rPr>
          <w:rFonts w:ascii="Arial" w:cs="Arial" w:eastAsia="Arial" w:hAnsi="Arial"/>
          <w:sz w:val="17"/>
          <w:szCs w:val="17"/>
          <w:color w:val="auto"/>
        </w:rPr>
        <w:t>In fiscal 2020, we awarded annual cash incentive opportunities to each of our NEOs under the Definitive Healthcare 2020 Corporate Bonus Program (the “2020 Bonus Program”). We generally use our bonus program to provide annual performance-based cash incentive awards to motivate and reward eligible employees for the Company’s achievement of financial objectives, as established by the Board each year.</w:t>
      </w:r>
    </w:p>
    <w:p>
      <w:pPr>
        <w:spacing w:after="0" w:line="165" w:lineRule="exact"/>
        <w:rPr>
          <w:sz w:val="20"/>
          <w:szCs w:val="20"/>
          <w:color w:val="auto"/>
        </w:rPr>
      </w:pPr>
    </w:p>
    <w:p>
      <w:pPr>
        <w:ind w:left="120" w:right="80" w:firstLine="440"/>
        <w:spacing w:after="0" w:line="293" w:lineRule="auto"/>
        <w:rPr>
          <w:sz w:val="20"/>
          <w:szCs w:val="20"/>
          <w:color w:val="auto"/>
        </w:rPr>
      </w:pPr>
      <w:r>
        <w:rPr>
          <w:rFonts w:ascii="Arial" w:cs="Arial" w:eastAsia="Arial" w:hAnsi="Arial"/>
          <w:sz w:val="16"/>
          <w:szCs w:val="16"/>
          <w:color w:val="auto"/>
        </w:rPr>
        <w:t>For fiscal 2020, performance was measured against the Company’s “Cash Revenue Performance,” defined as the bookings from new revenue, upsell revenue, renewals revenue and non-recurring revenue that are closed by the Company in calendar 2020 and based on base, target and stretch performance objectives. The performance objectives were established at the beginning of fiscal 2020, and later adjusted downward to reflect the impact of the COVID-19 pandemic in order to retain and appropriately incentivize employees. If the performance objective is achieved at target, our executive officers, including our NEOs, receive a cash payment equal to their target bonus. If performance exceeds or falls short of the targets, then payouts are adjusted according to the level of achievement, as such level of achievement is approved by the Compensation Committee.</w:t>
      </w:r>
    </w:p>
    <w:p>
      <w:pPr>
        <w:spacing w:after="0" w:line="164" w:lineRule="exact"/>
        <w:rPr>
          <w:sz w:val="20"/>
          <w:szCs w:val="20"/>
          <w:color w:val="auto"/>
        </w:rPr>
      </w:pPr>
    </w:p>
    <w:p>
      <w:pPr>
        <w:jc w:val="both"/>
        <w:ind w:left="120" w:right="480" w:firstLine="440"/>
        <w:spacing w:after="0" w:line="311" w:lineRule="auto"/>
        <w:rPr>
          <w:sz w:val="20"/>
          <w:szCs w:val="20"/>
          <w:color w:val="auto"/>
        </w:rPr>
      </w:pPr>
      <w:r>
        <w:rPr>
          <w:rFonts w:ascii="Arial" w:cs="Arial" w:eastAsia="Arial" w:hAnsi="Arial"/>
          <w:sz w:val="16"/>
          <w:szCs w:val="16"/>
          <w:color w:val="auto"/>
        </w:rPr>
        <w:t>Mr. Krantz’s, base achievement, target achievement and stretch achievement payments for fiscal 2020 were up to 68% of his base salary for achievement of any of base, target and stretch goals. Mr. Shone’s base, target and stretch achievement were set at $50,000, $75,000 and $100,000 respectively, and Mr. Mirisola’s base, target and stretch achievement were set at $75,000, $125,000 and $175,000 respectively.</w:t>
      </w:r>
    </w:p>
    <w:p>
      <w:pPr>
        <w:spacing w:after="0" w:line="149" w:lineRule="exact"/>
        <w:rPr>
          <w:sz w:val="20"/>
          <w:szCs w:val="20"/>
          <w:color w:val="auto"/>
        </w:rPr>
      </w:pPr>
    </w:p>
    <w:p>
      <w:pPr>
        <w:ind w:left="120" w:right="640" w:firstLine="440"/>
        <w:spacing w:after="0" w:line="277" w:lineRule="auto"/>
        <w:rPr>
          <w:sz w:val="20"/>
          <w:szCs w:val="20"/>
          <w:color w:val="auto"/>
        </w:rPr>
      </w:pPr>
      <w:r>
        <w:rPr>
          <w:rFonts w:ascii="Arial" w:cs="Arial" w:eastAsia="Arial" w:hAnsi="Arial"/>
          <w:sz w:val="18"/>
          <w:szCs w:val="18"/>
          <w:color w:val="auto"/>
        </w:rPr>
        <w:t>The Board also approved an incremental tier (“Executive Stretch”) of $25,000 pursuant to the 2020 Bonus Program for executive leaders, including our NEOs for above stretch achievement.</w:t>
      </w:r>
    </w:p>
    <w:p>
      <w:pPr>
        <w:spacing w:after="0" w:line="103" w:lineRule="exact"/>
        <w:rPr>
          <w:sz w:val="20"/>
          <w:szCs w:val="20"/>
          <w:color w:val="auto"/>
        </w:rPr>
      </w:pPr>
    </w:p>
    <w:p>
      <w:pPr>
        <w:jc w:val="center"/>
        <w:ind w:right="-359"/>
        <w:spacing w:after="0"/>
        <w:rPr>
          <w:sz w:val="20"/>
          <w:szCs w:val="20"/>
          <w:color w:val="auto"/>
        </w:rPr>
      </w:pPr>
      <w:r>
        <w:rPr>
          <w:rFonts w:ascii="Arial" w:cs="Arial" w:eastAsia="Arial" w:hAnsi="Arial"/>
          <w:sz w:val="18"/>
          <w:szCs w:val="18"/>
          <w:color w:val="auto"/>
        </w:rPr>
        <w:t>137</w:t>
      </w:r>
    </w:p>
    <w:p>
      <w:pPr>
        <w:sectPr>
          <w:pgSz w:w="11900" w:h="16838" w:orient="portrait"/>
          <w:cols w:equalWidth="0" w:num="1">
            <w:col w:w="11100"/>
          </w:cols>
          <w:pgMar w:left="320" w:top="459" w:right="479" w:bottom="1440" w:gutter="0" w:footer="0" w:header="0"/>
        </w:sectPr>
      </w:pPr>
    </w:p>
    <w:bookmarkStart w:id="144" w:name="page145"/>
    <w:bookmarkEnd w:id="14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Confidential Treatment Requested by Definitive Healthcare Corp.</w:t>
      </w:r>
    </w:p>
    <w:p>
      <w:pPr>
        <w:spacing w:after="0" w:line="27"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Pursuant to 17 C.F.R. Section 200.83</w:t>
      </w:r>
    </w:p>
    <w:p>
      <w:pPr>
        <w:spacing w:after="0" w:line="143" w:lineRule="exact"/>
        <w:rPr>
          <w:sz w:val="20"/>
          <w:szCs w:val="20"/>
          <w:color w:val="auto"/>
        </w:rPr>
      </w:pPr>
    </w:p>
    <w:p>
      <w:pPr>
        <w:ind w:left="120" w:right="20" w:firstLine="440"/>
        <w:spacing w:after="0" w:line="259" w:lineRule="auto"/>
        <w:rPr>
          <w:sz w:val="20"/>
          <w:szCs w:val="20"/>
          <w:color w:val="auto"/>
        </w:rPr>
      </w:pPr>
      <w:r>
        <w:rPr>
          <w:rFonts w:ascii="Arial" w:cs="Arial" w:eastAsia="Arial" w:hAnsi="Arial"/>
          <w:sz w:val="18"/>
          <w:szCs w:val="18"/>
          <w:color w:val="auto"/>
        </w:rPr>
        <w:t>Based on achievement of Cash Revenue Performance in fiscal 2020 of $136.607 million, our compensation committee approved the following payments to our NEOs: for Mr. Krantz, $285,770; for Mr. Shone, $100,000; and for Mr. Mirisola, $175,000, in each case reflecting the achievement of the Executive Stretch for achieving stretch achievement. In addition, the Board also approved payment of the Executive Stretch Tier of $25,000 for each of our NEOs in its discretion in recognition of 2020 performance.</w:t>
      </w:r>
    </w:p>
    <w:p>
      <w:pPr>
        <w:spacing w:after="0" w:line="29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Employment Arrangements</w:t>
      </w:r>
    </w:p>
    <w:p>
      <w:pPr>
        <w:spacing w:after="0" w:line="121" w:lineRule="exact"/>
        <w:rPr>
          <w:sz w:val="20"/>
          <w:szCs w:val="20"/>
          <w:color w:val="auto"/>
        </w:rPr>
      </w:pPr>
    </w:p>
    <w:p>
      <w:pPr>
        <w:ind w:left="120" w:right="120" w:firstLine="440"/>
        <w:spacing w:after="0" w:line="263" w:lineRule="auto"/>
        <w:rPr>
          <w:sz w:val="20"/>
          <w:szCs w:val="20"/>
          <w:color w:val="auto"/>
        </w:rPr>
      </w:pPr>
      <w:r>
        <w:rPr>
          <w:rFonts w:ascii="Arial" w:cs="Arial" w:eastAsia="Arial" w:hAnsi="Arial"/>
          <w:sz w:val="18"/>
          <w:szCs w:val="18"/>
          <w:color w:val="auto"/>
        </w:rPr>
        <w:t>The following is a summary of the material terms of the employment arrangements that we have with each of our NEOs, which includes our employment agreements with Messrs. Krantz and Shone. Mr. Mirisola does not have an employment agreement, but has entered into an Assignment of Inventions, Non-Disclosure and Non-Competition Agreement with Definitive Healthcare, LLC.</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Jason Krantz</w:t>
      </w:r>
    </w:p>
    <w:p>
      <w:pPr>
        <w:spacing w:after="0" w:line="117" w:lineRule="exact"/>
        <w:rPr>
          <w:sz w:val="20"/>
          <w:szCs w:val="20"/>
          <w:color w:val="auto"/>
        </w:rPr>
      </w:pPr>
    </w:p>
    <w:p>
      <w:pPr>
        <w:ind w:left="120" w:right="40" w:firstLine="440"/>
        <w:spacing w:after="0" w:line="255" w:lineRule="auto"/>
        <w:rPr>
          <w:sz w:val="20"/>
          <w:szCs w:val="20"/>
          <w:color w:val="auto"/>
        </w:rPr>
      </w:pPr>
      <w:r>
        <w:rPr>
          <w:rFonts w:ascii="Arial" w:cs="Arial" w:eastAsia="Arial" w:hAnsi="Arial"/>
          <w:sz w:val="18"/>
          <w:szCs w:val="18"/>
          <w:color w:val="auto"/>
        </w:rPr>
        <w:t>We entered into an employment agreement with Mr. Krantz (the “Krantz Employment Agreement”) on February 18, 2015. The Krantz Employment Agreement provides for at-will employment, and further provides that Mr. Krantz will receive a base salary, which is reviewed on an annual basis by the Compensation Committee of the Board to determine whether it should be increased. See the “Summary Compensation Table” above for Mr. Krantz’s base salary for fiscal 2020. The Krantz Employment Agreement also provides that Mr. Krantz is eligible to receive a cash bonus based on his performance relative to objective and subjective performance criteria established by the Board. Mr. Krantz’s target annual bonus is equal to 68% of his base salary, subject to Board approval.</w:t>
      </w:r>
    </w:p>
    <w:p>
      <w:pPr>
        <w:spacing w:after="0" w:line="192" w:lineRule="exact"/>
        <w:rPr>
          <w:sz w:val="20"/>
          <w:szCs w:val="20"/>
          <w:color w:val="auto"/>
        </w:rPr>
      </w:pPr>
    </w:p>
    <w:p>
      <w:pPr>
        <w:jc w:val="both"/>
        <w:ind w:left="120" w:right="40" w:firstLine="440"/>
        <w:spacing w:after="0" w:line="311" w:lineRule="auto"/>
        <w:rPr>
          <w:sz w:val="20"/>
          <w:szCs w:val="20"/>
          <w:color w:val="auto"/>
        </w:rPr>
      </w:pPr>
      <w:r>
        <w:rPr>
          <w:rFonts w:ascii="Arial" w:cs="Arial" w:eastAsia="Arial" w:hAnsi="Arial"/>
          <w:sz w:val="16"/>
          <w:szCs w:val="16"/>
          <w:color w:val="auto"/>
        </w:rPr>
        <w:t>In addition to the above, Mr. Krantz participates in the employee benefits programs offered by us to our similarly-situated employees. The Krantz Employment Agreement provides for the reimbursement of 100% of all health insurance premiums for Mr. Krantz and his family. The cost of the health insurance premiums reimbursed to Mr. Krantz are set forth in the “Summary Compensation Table” above in the “All Other Compensation” column.</w:t>
      </w:r>
    </w:p>
    <w:p>
      <w:pPr>
        <w:spacing w:after="0" w:line="149" w:lineRule="exact"/>
        <w:rPr>
          <w:sz w:val="20"/>
          <w:szCs w:val="20"/>
          <w:color w:val="auto"/>
        </w:rPr>
      </w:pPr>
    </w:p>
    <w:p>
      <w:pPr>
        <w:jc w:val="both"/>
        <w:ind w:left="120" w:right="160" w:firstLine="440"/>
        <w:spacing w:after="0" w:line="263" w:lineRule="auto"/>
        <w:rPr>
          <w:sz w:val="20"/>
          <w:szCs w:val="20"/>
          <w:color w:val="auto"/>
        </w:rPr>
      </w:pPr>
      <w:r>
        <w:rPr>
          <w:rFonts w:ascii="Arial" w:cs="Arial" w:eastAsia="Arial" w:hAnsi="Arial"/>
          <w:sz w:val="18"/>
          <w:szCs w:val="18"/>
          <w:color w:val="auto"/>
        </w:rPr>
        <w:t>Mr. Krantz’s employment may be terminated at any time by (i) us with or without Cause (as defined below), (ii) Mr. Krantz for any or no reason (including Good Reason, as defined below), (iii) either us or Mr. Krantz in the event of Mr. Krantz’s Disability (as defined in the Krantz Employment Agreement) or (iv) as a result of Mr. Krantz’s death.</w:t>
      </w:r>
    </w:p>
    <w:p>
      <w:pPr>
        <w:spacing w:after="0" w:line="184" w:lineRule="exact"/>
        <w:rPr>
          <w:sz w:val="20"/>
          <w:szCs w:val="20"/>
          <w:color w:val="auto"/>
        </w:rPr>
      </w:pPr>
    </w:p>
    <w:p>
      <w:pPr>
        <w:ind w:left="120" w:firstLine="440"/>
        <w:spacing w:after="0" w:line="270" w:lineRule="auto"/>
        <w:rPr>
          <w:sz w:val="20"/>
          <w:szCs w:val="20"/>
          <w:color w:val="auto"/>
        </w:rPr>
      </w:pPr>
      <w:r>
        <w:rPr>
          <w:rFonts w:ascii="Arial" w:cs="Arial" w:eastAsia="Arial" w:hAnsi="Arial"/>
          <w:sz w:val="17"/>
          <w:szCs w:val="17"/>
          <w:color w:val="auto"/>
        </w:rPr>
        <w:t>If we terminate Mr. Krantz’s employment without Cause (as defined below and other than as a result of death or disability (as defined in the Krantz Employment Agreement)), or Mr. Krantz terminates his employment for “Good Reason,” (as defined below) then we must provide Mr. Krantz with (i) continuation of payments of salary at the rate in effect on the date of termination for a period of twelve months from the date of termination of employment, payable in accordance with our regular payroll schedule; (ii) a prorated portion of the bonus that Mr. Krantz would have earned in accordance with the Krantz Employment Agreement had his employment continued through the end of the fiscal year (plus, if not yet paid upon the date of termination, the full bonus for the prior fiscal year), which prorated amount shall be calculated based upon the number of days elapsed during the fiscal year in which Mr. Krantz’s employment terminates through the date of termination and determined in the sole good faith discretion of the Board; and (iii) if Mr. Krantz is eligible, continuation of payments of the group health continuation coverage premiums for Mr. Krantz and his eligible dependents for a period of up to twelve months.</w:t>
      </w:r>
    </w:p>
    <w:p>
      <w:pPr>
        <w:spacing w:after="0" w:line="181" w:lineRule="exact"/>
        <w:rPr>
          <w:sz w:val="20"/>
          <w:szCs w:val="20"/>
          <w:color w:val="auto"/>
        </w:rPr>
      </w:pPr>
    </w:p>
    <w:p>
      <w:pPr>
        <w:ind w:left="120" w:right="140" w:firstLine="440"/>
        <w:spacing w:after="0" w:line="277" w:lineRule="auto"/>
        <w:rPr>
          <w:sz w:val="20"/>
          <w:szCs w:val="20"/>
          <w:color w:val="auto"/>
        </w:rPr>
      </w:pPr>
      <w:r>
        <w:rPr>
          <w:rFonts w:ascii="Arial" w:cs="Arial" w:eastAsia="Arial" w:hAnsi="Arial"/>
          <w:sz w:val="18"/>
          <w:szCs w:val="18"/>
          <w:color w:val="auto"/>
        </w:rPr>
        <w:t>The Krantz Employment Agreement includes customary confidentiality provisions, as well as provisions relating to noncompetition, assignment of inventions, and non-solicitation of our employees.</w:t>
      </w:r>
    </w:p>
    <w:p>
      <w:pPr>
        <w:spacing w:after="0" w:line="170" w:lineRule="exact"/>
        <w:rPr>
          <w:sz w:val="20"/>
          <w:szCs w:val="20"/>
          <w:color w:val="auto"/>
        </w:rPr>
      </w:pPr>
    </w:p>
    <w:p>
      <w:pPr>
        <w:ind w:left="120" w:right="160" w:firstLine="440"/>
        <w:spacing w:after="0" w:line="277" w:lineRule="auto"/>
        <w:rPr>
          <w:sz w:val="20"/>
          <w:szCs w:val="20"/>
          <w:color w:val="auto"/>
        </w:rPr>
      </w:pPr>
      <w:r>
        <w:rPr>
          <w:rFonts w:ascii="Arial" w:cs="Arial" w:eastAsia="Arial" w:hAnsi="Arial"/>
          <w:sz w:val="18"/>
          <w:szCs w:val="18"/>
          <w:color w:val="auto"/>
        </w:rPr>
        <w:t>For purposes of the Krantz Employment Agreement, “Cause” means that the Mr. Krantz has: (i) breached any fiduciary duty or legal or material contractual obligation to us, which breach, if curable, is not cured within</w:t>
      </w:r>
    </w:p>
    <w:p>
      <w:pPr>
        <w:spacing w:after="0" w:line="103" w:lineRule="exact"/>
        <w:rPr>
          <w:sz w:val="20"/>
          <w:szCs w:val="20"/>
          <w:color w:val="auto"/>
        </w:rPr>
      </w:pPr>
    </w:p>
    <w:p>
      <w:pPr>
        <w:jc w:val="center"/>
        <w:ind w:right="-379"/>
        <w:spacing w:after="0"/>
        <w:rPr>
          <w:sz w:val="20"/>
          <w:szCs w:val="20"/>
          <w:color w:val="auto"/>
        </w:rPr>
      </w:pPr>
      <w:r>
        <w:rPr>
          <w:rFonts w:ascii="Arial" w:cs="Arial" w:eastAsia="Arial" w:hAnsi="Arial"/>
          <w:sz w:val="18"/>
          <w:szCs w:val="18"/>
          <w:color w:val="auto"/>
        </w:rPr>
        <w:t>138</w:t>
      </w:r>
    </w:p>
    <w:p>
      <w:pPr>
        <w:sectPr>
          <w:pgSz w:w="11900" w:h="16838" w:orient="portrait"/>
          <w:cols w:equalWidth="0" w:num="1">
            <w:col w:w="11100"/>
          </w:cols>
          <w:pgMar w:left="320" w:top="459" w:right="479" w:bottom="1440" w:gutter="0" w:footer="0" w:header="0"/>
        </w:sectPr>
      </w:pPr>
    </w:p>
    <w:bookmarkStart w:id="145" w:name="page146"/>
    <w:bookmarkEnd w:id="14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Confidential Treatment Requested by Definitive Healthcare Corp.</w:t>
      </w:r>
    </w:p>
    <w:p>
      <w:pPr>
        <w:spacing w:after="0" w:line="27"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Pursuant to 17 C.F.R. Section 200.83</w:t>
      </w:r>
    </w:p>
    <w:p>
      <w:pPr>
        <w:spacing w:after="0" w:line="143" w:lineRule="exact"/>
        <w:rPr>
          <w:sz w:val="20"/>
          <w:szCs w:val="20"/>
          <w:color w:val="auto"/>
        </w:rPr>
      </w:pPr>
    </w:p>
    <w:p>
      <w:pPr>
        <w:ind w:left="120" w:right="40"/>
        <w:spacing w:after="0" w:line="255" w:lineRule="auto"/>
        <w:rPr>
          <w:sz w:val="20"/>
          <w:szCs w:val="20"/>
          <w:color w:val="auto"/>
        </w:rPr>
      </w:pPr>
      <w:r>
        <w:rPr>
          <w:rFonts w:ascii="Arial" w:cs="Arial" w:eastAsia="Arial" w:hAnsi="Arial"/>
          <w:sz w:val="18"/>
          <w:szCs w:val="18"/>
          <w:color w:val="auto"/>
        </w:rPr>
        <w:t xml:space="preserve">15 days after written notice to the Executive thereof or, if cured, recurs; (ii) failed to follow any reasonable directive of the Board, which failure, if curable, is not cured within 15 days after notice to the Executive thereof or, if cured, recurs; (iii) engaged in gross negligence, fraud, embezzlement, acts of dishonesty or a conflict of interest relating to the affairs of the Company or any of our affiliates, in each case as determined by the Board; (iv) been convicted of or pleaded </w:t>
      </w:r>
      <w:r>
        <w:rPr>
          <w:rFonts w:ascii="Arial" w:cs="Arial" w:eastAsia="Arial" w:hAnsi="Arial"/>
          <w:sz w:val="18"/>
          <w:szCs w:val="18"/>
          <w:i w:val="1"/>
          <w:iCs w:val="1"/>
          <w:color w:val="auto"/>
        </w:rPr>
        <w:t>nolo contendere</w:t>
      </w:r>
      <w:r>
        <w:rPr>
          <w:rFonts w:ascii="Arial" w:cs="Arial" w:eastAsia="Arial" w:hAnsi="Arial"/>
          <w:sz w:val="18"/>
          <w:szCs w:val="18"/>
          <w:color w:val="auto"/>
        </w:rPr>
        <w:t xml:space="preserve"> to (A) any misdemeanor relating to the affairs of the Company or any of our affiliates or (B) any felony (excluding any motor vehicle offense for which a non-custodial sentence is received for Mr. Shone); or (v) engaged in a willful violation of any federal or state securities laws.</w:t>
      </w:r>
    </w:p>
    <w:p>
      <w:pPr>
        <w:spacing w:after="0" w:line="192" w:lineRule="exact"/>
        <w:rPr>
          <w:sz w:val="20"/>
          <w:szCs w:val="20"/>
          <w:color w:val="auto"/>
        </w:rPr>
      </w:pPr>
    </w:p>
    <w:p>
      <w:pPr>
        <w:ind w:left="120" w:right="120" w:firstLine="440"/>
        <w:spacing w:after="0" w:line="291" w:lineRule="auto"/>
        <w:rPr>
          <w:sz w:val="20"/>
          <w:szCs w:val="20"/>
          <w:color w:val="auto"/>
        </w:rPr>
      </w:pPr>
      <w:r>
        <w:rPr>
          <w:rFonts w:ascii="Arial" w:cs="Arial" w:eastAsia="Arial" w:hAnsi="Arial"/>
          <w:sz w:val="16"/>
          <w:szCs w:val="16"/>
          <w:color w:val="auto"/>
        </w:rPr>
        <w:t>For purposes of the Krantz Employment Agreement, “Good Reason” means without the written consent of Mr. Krantz (i) permanently relocating Mr. Krantz’s primary office to a location more than 25 miles from its current office location in Framingham, Massachusetts, (ii) a reduction in</w:t>
      </w:r>
    </w:p>
    <w:p>
      <w:pPr>
        <w:ind w:left="120"/>
        <w:spacing w:after="0" w:line="292" w:lineRule="auto"/>
        <w:rPr>
          <w:sz w:val="20"/>
          <w:szCs w:val="20"/>
          <w:color w:val="auto"/>
        </w:rPr>
      </w:pPr>
      <w:r>
        <w:rPr>
          <w:rFonts w:ascii="Arial" w:cs="Arial" w:eastAsia="Arial" w:hAnsi="Arial"/>
          <w:sz w:val="16"/>
          <w:szCs w:val="16"/>
          <w:color w:val="auto"/>
        </w:rPr>
        <w:t>Mr. Krantz’s then-current base salary by twenty percent (20%) or more provided that any such reduction that applies to all management employees in the same manner will not constitute Good Reason, or (iii) any material diminution in responsibilities, it being understood that a material diminution in responsibility in connection with a sale of the Company shall not constitute Good Reason; provided, that in each case, we shall have been given written notice from Mr. Krantz describing in reasonable detail the occurrence of the event or circumstance for which he believes he may resign for Good Reason within 90 days of the occurrence thereof and we shall not have cured such event or circumstance within 30 days after our receipt of such notice.</w:t>
      </w:r>
    </w:p>
    <w:p>
      <w:pPr>
        <w:spacing w:after="0" w:line="162" w:lineRule="exact"/>
        <w:rPr>
          <w:sz w:val="20"/>
          <w:szCs w:val="20"/>
          <w:color w:val="auto"/>
        </w:rPr>
      </w:pPr>
    </w:p>
    <w:p>
      <w:pPr>
        <w:ind w:left="120" w:firstLine="440"/>
        <w:spacing w:after="0" w:line="290" w:lineRule="auto"/>
        <w:rPr>
          <w:sz w:val="20"/>
          <w:szCs w:val="20"/>
          <w:color w:val="auto"/>
        </w:rPr>
      </w:pPr>
      <w:r>
        <w:rPr>
          <w:rFonts w:ascii="Arial" w:cs="Arial" w:eastAsia="Arial" w:hAnsi="Arial"/>
          <w:sz w:val="16"/>
          <w:szCs w:val="16"/>
          <w:color w:val="auto"/>
        </w:rPr>
        <w:t>In connection with the IPO, we amended Mr. Krantz’s employment agreement to provide him with additional benefits if we terminate Mr. Krantz’s employment without Cause or Mr. Krantz terminates his employment for Good Reason, in each case within a 12 month period after a change of control. If Mr. Krantz’s employment terminates on such basis within a 12 month period after a change of control, under his amended employment agreement we would provide Mr. Krantz with (i) severance in the amount of 150% of the sum of Mr. Krantz’s base salary and target bonus at the rate in effect on the date of termination; (ii) a prorated portion of the annual bonus Mr. Krantz would have earned at target level; and (iii) if Mr. Krantz is eligible, continuation of payments of the group health continuation coverage premiums for Mr. Krantz and his eligible dependents for a period of up to 18 months. In addition, we would accelerate the vesting of all of Mr. Krantz’s unvested equity awards. The payments and benefits described above may be reduced if they would result in Mr. Krantz receiving a lower amount on an after-tax basis due to the application of the excise tax on “golden parachutes.”</w:t>
      </w:r>
    </w:p>
    <w:p>
      <w:pPr>
        <w:spacing w:after="0" w:line="273"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Kevin Shone</w:t>
      </w:r>
    </w:p>
    <w:p>
      <w:pPr>
        <w:spacing w:after="0" w:line="117" w:lineRule="exact"/>
        <w:rPr>
          <w:sz w:val="20"/>
          <w:szCs w:val="20"/>
          <w:color w:val="auto"/>
        </w:rPr>
      </w:pPr>
    </w:p>
    <w:p>
      <w:pPr>
        <w:ind w:left="120" w:firstLine="440"/>
        <w:spacing w:after="0" w:line="287" w:lineRule="auto"/>
        <w:rPr>
          <w:sz w:val="20"/>
          <w:szCs w:val="20"/>
          <w:color w:val="auto"/>
        </w:rPr>
      </w:pPr>
      <w:r>
        <w:rPr>
          <w:rFonts w:ascii="Arial" w:cs="Arial" w:eastAsia="Arial" w:hAnsi="Arial"/>
          <w:sz w:val="16"/>
          <w:szCs w:val="16"/>
          <w:color w:val="auto"/>
        </w:rPr>
        <w:t>We entered into an employment agreement with Mr. Shone (the “Shone Employment Agreement”), effective as of April 24, 2018. The Shone Employment Agreement provides for employment on an “at will” basis, and further provides for a base salary which will be reviewed on an annual basis by the Compensation Committee of the Board to determine whether it should be increased. See the “Summary Compensation Table” above for</w:t>
      </w:r>
    </w:p>
    <w:p>
      <w:pPr>
        <w:spacing w:after="0" w:line="2" w:lineRule="exact"/>
        <w:rPr>
          <w:sz w:val="20"/>
          <w:szCs w:val="20"/>
          <w:color w:val="auto"/>
        </w:rPr>
      </w:pPr>
    </w:p>
    <w:p>
      <w:pPr>
        <w:ind w:left="120" w:right="140"/>
        <w:spacing w:after="0" w:line="255" w:lineRule="auto"/>
        <w:rPr>
          <w:sz w:val="20"/>
          <w:szCs w:val="20"/>
          <w:color w:val="auto"/>
        </w:rPr>
      </w:pPr>
      <w:r>
        <w:rPr>
          <w:rFonts w:ascii="Arial" w:cs="Arial" w:eastAsia="Arial" w:hAnsi="Arial"/>
          <w:sz w:val="18"/>
          <w:szCs w:val="18"/>
          <w:color w:val="auto"/>
        </w:rPr>
        <w:t>Mr. Shone’s base salary for fiscal 2020. The Shone Employment Agreement also provides that Mr. Shone is eligible to receive an annual cash bonus based on the Company achieving specific revenue targets which are determined on an annual basis for the following year by the Board. Pursuant to his employment agreement, Mr. Shone received Class B Units as described in the Class B Units section.</w:t>
      </w:r>
    </w:p>
    <w:p>
      <w:pPr>
        <w:spacing w:after="0" w:line="190" w:lineRule="exact"/>
        <w:rPr>
          <w:sz w:val="20"/>
          <w:szCs w:val="20"/>
          <w:color w:val="auto"/>
        </w:rPr>
      </w:pPr>
    </w:p>
    <w:p>
      <w:pPr>
        <w:ind w:left="120" w:right="160" w:firstLine="440"/>
        <w:spacing w:after="0" w:line="311" w:lineRule="auto"/>
        <w:rPr>
          <w:sz w:val="20"/>
          <w:szCs w:val="20"/>
          <w:color w:val="auto"/>
        </w:rPr>
      </w:pPr>
      <w:r>
        <w:rPr>
          <w:rFonts w:ascii="Arial" w:cs="Arial" w:eastAsia="Arial" w:hAnsi="Arial"/>
          <w:sz w:val="16"/>
          <w:szCs w:val="16"/>
          <w:color w:val="auto"/>
        </w:rPr>
        <w:t>In addition to the above, Mr. Shone participates in the employee benefits programs offered by us to our similarly-situated employees. The Shone Employment Agreement provides for the reimbursement of 100% of all health insurance premiums for Mr. Shone. The cost of the health insurance premiums reimbursed to Mr. Shone are set forth in the “Summary Compensation Table” above in the “All other compensation” column.</w:t>
      </w:r>
    </w:p>
    <w:p>
      <w:pPr>
        <w:spacing w:after="0" w:line="149" w:lineRule="exact"/>
        <w:rPr>
          <w:sz w:val="20"/>
          <w:szCs w:val="20"/>
          <w:color w:val="auto"/>
        </w:rPr>
      </w:pPr>
    </w:p>
    <w:p>
      <w:pPr>
        <w:ind w:left="120" w:right="20" w:firstLine="440"/>
        <w:spacing w:after="0" w:line="263" w:lineRule="auto"/>
        <w:rPr>
          <w:sz w:val="20"/>
          <w:szCs w:val="20"/>
          <w:color w:val="auto"/>
        </w:rPr>
      </w:pPr>
      <w:r>
        <w:rPr>
          <w:rFonts w:ascii="Arial" w:cs="Arial" w:eastAsia="Arial" w:hAnsi="Arial"/>
          <w:sz w:val="18"/>
          <w:szCs w:val="18"/>
          <w:color w:val="auto"/>
        </w:rPr>
        <w:t>Mr. Shone’s employment may be terminated at any time (i) by us with or without Cause (as defined below), (ii) by Mr. Shone for any or no reason (including Good Reason, as defined below), or (iii) by either us or Mr. Shone in the event of Mr. Shone’s Disability (as defined in the Shone Employment Agreement) or (iv) as a result of Mr. Shone’s death.</w:t>
      </w:r>
    </w:p>
    <w:p>
      <w:pPr>
        <w:spacing w:after="0" w:line="116"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139</w:t>
      </w:r>
    </w:p>
    <w:p>
      <w:pPr>
        <w:sectPr>
          <w:pgSz w:w="11900" w:h="16838" w:orient="portrait"/>
          <w:cols w:equalWidth="0" w:num="1">
            <w:col w:w="11120"/>
          </w:cols>
          <w:pgMar w:left="320" w:top="459" w:right="459" w:bottom="1440" w:gutter="0" w:footer="0" w:header="0"/>
        </w:sectPr>
      </w:pPr>
    </w:p>
    <w:bookmarkStart w:id="146" w:name="page147"/>
    <w:bookmarkEnd w:id="14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Confidential Treatment Requested by Definitive Healthcare Corp.</w:t>
      </w:r>
    </w:p>
    <w:p>
      <w:pPr>
        <w:spacing w:after="0" w:line="27"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Pursuant to 17 C.F.R. Section 200.83</w:t>
      </w:r>
    </w:p>
    <w:p>
      <w:pPr>
        <w:spacing w:after="0" w:line="143" w:lineRule="exact"/>
        <w:rPr>
          <w:sz w:val="20"/>
          <w:szCs w:val="20"/>
          <w:color w:val="auto"/>
        </w:rPr>
      </w:pPr>
    </w:p>
    <w:p>
      <w:pPr>
        <w:ind w:left="120" w:right="20" w:firstLine="440"/>
        <w:spacing w:after="0" w:line="259" w:lineRule="auto"/>
        <w:rPr>
          <w:sz w:val="20"/>
          <w:szCs w:val="20"/>
          <w:color w:val="auto"/>
        </w:rPr>
      </w:pPr>
      <w:r>
        <w:rPr>
          <w:rFonts w:ascii="Arial" w:cs="Arial" w:eastAsia="Arial" w:hAnsi="Arial"/>
          <w:sz w:val="18"/>
          <w:szCs w:val="18"/>
          <w:color w:val="auto"/>
        </w:rPr>
        <w:t>If we terminate Mr. Shone’s employment without Cause (other than as a result of death or disability), or Mr. Shone terminates his employment for Good Reason, then we must provide Mr. Shone with continuation of base salary (at the rate in effect on the date of termination) for a period of nine months from the date of termination of employment, payable in accordance with our regular payroll schedule, subject to his execution of an effective release of claims and continued compliance with restrictive covenants.</w:t>
      </w:r>
    </w:p>
    <w:p>
      <w:pPr>
        <w:spacing w:after="0" w:line="187" w:lineRule="exact"/>
        <w:rPr>
          <w:sz w:val="20"/>
          <w:szCs w:val="20"/>
          <w:color w:val="auto"/>
        </w:rPr>
      </w:pPr>
    </w:p>
    <w:p>
      <w:pPr>
        <w:ind w:left="120" w:right="780" w:firstLine="440"/>
        <w:spacing w:after="0" w:line="277" w:lineRule="auto"/>
        <w:rPr>
          <w:sz w:val="20"/>
          <w:szCs w:val="20"/>
          <w:color w:val="auto"/>
        </w:rPr>
      </w:pPr>
      <w:r>
        <w:rPr>
          <w:rFonts w:ascii="Arial" w:cs="Arial" w:eastAsia="Arial" w:hAnsi="Arial"/>
          <w:sz w:val="18"/>
          <w:szCs w:val="18"/>
          <w:color w:val="auto"/>
        </w:rPr>
        <w:t>The Shone Employment Agreement includes confidentiality provisions, as well as provisions relating to noncompetition, assignment of inventions, and non-solicitation of our employees.</w:t>
      </w:r>
    </w:p>
    <w:p>
      <w:pPr>
        <w:spacing w:after="0" w:line="170" w:lineRule="exact"/>
        <w:rPr>
          <w:sz w:val="20"/>
          <w:szCs w:val="20"/>
          <w:color w:val="auto"/>
        </w:rPr>
      </w:pPr>
    </w:p>
    <w:p>
      <w:pPr>
        <w:ind w:left="560"/>
        <w:spacing w:after="0"/>
        <w:rPr>
          <w:sz w:val="20"/>
          <w:szCs w:val="20"/>
          <w:color w:val="auto"/>
        </w:rPr>
      </w:pPr>
      <w:r>
        <w:rPr>
          <w:rFonts w:ascii="Arial" w:cs="Arial" w:eastAsia="Arial" w:hAnsi="Arial"/>
          <w:sz w:val="18"/>
          <w:szCs w:val="18"/>
          <w:color w:val="auto"/>
        </w:rPr>
        <w:t>“Cause” under the Shone Employment Agreement has the same meaning as under the Krantz Employment Agreement.</w:t>
      </w:r>
    </w:p>
    <w:p>
      <w:pPr>
        <w:spacing w:after="0" w:line="225" w:lineRule="exact"/>
        <w:rPr>
          <w:sz w:val="20"/>
          <w:szCs w:val="20"/>
          <w:color w:val="auto"/>
        </w:rPr>
      </w:pPr>
    </w:p>
    <w:p>
      <w:pPr>
        <w:ind w:left="120" w:firstLine="440"/>
        <w:spacing w:after="0" w:line="270" w:lineRule="auto"/>
        <w:rPr>
          <w:sz w:val="20"/>
          <w:szCs w:val="20"/>
          <w:color w:val="auto"/>
        </w:rPr>
      </w:pPr>
      <w:r>
        <w:rPr>
          <w:rFonts w:ascii="Arial" w:cs="Arial" w:eastAsia="Arial" w:hAnsi="Arial"/>
          <w:sz w:val="17"/>
          <w:szCs w:val="17"/>
          <w:color w:val="auto"/>
        </w:rPr>
        <w:t>For purposes of the Shone Employment Agreement, “Good Reason” means (i) a material diminution (of ten percent (10%) or more) of the Base Salary or target bonus (i.e., the size of the target bonus that Mr. Shone has the opportunity to earn) unless such reduction is part of, and proportionate to, an across the board reduction in the base salary of all Company executives; or (ii) any material breach by us of any written agreement between us and Mr. Shone; or (iii) a relocation of our principal office more than thirty (30) miles; or (iv) a material diminution of the duties, title, authority or responsibilities of Mr. Shone other than those duties, titles, authority or responsibilities that are by their nature or specifically identified as temporary; provided that no condition set forth in the preceding will be deemed Good Reason unless within 30 days from the initial existence of such condition, Mr. Shone notifies us, in writing, describing the conditions giving rise to the Good Reason and allowing us fifteen (15) days’ notice to remedy such condition and providing further that Mr. Shone has actually terminated his employment within sixty (60) days after the initial existence of said condition by providing us written notice of such termination.</w:t>
      </w:r>
    </w:p>
    <w:p>
      <w:pPr>
        <w:spacing w:after="0" w:line="181" w:lineRule="exact"/>
        <w:rPr>
          <w:sz w:val="20"/>
          <w:szCs w:val="20"/>
          <w:color w:val="auto"/>
        </w:rPr>
      </w:pPr>
    </w:p>
    <w:p>
      <w:pPr>
        <w:ind w:left="120" w:right="40" w:firstLine="440"/>
        <w:spacing w:after="0" w:line="289" w:lineRule="auto"/>
        <w:rPr>
          <w:sz w:val="20"/>
          <w:szCs w:val="20"/>
          <w:color w:val="auto"/>
        </w:rPr>
      </w:pPr>
      <w:r>
        <w:rPr>
          <w:rFonts w:ascii="Arial" w:cs="Arial" w:eastAsia="Arial" w:hAnsi="Arial"/>
          <w:sz w:val="16"/>
          <w:szCs w:val="16"/>
          <w:color w:val="auto"/>
        </w:rPr>
        <w:t>Mr. Shone retired from the Company on September 30, 2021. In connection with his retirement, we are providing Mr. Shone with separation benefits as follows: (i) continuation of his base salary (at the rate in effect on his date of termination) for a period of four and one-half months following his separation date, which is expected to total $112,500, (ii) a bonus for 2021 at the applicable rate paid to the executive team of up to $125,000, pro-rated for 2021, payable in a lump sum when paid to other executives, and (iii) acceleration of vesting of the unvested Reclassified Management Holdings Class B Units that he will receive in respect of 37,917 of his unvested time-vesting Class B units and 75,833 of his unvested performance-vesting Class B units. As a result, these awards were modified for the change of the vesting condition after the consummation of the proposed initial public offering. A revaluation of the awards will be performed in accordance with GAAP as if granted on the date of the modification. Incremental compensation expense of approximately $1.8 million was recorded during the third quarter 2021. Upon separation, Mr. Shone forfeited 37,917 of his remaining unvested time-based Class B units and 75,833 of his remaining unvested performance-based Class B units.</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Joseph Mirisola</w:t>
      </w:r>
    </w:p>
    <w:p>
      <w:pPr>
        <w:spacing w:after="0" w:line="117" w:lineRule="exact"/>
        <w:rPr>
          <w:sz w:val="20"/>
          <w:szCs w:val="20"/>
          <w:color w:val="auto"/>
        </w:rPr>
      </w:pPr>
    </w:p>
    <w:p>
      <w:pPr>
        <w:ind w:left="120" w:firstLine="440"/>
        <w:spacing w:after="0" w:line="293" w:lineRule="auto"/>
        <w:rPr>
          <w:sz w:val="20"/>
          <w:szCs w:val="20"/>
          <w:color w:val="auto"/>
        </w:rPr>
      </w:pPr>
      <w:r>
        <w:rPr>
          <w:rFonts w:ascii="Arial" w:cs="Arial" w:eastAsia="Arial" w:hAnsi="Arial"/>
          <w:sz w:val="16"/>
          <w:szCs w:val="16"/>
          <w:color w:val="auto"/>
        </w:rPr>
        <w:t>Mr. Mirisola does not have an employment agreement, but if he is terminated under qualifying conditions under our severance policy, he would be entitled to: (i) base salary continuation for 28 weeks from the date of termination, (ii) continuation of payment of the group health continuation coverage premiums for a period of up to 28 weeks, (iii) only if Mr. Mirisola is terminated in the fourth quarter, a prorated portion of the bonus that Mr. Mirisola would have earned had his employment continued through the end of the fiscal year and (iv) six months of outplacement services. Mr. Mirisola entered into an Assignment of Inventions, Non-disclosure and Non-competition Agreement with Definitive Healthcare, LLC, which includes customary confidentiality provisions, as well as provisions relating to noncompetition, assignment of inventions, and non-solicitation of our employees.</w:t>
      </w:r>
    </w:p>
    <w:p>
      <w:pPr>
        <w:spacing w:after="0" w:line="164" w:lineRule="exact"/>
        <w:rPr>
          <w:sz w:val="20"/>
          <w:szCs w:val="20"/>
          <w:color w:val="auto"/>
        </w:rPr>
      </w:pPr>
    </w:p>
    <w:p>
      <w:pPr>
        <w:ind w:left="120" w:right="300" w:firstLine="440"/>
        <w:spacing w:after="0" w:line="277" w:lineRule="auto"/>
        <w:rPr>
          <w:sz w:val="20"/>
          <w:szCs w:val="20"/>
          <w:color w:val="auto"/>
        </w:rPr>
      </w:pPr>
      <w:r>
        <w:rPr>
          <w:rFonts w:ascii="Arial" w:cs="Arial" w:eastAsia="Arial" w:hAnsi="Arial"/>
          <w:sz w:val="18"/>
          <w:szCs w:val="18"/>
          <w:color w:val="auto"/>
        </w:rPr>
        <w:t>We intend to enter into employment agreements with Mr. Mirisola and other senior executives that would provide them with certain severance benefits. If we terminate the executive’s employment without cause (to be</w:t>
      </w:r>
    </w:p>
    <w:p>
      <w:pPr>
        <w:spacing w:after="0" w:line="103" w:lineRule="exact"/>
        <w:rPr>
          <w:sz w:val="20"/>
          <w:szCs w:val="20"/>
          <w:color w:val="auto"/>
        </w:rPr>
      </w:pPr>
    </w:p>
    <w:p>
      <w:pPr>
        <w:jc w:val="center"/>
        <w:ind w:right="-379"/>
        <w:spacing w:after="0"/>
        <w:rPr>
          <w:sz w:val="20"/>
          <w:szCs w:val="20"/>
          <w:color w:val="auto"/>
        </w:rPr>
      </w:pPr>
      <w:r>
        <w:rPr>
          <w:rFonts w:ascii="Arial" w:cs="Arial" w:eastAsia="Arial" w:hAnsi="Arial"/>
          <w:sz w:val="18"/>
          <w:szCs w:val="18"/>
          <w:color w:val="auto"/>
        </w:rPr>
        <w:t>140</w:t>
      </w:r>
    </w:p>
    <w:p>
      <w:pPr>
        <w:sectPr>
          <w:pgSz w:w="11900" w:h="16838" w:orient="portrait"/>
          <w:cols w:equalWidth="0" w:num="1">
            <w:col w:w="11100"/>
          </w:cols>
          <w:pgMar w:left="320" w:top="459" w:right="479" w:bottom="1440" w:gutter="0" w:footer="0" w:header="0"/>
        </w:sectPr>
      </w:pPr>
    </w:p>
    <w:bookmarkStart w:id="147" w:name="page148"/>
    <w:bookmarkEnd w:id="14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Confidential Treatment Requested by Definitive Healthcare Corp.</w:t>
      </w:r>
    </w:p>
    <w:p>
      <w:pPr>
        <w:spacing w:after="0" w:line="27"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Pursuant to 17 C.F.R. Section 200.83</w:t>
      </w:r>
    </w:p>
    <w:p>
      <w:pPr>
        <w:spacing w:after="0" w:line="143" w:lineRule="exact"/>
        <w:rPr>
          <w:sz w:val="20"/>
          <w:szCs w:val="20"/>
          <w:color w:val="auto"/>
        </w:rPr>
      </w:pPr>
    </w:p>
    <w:p>
      <w:pPr>
        <w:ind w:left="120" w:right="60"/>
        <w:spacing w:after="0" w:line="284" w:lineRule="auto"/>
        <w:rPr>
          <w:sz w:val="20"/>
          <w:szCs w:val="20"/>
          <w:color w:val="auto"/>
        </w:rPr>
      </w:pPr>
      <w:r>
        <w:rPr>
          <w:rFonts w:ascii="Arial" w:cs="Arial" w:eastAsia="Arial" w:hAnsi="Arial"/>
          <w:sz w:val="16"/>
          <w:szCs w:val="16"/>
          <w:color w:val="auto"/>
        </w:rPr>
        <w:t>defined in such agreement) or the executive terminates his or her employment for good reason (to be defined in such agreement) we would provide such executive with (i) continuation of payments of their base salary at the rate in effect on the date of termination for a period of 12 months; (ii) a prorated portion of the annual bonus such executive would have earned; and (iii) if the executive is eligible, continuation of payments of the group health continuation coverage premiums for such executive and his eligible dependents for a period of up to 12 months. If such termination occurs within a 12 month period after a change of control we would provide such executive with (i) severance in the amount of the sum of such executive’s base salary and target bonus at the rate in effect on the date of termination; (ii) a prorated portion of the annual bonus such executive would have earned at target level;</w:t>
      </w:r>
    </w:p>
    <w:p>
      <w:pPr>
        <w:spacing w:after="0" w:line="4" w:lineRule="exact"/>
        <w:rPr>
          <w:sz w:val="20"/>
          <w:szCs w:val="20"/>
          <w:color w:val="auto"/>
        </w:rPr>
      </w:pPr>
    </w:p>
    <w:p>
      <w:pPr>
        <w:ind w:left="120" w:right="260" w:hanging="4"/>
        <w:spacing w:after="0" w:line="253" w:lineRule="auto"/>
        <w:tabs>
          <w:tab w:leader="none" w:pos="435" w:val="left"/>
        </w:tabs>
        <w:numPr>
          <w:ilvl w:val="0"/>
          <w:numId w:val="132"/>
        </w:numPr>
        <w:rPr>
          <w:rFonts w:ascii="Arial" w:cs="Arial" w:eastAsia="Arial" w:hAnsi="Arial"/>
          <w:sz w:val="18"/>
          <w:szCs w:val="18"/>
          <w:color w:val="auto"/>
        </w:rPr>
      </w:pPr>
      <w:r>
        <w:rPr>
          <w:rFonts w:ascii="Arial" w:cs="Arial" w:eastAsia="Arial" w:hAnsi="Arial"/>
          <w:sz w:val="18"/>
          <w:szCs w:val="18"/>
          <w:color w:val="auto"/>
        </w:rPr>
        <w:t>if the executive is eligible, continuation of payments of the group health continuation coverage premiums for such executive and his eligible dependents for a period of up to 12 months. In addition, we would accelerate the vesting of all of such executive’s unvested equity awards. The payments and benefits described above may be reduced if they would result in the executive receiving a lower amount on an after-tax basis due to the application of the excise tax on “golden parachutes.”</w:t>
      </w:r>
    </w:p>
    <w:p>
      <w:pPr>
        <w:spacing w:after="0" w:line="297"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Equity Compensation</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2019 Equity Incentive Plan</w:t>
      </w:r>
    </w:p>
    <w:p>
      <w:pPr>
        <w:spacing w:after="0" w:line="117" w:lineRule="exact"/>
        <w:rPr>
          <w:sz w:val="20"/>
          <w:szCs w:val="20"/>
          <w:color w:val="auto"/>
        </w:rPr>
      </w:pPr>
    </w:p>
    <w:p>
      <w:pPr>
        <w:jc w:val="both"/>
        <w:ind w:left="120" w:right="60" w:firstLine="440"/>
        <w:spacing w:after="0" w:line="286" w:lineRule="auto"/>
        <w:rPr>
          <w:sz w:val="20"/>
          <w:szCs w:val="20"/>
          <w:color w:val="auto"/>
        </w:rPr>
      </w:pPr>
      <w:r>
        <w:rPr>
          <w:rFonts w:ascii="Arial" w:cs="Arial" w:eastAsia="Arial" w:hAnsi="Arial"/>
          <w:sz w:val="17"/>
          <w:szCs w:val="17"/>
          <w:color w:val="auto"/>
        </w:rPr>
        <w:t>The 2019 Plan provides for the grant of awards of Class B Units to employees, independent directors and other service providers of the Company, our subsidiaries and AIDH Management Holdings, LLC. A total of 6,001,081 Class B Units are subject to outstanding awards under the 2019 Plan as of April 28, 2021. After completion of this offering we do not intend to grant any further awards under the 2019 Plan.</w:t>
      </w:r>
    </w:p>
    <w:p>
      <w:pPr>
        <w:spacing w:after="0" w:line="26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Outstanding Class B Units at Fiscal Year End</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6"/>
          <w:szCs w:val="16"/>
          <w:color w:val="auto"/>
        </w:rPr>
        <w:t>The following table sets forth certain information with respect to outstanding unvested Class B Units held by our NEOs as of December 31, 2020.</w:t>
      </w:r>
    </w:p>
    <w:p>
      <w:pPr>
        <w:spacing w:after="0" w:line="248" w:lineRule="exact"/>
        <w:rPr>
          <w:sz w:val="20"/>
          <w:szCs w:val="20"/>
          <w:color w:val="auto"/>
        </w:rPr>
      </w:pPr>
    </w:p>
    <w:p>
      <w:pPr>
        <w:ind w:left="120" w:right="40" w:firstLine="440"/>
        <w:spacing w:after="0" w:line="263" w:lineRule="auto"/>
        <w:rPr>
          <w:sz w:val="20"/>
          <w:szCs w:val="20"/>
          <w:color w:val="auto"/>
        </w:rPr>
      </w:pPr>
      <w:r>
        <w:rPr>
          <w:rFonts w:ascii="Arial" w:cs="Arial" w:eastAsia="Arial" w:hAnsi="Arial"/>
          <w:sz w:val="18"/>
          <w:szCs w:val="18"/>
          <w:color w:val="auto"/>
        </w:rPr>
        <w:t>The Class B Unit agreement provides that 25% of the time-based Class B Units vest on each of the first four anniversaries of the vesting commencement date, and that any unvested time-based Class B Units vest upon a change in control (as such term is defined in the 2019 Plan), subject to continued employment through such vesting commencement date or the change in control, as applicable.</w:t>
      </w:r>
    </w:p>
    <w:p>
      <w:pPr>
        <w:spacing w:after="0" w:line="202"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360" w:type="dxa"/>
            <w:vAlign w:val="bottom"/>
          </w:tcPr>
          <w:p>
            <w:pPr>
              <w:spacing w:after="0"/>
              <w:rPr>
                <w:sz w:val="14"/>
                <w:szCs w:val="14"/>
                <w:color w:val="auto"/>
              </w:rPr>
            </w:pPr>
          </w:p>
        </w:tc>
        <w:tc>
          <w:tcPr>
            <w:tcW w:w="63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gridSpan w:val="2"/>
          </w:tcPr>
          <w:p>
            <w:pPr>
              <w:jc w:val="center"/>
              <w:ind w:right="240"/>
              <w:spacing w:after="0"/>
              <w:rPr>
                <w:sz w:val="20"/>
                <w:szCs w:val="20"/>
                <w:color w:val="auto"/>
              </w:rPr>
            </w:pPr>
            <w:r>
              <w:rPr>
                <w:rFonts w:ascii="Arial" w:cs="Arial" w:eastAsia="Arial" w:hAnsi="Arial"/>
                <w:sz w:val="14"/>
                <w:szCs w:val="14"/>
                <w:b w:val="1"/>
                <w:bCs w:val="1"/>
                <w:color w:val="auto"/>
                <w:w w:val="90"/>
              </w:rPr>
              <w:t>Class B Units</w:t>
            </w:r>
          </w:p>
        </w:tc>
        <w:tc>
          <w:tcPr>
            <w:tcW w:w="26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360" w:type="dxa"/>
            <w:vAlign w:val="bottom"/>
          </w:tcPr>
          <w:p>
            <w:pPr>
              <w:spacing w:after="0"/>
              <w:rPr>
                <w:sz w:val="10"/>
                <w:szCs w:val="10"/>
                <w:color w:val="auto"/>
              </w:rPr>
            </w:pPr>
          </w:p>
        </w:tc>
        <w:tc>
          <w:tcPr>
            <w:tcW w:w="634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100" w:type="dxa"/>
            <w:vAlign w:val="bottom"/>
            <w:gridSpan w:val="2"/>
          </w:tcPr>
          <w:p>
            <w:pPr>
              <w:jc w:val="center"/>
              <w:ind w:right="240"/>
              <w:spacing w:after="0" w:line="119" w:lineRule="exact"/>
              <w:rPr>
                <w:sz w:val="20"/>
                <w:szCs w:val="20"/>
                <w:color w:val="auto"/>
              </w:rPr>
            </w:pPr>
            <w:r>
              <w:rPr>
                <w:rFonts w:ascii="Arial" w:cs="Arial" w:eastAsia="Arial" w:hAnsi="Arial"/>
                <w:sz w:val="13"/>
                <w:szCs w:val="13"/>
                <w:b w:val="1"/>
                <w:bCs w:val="1"/>
                <w:color w:val="auto"/>
              </w:rPr>
              <w:t>Number of</w:t>
            </w:r>
          </w:p>
        </w:tc>
        <w:tc>
          <w:tcPr>
            <w:tcW w:w="260" w:type="dxa"/>
            <w:vAlign w:val="bottom"/>
          </w:tcPr>
          <w:p>
            <w:pPr>
              <w:spacing w:after="0"/>
              <w:rPr>
                <w:sz w:val="10"/>
                <w:szCs w:val="10"/>
                <w:color w:val="auto"/>
              </w:rPr>
            </w:pPr>
          </w:p>
        </w:tc>
        <w:tc>
          <w:tcPr>
            <w:tcW w:w="980" w:type="dxa"/>
            <w:vAlign w:val="bottom"/>
            <w:gridSpan w:val="2"/>
          </w:tcPr>
          <w:p>
            <w:pPr>
              <w:jc w:val="center"/>
              <w:spacing w:after="0" w:line="119" w:lineRule="exact"/>
              <w:rPr>
                <w:sz w:val="20"/>
                <w:szCs w:val="20"/>
                <w:color w:val="auto"/>
              </w:rPr>
            </w:pPr>
            <w:r>
              <w:rPr>
                <w:rFonts w:ascii="Arial" w:cs="Arial" w:eastAsia="Arial" w:hAnsi="Arial"/>
                <w:sz w:val="13"/>
                <w:szCs w:val="13"/>
                <w:b w:val="1"/>
                <w:bCs w:val="1"/>
                <w:color w:val="auto"/>
              </w:rPr>
              <w:t>Market value of</w:t>
            </w: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360" w:type="dxa"/>
            <w:vAlign w:val="bottom"/>
          </w:tcPr>
          <w:p>
            <w:pPr>
              <w:spacing w:after="0"/>
              <w:rPr>
                <w:sz w:val="12"/>
                <w:szCs w:val="12"/>
                <w:color w:val="auto"/>
              </w:rPr>
            </w:pPr>
          </w:p>
        </w:tc>
        <w:tc>
          <w:tcPr>
            <w:tcW w:w="63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10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0"/>
              </w:rPr>
              <w:t>Class B Units</w:t>
            </w:r>
          </w:p>
        </w:tc>
        <w:tc>
          <w:tcPr>
            <w:tcW w:w="260" w:type="dxa"/>
            <w:vAlign w:val="bottom"/>
          </w:tcPr>
          <w:p>
            <w:pPr>
              <w:spacing w:after="0"/>
              <w:rPr>
                <w:sz w:val="12"/>
                <w:szCs w:val="12"/>
                <w:color w:val="auto"/>
              </w:rPr>
            </w:pPr>
          </w:p>
        </w:tc>
        <w:tc>
          <w:tcPr>
            <w:tcW w:w="1040" w:type="dxa"/>
            <w:vAlign w:val="bottom"/>
            <w:gridSpan w:val="3"/>
          </w:tcPr>
          <w:p>
            <w:pPr>
              <w:jc w:val="center"/>
              <w:ind w:right="60"/>
              <w:spacing w:after="0" w:line="149" w:lineRule="exact"/>
              <w:rPr>
                <w:sz w:val="20"/>
                <w:szCs w:val="20"/>
                <w:color w:val="auto"/>
              </w:rPr>
            </w:pPr>
            <w:r>
              <w:rPr>
                <w:rFonts w:ascii="Arial" w:cs="Arial" w:eastAsia="Arial" w:hAnsi="Arial"/>
                <w:sz w:val="14"/>
                <w:szCs w:val="14"/>
                <w:b w:val="1"/>
                <w:bCs w:val="1"/>
                <w:color w:val="auto"/>
                <w:w w:val="90"/>
              </w:rPr>
              <w:t>Class B Units</w:t>
            </w:r>
          </w:p>
        </w:tc>
        <w:tc>
          <w:tcPr>
            <w:tcW w:w="0" w:type="dxa"/>
            <w:vAlign w:val="bottom"/>
          </w:tcPr>
          <w:p>
            <w:pPr>
              <w:spacing w:after="0"/>
              <w:rPr>
                <w:sz w:val="1"/>
                <w:szCs w:val="1"/>
                <w:color w:val="auto"/>
              </w:rPr>
            </w:pPr>
          </w:p>
        </w:tc>
      </w:tr>
      <w:tr>
        <w:trPr>
          <w:trHeight w:val="149"/>
        </w:trPr>
        <w:tc>
          <w:tcPr>
            <w:tcW w:w="360" w:type="dxa"/>
            <w:vAlign w:val="bottom"/>
          </w:tcPr>
          <w:p>
            <w:pPr>
              <w:spacing w:after="0"/>
              <w:rPr>
                <w:sz w:val="12"/>
                <w:szCs w:val="12"/>
                <w:color w:val="auto"/>
              </w:rPr>
            </w:pPr>
          </w:p>
        </w:tc>
        <w:tc>
          <w:tcPr>
            <w:tcW w:w="63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10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1"/>
              </w:rPr>
              <w:t>that have</w:t>
            </w:r>
          </w:p>
        </w:tc>
        <w:tc>
          <w:tcPr>
            <w:tcW w:w="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4"/>
              </w:rPr>
              <w:t>that have</w:t>
            </w:r>
          </w:p>
        </w:tc>
        <w:tc>
          <w:tcPr>
            <w:tcW w:w="0" w:type="dxa"/>
            <w:vAlign w:val="bottom"/>
          </w:tcPr>
          <w:p>
            <w:pPr>
              <w:spacing w:after="0"/>
              <w:rPr>
                <w:sz w:val="1"/>
                <w:szCs w:val="1"/>
                <w:color w:val="auto"/>
              </w:rPr>
            </w:pPr>
          </w:p>
        </w:tc>
      </w:tr>
      <w:tr>
        <w:trPr>
          <w:trHeight w:val="148"/>
        </w:trPr>
        <w:tc>
          <w:tcPr>
            <w:tcW w:w="360" w:type="dxa"/>
            <w:vAlign w:val="bottom"/>
            <w:vMerge w:val="restart"/>
          </w:tcPr>
          <w:p>
            <w:pPr>
              <w:spacing w:after="0"/>
              <w:rPr>
                <w:sz w:val="20"/>
                <w:szCs w:val="20"/>
                <w:color w:val="auto"/>
              </w:rPr>
            </w:pPr>
            <w:r>
              <w:rPr>
                <w:rFonts w:ascii="Arial" w:cs="Arial" w:eastAsia="Arial" w:hAnsi="Arial"/>
                <w:sz w:val="14"/>
                <w:szCs w:val="14"/>
                <w:b w:val="1"/>
                <w:bCs w:val="1"/>
                <w:color w:val="auto"/>
                <w:w w:val="89"/>
              </w:rPr>
              <w:t>Name</w:t>
            </w:r>
          </w:p>
        </w:tc>
        <w:tc>
          <w:tcPr>
            <w:tcW w:w="6340" w:type="dxa"/>
            <w:vAlign w:val="bottom"/>
            <w:vMerge w:val="restart"/>
          </w:tcPr>
          <w:p>
            <w:pPr>
              <w:spacing w:after="0"/>
              <w:rPr>
                <w:sz w:val="12"/>
                <w:szCs w:val="12"/>
                <w:color w:val="auto"/>
              </w:rPr>
            </w:pPr>
          </w:p>
        </w:tc>
        <w:tc>
          <w:tcPr>
            <w:tcW w:w="440" w:type="dxa"/>
            <w:vAlign w:val="bottom"/>
          </w:tcPr>
          <w:p>
            <w:pPr>
              <w:spacing w:after="0"/>
              <w:rPr>
                <w:sz w:val="12"/>
                <w:szCs w:val="12"/>
                <w:color w:val="auto"/>
              </w:rPr>
            </w:pPr>
          </w:p>
        </w:tc>
        <w:tc>
          <w:tcPr>
            <w:tcW w:w="148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Grant Date</w:t>
            </w:r>
          </w:p>
        </w:tc>
        <w:tc>
          <w:tcPr>
            <w:tcW w:w="110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88"/>
              </w:rPr>
              <w:t>not vested</w:t>
            </w:r>
          </w:p>
        </w:tc>
        <w:tc>
          <w:tcPr>
            <w:tcW w:w="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88"/>
              </w:rPr>
              <w:t>not vested</w:t>
            </w:r>
          </w:p>
        </w:tc>
        <w:tc>
          <w:tcPr>
            <w:tcW w:w="0" w:type="dxa"/>
            <w:vAlign w:val="bottom"/>
          </w:tcPr>
          <w:p>
            <w:pPr>
              <w:spacing w:after="0"/>
              <w:rPr>
                <w:sz w:val="1"/>
                <w:szCs w:val="1"/>
                <w:color w:val="auto"/>
              </w:rPr>
            </w:pPr>
          </w:p>
        </w:tc>
      </w:tr>
      <w:tr>
        <w:trPr>
          <w:trHeight w:val="178"/>
        </w:trPr>
        <w:tc>
          <w:tcPr>
            <w:tcW w:w="360" w:type="dxa"/>
            <w:vAlign w:val="bottom"/>
            <w:tcBorders>
              <w:bottom w:val="single" w:sz="8" w:color="auto"/>
            </w:tcBorders>
            <w:vMerge w:val="continue"/>
          </w:tcPr>
          <w:p>
            <w:pPr>
              <w:spacing w:after="0"/>
              <w:rPr>
                <w:sz w:val="15"/>
                <w:szCs w:val="15"/>
                <w:color w:val="auto"/>
              </w:rPr>
            </w:pPr>
          </w:p>
        </w:tc>
        <w:tc>
          <w:tcPr>
            <w:tcW w:w="6340" w:type="dxa"/>
            <w:vAlign w:val="bottom"/>
            <w:vMerge w:val="continue"/>
          </w:tcPr>
          <w:p>
            <w:pPr>
              <w:spacing w:after="0"/>
              <w:rPr>
                <w:sz w:val="15"/>
                <w:szCs w:val="15"/>
                <w:color w:val="auto"/>
              </w:rPr>
            </w:pPr>
          </w:p>
        </w:tc>
        <w:tc>
          <w:tcPr>
            <w:tcW w:w="440" w:type="dxa"/>
            <w:vAlign w:val="bottom"/>
          </w:tcPr>
          <w:p>
            <w:pPr>
              <w:spacing w:after="0"/>
              <w:rPr>
                <w:sz w:val="15"/>
                <w:szCs w:val="15"/>
                <w:color w:val="auto"/>
              </w:rPr>
            </w:pPr>
          </w:p>
        </w:tc>
        <w:tc>
          <w:tcPr>
            <w:tcW w:w="1480" w:type="dxa"/>
            <w:vAlign w:val="bottom"/>
            <w:gridSpan w:val="2"/>
            <w:vMerge w:val="continue"/>
          </w:tcPr>
          <w:p>
            <w:pPr>
              <w:spacing w:after="0"/>
              <w:rPr>
                <w:sz w:val="15"/>
                <w:szCs w:val="15"/>
                <w:color w:val="auto"/>
              </w:rPr>
            </w:pPr>
          </w:p>
        </w:tc>
        <w:tc>
          <w:tcPr>
            <w:tcW w:w="860" w:type="dxa"/>
            <w:vAlign w:val="bottom"/>
          </w:tcPr>
          <w:p>
            <w:pPr>
              <w:jc w:val="center"/>
              <w:spacing w:after="0" w:line="158" w:lineRule="exact"/>
              <w:rPr>
                <w:sz w:val="20"/>
                <w:szCs w:val="20"/>
                <w:color w:val="auto"/>
              </w:rPr>
            </w:pPr>
            <w:r>
              <w:rPr>
                <w:rFonts w:ascii="Arial" w:cs="Arial" w:eastAsia="Arial" w:hAnsi="Arial"/>
                <w:sz w:val="14"/>
                <w:szCs w:val="14"/>
                <w:b w:val="1"/>
                <w:bCs w:val="1"/>
                <w:color w:val="auto"/>
                <w:w w:val="94"/>
              </w:rPr>
              <w:t>(#)</w:t>
            </w:r>
            <w:r>
              <w:rPr>
                <w:rFonts w:ascii="Arial" w:cs="Arial" w:eastAsia="Arial" w:hAnsi="Arial"/>
                <w:sz w:val="12"/>
                <w:szCs w:val="12"/>
                <w:b w:val="1"/>
                <w:bCs w:val="1"/>
                <w:color w:val="auto"/>
                <w:w w:val="94"/>
              </w:rPr>
              <w:t>(3)</w:t>
            </w:r>
          </w:p>
        </w:tc>
        <w:tc>
          <w:tcPr>
            <w:tcW w:w="2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60" w:type="dxa"/>
            <w:vAlign w:val="bottom"/>
          </w:tcPr>
          <w:p>
            <w:pPr>
              <w:jc w:val="center"/>
              <w:ind w:right="56"/>
              <w:spacing w:after="0" w:line="158" w:lineRule="exact"/>
              <w:rPr>
                <w:sz w:val="20"/>
                <w:szCs w:val="20"/>
                <w:color w:val="auto"/>
              </w:rPr>
            </w:pPr>
            <w:r>
              <w:rPr>
                <w:rFonts w:ascii="Arial" w:cs="Arial" w:eastAsia="Arial" w:hAnsi="Arial"/>
                <w:sz w:val="14"/>
                <w:szCs w:val="14"/>
                <w:b w:val="1"/>
                <w:bCs w:val="1"/>
                <w:color w:val="auto"/>
                <w:w w:val="93"/>
              </w:rPr>
              <w:t>($)</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6700" w:type="dxa"/>
            <w:vAlign w:val="bottom"/>
            <w:tcBorders>
              <w:top w:val="single" w:sz="8" w:color="CCEEFF"/>
            </w:tcBorders>
            <w:gridSpan w:val="2"/>
            <w:shd w:val="clear" w:color="auto" w:fill="CCEEFF"/>
          </w:tcPr>
          <w:p>
            <w:pPr>
              <w:spacing w:after="0" w:line="203" w:lineRule="exact"/>
              <w:rPr>
                <w:sz w:val="20"/>
                <w:szCs w:val="20"/>
                <w:color w:val="auto"/>
              </w:rPr>
            </w:pPr>
            <w:r>
              <w:rPr>
                <w:rFonts w:ascii="Arial" w:cs="Arial" w:eastAsia="Arial" w:hAnsi="Arial"/>
                <w:sz w:val="18"/>
                <w:szCs w:val="18"/>
                <w:color w:val="auto"/>
              </w:rPr>
              <w:t>Jason Krantz</w:t>
            </w:r>
          </w:p>
        </w:tc>
        <w:tc>
          <w:tcPr>
            <w:tcW w:w="440" w:type="dxa"/>
            <w:vAlign w:val="bottom"/>
            <w:tcBorders>
              <w:top w:val="single" w:sz="8" w:color="CCEEFF"/>
            </w:tcBorders>
            <w:shd w:val="clear" w:color="auto" w:fill="CCEEFF"/>
          </w:tcPr>
          <w:p>
            <w:pPr>
              <w:spacing w:after="0"/>
              <w:rPr>
                <w:sz w:val="17"/>
                <w:szCs w:val="17"/>
                <w:color w:val="auto"/>
              </w:rPr>
            </w:pPr>
          </w:p>
        </w:tc>
        <w:tc>
          <w:tcPr>
            <w:tcW w:w="800" w:type="dxa"/>
            <w:vAlign w:val="bottom"/>
            <w:tcBorders>
              <w:top w:val="single" w:sz="8" w:color="auto"/>
            </w:tcBorders>
            <w:shd w:val="clear" w:color="auto" w:fill="CCEEFF"/>
          </w:tcPr>
          <w:p>
            <w:pPr>
              <w:ind w:left="60"/>
              <w:spacing w:after="0" w:line="203" w:lineRule="exact"/>
              <w:rPr>
                <w:sz w:val="20"/>
                <w:szCs w:val="20"/>
                <w:color w:val="auto"/>
              </w:rPr>
            </w:pPr>
            <w:r>
              <w:rPr>
                <w:rFonts w:ascii="Arial" w:cs="Arial" w:eastAsia="Arial" w:hAnsi="Arial"/>
                <w:sz w:val="18"/>
                <w:szCs w:val="18"/>
                <w:color w:val="auto"/>
                <w:w w:val="70"/>
              </w:rPr>
              <w:t>9/18/2019(1)</w:t>
            </w:r>
          </w:p>
        </w:tc>
        <w:tc>
          <w:tcPr>
            <w:tcW w:w="680" w:type="dxa"/>
            <w:vAlign w:val="bottom"/>
            <w:tcBorders>
              <w:top w:val="single" w:sz="8" w:color="CCEEFF"/>
            </w:tcBorders>
            <w:shd w:val="clear" w:color="auto" w:fill="CCEEFF"/>
          </w:tcPr>
          <w:p>
            <w:pPr>
              <w:spacing w:after="0"/>
              <w:rPr>
                <w:sz w:val="17"/>
                <w:szCs w:val="17"/>
                <w:color w:val="auto"/>
              </w:rPr>
            </w:pPr>
          </w:p>
        </w:tc>
        <w:tc>
          <w:tcPr>
            <w:tcW w:w="86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93"/>
              </w:rPr>
              <w:t>505,554.75</w:t>
            </w:r>
          </w:p>
        </w:tc>
        <w:tc>
          <w:tcPr>
            <w:tcW w:w="24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7,659,340</w:t>
            </w:r>
          </w:p>
        </w:tc>
        <w:tc>
          <w:tcPr>
            <w:tcW w:w="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60" w:type="dxa"/>
            <w:vAlign w:val="bottom"/>
            <w:shd w:val="clear" w:color="auto" w:fill="CCEEFF"/>
          </w:tcPr>
          <w:p>
            <w:pPr>
              <w:spacing w:after="0"/>
              <w:rPr>
                <w:sz w:val="18"/>
                <w:szCs w:val="18"/>
                <w:color w:val="auto"/>
              </w:rPr>
            </w:pPr>
          </w:p>
        </w:tc>
        <w:tc>
          <w:tcPr>
            <w:tcW w:w="6340" w:type="dxa"/>
            <w:vAlign w:val="bottom"/>
            <w:shd w:val="clear" w:color="auto" w:fill="CCEEFF"/>
          </w:tcPr>
          <w:p>
            <w:pPr>
              <w:spacing w:after="0"/>
              <w:rPr>
                <w:sz w:val="18"/>
                <w:szCs w:val="18"/>
                <w:color w:val="auto"/>
              </w:rPr>
            </w:pPr>
          </w:p>
        </w:tc>
        <w:tc>
          <w:tcPr>
            <w:tcW w:w="1920" w:type="dxa"/>
            <w:vAlign w:val="bottom"/>
            <w:gridSpan w:val="3"/>
            <w:shd w:val="clear" w:color="auto" w:fill="CCEEFF"/>
          </w:tcPr>
          <w:p>
            <w:pPr>
              <w:ind w:left="500"/>
              <w:spacing w:after="0"/>
              <w:rPr>
                <w:sz w:val="20"/>
                <w:szCs w:val="20"/>
                <w:color w:val="auto"/>
              </w:rPr>
            </w:pPr>
            <w:r>
              <w:rPr>
                <w:rFonts w:ascii="Arial" w:cs="Arial" w:eastAsia="Arial" w:hAnsi="Arial"/>
                <w:sz w:val="18"/>
                <w:szCs w:val="18"/>
                <w:color w:val="auto"/>
              </w:rPr>
              <w:t>9/18/2019(2)</w:t>
            </w:r>
          </w:p>
        </w:tc>
        <w:tc>
          <w:tcPr>
            <w:tcW w:w="11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674,073</w:t>
            </w: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3"/>
              </w:rPr>
              <w:t>10,212,453</w:t>
            </w:r>
          </w:p>
        </w:tc>
        <w:tc>
          <w:tcPr>
            <w:tcW w:w="0" w:type="dxa"/>
            <w:vAlign w:val="bottom"/>
          </w:tcPr>
          <w:p>
            <w:pPr>
              <w:spacing w:after="0"/>
              <w:rPr>
                <w:sz w:val="1"/>
                <w:szCs w:val="1"/>
                <w:color w:val="auto"/>
              </w:rPr>
            </w:pPr>
          </w:p>
        </w:tc>
      </w:tr>
      <w:tr>
        <w:trPr>
          <w:trHeight w:val="202"/>
        </w:trPr>
        <w:tc>
          <w:tcPr>
            <w:tcW w:w="6700" w:type="dxa"/>
            <w:vAlign w:val="bottom"/>
            <w:gridSpan w:val="2"/>
          </w:tcPr>
          <w:p>
            <w:pPr>
              <w:spacing w:after="0" w:line="201" w:lineRule="exact"/>
              <w:rPr>
                <w:sz w:val="20"/>
                <w:szCs w:val="20"/>
                <w:color w:val="auto"/>
              </w:rPr>
            </w:pPr>
            <w:r>
              <w:rPr>
                <w:rFonts w:ascii="Arial" w:cs="Arial" w:eastAsia="Arial" w:hAnsi="Arial"/>
                <w:sz w:val="18"/>
                <w:szCs w:val="18"/>
                <w:color w:val="auto"/>
              </w:rPr>
              <w:t>Kevin Shone</w:t>
            </w:r>
          </w:p>
        </w:tc>
        <w:tc>
          <w:tcPr>
            <w:tcW w:w="1920" w:type="dxa"/>
            <w:vAlign w:val="bottom"/>
            <w:gridSpan w:val="3"/>
          </w:tcPr>
          <w:p>
            <w:pPr>
              <w:ind w:left="500"/>
              <w:spacing w:after="0" w:line="201" w:lineRule="exact"/>
              <w:rPr>
                <w:sz w:val="20"/>
                <w:szCs w:val="20"/>
                <w:color w:val="auto"/>
              </w:rPr>
            </w:pPr>
            <w:r>
              <w:rPr>
                <w:rFonts w:ascii="Arial" w:cs="Arial" w:eastAsia="Arial" w:hAnsi="Arial"/>
                <w:sz w:val="18"/>
                <w:szCs w:val="18"/>
                <w:color w:val="auto"/>
              </w:rPr>
              <w:t>9/18/2019(1)</w:t>
            </w:r>
          </w:p>
        </w:tc>
        <w:tc>
          <w:tcPr>
            <w:tcW w:w="1100" w:type="dxa"/>
            <w:vAlign w:val="bottom"/>
            <w:gridSpan w:val="2"/>
          </w:tcPr>
          <w:p>
            <w:pPr>
              <w:jc w:val="right"/>
              <w:ind w:right="240"/>
              <w:spacing w:after="0" w:line="201" w:lineRule="exact"/>
              <w:rPr>
                <w:sz w:val="20"/>
                <w:szCs w:val="20"/>
                <w:color w:val="auto"/>
              </w:rPr>
            </w:pPr>
            <w:r>
              <w:rPr>
                <w:rFonts w:ascii="Arial" w:cs="Arial" w:eastAsia="Arial" w:hAnsi="Arial"/>
                <w:sz w:val="18"/>
                <w:szCs w:val="18"/>
                <w:color w:val="auto"/>
                <w:w w:val="93"/>
              </w:rPr>
              <w:t>113,749.88</w:t>
            </w:r>
          </w:p>
        </w:tc>
        <w:tc>
          <w:tcPr>
            <w:tcW w:w="380" w:type="dxa"/>
            <w:vAlign w:val="bottom"/>
            <w:gridSpan w:val="2"/>
          </w:tcPr>
          <w:p>
            <w:pPr>
              <w:jc w:val="right"/>
              <w:spacing w:after="0" w:line="201" w:lineRule="exact"/>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60"/>
              <w:spacing w:after="0" w:line="201" w:lineRule="exact"/>
              <w:rPr>
                <w:sz w:val="20"/>
                <w:szCs w:val="20"/>
                <w:color w:val="auto"/>
              </w:rPr>
            </w:pPr>
            <w:r>
              <w:rPr>
                <w:rFonts w:ascii="Arial" w:cs="Arial" w:eastAsia="Arial" w:hAnsi="Arial"/>
                <w:sz w:val="18"/>
                <w:szCs w:val="18"/>
                <w:color w:val="auto"/>
              </w:rPr>
              <w:t>1,723,352</w:t>
            </w:r>
          </w:p>
        </w:tc>
        <w:tc>
          <w:tcPr>
            <w:tcW w:w="0" w:type="dxa"/>
            <w:vAlign w:val="bottom"/>
          </w:tcPr>
          <w:p>
            <w:pPr>
              <w:spacing w:after="0"/>
              <w:rPr>
                <w:sz w:val="1"/>
                <w:szCs w:val="1"/>
                <w:color w:val="auto"/>
              </w:rPr>
            </w:pPr>
          </w:p>
        </w:tc>
      </w:tr>
      <w:tr>
        <w:trPr>
          <w:trHeight w:val="230"/>
        </w:trPr>
        <w:tc>
          <w:tcPr>
            <w:tcW w:w="360" w:type="dxa"/>
            <w:vAlign w:val="bottom"/>
          </w:tcPr>
          <w:p>
            <w:pPr>
              <w:spacing w:after="0"/>
              <w:rPr>
                <w:sz w:val="20"/>
                <w:szCs w:val="20"/>
                <w:color w:val="auto"/>
              </w:rPr>
            </w:pPr>
          </w:p>
        </w:tc>
        <w:tc>
          <w:tcPr>
            <w:tcW w:w="6340" w:type="dxa"/>
            <w:vAlign w:val="bottom"/>
          </w:tcPr>
          <w:p>
            <w:pPr>
              <w:spacing w:after="0"/>
              <w:rPr>
                <w:sz w:val="20"/>
                <w:szCs w:val="20"/>
                <w:color w:val="auto"/>
              </w:rPr>
            </w:pPr>
          </w:p>
        </w:tc>
        <w:tc>
          <w:tcPr>
            <w:tcW w:w="1920" w:type="dxa"/>
            <w:vAlign w:val="bottom"/>
            <w:gridSpan w:val="3"/>
          </w:tcPr>
          <w:p>
            <w:pPr>
              <w:ind w:left="500"/>
              <w:spacing w:after="0"/>
              <w:rPr>
                <w:sz w:val="20"/>
                <w:szCs w:val="20"/>
                <w:color w:val="auto"/>
              </w:rPr>
            </w:pPr>
            <w:r>
              <w:rPr>
                <w:rFonts w:ascii="Arial" w:cs="Arial" w:eastAsia="Arial" w:hAnsi="Arial"/>
                <w:sz w:val="18"/>
                <w:szCs w:val="18"/>
                <w:color w:val="auto"/>
              </w:rPr>
              <w:t>9/18/2019(2)</w:t>
            </w:r>
          </w:p>
        </w:tc>
        <w:tc>
          <w:tcPr>
            <w:tcW w:w="1100" w:type="dxa"/>
            <w:vAlign w:val="bottom"/>
            <w:gridSpan w:val="2"/>
          </w:tcPr>
          <w:p>
            <w:pPr>
              <w:jc w:val="right"/>
              <w:ind w:right="240"/>
              <w:spacing w:after="0"/>
              <w:rPr>
                <w:sz w:val="20"/>
                <w:szCs w:val="20"/>
                <w:color w:val="auto"/>
              </w:rPr>
            </w:pPr>
            <w:r>
              <w:rPr>
                <w:rFonts w:ascii="Arial" w:cs="Arial" w:eastAsia="Arial" w:hAnsi="Arial"/>
                <w:sz w:val="18"/>
                <w:szCs w:val="18"/>
                <w:color w:val="auto"/>
              </w:rPr>
              <w:t>151,666.5</w:t>
            </w:r>
          </w:p>
        </w:tc>
        <w:tc>
          <w:tcPr>
            <w:tcW w:w="3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60"/>
              <w:spacing w:after="0"/>
              <w:rPr>
                <w:sz w:val="20"/>
                <w:szCs w:val="20"/>
                <w:color w:val="auto"/>
              </w:rPr>
            </w:pPr>
            <w:r>
              <w:rPr>
                <w:rFonts w:ascii="Arial" w:cs="Arial" w:eastAsia="Arial" w:hAnsi="Arial"/>
                <w:sz w:val="18"/>
                <w:szCs w:val="18"/>
                <w:color w:val="auto"/>
              </w:rPr>
              <w:t>2,297,803</w:t>
            </w:r>
          </w:p>
        </w:tc>
        <w:tc>
          <w:tcPr>
            <w:tcW w:w="0" w:type="dxa"/>
            <w:vAlign w:val="bottom"/>
          </w:tcPr>
          <w:p>
            <w:pPr>
              <w:spacing w:after="0"/>
              <w:rPr>
                <w:sz w:val="1"/>
                <w:szCs w:val="1"/>
                <w:color w:val="auto"/>
              </w:rPr>
            </w:pPr>
          </w:p>
        </w:tc>
      </w:tr>
      <w:tr>
        <w:trPr>
          <w:trHeight w:val="216"/>
        </w:trPr>
        <w:tc>
          <w:tcPr>
            <w:tcW w:w="67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Joseph Mirisola</w:t>
            </w:r>
          </w:p>
        </w:tc>
        <w:tc>
          <w:tcPr>
            <w:tcW w:w="1920" w:type="dxa"/>
            <w:vAlign w:val="bottom"/>
            <w:gridSpan w:val="3"/>
            <w:shd w:val="clear" w:color="auto" w:fill="CCEEFF"/>
          </w:tcPr>
          <w:p>
            <w:pPr>
              <w:ind w:left="500"/>
              <w:spacing w:after="0"/>
              <w:rPr>
                <w:sz w:val="20"/>
                <w:szCs w:val="20"/>
                <w:color w:val="auto"/>
              </w:rPr>
            </w:pPr>
            <w:r>
              <w:rPr>
                <w:rFonts w:ascii="Arial" w:cs="Arial" w:eastAsia="Arial" w:hAnsi="Arial"/>
                <w:sz w:val="18"/>
                <w:szCs w:val="18"/>
                <w:color w:val="auto"/>
              </w:rPr>
              <w:t>9/18/2019(1)</w:t>
            </w:r>
          </w:p>
        </w:tc>
        <w:tc>
          <w:tcPr>
            <w:tcW w:w="11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93"/>
              </w:rPr>
              <w:t>113,749.88</w:t>
            </w: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1,723,352</w:t>
            </w:r>
          </w:p>
        </w:tc>
        <w:tc>
          <w:tcPr>
            <w:tcW w:w="0" w:type="dxa"/>
            <w:vAlign w:val="bottom"/>
          </w:tcPr>
          <w:p>
            <w:pPr>
              <w:spacing w:after="0"/>
              <w:rPr>
                <w:sz w:val="1"/>
                <w:szCs w:val="1"/>
                <w:color w:val="auto"/>
              </w:rPr>
            </w:pPr>
          </w:p>
        </w:tc>
      </w:tr>
      <w:tr>
        <w:trPr>
          <w:trHeight w:val="216"/>
        </w:trPr>
        <w:tc>
          <w:tcPr>
            <w:tcW w:w="360" w:type="dxa"/>
            <w:vAlign w:val="bottom"/>
            <w:shd w:val="clear" w:color="auto" w:fill="CCEEFF"/>
          </w:tcPr>
          <w:p>
            <w:pPr>
              <w:spacing w:after="0"/>
              <w:rPr>
                <w:sz w:val="18"/>
                <w:szCs w:val="18"/>
                <w:color w:val="auto"/>
              </w:rPr>
            </w:pPr>
          </w:p>
        </w:tc>
        <w:tc>
          <w:tcPr>
            <w:tcW w:w="6340" w:type="dxa"/>
            <w:vAlign w:val="bottom"/>
            <w:shd w:val="clear" w:color="auto" w:fill="CCEEFF"/>
          </w:tcPr>
          <w:p>
            <w:pPr>
              <w:spacing w:after="0"/>
              <w:rPr>
                <w:sz w:val="18"/>
                <w:szCs w:val="18"/>
                <w:color w:val="auto"/>
              </w:rPr>
            </w:pPr>
          </w:p>
        </w:tc>
        <w:tc>
          <w:tcPr>
            <w:tcW w:w="1920" w:type="dxa"/>
            <w:vAlign w:val="bottom"/>
            <w:gridSpan w:val="3"/>
            <w:shd w:val="clear" w:color="auto" w:fill="CCEEFF"/>
          </w:tcPr>
          <w:p>
            <w:pPr>
              <w:ind w:left="500"/>
              <w:spacing w:after="0"/>
              <w:rPr>
                <w:sz w:val="20"/>
                <w:szCs w:val="20"/>
                <w:color w:val="auto"/>
              </w:rPr>
            </w:pPr>
            <w:r>
              <w:rPr>
                <w:rFonts w:ascii="Arial" w:cs="Arial" w:eastAsia="Arial" w:hAnsi="Arial"/>
                <w:sz w:val="18"/>
                <w:szCs w:val="18"/>
                <w:color w:val="auto"/>
              </w:rPr>
              <w:t>9/18/2019(2)</w:t>
            </w:r>
          </w:p>
        </w:tc>
        <w:tc>
          <w:tcPr>
            <w:tcW w:w="11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151,666.5</w:t>
            </w: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2,297,803</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85725</wp:posOffset>
            </wp:positionV>
            <wp:extent cx="771525" cy="8890"/>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771525" cy="8890"/>
                    </a:xfrm>
                    <a:prstGeom prst="rect">
                      <a:avLst/>
                    </a:prstGeom>
                    <a:noFill/>
                  </pic:spPr>
                </pic:pic>
              </a:graphicData>
            </a:graphic>
          </wp:anchor>
        </w:drawing>
      </w:r>
    </w:p>
    <w:p>
      <w:pPr>
        <w:spacing w:after="0" w:line="155" w:lineRule="exact"/>
        <w:rPr>
          <w:sz w:val="20"/>
          <w:szCs w:val="20"/>
          <w:color w:val="auto"/>
        </w:rPr>
      </w:pPr>
    </w:p>
    <w:p>
      <w:pPr>
        <w:ind w:left="660" w:right="120" w:hanging="544"/>
        <w:spacing w:after="0" w:line="254" w:lineRule="auto"/>
        <w:tabs>
          <w:tab w:leader="none" w:pos="660" w:val="left"/>
        </w:tabs>
        <w:numPr>
          <w:ilvl w:val="0"/>
          <w:numId w:val="133"/>
        </w:numPr>
        <w:rPr>
          <w:rFonts w:ascii="Arial" w:cs="Arial" w:eastAsia="Arial" w:hAnsi="Arial"/>
          <w:sz w:val="18"/>
          <w:szCs w:val="18"/>
          <w:color w:val="auto"/>
        </w:rPr>
      </w:pPr>
      <w:r>
        <w:rPr>
          <w:rFonts w:ascii="Arial" w:cs="Arial" w:eastAsia="Arial" w:hAnsi="Arial"/>
          <w:sz w:val="18"/>
          <w:szCs w:val="18"/>
          <w:color w:val="auto"/>
        </w:rPr>
        <w:t>The Class B Unit agreement provides that the performance-based Class B Units are eligible to vest upon Advent’s receipt of aggregate proceeds representing at least the prescribed multiple of Advent’s invested capital in connection with a change in control, subject to continued employment through such change in control. Any unvested performance-vesting Class B Units are forfeited upon a change in control that does not meet the prescribed requirements.</w:t>
      </w:r>
    </w:p>
    <w:p>
      <w:pPr>
        <w:spacing w:after="0" w:line="2" w:lineRule="exact"/>
        <w:rPr>
          <w:rFonts w:ascii="Arial" w:cs="Arial" w:eastAsia="Arial" w:hAnsi="Arial"/>
          <w:sz w:val="18"/>
          <w:szCs w:val="18"/>
          <w:color w:val="auto"/>
        </w:rPr>
      </w:pPr>
    </w:p>
    <w:p>
      <w:pPr>
        <w:ind w:left="540" w:hanging="424"/>
        <w:spacing w:after="0"/>
        <w:tabs>
          <w:tab w:leader="none" w:pos="540" w:val="left"/>
        </w:tabs>
        <w:numPr>
          <w:ilvl w:val="0"/>
          <w:numId w:val="133"/>
        </w:numPr>
        <w:rPr>
          <w:rFonts w:ascii="Arial" w:cs="Arial" w:eastAsia="Arial" w:hAnsi="Arial"/>
          <w:sz w:val="18"/>
          <w:szCs w:val="18"/>
          <w:color w:val="auto"/>
        </w:rPr>
      </w:pPr>
      <w:r>
        <w:rPr>
          <w:rFonts w:ascii="Arial" w:cs="Arial" w:eastAsia="Arial" w:hAnsi="Arial"/>
          <w:sz w:val="18"/>
          <w:szCs w:val="18"/>
          <w:color w:val="auto"/>
        </w:rPr>
        <w:t>The unvested performance-based units converted into units with time-based vesting upon the consummation of our IPO.</w:t>
      </w:r>
    </w:p>
    <w:p>
      <w:pPr>
        <w:spacing w:after="0" w:line="143"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141</w:t>
      </w:r>
    </w:p>
    <w:p>
      <w:pPr>
        <w:sectPr>
          <w:pgSz w:w="11900" w:h="16838" w:orient="portrait"/>
          <w:cols w:equalWidth="0" w:num="1">
            <w:col w:w="11140"/>
          </w:cols>
          <w:pgMar w:left="320" w:top="459" w:right="439" w:bottom="1440" w:gutter="0" w:footer="0" w:header="0"/>
        </w:sectPr>
      </w:pPr>
    </w:p>
    <w:bookmarkStart w:id="148" w:name="page149"/>
    <w:bookmarkEnd w:id="14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Confidential Treatment Requested by Definitive Healthcare Corp.</w:t>
      </w:r>
    </w:p>
    <w:p>
      <w:pPr>
        <w:spacing w:after="0" w:line="27"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Pursuant to 17 C.F.R. Section 200.83</w:t>
      </w:r>
    </w:p>
    <w:p>
      <w:pPr>
        <w:spacing w:after="0" w:line="143" w:lineRule="exact"/>
        <w:rPr>
          <w:sz w:val="20"/>
          <w:szCs w:val="20"/>
          <w:color w:val="auto"/>
        </w:rPr>
      </w:pPr>
    </w:p>
    <w:p>
      <w:pPr>
        <w:ind w:left="540" w:right="20" w:hanging="424"/>
        <w:spacing w:after="0" w:line="277" w:lineRule="auto"/>
        <w:tabs>
          <w:tab w:leader="none" w:pos="540" w:val="left"/>
        </w:tabs>
        <w:numPr>
          <w:ilvl w:val="0"/>
          <w:numId w:val="134"/>
        </w:numPr>
        <w:rPr>
          <w:rFonts w:ascii="Arial" w:cs="Arial" w:eastAsia="Arial" w:hAnsi="Arial"/>
          <w:sz w:val="18"/>
          <w:szCs w:val="18"/>
          <w:color w:val="auto"/>
        </w:rPr>
      </w:pPr>
      <w:r>
        <w:rPr>
          <w:rFonts w:ascii="Arial" w:cs="Arial" w:eastAsia="Arial" w:hAnsi="Arial"/>
          <w:sz w:val="18"/>
          <w:szCs w:val="18"/>
          <w:color w:val="auto"/>
        </w:rPr>
        <w:t>The market value was determined assuming an initial public offering price of $27.00 per share (the midpoint of the estimated public offering price range set forth on the cover page of this prospectus) and gives effect to the Reorganization Transactions.</w:t>
      </w:r>
    </w:p>
    <w:p>
      <w:pPr>
        <w:spacing w:after="0" w:line="27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Class B Units</w:t>
      </w:r>
    </w:p>
    <w:p>
      <w:pPr>
        <w:spacing w:after="0" w:line="117" w:lineRule="exact"/>
        <w:rPr>
          <w:sz w:val="20"/>
          <w:szCs w:val="20"/>
          <w:color w:val="auto"/>
        </w:rPr>
      </w:pPr>
    </w:p>
    <w:p>
      <w:pPr>
        <w:ind w:left="120" w:firstLine="440"/>
        <w:spacing w:after="0" w:line="269" w:lineRule="auto"/>
        <w:rPr>
          <w:sz w:val="20"/>
          <w:szCs w:val="20"/>
          <w:color w:val="auto"/>
        </w:rPr>
      </w:pPr>
      <w:r>
        <w:rPr>
          <w:rFonts w:ascii="Arial" w:cs="Arial" w:eastAsia="Arial" w:hAnsi="Arial"/>
          <w:sz w:val="17"/>
          <w:szCs w:val="17"/>
          <w:color w:val="auto"/>
        </w:rPr>
        <w:t>Mr. Krantz has received awards in the form of Class B Units directly in AIDH TopCo, LLC. Messrs. Shone and Mirisola have received awards in the form of Class B Units in AIDH Management Holdings, LLC, which correspond to Class B Units issued by AIDH TopCo, LLC to AIDH Management Holdings, LLC. In connection with the Reorganization, the Class B Units in AIDH Management Holdings, LLC were reclassified into the Reclassified Management Holdings Class B Units with corresponding Class B Units issued by AIDH TopCo, LLC reclassified into Reclassified Class B LLC Units, which remain subject to the vesting terms described below. In connection with the reorganization, Class B common stock was issued to each holder of Reclassified Management Holdings Class B Units (or in the case of Mr. Krantz, with respect to his Class B Units in AIDH TopCo, LLC) on a one-for-one basis to such holder’s Reclassified Management Holdings Class B Units (or in the case of Mr. Krantz, on a one-for-one basis to his Reclassified Class B LLC Units), provided that such Class B common stock are not entitled to any voting rights until such time as the Reclassified Management Holdings Class B Units or Reclassified Class B LLC Units vest. Once vested, the holders of Reclassified Management Holdings Class B Units will have the right, pursuant to the terms of the amended and restated limited liability company agreement of AIDH Management Holdings, LLC, to cause AIDH TopCo to redeem or exchange their Reclassified Management Holdings Class B LLC Units for newly issued shares of Class A common stock on a one-for-one basis, pursuant to the terms of the Amended LLC Agreement.</w:t>
      </w:r>
    </w:p>
    <w:p>
      <w:pPr>
        <w:spacing w:after="0" w:line="287"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Class B Unit Agreements with Messrs. Krantz, Shone and Mirisola</w:t>
      </w:r>
    </w:p>
    <w:p>
      <w:pPr>
        <w:spacing w:after="0" w:line="117" w:lineRule="exact"/>
        <w:rPr>
          <w:sz w:val="20"/>
          <w:szCs w:val="20"/>
          <w:color w:val="auto"/>
        </w:rPr>
      </w:pPr>
    </w:p>
    <w:p>
      <w:pPr>
        <w:ind w:left="120" w:right="20" w:firstLine="440"/>
        <w:spacing w:after="0" w:line="293" w:lineRule="auto"/>
        <w:rPr>
          <w:sz w:val="20"/>
          <w:szCs w:val="20"/>
          <w:color w:val="auto"/>
        </w:rPr>
      </w:pPr>
      <w:r>
        <w:rPr>
          <w:rFonts w:ascii="Arial" w:cs="Arial" w:eastAsia="Arial" w:hAnsi="Arial"/>
          <w:sz w:val="16"/>
          <w:szCs w:val="16"/>
          <w:color w:val="auto"/>
        </w:rPr>
        <w:t>The Class B Unit agreements that we entered into with Messrs. Krantz, Shone and Mirisola provide that 25% of the time-based Class B Units vest on each of the first four anniversaries of the vesting commencement date, and that any unvested time-based Class B Units will vest upon a change in control (as such term is defined in the 2019 Plan), subject to continued employment through such vesting commencement date or the change in control, as applicable. The performance-based Class B Units are eligible to vest upon Advent’s receipt of aggregate proceeds representing at least the prescribed multiple of Advent’s invested capital in connection with a change in control, subject to continued employment through such change in control. Any unvested performance-vesting Class B Units are forfeited upon a change in control that does not meet the prescribed requirements.</w:t>
      </w:r>
    </w:p>
    <w:p>
      <w:pPr>
        <w:spacing w:after="0" w:line="164" w:lineRule="exact"/>
        <w:rPr>
          <w:sz w:val="20"/>
          <w:szCs w:val="20"/>
          <w:color w:val="auto"/>
        </w:rPr>
      </w:pPr>
    </w:p>
    <w:p>
      <w:pPr>
        <w:ind w:left="120" w:right="20" w:firstLine="440"/>
        <w:spacing w:after="0" w:line="271" w:lineRule="auto"/>
        <w:rPr>
          <w:sz w:val="20"/>
          <w:szCs w:val="20"/>
          <w:color w:val="auto"/>
        </w:rPr>
      </w:pPr>
      <w:r>
        <w:rPr>
          <w:rFonts w:ascii="Arial" w:cs="Arial" w:eastAsia="Arial" w:hAnsi="Arial"/>
          <w:sz w:val="17"/>
          <w:szCs w:val="17"/>
          <w:color w:val="auto"/>
        </w:rPr>
        <w:t>The Class B Unit agreements further provide that, subject to Messrs. Krantz, Mirisola and previously Mr. Shone’s continued service through consummation of the IPO, any performance-vesting Class B Units that would meet the applicable prescribed investment multiple if Advent were to sell its investment at the IPO price will be converted into an award of what would become Reclassified Management Holdings Class B Units and any performance-vesting Class B Units that would not meet the applicable prescribed investment multiple would be forfeited. In connection with the consummation of our IPO, such forfeiture condition was waived. One-third of such Reclassified Management Holdings Class B Units vest on each of the first, second and third anniversaries of the IPO, subject to the service provider’s continued service through the applicable vesting date. Any unvested time-vesting units will continue to vest, subject to the service provider’s continued service, according to the normal vesting schedule (25% of the time-vesting Class B Units vest on each of the first four anniversaries of July 16, 2019) following the IPO.</w:t>
      </w:r>
    </w:p>
    <w:p>
      <w:pPr>
        <w:spacing w:after="0" w:line="28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Potential Payments Upon Termination or Change-In-Control</w:t>
      </w:r>
    </w:p>
    <w:p>
      <w:pPr>
        <w:spacing w:after="0" w:line="121" w:lineRule="exact"/>
        <w:rPr>
          <w:sz w:val="20"/>
          <w:szCs w:val="20"/>
          <w:color w:val="auto"/>
        </w:rPr>
      </w:pPr>
    </w:p>
    <w:p>
      <w:pPr>
        <w:jc w:val="both"/>
        <w:ind w:left="120" w:right="520" w:firstLine="440"/>
        <w:spacing w:after="0" w:line="286" w:lineRule="auto"/>
        <w:rPr>
          <w:sz w:val="20"/>
          <w:szCs w:val="20"/>
          <w:color w:val="auto"/>
        </w:rPr>
      </w:pPr>
      <w:r>
        <w:rPr>
          <w:rFonts w:ascii="Arial" w:cs="Arial" w:eastAsia="Arial" w:hAnsi="Arial"/>
          <w:sz w:val="17"/>
          <w:szCs w:val="17"/>
          <w:color w:val="auto"/>
        </w:rPr>
        <w:t>The employment agreements with Messrs. Krantz and Shone and our severance policy that is applicable to Mr. Mirisola provide for certain potential payments upon termination or a change-in-control. A description of these potential payments is included in the summaries of the Krantz Employment Agreement and the Shone Employment Agreement in the Employments Arrangements section above.</w:t>
      </w:r>
    </w:p>
    <w:p>
      <w:pPr>
        <w:spacing w:after="0" w:line="98" w:lineRule="exact"/>
        <w:rPr>
          <w:sz w:val="20"/>
          <w:szCs w:val="20"/>
          <w:color w:val="auto"/>
        </w:rPr>
      </w:pPr>
    </w:p>
    <w:p>
      <w:pPr>
        <w:jc w:val="center"/>
        <w:ind w:right="-379"/>
        <w:spacing w:after="0"/>
        <w:rPr>
          <w:sz w:val="20"/>
          <w:szCs w:val="20"/>
          <w:color w:val="auto"/>
        </w:rPr>
      </w:pPr>
      <w:r>
        <w:rPr>
          <w:rFonts w:ascii="Arial" w:cs="Arial" w:eastAsia="Arial" w:hAnsi="Arial"/>
          <w:sz w:val="18"/>
          <w:szCs w:val="18"/>
          <w:color w:val="auto"/>
        </w:rPr>
        <w:t>142</w:t>
      </w:r>
    </w:p>
    <w:p>
      <w:pPr>
        <w:sectPr>
          <w:pgSz w:w="11900" w:h="16838" w:orient="portrait"/>
          <w:cols w:equalWidth="0" w:num="1">
            <w:col w:w="11100"/>
          </w:cols>
          <w:pgMar w:left="320" w:top="459" w:right="479" w:bottom="1440" w:gutter="0" w:footer="0" w:header="0"/>
        </w:sectPr>
      </w:pPr>
    </w:p>
    <w:bookmarkStart w:id="149" w:name="page150"/>
    <w:bookmarkEnd w:id="14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Confidential Treatment Requested by Definitive Healthcare Corp.</w:t>
      </w:r>
    </w:p>
    <w:p>
      <w:pPr>
        <w:spacing w:after="0" w:line="27"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Pursuant to 17 C.F.R. Section 200.83</w:t>
      </w:r>
    </w:p>
    <w:p>
      <w:pPr>
        <w:spacing w:after="0" w:line="143"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Treatment of Class B Units</w:t>
      </w:r>
    </w:p>
    <w:p>
      <w:pPr>
        <w:spacing w:after="0" w:line="117" w:lineRule="exact"/>
        <w:rPr>
          <w:sz w:val="20"/>
          <w:szCs w:val="20"/>
          <w:color w:val="auto"/>
        </w:rPr>
      </w:pPr>
    </w:p>
    <w:p>
      <w:pPr>
        <w:ind w:left="120" w:right="460" w:firstLine="440"/>
        <w:spacing w:after="0" w:line="277" w:lineRule="auto"/>
        <w:rPr>
          <w:sz w:val="20"/>
          <w:szCs w:val="20"/>
          <w:color w:val="auto"/>
        </w:rPr>
      </w:pPr>
      <w:r>
        <w:rPr>
          <w:rFonts w:ascii="Arial" w:cs="Arial" w:eastAsia="Arial" w:hAnsi="Arial"/>
          <w:sz w:val="18"/>
          <w:szCs w:val="18"/>
          <w:color w:val="auto"/>
        </w:rPr>
        <w:t>If there is a change in control, all unvested reclassified units will vest as described in the Class B Units section. All references to “change in control” in this section refer to such term as it is defined in the 2019 Plan.</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Executive Severance</w:t>
      </w:r>
    </w:p>
    <w:p>
      <w:pPr>
        <w:spacing w:after="0" w:line="121" w:lineRule="exact"/>
        <w:rPr>
          <w:sz w:val="20"/>
          <w:szCs w:val="20"/>
          <w:color w:val="auto"/>
        </w:rPr>
      </w:pPr>
    </w:p>
    <w:p>
      <w:pPr>
        <w:ind w:left="120" w:firstLine="440"/>
        <w:spacing w:after="0" w:line="289" w:lineRule="auto"/>
        <w:rPr>
          <w:sz w:val="20"/>
          <w:szCs w:val="20"/>
          <w:color w:val="auto"/>
        </w:rPr>
      </w:pPr>
      <w:r>
        <w:rPr>
          <w:rFonts w:ascii="Arial" w:cs="Arial" w:eastAsia="Arial" w:hAnsi="Arial"/>
          <w:sz w:val="16"/>
          <w:szCs w:val="16"/>
          <w:color w:val="auto"/>
        </w:rPr>
        <w:t>Mr. Shone retired from the Company on September 30, 2021. In connection with his retirement, we entered into a Separation Agreement with Mr. Shone, providing for separation benefits as follows: (i) continuation of his base salary (at the rate in effect on his date of termination) for a period of four and one-half months following his separation date, which is expected to total $112,500, (ii) a bonus for 2021 at the applicable rate paid to the executive team of up to $125,000, pro-rated for 2021, payable in a lump sum when paid to other executives, and (iii) acceleration of vesting of the unvested Reclassified Management Holdings Class B Units that he will receive in respect of 37,917 of his unvested time-vesting Class B units and 75,833 of his unvested performance-vesting Class B units. As a result, these awards were modified for the change of the vesting condition after the consummation of the proposed IPO. A revaluation of the awards was performed in accordance with GAAP as if granted on the date of the modification. Incremental compensation expense of $1.8 million was recorded during the third quarter 2021. Upon separation, Mr. Shone forfeited 37,917 of his remaining unvested time-based Class B units and 75,833 of his remaining unvested performance-based Class B units.</w:t>
      </w:r>
    </w:p>
    <w:p>
      <w:pPr>
        <w:spacing w:after="0" w:line="270"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Retirement Benefits</w:t>
      </w:r>
    </w:p>
    <w:p>
      <w:pPr>
        <w:spacing w:after="0" w:line="121" w:lineRule="exact"/>
        <w:rPr>
          <w:sz w:val="20"/>
          <w:szCs w:val="20"/>
          <w:color w:val="auto"/>
        </w:rPr>
      </w:pPr>
    </w:p>
    <w:p>
      <w:pPr>
        <w:jc w:val="both"/>
        <w:ind w:left="120" w:right="40" w:firstLine="440"/>
        <w:spacing w:after="0" w:line="311" w:lineRule="auto"/>
        <w:rPr>
          <w:sz w:val="20"/>
          <w:szCs w:val="20"/>
          <w:color w:val="auto"/>
        </w:rPr>
      </w:pPr>
      <w:r>
        <w:rPr>
          <w:rFonts w:ascii="Arial" w:cs="Arial" w:eastAsia="Arial" w:hAnsi="Arial"/>
          <w:sz w:val="16"/>
          <w:szCs w:val="16"/>
          <w:color w:val="auto"/>
        </w:rPr>
        <w:t>Messrs. Krantz, Shone and Mirisola participate in a tax-qualified defined contribution plan, the Definitive Healthcare LLC 401(k) Profit Sharing Plan (the “401(k) Plan”) under which they receive matching contributions equal to 100% of their salary deferrals up to 3% of compensation and 50% of salary deferrals on the following 2% of compensation. Participants in the 401(k) Plan may also receive discretionary profit sharing contributions.</w:t>
      </w:r>
    </w:p>
    <w:p>
      <w:pPr>
        <w:spacing w:after="0" w:line="253"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Definitive Healthcare Corp. 2021 Equity Incentive Plan</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Summary</w:t>
      </w:r>
    </w:p>
    <w:p>
      <w:pPr>
        <w:spacing w:after="0" w:line="117" w:lineRule="exact"/>
        <w:rPr>
          <w:sz w:val="20"/>
          <w:szCs w:val="20"/>
          <w:color w:val="auto"/>
        </w:rPr>
      </w:pPr>
    </w:p>
    <w:p>
      <w:pPr>
        <w:ind w:left="120" w:right="80" w:firstLine="440"/>
        <w:spacing w:after="0" w:line="259" w:lineRule="auto"/>
        <w:rPr>
          <w:sz w:val="20"/>
          <w:szCs w:val="20"/>
          <w:color w:val="auto"/>
        </w:rPr>
      </w:pPr>
      <w:r>
        <w:rPr>
          <w:rFonts w:ascii="Arial" w:cs="Arial" w:eastAsia="Arial" w:hAnsi="Arial"/>
          <w:sz w:val="18"/>
          <w:szCs w:val="18"/>
          <w:color w:val="auto"/>
        </w:rPr>
        <w:t>In connection with our IPO, we adopted the 2021 Plan, effective as of September 14, 2021. The principal features of the 2021 Plan are summarized below. This summary does not purport to be a complete statement of the terms of the 2021 Plan and is qualified in its entirety by reference to the full text of the 2021 Plan, a copy of which is attached as Exhibit 10.2 to our Registration Statement on Form S-1 filed on August 20, 2021, as amended and supplemented and incorporated by reference herein.</w:t>
      </w:r>
    </w:p>
    <w:p>
      <w:pPr>
        <w:spacing w:after="0" w:line="295"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Purpose</w:t>
      </w:r>
    </w:p>
    <w:p>
      <w:pPr>
        <w:spacing w:after="0" w:line="117" w:lineRule="exact"/>
        <w:rPr>
          <w:sz w:val="20"/>
          <w:szCs w:val="20"/>
          <w:color w:val="auto"/>
        </w:rPr>
      </w:pPr>
    </w:p>
    <w:p>
      <w:pPr>
        <w:jc w:val="both"/>
        <w:ind w:left="120" w:right="120" w:firstLine="440"/>
        <w:spacing w:after="0" w:line="263" w:lineRule="auto"/>
        <w:rPr>
          <w:sz w:val="20"/>
          <w:szCs w:val="20"/>
          <w:color w:val="auto"/>
        </w:rPr>
      </w:pPr>
      <w:r>
        <w:rPr>
          <w:rFonts w:ascii="Arial" w:cs="Arial" w:eastAsia="Arial" w:hAnsi="Arial"/>
          <w:sz w:val="18"/>
          <w:szCs w:val="18"/>
          <w:color w:val="auto"/>
        </w:rPr>
        <w:t>The purpose of the Incentive Plan is to align the interests of eligible participants with our stockholders by providing incentive compensation tied to Definitive’s performance. The intent of the Incentive Plan is to advance Definitive’s interests and increase stockholder value by attracting, retaining and motivating key personnel.</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Awards</w:t>
      </w:r>
    </w:p>
    <w:p>
      <w:pPr>
        <w:spacing w:after="0" w:line="117" w:lineRule="exact"/>
        <w:rPr>
          <w:sz w:val="20"/>
          <w:szCs w:val="20"/>
          <w:color w:val="auto"/>
        </w:rPr>
      </w:pPr>
    </w:p>
    <w:p>
      <w:pPr>
        <w:ind w:left="120" w:right="40" w:firstLine="440"/>
        <w:spacing w:after="0" w:line="277" w:lineRule="auto"/>
        <w:rPr>
          <w:sz w:val="20"/>
          <w:szCs w:val="20"/>
          <w:color w:val="auto"/>
        </w:rPr>
      </w:pPr>
      <w:r>
        <w:rPr>
          <w:rFonts w:ascii="Arial" w:cs="Arial" w:eastAsia="Arial" w:hAnsi="Arial"/>
          <w:sz w:val="18"/>
          <w:szCs w:val="18"/>
          <w:color w:val="auto"/>
        </w:rPr>
        <w:t>The types of awards available under the 2021 Plan include stock options (both incentive and non-qualified), SARs, restricted stock awards, RSUs and stock-based awards. All awards granted to participants under the 2021 Plan are represented by an award agreement.</w:t>
      </w:r>
    </w:p>
    <w:p>
      <w:pPr>
        <w:spacing w:after="0" w:line="27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Shares Available</w:t>
      </w:r>
    </w:p>
    <w:p>
      <w:pPr>
        <w:spacing w:after="0" w:line="117" w:lineRule="exact"/>
        <w:rPr>
          <w:sz w:val="20"/>
          <w:szCs w:val="20"/>
          <w:color w:val="auto"/>
        </w:rPr>
      </w:pPr>
    </w:p>
    <w:p>
      <w:pPr>
        <w:ind w:left="560"/>
        <w:spacing w:after="0"/>
        <w:rPr>
          <w:sz w:val="20"/>
          <w:szCs w:val="20"/>
          <w:color w:val="auto"/>
        </w:rPr>
      </w:pPr>
      <w:r>
        <w:rPr>
          <w:rFonts w:ascii="Arial" w:cs="Arial" w:eastAsia="Arial" w:hAnsi="Arial"/>
          <w:sz w:val="16"/>
          <w:szCs w:val="16"/>
          <w:color w:val="auto"/>
        </w:rPr>
        <w:t>Approximately 8,989,039 shares of Class A common stock as of the consummation of the IPO were available for awards under the 2021 Plan.</w:t>
      </w:r>
    </w:p>
    <w:p>
      <w:pPr>
        <w:spacing w:after="0" w:line="181" w:lineRule="exact"/>
        <w:rPr>
          <w:sz w:val="20"/>
          <w:szCs w:val="20"/>
          <w:color w:val="auto"/>
        </w:rPr>
      </w:pPr>
    </w:p>
    <w:p>
      <w:pPr>
        <w:jc w:val="center"/>
        <w:ind w:right="-399"/>
        <w:spacing w:after="0"/>
        <w:rPr>
          <w:sz w:val="20"/>
          <w:szCs w:val="20"/>
          <w:color w:val="auto"/>
        </w:rPr>
      </w:pPr>
      <w:r>
        <w:rPr>
          <w:rFonts w:ascii="Arial" w:cs="Arial" w:eastAsia="Arial" w:hAnsi="Arial"/>
          <w:sz w:val="18"/>
          <w:szCs w:val="18"/>
          <w:color w:val="auto"/>
        </w:rPr>
        <w:t>143</w:t>
      </w:r>
    </w:p>
    <w:p>
      <w:pPr>
        <w:sectPr>
          <w:pgSz w:w="11900" w:h="16838" w:orient="portrait"/>
          <w:cols w:equalWidth="0" w:num="1">
            <w:col w:w="11080"/>
          </w:cols>
          <w:pgMar w:left="320" w:top="459" w:right="499" w:bottom="1440" w:gutter="0" w:footer="0" w:header="0"/>
        </w:sectPr>
      </w:pPr>
    </w:p>
    <w:bookmarkStart w:id="150" w:name="page151"/>
    <w:bookmarkEnd w:id="15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Confidential Treatment Requested by Definitive Healthcare Corp.</w:t>
      </w:r>
    </w:p>
    <w:p>
      <w:pPr>
        <w:spacing w:after="0" w:line="27"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Pursuant to 17 C.F.R. Section 200.83</w:t>
      </w:r>
    </w:p>
    <w:p>
      <w:pPr>
        <w:spacing w:after="0" w:line="143" w:lineRule="exact"/>
        <w:rPr>
          <w:sz w:val="20"/>
          <w:szCs w:val="20"/>
          <w:color w:val="auto"/>
        </w:rPr>
      </w:pPr>
    </w:p>
    <w:p>
      <w:pPr>
        <w:ind w:left="120" w:right="80" w:firstLine="440"/>
        <w:spacing w:after="0" w:line="273" w:lineRule="auto"/>
        <w:rPr>
          <w:sz w:val="20"/>
          <w:szCs w:val="20"/>
          <w:color w:val="auto"/>
        </w:rPr>
      </w:pPr>
      <w:r>
        <w:rPr>
          <w:rFonts w:ascii="Arial" w:cs="Arial" w:eastAsia="Arial" w:hAnsi="Arial"/>
          <w:sz w:val="17"/>
          <w:szCs w:val="17"/>
          <w:color w:val="auto"/>
        </w:rPr>
        <w:t>We refer to the aggregate number of shares available for awards under the 2021 Plan as the “share reserve.” On the first day of each fiscal year, commencing on January 1, 2023 and ending on (and including) January 1, 2032, the share reserve will automatically increase by a number equal to the least of (i) 5% of the total number of shares of Class A common stock actually issued and outstanding on the last day of the preceding fiscal year, (ii) a number of shares of Class A common stock determined by the Board; and (iii) 8,989,039 shares of Class A common stock. Within the share reserve, a total of 8,989,039 shares, which is subject to increase in future years by the evergreen provision, of Class A common stock as of the consummation of the IPO are available for awards of incentive stock options.</w:t>
      </w:r>
    </w:p>
    <w:p>
      <w:pPr>
        <w:spacing w:after="0" w:line="178" w:lineRule="exact"/>
        <w:rPr>
          <w:sz w:val="20"/>
          <w:szCs w:val="20"/>
          <w:color w:val="auto"/>
        </w:rPr>
      </w:pPr>
    </w:p>
    <w:p>
      <w:pPr>
        <w:ind w:left="120" w:firstLine="440"/>
        <w:spacing w:after="0" w:line="254" w:lineRule="auto"/>
        <w:rPr>
          <w:sz w:val="20"/>
          <w:szCs w:val="20"/>
          <w:color w:val="auto"/>
        </w:rPr>
      </w:pPr>
      <w:r>
        <w:rPr>
          <w:rFonts w:ascii="Arial" w:cs="Arial" w:eastAsia="Arial" w:hAnsi="Arial"/>
          <w:sz w:val="18"/>
          <w:szCs w:val="18"/>
          <w:color w:val="auto"/>
        </w:rPr>
        <w:t>If any award granted under the 2021 Plan is cancelled, expired, repurchased, forfeited, surrendered, exchanged for cash, settled in cash or by delivery of fewer shares of Class A common stock than the number underlying the award, or otherwise terminated without consideration or delivery of the shares to the participant, then such unissued shares will be returned to the 2021 Plan and be available for future awards under the 2021 Plan. Shares that are withheld from any award in payment of the exercise, base or purchase price or taxes related to such an award will be available for future awards under the 2021 Plan and will increase the share reserve by one share for each share that is retained or returned to Definitive. Shares of common stock repurchased by Definitive on the open market with the proceeds of a stock option, will not be returned to the 2021 Plan nor be available for future awards under the 2021 Plan. The payment of dividend equivalents in cash in conjunction with any outstanding award shall not count against the share reserve.</w:t>
      </w:r>
    </w:p>
    <w:p>
      <w:pPr>
        <w:spacing w:after="0" w:line="192" w:lineRule="exact"/>
        <w:rPr>
          <w:sz w:val="20"/>
          <w:szCs w:val="20"/>
          <w:color w:val="auto"/>
        </w:rPr>
      </w:pPr>
    </w:p>
    <w:p>
      <w:pPr>
        <w:ind w:left="120" w:right="120" w:firstLine="440"/>
        <w:spacing w:after="0" w:line="277" w:lineRule="auto"/>
        <w:rPr>
          <w:sz w:val="20"/>
          <w:szCs w:val="20"/>
          <w:color w:val="auto"/>
        </w:rPr>
      </w:pPr>
      <w:r>
        <w:rPr>
          <w:rFonts w:ascii="Arial" w:cs="Arial" w:eastAsia="Arial" w:hAnsi="Arial"/>
          <w:sz w:val="18"/>
          <w:szCs w:val="18"/>
          <w:color w:val="auto"/>
        </w:rPr>
        <w:t>The share reserve will be reduced by one share for each share subject to an award. If a share that was subject to an award is returned to the share reserve, the share reserve will be credited with one share.</w:t>
      </w:r>
    </w:p>
    <w:p>
      <w:pPr>
        <w:spacing w:after="0" w:line="27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Eligibility</w:t>
      </w:r>
    </w:p>
    <w:p>
      <w:pPr>
        <w:spacing w:after="0" w:line="117" w:lineRule="exact"/>
        <w:rPr>
          <w:sz w:val="20"/>
          <w:szCs w:val="20"/>
          <w:color w:val="auto"/>
        </w:rPr>
      </w:pPr>
    </w:p>
    <w:p>
      <w:pPr>
        <w:ind w:left="120" w:right="40" w:firstLine="440"/>
        <w:spacing w:after="0" w:line="259" w:lineRule="auto"/>
        <w:rPr>
          <w:sz w:val="20"/>
          <w:szCs w:val="20"/>
          <w:color w:val="auto"/>
        </w:rPr>
      </w:pPr>
      <w:r>
        <w:rPr>
          <w:rFonts w:ascii="Arial" w:cs="Arial" w:eastAsia="Arial" w:hAnsi="Arial"/>
          <w:sz w:val="18"/>
          <w:szCs w:val="18"/>
          <w:color w:val="auto"/>
        </w:rPr>
        <w:t>Any employee, officer, non-employee director or any natural person who is a consultant or other personal service provider to Definitive or any of its subsidiaries or affiliates can participate in the 2021 Plan, at the Committee’s (as defined below) discretion. In its determination of eligible participants, the Committee may consider any and all factors it considers relevant or appropriate, and designation of a participant in any year does not require the Committee to designate that person to receive an award in any other year.</w:t>
      </w:r>
    </w:p>
    <w:p>
      <w:pPr>
        <w:spacing w:after="0" w:line="295"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Administration</w:t>
      </w:r>
    </w:p>
    <w:p>
      <w:pPr>
        <w:spacing w:after="0" w:line="117" w:lineRule="exact"/>
        <w:rPr>
          <w:sz w:val="20"/>
          <w:szCs w:val="20"/>
          <w:color w:val="auto"/>
        </w:rPr>
      </w:pPr>
    </w:p>
    <w:p>
      <w:pPr>
        <w:ind w:left="120" w:right="120" w:firstLine="440"/>
        <w:spacing w:after="0" w:line="288" w:lineRule="auto"/>
        <w:rPr>
          <w:sz w:val="20"/>
          <w:szCs w:val="20"/>
          <w:color w:val="auto"/>
        </w:rPr>
      </w:pPr>
      <w:r>
        <w:rPr>
          <w:rFonts w:ascii="Arial" w:cs="Arial" w:eastAsia="Arial" w:hAnsi="Arial"/>
          <w:sz w:val="16"/>
          <w:szCs w:val="16"/>
          <w:color w:val="auto"/>
        </w:rPr>
        <w:t>Pursuant to its terms, the 2021 Plan may be administered by the Compensation Committee of the Board, such other committee of the Board appointed by the Board to administer the 2021 Plan or the Board, as determined by the Board (such administrator of the 2021 Plan, the “Committee”). The Committee has the power and discretion necessary to administer the 2021 Plan, with such powers including, but not limited to, the authority to select persons to participate in the 2021 Plan, determine the form and substance of awards under the 2021 Plan, determine the conditions and restrictions, if any, subject to which such awards will be made, modify the terms of awards, accelerate the vesting of awards, and make determinations regarding a participant’s termination of employment or service for purposes of an award. The Committee’s determinations, interpretations and actions under the 2021 Plan are binding on Definitive, the participants in the 2021 Plan and all other parties. It is anticipated that the 2021 Plan will be administered by our Compensation Committee, which solely consists of independent directors, as appointed by the Board from time to time. The Compensation Committee may delegate authority to one or more officers of Definitive to grant awards to eligible persons other than members of the Definitive Board or who are subject to Rule 16b-3 of the Exchange Act, as permitted under the 2021 Plan and under applicable law.</w:t>
      </w:r>
    </w:p>
    <w:p>
      <w:pPr>
        <w:spacing w:after="0" w:line="276"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Stock Options</w:t>
      </w:r>
    </w:p>
    <w:p>
      <w:pPr>
        <w:spacing w:after="0" w:line="117" w:lineRule="exact"/>
        <w:rPr>
          <w:sz w:val="20"/>
          <w:szCs w:val="20"/>
          <w:color w:val="auto"/>
        </w:rPr>
      </w:pPr>
    </w:p>
    <w:p>
      <w:pPr>
        <w:jc w:val="both"/>
        <w:ind w:left="120" w:right="400" w:firstLine="440"/>
        <w:spacing w:after="0" w:line="263" w:lineRule="auto"/>
        <w:rPr>
          <w:sz w:val="20"/>
          <w:szCs w:val="20"/>
          <w:color w:val="auto"/>
        </w:rPr>
      </w:pPr>
      <w:r>
        <w:rPr>
          <w:rFonts w:ascii="Arial" w:cs="Arial" w:eastAsia="Arial" w:hAnsi="Arial"/>
          <w:sz w:val="18"/>
          <w:szCs w:val="18"/>
          <w:color w:val="auto"/>
        </w:rPr>
        <w:t>A stock option grant entitles a participant to purchase a specified number of shares of Class A common stock during a specified term (with a maximum term of ten years) at an exercise price that will not be less than the fair market value of a share as of the date of grant (unless otherwise determined by the Committee).</w:t>
      </w:r>
    </w:p>
    <w:p>
      <w:pPr>
        <w:spacing w:after="0" w:line="116" w:lineRule="exact"/>
        <w:rPr>
          <w:sz w:val="20"/>
          <w:szCs w:val="20"/>
          <w:color w:val="auto"/>
        </w:rPr>
      </w:pPr>
    </w:p>
    <w:p>
      <w:pPr>
        <w:jc w:val="center"/>
        <w:ind w:right="-419"/>
        <w:spacing w:after="0"/>
        <w:rPr>
          <w:sz w:val="20"/>
          <w:szCs w:val="20"/>
          <w:color w:val="auto"/>
        </w:rPr>
      </w:pPr>
      <w:r>
        <w:rPr>
          <w:rFonts w:ascii="Arial" w:cs="Arial" w:eastAsia="Arial" w:hAnsi="Arial"/>
          <w:sz w:val="18"/>
          <w:szCs w:val="18"/>
          <w:color w:val="auto"/>
        </w:rPr>
        <w:t>144</w:t>
      </w:r>
    </w:p>
    <w:p>
      <w:pPr>
        <w:sectPr>
          <w:pgSz w:w="11900" w:h="16838" w:orient="portrait"/>
          <w:cols w:equalWidth="0" w:num="1">
            <w:col w:w="11060"/>
          </w:cols>
          <w:pgMar w:left="320" w:top="459" w:right="519" w:bottom="1440" w:gutter="0" w:footer="0" w:header="0"/>
        </w:sectPr>
      </w:pPr>
    </w:p>
    <w:bookmarkStart w:id="151" w:name="page152"/>
    <w:bookmarkEnd w:id="15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Confidential Treatment Requested by Definitive Healthcare Corp.</w:t>
      </w:r>
    </w:p>
    <w:p>
      <w:pPr>
        <w:spacing w:after="0" w:line="27"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Pursuant to 17 C.F.R. Section 200.83</w:t>
      </w:r>
    </w:p>
    <w:p>
      <w:pPr>
        <w:spacing w:after="0" w:line="143" w:lineRule="exact"/>
        <w:rPr>
          <w:sz w:val="20"/>
          <w:szCs w:val="20"/>
          <w:color w:val="auto"/>
        </w:rPr>
      </w:pPr>
    </w:p>
    <w:p>
      <w:pPr>
        <w:ind w:left="120" w:firstLine="440"/>
        <w:spacing w:after="0" w:line="270" w:lineRule="auto"/>
        <w:rPr>
          <w:sz w:val="20"/>
          <w:szCs w:val="20"/>
          <w:color w:val="auto"/>
        </w:rPr>
      </w:pPr>
      <w:r>
        <w:rPr>
          <w:rFonts w:ascii="Arial" w:cs="Arial" w:eastAsia="Arial" w:hAnsi="Arial"/>
          <w:sz w:val="17"/>
          <w:szCs w:val="17"/>
          <w:color w:val="auto"/>
        </w:rPr>
        <w:t>The Committee will determine the requirements for vesting and exercisability of the stock options, which may be based on the continued employment or service of the participant with Definitive for a specified time period, upon the attainment of performance goals or both. The stock options may terminate prior to the end of the term or vesting date upon termination of employment or service (or for any other reason), as determined by the Committee. If the fair market value of a share of Class A common stock exceeds the exercise price on the last day the stock option may be exercised under an award agreement, the participant shall be deemed to have exercised the vested portion of such option in a net exercise and net share withholding for taxes, without taking further action. Unless approved by the stockholders, the Committee may not take any action with respect to a stock option that would be treated as a “repricing” under the then applicable rules, regulations or listing requirements of the stock exchange on which shares of Class A common stock are listed, or that would result in the cancellation of “underwater” stock options in exchange for cash or other awards, other than in connection with a change in control.</w:t>
      </w:r>
    </w:p>
    <w:p>
      <w:pPr>
        <w:spacing w:after="0" w:line="181" w:lineRule="exact"/>
        <w:rPr>
          <w:sz w:val="20"/>
          <w:szCs w:val="20"/>
          <w:color w:val="auto"/>
        </w:rPr>
      </w:pPr>
    </w:p>
    <w:p>
      <w:pPr>
        <w:ind w:left="120" w:right="280" w:firstLine="440"/>
        <w:spacing w:after="0" w:line="263" w:lineRule="auto"/>
        <w:rPr>
          <w:sz w:val="20"/>
          <w:szCs w:val="20"/>
          <w:color w:val="auto"/>
        </w:rPr>
      </w:pPr>
      <w:r>
        <w:rPr>
          <w:rFonts w:ascii="Arial" w:cs="Arial" w:eastAsia="Arial" w:hAnsi="Arial"/>
          <w:sz w:val="18"/>
          <w:szCs w:val="18"/>
          <w:color w:val="auto"/>
        </w:rPr>
        <w:t>Stock options granted under the 2021 Plan will be either non-qualified stock options or incentive stock options (with incentive stock options intended to meet the applicable requirements under the Internal Revenue Code of 1986, as amended (the “Code”)). Stock options are nontransferable except in limited circumstances.</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Stock Appreciation Rights</w:t>
      </w:r>
    </w:p>
    <w:p>
      <w:pPr>
        <w:spacing w:after="0" w:line="117" w:lineRule="exact"/>
        <w:rPr>
          <w:sz w:val="20"/>
          <w:szCs w:val="20"/>
          <w:color w:val="auto"/>
        </w:rPr>
      </w:pPr>
    </w:p>
    <w:p>
      <w:pPr>
        <w:ind w:left="120" w:right="20" w:firstLine="440"/>
        <w:spacing w:after="0" w:line="291" w:lineRule="auto"/>
        <w:rPr>
          <w:sz w:val="20"/>
          <w:szCs w:val="20"/>
          <w:color w:val="auto"/>
        </w:rPr>
      </w:pPr>
      <w:r>
        <w:rPr>
          <w:rFonts w:ascii="Arial" w:cs="Arial" w:eastAsia="Arial" w:hAnsi="Arial"/>
          <w:sz w:val="16"/>
          <w:szCs w:val="16"/>
          <w:color w:val="auto"/>
        </w:rPr>
        <w:t>A SAR granted under the 2021 Plan gives the participant a right to receive, upon exercise or other payment of the SAR, an amount in cash, shares of Class A common stock or a combination of both equal to (i) the excess of (a) the fair market value of a share on the date of exercise less (b) the base price of the SAR that the Committee specified on the date of the grant multiplied by (ii) the number of shares as to which such SAR is exercised or paid. The base price of a SAR will not be less than the fair market value of a share as of the date of grant. The right of exercise in connection with a SAR may be made by the participant or automatically upon a specified date or event. If the fair market value of a share of Class A common stock exceeds the base price on the last day the SAR may be exercised under an award agreement, the participant shall be deemed to have exercised the vested portion of such SAR in a net exercise and net share withholding for taxes, without taking further action. SARs are nontransferable, except in limited circumstances.</w:t>
      </w:r>
    </w:p>
    <w:p>
      <w:pPr>
        <w:spacing w:after="0" w:line="166" w:lineRule="exact"/>
        <w:rPr>
          <w:sz w:val="20"/>
          <w:szCs w:val="20"/>
          <w:color w:val="auto"/>
        </w:rPr>
      </w:pPr>
    </w:p>
    <w:p>
      <w:pPr>
        <w:ind w:left="120" w:right="40" w:firstLine="440"/>
        <w:spacing w:after="0" w:line="293" w:lineRule="auto"/>
        <w:rPr>
          <w:sz w:val="20"/>
          <w:szCs w:val="20"/>
          <w:color w:val="auto"/>
        </w:rPr>
      </w:pPr>
      <w:r>
        <w:rPr>
          <w:rFonts w:ascii="Arial" w:cs="Arial" w:eastAsia="Arial" w:hAnsi="Arial"/>
          <w:sz w:val="16"/>
          <w:szCs w:val="16"/>
          <w:color w:val="auto"/>
        </w:rPr>
        <w:t>The Committees determine the requirements for vesting and exercisability of the SARs, which may be based on the continued employment or service of the participant with Definitive for a specified time period or upon the attainment of specific performance goals. The SARs may be terminated prior to the end of the term (with a maximum term of ten years) upon termination of employment or service, as determined by the Committee. Unless approved by Definitive stockholders, the Committee may not take any action with respect to a SAR that would be treated as a “repricing” under the then applicable rules, regulations or listing requirements of the stock exchange on which shares of Class A common stock are listed, or that would result in the cancellation of “underwater” SARs in exchange for cash or other awards, other than in connection with a change in control.</w:t>
      </w:r>
    </w:p>
    <w:p>
      <w:pPr>
        <w:spacing w:after="0" w:line="272"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Restricted Stock Awards</w:t>
      </w:r>
    </w:p>
    <w:p>
      <w:pPr>
        <w:spacing w:after="0" w:line="117" w:lineRule="exact"/>
        <w:rPr>
          <w:sz w:val="20"/>
          <w:szCs w:val="20"/>
          <w:color w:val="auto"/>
        </w:rPr>
      </w:pPr>
    </w:p>
    <w:p>
      <w:pPr>
        <w:ind w:left="120" w:firstLine="440"/>
        <w:spacing w:after="0" w:line="259" w:lineRule="auto"/>
        <w:rPr>
          <w:sz w:val="20"/>
          <w:szCs w:val="20"/>
          <w:color w:val="auto"/>
        </w:rPr>
      </w:pPr>
      <w:r>
        <w:rPr>
          <w:rFonts w:ascii="Arial" w:cs="Arial" w:eastAsia="Arial" w:hAnsi="Arial"/>
          <w:sz w:val="18"/>
          <w:szCs w:val="18"/>
          <w:color w:val="auto"/>
        </w:rPr>
        <w:t>A restricted stock award is a grant of a specified number of shares of Class A common stock to a participant, which restrictions will lapse upon the terms that the Committee determines at the time of grant. The Committee will determine the requirements for the lapse of the restrictions for the restricted stock awards, which may be based on the continued employment or service of the participant with Definitive over a specified time period, upon the attainment of performance goals, or both.</w:t>
      </w:r>
    </w:p>
    <w:p>
      <w:pPr>
        <w:spacing w:after="0" w:line="187" w:lineRule="exact"/>
        <w:rPr>
          <w:sz w:val="20"/>
          <w:szCs w:val="20"/>
          <w:color w:val="auto"/>
        </w:rPr>
      </w:pPr>
    </w:p>
    <w:p>
      <w:pPr>
        <w:ind w:left="120" w:right="100" w:firstLine="440"/>
        <w:spacing w:after="0" w:line="301" w:lineRule="auto"/>
        <w:rPr>
          <w:sz w:val="20"/>
          <w:szCs w:val="20"/>
          <w:color w:val="auto"/>
        </w:rPr>
      </w:pPr>
      <w:r>
        <w:rPr>
          <w:rFonts w:ascii="Arial" w:cs="Arial" w:eastAsia="Arial" w:hAnsi="Arial"/>
          <w:sz w:val="16"/>
          <w:szCs w:val="16"/>
          <w:color w:val="auto"/>
        </w:rPr>
        <w:t>The participant will have the rights of a stockholder with respect to the shares granted under a restricted stock award, including the right to vote the shares and receive all dividends and other distributions with respect thereto, unless the Committee determines otherwise to the extent permitted under applicable law. If a participant has the right to receive dividends paid with respect to a restricted stock award, such dividends shall not be paid to the participant until the underlying award vests. Any shares granted under a restricted stock award are nontransferable, except in limited circumstances.</w:t>
      </w:r>
    </w:p>
    <w:p>
      <w:pPr>
        <w:spacing w:after="0" w:line="90" w:lineRule="exact"/>
        <w:rPr>
          <w:sz w:val="20"/>
          <w:szCs w:val="20"/>
          <w:color w:val="auto"/>
        </w:rPr>
      </w:pPr>
    </w:p>
    <w:p>
      <w:pPr>
        <w:jc w:val="center"/>
        <w:ind w:right="-359"/>
        <w:spacing w:after="0"/>
        <w:rPr>
          <w:sz w:val="20"/>
          <w:szCs w:val="20"/>
          <w:color w:val="auto"/>
        </w:rPr>
      </w:pPr>
      <w:r>
        <w:rPr>
          <w:rFonts w:ascii="Arial" w:cs="Arial" w:eastAsia="Arial" w:hAnsi="Arial"/>
          <w:sz w:val="18"/>
          <w:szCs w:val="18"/>
          <w:color w:val="auto"/>
        </w:rPr>
        <w:t>145</w:t>
      </w:r>
    </w:p>
    <w:p>
      <w:pPr>
        <w:sectPr>
          <w:pgSz w:w="11900" w:h="16838" w:orient="portrait"/>
          <w:cols w:equalWidth="0" w:num="1">
            <w:col w:w="11120"/>
          </w:cols>
          <w:pgMar w:left="320" w:top="459" w:right="459" w:bottom="1440" w:gutter="0" w:footer="0" w:header="0"/>
        </w:sectPr>
      </w:pPr>
    </w:p>
    <w:bookmarkStart w:id="152" w:name="page153"/>
    <w:bookmarkEnd w:id="15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Confidential Treatment Requested by Definitive Healthcare Corp.</w:t>
      </w:r>
    </w:p>
    <w:p>
      <w:pPr>
        <w:spacing w:after="0" w:line="27"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Pursuant to 17 C.F.R. Section 200.83</w:t>
      </w:r>
    </w:p>
    <w:p>
      <w:pPr>
        <w:spacing w:after="0" w:line="143"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Restricted Stock Units</w:t>
      </w:r>
    </w:p>
    <w:p>
      <w:pPr>
        <w:spacing w:after="0" w:line="117" w:lineRule="exact"/>
        <w:rPr>
          <w:sz w:val="20"/>
          <w:szCs w:val="20"/>
          <w:color w:val="auto"/>
        </w:rPr>
      </w:pPr>
    </w:p>
    <w:p>
      <w:pPr>
        <w:ind w:left="120" w:firstLine="440"/>
        <w:spacing w:after="0" w:line="257" w:lineRule="auto"/>
        <w:rPr>
          <w:sz w:val="20"/>
          <w:szCs w:val="20"/>
          <w:color w:val="auto"/>
        </w:rPr>
      </w:pPr>
      <w:r>
        <w:rPr>
          <w:rFonts w:ascii="Arial" w:cs="Arial" w:eastAsia="Arial" w:hAnsi="Arial"/>
          <w:sz w:val="18"/>
          <w:szCs w:val="18"/>
          <w:color w:val="auto"/>
        </w:rPr>
        <w:t>A restricted stock unit (“RSU”) granted under the 2021 Plan gives the participant a right to receive, upon vesting and settlement of the RSUs, one share per vested unit or an amount per vested unit equal to the fair market value of one share as of the date of determination, or a combination thereof, at the discretion of the Committee. The Committee may grant RSUs together with dividend equivalent rights (which will not be paid until the award vests), and the holder of any RSUs will not have any rights as a stockholder, such as dividend or voting rights, until the shares of Class A common stock underlying the RSUs are delivered.</w:t>
      </w:r>
    </w:p>
    <w:p>
      <w:pPr>
        <w:spacing w:after="0" w:line="188" w:lineRule="exact"/>
        <w:rPr>
          <w:sz w:val="20"/>
          <w:szCs w:val="20"/>
          <w:color w:val="auto"/>
        </w:rPr>
      </w:pPr>
    </w:p>
    <w:p>
      <w:pPr>
        <w:ind w:left="120" w:right="160" w:firstLine="440"/>
        <w:spacing w:after="0" w:line="263" w:lineRule="auto"/>
        <w:rPr>
          <w:sz w:val="20"/>
          <w:szCs w:val="20"/>
          <w:color w:val="auto"/>
        </w:rPr>
      </w:pPr>
      <w:r>
        <w:rPr>
          <w:rFonts w:ascii="Arial" w:cs="Arial" w:eastAsia="Arial" w:hAnsi="Arial"/>
          <w:sz w:val="18"/>
          <w:szCs w:val="18"/>
          <w:color w:val="auto"/>
        </w:rPr>
        <w:t>The Committee determines the requirements for vesting and payment of the RSUs, which may be based on the continued employment or service of the participant with Definitive for a specified time period and also upon the attainment of specific performance goals. RSUs will be forfeited if the vesting requirements are not satisfied. RSUs are nontransferable, except in limited circumstances.</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Stock-Based Awards</w:t>
      </w:r>
    </w:p>
    <w:p>
      <w:pPr>
        <w:spacing w:after="0" w:line="117" w:lineRule="exact"/>
        <w:rPr>
          <w:sz w:val="20"/>
          <w:szCs w:val="20"/>
          <w:color w:val="auto"/>
        </w:rPr>
      </w:pPr>
    </w:p>
    <w:p>
      <w:pPr>
        <w:ind w:left="120" w:right="20" w:firstLine="440"/>
        <w:spacing w:after="0" w:line="272" w:lineRule="auto"/>
        <w:rPr>
          <w:sz w:val="20"/>
          <w:szCs w:val="20"/>
          <w:color w:val="auto"/>
        </w:rPr>
      </w:pPr>
      <w:r>
        <w:rPr>
          <w:rFonts w:ascii="Arial" w:cs="Arial" w:eastAsia="Arial" w:hAnsi="Arial"/>
          <w:sz w:val="17"/>
          <w:szCs w:val="17"/>
          <w:color w:val="auto"/>
        </w:rPr>
        <w:t>Stock-based awards may be granted to eligible participants under the 2021 Plan and consist of an award of, or an award that is valued by reference to, shares of Class A common stock. A stock-based award may be granted for past employment or service, in lieu of bonus or other cash compensation, as director’s compensation or any other purpose as determined by the Committee, and shall be based upon or calculated by reference to the common stock. The Committee determines the requirements for the vesting and payment of the stock-based award, with the possibility that awards may be made with no vesting requirements. Upon receipt of the stock-based award that consists of shares of Class A common stock, the participant will not have any rights of a stockholder with respect to the shares of Class A common stock, including the right to vote and receive dividends, until such time as shares of Class A common stock (if any) are issued to the participant.</w:t>
      </w:r>
    </w:p>
    <w:p>
      <w:pPr>
        <w:spacing w:after="0" w:line="285"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Plan Amendments or Termination; Term</w:t>
      </w:r>
    </w:p>
    <w:p>
      <w:pPr>
        <w:spacing w:after="0" w:line="117" w:lineRule="exact"/>
        <w:rPr>
          <w:sz w:val="20"/>
          <w:szCs w:val="20"/>
          <w:color w:val="auto"/>
        </w:rPr>
      </w:pPr>
    </w:p>
    <w:p>
      <w:pPr>
        <w:ind w:left="120" w:right="40" w:firstLine="440"/>
        <w:spacing w:after="0" w:line="259" w:lineRule="auto"/>
        <w:rPr>
          <w:sz w:val="20"/>
          <w:szCs w:val="20"/>
          <w:color w:val="auto"/>
        </w:rPr>
      </w:pPr>
      <w:r>
        <w:rPr>
          <w:rFonts w:ascii="Arial" w:cs="Arial" w:eastAsia="Arial" w:hAnsi="Arial"/>
          <w:sz w:val="18"/>
          <w:szCs w:val="18"/>
          <w:color w:val="auto"/>
        </w:rPr>
        <w:t>The Board may amend, modify, suspend or terminate the 2021 Plan; provided that if such amendment, modification, suspension or termination materially and adversely affects any award, Definitive must obtain the affected participant’s consent, subject to changes that are necessary to comply with applicable laws. Certain amendments or modifications of the 2021 Plan may also be subject to the approval of our stockholders as required by SEC and Nasdaq rules or applicable law.</w:t>
      </w:r>
    </w:p>
    <w:p>
      <w:pPr>
        <w:spacing w:after="0" w:line="187" w:lineRule="exact"/>
        <w:rPr>
          <w:sz w:val="20"/>
          <w:szCs w:val="20"/>
          <w:color w:val="auto"/>
        </w:rPr>
      </w:pPr>
    </w:p>
    <w:p>
      <w:pPr>
        <w:ind w:left="120" w:right="760" w:firstLine="440"/>
        <w:spacing w:after="0" w:line="342" w:lineRule="auto"/>
        <w:rPr>
          <w:sz w:val="20"/>
          <w:szCs w:val="20"/>
          <w:color w:val="auto"/>
        </w:rPr>
      </w:pPr>
      <w:r>
        <w:rPr>
          <w:rFonts w:ascii="Arial" w:cs="Arial" w:eastAsia="Arial" w:hAnsi="Arial"/>
          <w:sz w:val="16"/>
          <w:szCs w:val="16"/>
          <w:color w:val="auto"/>
        </w:rPr>
        <w:t>The 2021 Plan went into effect upon the effectiveness of our registration statement on Form S-1, filed August 20, 2021, as amended and supplemented, on September 14, 2021, and will expire on the tenth anniversary of the date the 2021 Plan became effective.</w:t>
      </w:r>
    </w:p>
    <w:p>
      <w:pPr>
        <w:spacing w:after="0" w:line="232"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Termination of Service</w:t>
      </w:r>
    </w:p>
    <w:p>
      <w:pPr>
        <w:spacing w:after="0" w:line="117" w:lineRule="exact"/>
        <w:rPr>
          <w:sz w:val="20"/>
          <w:szCs w:val="20"/>
          <w:color w:val="auto"/>
        </w:rPr>
      </w:pPr>
    </w:p>
    <w:p>
      <w:pPr>
        <w:ind w:left="120" w:right="520" w:firstLine="440"/>
        <w:spacing w:after="0" w:line="277" w:lineRule="auto"/>
        <w:rPr>
          <w:sz w:val="20"/>
          <w:szCs w:val="20"/>
          <w:color w:val="auto"/>
        </w:rPr>
      </w:pPr>
      <w:r>
        <w:rPr>
          <w:rFonts w:ascii="Arial" w:cs="Arial" w:eastAsia="Arial" w:hAnsi="Arial"/>
          <w:sz w:val="18"/>
          <w:szCs w:val="18"/>
          <w:color w:val="auto"/>
        </w:rPr>
        <w:t>Awards under the 2021 Plan may be subject to reduction, cancellation or forfeiture upon termination of service or failure to meet applicable performance conditions or other vesting terms.</w:t>
      </w:r>
    </w:p>
    <w:p>
      <w:pPr>
        <w:spacing w:after="0" w:line="170" w:lineRule="exact"/>
        <w:rPr>
          <w:sz w:val="20"/>
          <w:szCs w:val="20"/>
          <w:color w:val="auto"/>
        </w:rPr>
      </w:pPr>
    </w:p>
    <w:p>
      <w:pPr>
        <w:ind w:left="120" w:firstLine="440"/>
        <w:spacing w:after="0" w:line="272" w:lineRule="auto"/>
        <w:rPr>
          <w:sz w:val="20"/>
          <w:szCs w:val="20"/>
          <w:color w:val="auto"/>
        </w:rPr>
      </w:pPr>
      <w:r>
        <w:rPr>
          <w:rFonts w:ascii="Arial" w:cs="Arial" w:eastAsia="Arial" w:hAnsi="Arial"/>
          <w:sz w:val="17"/>
          <w:szCs w:val="17"/>
          <w:color w:val="auto"/>
        </w:rPr>
        <w:t>Under the 2021 Plan, unless an award agreement provides otherwise, if a participant’s employment or service is terminated for cause, or if after termination the Committee determines that the participant engaged in an act that falls within the definition of cause, or if after termination the participant engages in conduct that violates any continuing obligation of the participant with respect to Definitive, Definitive may cancel, forfeit and/ or recoup any or all of that participant’s outstanding awards. In addition, if the Committee makes the determination above, Definitive may suspend the participant’s right to exercise any stock option or SAR, receive any payment or vest in any award pending a determination of whether the act falls within the definition of cause (as defined in the 2021 Plan). If a participant voluntarily terminates employment or service in anticipation of an involuntary termination for cause, that shall be deemed a termination for cause.</w:t>
      </w:r>
    </w:p>
    <w:p>
      <w:pPr>
        <w:spacing w:after="0" w:line="110"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146</w:t>
      </w:r>
    </w:p>
    <w:p>
      <w:pPr>
        <w:sectPr>
          <w:pgSz w:w="11900" w:h="16838" w:orient="portrait"/>
          <w:cols w:equalWidth="0" w:num="1">
            <w:col w:w="11120"/>
          </w:cols>
          <w:pgMar w:left="320" w:top="459" w:right="459" w:bottom="1440" w:gutter="0" w:footer="0" w:header="0"/>
        </w:sectPr>
      </w:pPr>
    </w:p>
    <w:bookmarkStart w:id="153" w:name="page154"/>
    <w:bookmarkEnd w:id="15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Confidential Treatment Requested by Definitive Healthcare Corp.</w:t>
      </w:r>
    </w:p>
    <w:p>
      <w:pPr>
        <w:spacing w:after="0" w:line="27"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Pursuant to 17 C.F.R. Section 200.83</w:t>
      </w:r>
    </w:p>
    <w:p>
      <w:pPr>
        <w:spacing w:after="0" w:line="143"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Right of Recapture</w:t>
      </w:r>
    </w:p>
    <w:p>
      <w:pPr>
        <w:spacing w:after="0" w:line="117" w:lineRule="exact"/>
        <w:rPr>
          <w:sz w:val="20"/>
          <w:szCs w:val="20"/>
          <w:color w:val="auto"/>
        </w:rPr>
      </w:pPr>
    </w:p>
    <w:p>
      <w:pPr>
        <w:ind w:left="120" w:right="280" w:firstLine="440"/>
        <w:spacing w:after="0" w:line="273" w:lineRule="auto"/>
        <w:rPr>
          <w:sz w:val="20"/>
          <w:szCs w:val="20"/>
          <w:color w:val="auto"/>
        </w:rPr>
      </w:pPr>
      <w:r>
        <w:rPr>
          <w:rFonts w:ascii="Arial" w:cs="Arial" w:eastAsia="Arial" w:hAnsi="Arial"/>
          <w:sz w:val="17"/>
          <w:szCs w:val="17"/>
          <w:color w:val="auto"/>
        </w:rPr>
        <w:t>Awards granted under the 2021 Plan may be subject to recoupment in accordance with Section 954 of the Dodd-Frank Wall Street Reform and Consumer Protection Act (regarding recoupment of erroneously awarded compensation). Definitive has the right to recoup any gain realized by the participant from the exercise, vesting or payment of any award if, within one year after such exercise, vesting or payment (a) the participant is terminated for cause, (b) if after the participant’s termination the Committee determines that the participant engaged in an act that falls within the definition of cause or materially violated any continuing obligation of the participant with respect to Definitive or (c) the Committee determines the participant is subject to recoupment due to a clawback policy.</w:t>
      </w:r>
    </w:p>
    <w:p>
      <w:pPr>
        <w:spacing w:after="0" w:line="286"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Change in Control</w:t>
      </w:r>
    </w:p>
    <w:p>
      <w:pPr>
        <w:spacing w:after="0" w:line="117" w:lineRule="exact"/>
        <w:rPr>
          <w:sz w:val="20"/>
          <w:szCs w:val="20"/>
          <w:color w:val="auto"/>
        </w:rPr>
      </w:pPr>
    </w:p>
    <w:p>
      <w:pPr>
        <w:ind w:left="560"/>
        <w:spacing w:after="0"/>
        <w:rPr>
          <w:sz w:val="20"/>
          <w:szCs w:val="20"/>
          <w:color w:val="auto"/>
        </w:rPr>
      </w:pPr>
      <w:r>
        <w:rPr>
          <w:rFonts w:ascii="Arial" w:cs="Arial" w:eastAsia="Arial" w:hAnsi="Arial"/>
          <w:sz w:val="17"/>
          <w:szCs w:val="17"/>
          <w:color w:val="auto"/>
        </w:rPr>
        <w:t>Under the 2021 Plan, in the event of a change in control of Definitive, as defined in the 2021 Plan, all outstanding awards shall either be</w:t>
      </w:r>
    </w:p>
    <w:p>
      <w:pPr>
        <w:spacing w:after="0" w:line="35" w:lineRule="exact"/>
        <w:rPr>
          <w:sz w:val="20"/>
          <w:szCs w:val="20"/>
          <w:color w:val="auto"/>
        </w:rPr>
      </w:pPr>
    </w:p>
    <w:p>
      <w:pPr>
        <w:ind w:left="120" w:right="40" w:hanging="4"/>
        <w:spacing w:after="0" w:line="253" w:lineRule="auto"/>
        <w:tabs>
          <w:tab w:leader="none" w:pos="365" w:val="left"/>
        </w:tabs>
        <w:numPr>
          <w:ilvl w:val="0"/>
          <w:numId w:val="135"/>
        </w:numPr>
        <w:rPr>
          <w:rFonts w:ascii="Arial" w:cs="Arial" w:eastAsia="Arial" w:hAnsi="Arial"/>
          <w:sz w:val="18"/>
          <w:szCs w:val="18"/>
          <w:color w:val="auto"/>
        </w:rPr>
      </w:pPr>
      <w:r>
        <w:rPr>
          <w:rFonts w:ascii="Arial" w:cs="Arial" w:eastAsia="Arial" w:hAnsi="Arial"/>
          <w:sz w:val="18"/>
          <w:szCs w:val="18"/>
          <w:color w:val="auto"/>
        </w:rPr>
        <w:t>continued or assumed by the surviving company or its parent or (b) substituted by the surviving company or its parent for awards, with substantially similar terms (with appropriate adjustments to the type of consideration payable upon settlement, including conversion into the right to receive securities, cash or a combination of both, and with performance conditions deemed achieved (i) for any completed performance period, based on actual performance, or (ii) for any partial or future performance period, at the greater of the target level or actual performance, unless otherwise provided in an award agreement).</w:t>
      </w:r>
    </w:p>
    <w:p>
      <w:pPr>
        <w:spacing w:after="0" w:line="191" w:lineRule="exact"/>
        <w:rPr>
          <w:sz w:val="20"/>
          <w:szCs w:val="20"/>
          <w:color w:val="auto"/>
        </w:rPr>
      </w:pPr>
    </w:p>
    <w:p>
      <w:pPr>
        <w:ind w:left="120" w:right="100" w:firstLine="440"/>
        <w:spacing w:after="0" w:line="254" w:lineRule="auto"/>
        <w:rPr>
          <w:sz w:val="20"/>
          <w:szCs w:val="20"/>
          <w:color w:val="auto"/>
        </w:rPr>
      </w:pPr>
      <w:r>
        <w:rPr>
          <w:rFonts w:ascii="Arial" w:cs="Arial" w:eastAsia="Arial" w:hAnsi="Arial"/>
          <w:sz w:val="18"/>
          <w:szCs w:val="18"/>
          <w:color w:val="auto"/>
        </w:rPr>
        <w:t>Only to the extent that outstanding awards are not continued, assumed or substituted upon or following a change in control, the Committee may, but is not obligated to, make adjustments to the terms and conditions of outstanding awards, including without limitation (i) acceleration of exercisability, vesting and/or payment immediately prior to, upon or following such event, (ii) upon written notice, provided that any outstanding stock option and SAR must be exercised during a period of time immediately prior to such event or other period (contingent upon the consummation of such event), and at the end of such period, such stock options and SARs shall terminate to the extent not so exercised, and (iii) cancellation of all or any portion of outstanding awards for fair value (in the form of cash, shares, other property or any combination of such consideration), less any applicable exercise or base price.</w:t>
      </w:r>
    </w:p>
    <w:p>
      <w:pPr>
        <w:spacing w:after="0" w:line="195" w:lineRule="exact"/>
        <w:rPr>
          <w:sz w:val="20"/>
          <w:szCs w:val="20"/>
          <w:color w:val="auto"/>
        </w:rPr>
      </w:pPr>
    </w:p>
    <w:p>
      <w:pPr>
        <w:ind w:left="120" w:firstLine="440"/>
        <w:spacing w:after="0" w:line="275" w:lineRule="auto"/>
        <w:rPr>
          <w:sz w:val="20"/>
          <w:szCs w:val="20"/>
          <w:color w:val="auto"/>
        </w:rPr>
      </w:pPr>
      <w:r>
        <w:rPr>
          <w:rFonts w:ascii="Arial" w:cs="Arial" w:eastAsia="Arial" w:hAnsi="Arial"/>
          <w:sz w:val="17"/>
          <w:szCs w:val="17"/>
          <w:color w:val="auto"/>
        </w:rPr>
        <w:t>Notwithstanding the foregoing, if a participant’s employment or service is terminated upon or within 24 months following a change in control by Definitive without cause or upon such other circumstances as determined by the Committee, the unvested portion (if any) of all outstanding awards held by the participant will immediately vest (and, to the extent applicable, become exercisable) and be paid in full upon such termination, with any performance conditions deemed achieved (i) for any completed performance period, based on actual performance, or (ii) for any partial or future performance period, at the greater of the target level or actual performance, unless otherwise provided in an award agreement.</w:t>
      </w:r>
    </w:p>
    <w:p>
      <w:pPr>
        <w:spacing w:after="0" w:line="284"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Assumption of Awards in Connection with an Acquisition</w:t>
      </w:r>
    </w:p>
    <w:p>
      <w:pPr>
        <w:spacing w:after="0" w:line="117" w:lineRule="exact"/>
        <w:rPr>
          <w:sz w:val="20"/>
          <w:szCs w:val="20"/>
          <w:color w:val="auto"/>
        </w:rPr>
      </w:pPr>
    </w:p>
    <w:p>
      <w:pPr>
        <w:ind w:left="120" w:right="80" w:firstLine="440"/>
        <w:spacing w:after="0" w:line="259" w:lineRule="auto"/>
        <w:rPr>
          <w:sz w:val="20"/>
          <w:szCs w:val="20"/>
          <w:color w:val="auto"/>
        </w:rPr>
      </w:pPr>
      <w:r>
        <w:rPr>
          <w:rFonts w:ascii="Arial" w:cs="Arial" w:eastAsia="Arial" w:hAnsi="Arial"/>
          <w:sz w:val="18"/>
          <w:szCs w:val="18"/>
          <w:color w:val="auto"/>
        </w:rPr>
        <w:t>The Committee may assume or substitute any previously granted awards of an employee, director or consultant of another corporation who becomes eligible by reason of a corporate transaction. The terms of the assumed award may vary from the terms and conditions otherwise required by the 2021 Plan if the Committee deems it necessary. The assumed awards will not reduce the total number of shares available for awards under the 2021 Plan.</w:t>
      </w:r>
    </w:p>
    <w:p>
      <w:pPr>
        <w:spacing w:after="0" w:line="295"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Adjustments</w:t>
      </w:r>
    </w:p>
    <w:p>
      <w:pPr>
        <w:spacing w:after="0" w:line="117" w:lineRule="exact"/>
        <w:rPr>
          <w:sz w:val="20"/>
          <w:szCs w:val="20"/>
          <w:color w:val="auto"/>
        </w:rPr>
      </w:pPr>
    </w:p>
    <w:p>
      <w:pPr>
        <w:ind w:left="120" w:right="240" w:firstLine="440"/>
        <w:spacing w:after="0" w:line="263" w:lineRule="auto"/>
        <w:rPr>
          <w:sz w:val="20"/>
          <w:szCs w:val="20"/>
          <w:color w:val="auto"/>
        </w:rPr>
      </w:pPr>
      <w:r>
        <w:rPr>
          <w:rFonts w:ascii="Arial" w:cs="Arial" w:eastAsia="Arial" w:hAnsi="Arial"/>
          <w:sz w:val="18"/>
          <w:szCs w:val="18"/>
          <w:color w:val="auto"/>
        </w:rPr>
        <w:t>In the event of any recapitalization, reclassification, share dividend, extraordinary cash dividend, stock split, reverse stock split, merger, reorganization, consolidation, combination, spin-off or other similar corporate event or transaction affecting the shares of Class A common stock, the Committee will make equitable adjustments to</w:t>
      </w:r>
    </w:p>
    <w:p>
      <w:pPr>
        <w:spacing w:after="0" w:line="116" w:lineRule="exact"/>
        <w:rPr>
          <w:sz w:val="20"/>
          <w:szCs w:val="20"/>
          <w:color w:val="auto"/>
        </w:rPr>
      </w:pPr>
    </w:p>
    <w:p>
      <w:pPr>
        <w:jc w:val="center"/>
        <w:ind w:right="-399"/>
        <w:spacing w:after="0"/>
        <w:rPr>
          <w:sz w:val="20"/>
          <w:szCs w:val="20"/>
          <w:color w:val="auto"/>
        </w:rPr>
      </w:pPr>
      <w:r>
        <w:rPr>
          <w:rFonts w:ascii="Arial" w:cs="Arial" w:eastAsia="Arial" w:hAnsi="Arial"/>
          <w:sz w:val="18"/>
          <w:szCs w:val="18"/>
          <w:color w:val="auto"/>
        </w:rPr>
        <w:t>147</w:t>
      </w:r>
    </w:p>
    <w:p>
      <w:pPr>
        <w:sectPr>
          <w:pgSz w:w="11900" w:h="16838" w:orient="portrait"/>
          <w:cols w:equalWidth="0" w:num="1">
            <w:col w:w="11080"/>
          </w:cols>
          <w:pgMar w:left="320" w:top="459" w:right="499" w:bottom="1440" w:gutter="0" w:footer="0" w:header="0"/>
        </w:sectPr>
      </w:pPr>
    </w:p>
    <w:bookmarkStart w:id="154" w:name="page155"/>
    <w:bookmarkEnd w:id="15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Confidential Treatment Requested by Definitive Healthcare Corp.</w:t>
      </w:r>
    </w:p>
    <w:p>
      <w:pPr>
        <w:spacing w:after="0" w:line="27"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Pursuant to 17 C.F.R. Section 200.83</w:t>
      </w:r>
    </w:p>
    <w:p>
      <w:pPr>
        <w:spacing w:after="0" w:line="143" w:lineRule="exact"/>
        <w:rPr>
          <w:sz w:val="20"/>
          <w:szCs w:val="20"/>
          <w:color w:val="auto"/>
        </w:rPr>
      </w:pPr>
    </w:p>
    <w:p>
      <w:pPr>
        <w:ind w:left="120" w:right="60" w:hanging="4"/>
        <w:spacing w:after="0" w:line="308" w:lineRule="auto"/>
        <w:tabs>
          <w:tab w:leader="none" w:pos="335" w:val="left"/>
        </w:tabs>
        <w:numPr>
          <w:ilvl w:val="0"/>
          <w:numId w:val="136"/>
        </w:numPr>
        <w:rPr>
          <w:rFonts w:ascii="Arial" w:cs="Arial" w:eastAsia="Arial" w:hAnsi="Arial"/>
          <w:sz w:val="17"/>
          <w:szCs w:val="17"/>
          <w:color w:val="auto"/>
        </w:rPr>
      </w:pPr>
      <w:r>
        <w:rPr>
          <w:rFonts w:ascii="Arial" w:cs="Arial" w:eastAsia="Arial" w:hAnsi="Arial"/>
          <w:sz w:val="17"/>
          <w:szCs w:val="17"/>
          <w:color w:val="auto"/>
        </w:rPr>
        <w:t>the number and kind of shares or other securities available for awards and covered by outstanding awards, (ii) the exercise, base or purchase price or other value determinations of outstanding awards, and/or (iii) any other terms of an award affected by the corporate event.</w:t>
      </w:r>
    </w:p>
    <w:p>
      <w:pPr>
        <w:spacing w:after="0" w:line="254"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Award Limits</w:t>
      </w:r>
    </w:p>
    <w:p>
      <w:pPr>
        <w:spacing w:after="0" w:line="117" w:lineRule="exact"/>
        <w:rPr>
          <w:sz w:val="20"/>
          <w:szCs w:val="20"/>
          <w:color w:val="auto"/>
        </w:rPr>
      </w:pPr>
    </w:p>
    <w:p>
      <w:pPr>
        <w:jc w:val="both"/>
        <w:ind w:left="120" w:firstLine="440"/>
        <w:spacing w:after="0" w:line="263" w:lineRule="auto"/>
        <w:rPr>
          <w:sz w:val="20"/>
          <w:szCs w:val="20"/>
          <w:color w:val="auto"/>
        </w:rPr>
      </w:pPr>
      <w:r>
        <w:rPr>
          <w:rFonts w:ascii="Arial" w:cs="Arial" w:eastAsia="Arial" w:hAnsi="Arial"/>
          <w:sz w:val="18"/>
          <w:szCs w:val="18"/>
          <w:color w:val="auto"/>
        </w:rPr>
        <w:t>A non-employee director may not be granted during a calendar year awards that have a fair value that, when added to all other cash compensation received in respect of service as a member of the Board that year, exceeds (i) $1,000,000 in the year that the director is first elected to serve as a director on the Board; and (ii) $500,000 in each subsequent year.</w:t>
      </w:r>
    </w:p>
    <w:p>
      <w:pPr>
        <w:spacing w:after="0" w:line="28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U.S. Federal Tax Consequences</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Incentive Stock Options</w:t>
      </w:r>
    </w:p>
    <w:p>
      <w:pPr>
        <w:spacing w:after="0" w:line="117" w:lineRule="exact"/>
        <w:rPr>
          <w:sz w:val="20"/>
          <w:szCs w:val="20"/>
          <w:color w:val="auto"/>
        </w:rPr>
      </w:pPr>
    </w:p>
    <w:p>
      <w:pPr>
        <w:ind w:left="120" w:firstLine="440"/>
        <w:spacing w:after="0" w:line="288" w:lineRule="auto"/>
        <w:rPr>
          <w:sz w:val="20"/>
          <w:szCs w:val="20"/>
          <w:color w:val="auto"/>
        </w:rPr>
      </w:pPr>
      <w:r>
        <w:rPr>
          <w:rFonts w:ascii="Arial" w:cs="Arial" w:eastAsia="Arial" w:hAnsi="Arial"/>
          <w:sz w:val="16"/>
          <w:szCs w:val="16"/>
          <w:color w:val="auto"/>
        </w:rPr>
        <w:t>An optionee recognizes no taxable income for regular income tax purposes as a result of the grant or exercise of an incentive stock option qualifying under Section 422 of the Code. Optionees who neither dispose of their shares within two years following the date the option was granted nor within one year following the exercise of the option normally will recognize a capital gain or loss equal to the difference, if any, between the sale price and the purchase price of the shares. If an optionee satisfies such holding periods upon a sale of the shares, Definitive will not be entitled to any deduction for federal income tax purposes. If an optionee disposes of shares within two years after the date of grant or within one year after the date of exercise (a “disqualifying disposition”), the difference between the fair market value of the shares on the exercise date and the option exercise price (not to exceed the gain realized on the sale if the disposition is a transaction with respect to which a loss, if sustained, would be recognized) will be taxed as ordinary income at the time of disposition. Any gain in excess of that amount will be a capital gain. If a loss is recognized, there will be no ordinary income, and such loss will be a capital loss. Any ordinary income recognized by the optionee upon the disqualifying disposition of the shares generally should be deductible by Definitive for federal income tax purposes, except to the extent such deduction is limited by applicable provisions of the Code.</w:t>
      </w:r>
    </w:p>
    <w:p>
      <w:pPr>
        <w:spacing w:after="0" w:line="168" w:lineRule="exact"/>
        <w:rPr>
          <w:sz w:val="20"/>
          <w:szCs w:val="20"/>
          <w:color w:val="auto"/>
        </w:rPr>
      </w:pPr>
    </w:p>
    <w:p>
      <w:pPr>
        <w:ind w:left="120" w:right="140" w:firstLine="440"/>
        <w:spacing w:after="0" w:line="257" w:lineRule="auto"/>
        <w:rPr>
          <w:sz w:val="20"/>
          <w:szCs w:val="20"/>
          <w:color w:val="auto"/>
        </w:rPr>
      </w:pPr>
      <w:r>
        <w:rPr>
          <w:rFonts w:ascii="Arial" w:cs="Arial" w:eastAsia="Arial" w:hAnsi="Arial"/>
          <w:sz w:val="18"/>
          <w:szCs w:val="18"/>
          <w:color w:val="auto"/>
        </w:rPr>
        <w:t>The difference between the option exercise price and the fair market value of the shares on the exercise date is treated as an adjustment in computing the optionee’s alternative minimum taxable income and may be subject to an alternative minimum tax which is paid if such tax exceeds the regular tax for the year. Special rules may apply with respect to certain subsequent sales of the shares in a disqualifying disposition, certain basis adjustments for purposes of computing the alternative minimum taxable income on a subsequent sale of the shares and certain tax credits which may arise with respect to optionees subject to the alternative minimum tax.</w:t>
      </w:r>
    </w:p>
    <w:p>
      <w:pPr>
        <w:spacing w:after="0" w:line="296"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Nonqualified Stock Options</w:t>
      </w:r>
    </w:p>
    <w:p>
      <w:pPr>
        <w:spacing w:after="0" w:line="117" w:lineRule="exact"/>
        <w:rPr>
          <w:sz w:val="20"/>
          <w:szCs w:val="20"/>
          <w:color w:val="auto"/>
        </w:rPr>
      </w:pPr>
    </w:p>
    <w:p>
      <w:pPr>
        <w:ind w:left="120" w:right="60" w:firstLine="440"/>
        <w:spacing w:after="0" w:line="255" w:lineRule="auto"/>
        <w:rPr>
          <w:sz w:val="20"/>
          <w:szCs w:val="20"/>
          <w:color w:val="auto"/>
        </w:rPr>
      </w:pPr>
      <w:r>
        <w:rPr>
          <w:rFonts w:ascii="Arial" w:cs="Arial" w:eastAsia="Arial" w:hAnsi="Arial"/>
          <w:sz w:val="18"/>
          <w:szCs w:val="18"/>
          <w:color w:val="auto"/>
        </w:rPr>
        <w:t>Options not designated or qualifying as incentive stock options will be nonqualified stock options having no special tax status. An optionee generally recognizes no taxable income as the result of the grant of such an option. Upon exercise of a nonqualified stock option, the optionee normally recognizes ordinary income equal to the amount by which the fair market value of the shares on such date exceeds the exercise price. If the optionee is an employee, such ordinary income generally is subject to withholding of income and employment taxes. Upon the sale of shares acquired by the exercise of a nonqualified stock option, any gain or loss, based on the difference between the sale price and the fair market value on the exercise date, will be taxed as capital gain or loss.</w:t>
      </w:r>
    </w:p>
    <w:p>
      <w:pPr>
        <w:spacing w:after="0" w:line="300"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Stock Appreciation Rights</w:t>
      </w:r>
    </w:p>
    <w:p>
      <w:pPr>
        <w:spacing w:after="0" w:line="117" w:lineRule="exact"/>
        <w:rPr>
          <w:sz w:val="20"/>
          <w:szCs w:val="20"/>
          <w:color w:val="auto"/>
        </w:rPr>
      </w:pPr>
    </w:p>
    <w:p>
      <w:pPr>
        <w:ind w:left="120" w:right="40" w:firstLine="440"/>
        <w:spacing w:after="0" w:line="277" w:lineRule="auto"/>
        <w:rPr>
          <w:sz w:val="20"/>
          <w:szCs w:val="20"/>
          <w:color w:val="auto"/>
        </w:rPr>
      </w:pPr>
      <w:r>
        <w:rPr>
          <w:rFonts w:ascii="Arial" w:cs="Arial" w:eastAsia="Arial" w:hAnsi="Arial"/>
          <w:sz w:val="18"/>
          <w:szCs w:val="18"/>
          <w:color w:val="auto"/>
        </w:rPr>
        <w:t>In general, no taxable income is reportable when SARs are granted to a participant. Upon exercise, the participant will recognize ordinary income in an amount equal to the fair market value of any cash or shares</w:t>
      </w:r>
    </w:p>
    <w:p>
      <w:pPr>
        <w:spacing w:after="0" w:line="103" w:lineRule="exact"/>
        <w:rPr>
          <w:sz w:val="20"/>
          <w:szCs w:val="20"/>
          <w:color w:val="auto"/>
        </w:rPr>
      </w:pPr>
    </w:p>
    <w:p>
      <w:pPr>
        <w:jc w:val="center"/>
        <w:ind w:right="-399"/>
        <w:spacing w:after="0"/>
        <w:rPr>
          <w:sz w:val="20"/>
          <w:szCs w:val="20"/>
          <w:color w:val="auto"/>
        </w:rPr>
      </w:pPr>
      <w:r>
        <w:rPr>
          <w:rFonts w:ascii="Arial" w:cs="Arial" w:eastAsia="Arial" w:hAnsi="Arial"/>
          <w:sz w:val="18"/>
          <w:szCs w:val="18"/>
          <w:color w:val="auto"/>
        </w:rPr>
        <w:t>148</w:t>
      </w:r>
    </w:p>
    <w:p>
      <w:pPr>
        <w:sectPr>
          <w:pgSz w:w="11900" w:h="16838" w:orient="portrait"/>
          <w:cols w:equalWidth="0" w:num="1">
            <w:col w:w="11080"/>
          </w:cols>
          <w:pgMar w:left="320" w:top="459" w:right="499" w:bottom="1440" w:gutter="0" w:footer="0" w:header="0"/>
        </w:sectPr>
      </w:pPr>
    </w:p>
    <w:bookmarkStart w:id="155" w:name="page156"/>
    <w:bookmarkEnd w:id="15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Confidential Treatment Requested by Definitive Healthcare Corp.</w:t>
      </w:r>
    </w:p>
    <w:p>
      <w:pPr>
        <w:spacing w:after="0" w:line="27"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Pursuant to 17 C.F.R. Section 200.83</w:t>
      </w:r>
    </w:p>
    <w:p>
      <w:pPr>
        <w:spacing w:after="0" w:line="143" w:lineRule="exact"/>
        <w:rPr>
          <w:sz w:val="20"/>
          <w:szCs w:val="20"/>
          <w:color w:val="auto"/>
        </w:rPr>
      </w:pPr>
    </w:p>
    <w:p>
      <w:pPr>
        <w:ind w:left="120" w:right="200"/>
        <w:spacing w:after="0" w:line="277" w:lineRule="auto"/>
        <w:rPr>
          <w:sz w:val="20"/>
          <w:szCs w:val="20"/>
          <w:color w:val="auto"/>
        </w:rPr>
      </w:pPr>
      <w:r>
        <w:rPr>
          <w:rFonts w:ascii="Arial" w:cs="Arial" w:eastAsia="Arial" w:hAnsi="Arial"/>
          <w:sz w:val="18"/>
          <w:szCs w:val="18"/>
          <w:color w:val="auto"/>
        </w:rPr>
        <w:t>received. If the participant is an employee, such ordinary income generally is subject to withholding of income and employment taxes. Any additional gain or loss recognized upon any later disposition of the shares would be capital gain or loss.</w:t>
      </w:r>
    </w:p>
    <w:p>
      <w:pPr>
        <w:spacing w:after="0" w:line="27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Restricted Stock Awards</w:t>
      </w:r>
    </w:p>
    <w:p>
      <w:pPr>
        <w:spacing w:after="0" w:line="117" w:lineRule="exact"/>
        <w:rPr>
          <w:sz w:val="20"/>
          <w:szCs w:val="20"/>
          <w:color w:val="auto"/>
        </w:rPr>
      </w:pPr>
    </w:p>
    <w:p>
      <w:pPr>
        <w:ind w:left="120" w:right="20" w:firstLine="440"/>
        <w:spacing w:after="0" w:line="259" w:lineRule="auto"/>
        <w:rPr>
          <w:sz w:val="20"/>
          <w:szCs w:val="20"/>
          <w:color w:val="auto"/>
        </w:rPr>
      </w:pPr>
      <w:r>
        <w:rPr>
          <w:rFonts w:ascii="Arial" w:cs="Arial" w:eastAsia="Arial" w:hAnsi="Arial"/>
          <w:sz w:val="18"/>
          <w:szCs w:val="18"/>
          <w:color w:val="auto"/>
        </w:rPr>
        <w:t>A participant acquiring restricted stock generally will recognize ordinary income equal to the fair market value of the shares on the vesting date. If the participant is an employee, such ordinary income generally is subject to withholding of income and employment taxes. The participant may elect, pursuant to Section 83(b) of the Code, to accelerate the ordinary income tax event to the date of acquisition by filing an election with the IRS no later than 30 days after the date the shares are acquired.</w:t>
      </w:r>
    </w:p>
    <w:p>
      <w:pPr>
        <w:spacing w:after="0" w:line="187" w:lineRule="exact"/>
        <w:rPr>
          <w:sz w:val="20"/>
          <w:szCs w:val="20"/>
          <w:color w:val="auto"/>
        </w:rPr>
      </w:pPr>
    </w:p>
    <w:p>
      <w:pPr>
        <w:ind w:left="120" w:right="140" w:firstLine="440"/>
        <w:spacing w:after="0" w:line="277" w:lineRule="auto"/>
        <w:rPr>
          <w:sz w:val="20"/>
          <w:szCs w:val="20"/>
          <w:color w:val="auto"/>
        </w:rPr>
      </w:pPr>
      <w:r>
        <w:rPr>
          <w:rFonts w:ascii="Arial" w:cs="Arial" w:eastAsia="Arial" w:hAnsi="Arial"/>
          <w:sz w:val="18"/>
          <w:szCs w:val="18"/>
          <w:color w:val="auto"/>
        </w:rPr>
        <w:t>Upon the sale of shares acquired pursuant to a restricted stock award, any gain or loss, based on the difference between the sale price and the fair market value on the date the ordinary income tax event occurs, will be taxed as capital gain or loss.</w:t>
      </w:r>
    </w:p>
    <w:p>
      <w:pPr>
        <w:spacing w:after="0" w:line="27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Restricted Stock Unit Awards</w:t>
      </w:r>
    </w:p>
    <w:p>
      <w:pPr>
        <w:spacing w:after="0" w:line="117" w:lineRule="exact"/>
        <w:rPr>
          <w:sz w:val="20"/>
          <w:szCs w:val="20"/>
          <w:color w:val="auto"/>
        </w:rPr>
      </w:pPr>
    </w:p>
    <w:p>
      <w:pPr>
        <w:ind w:left="120" w:firstLine="440"/>
        <w:spacing w:after="0" w:line="301" w:lineRule="auto"/>
        <w:rPr>
          <w:sz w:val="20"/>
          <w:szCs w:val="20"/>
          <w:color w:val="auto"/>
        </w:rPr>
      </w:pPr>
      <w:r>
        <w:rPr>
          <w:rFonts w:ascii="Arial" w:cs="Arial" w:eastAsia="Arial" w:hAnsi="Arial"/>
          <w:sz w:val="16"/>
          <w:szCs w:val="16"/>
          <w:color w:val="auto"/>
        </w:rPr>
        <w:t>There are no immediate tax consequences of receiving an award of RSUs. A participant who is awarded RSUs will be required to recognize ordinary income in an amount equal to the fair market value of shares issued to such participant at the end of the applicable vesting period or, if later, the settlement date elected by the Committee or a participant. If the participant is an employee, such ordinary income generally is subject to withholding of income and employment taxes. Any additional gain or loss recognized upon any later disposition of any shares received would be capital gain or loss.</w:t>
      </w:r>
    </w:p>
    <w:p>
      <w:pPr>
        <w:spacing w:after="0" w:line="265"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Stock-Based Awards</w:t>
      </w:r>
    </w:p>
    <w:p>
      <w:pPr>
        <w:spacing w:after="0" w:line="117" w:lineRule="exact"/>
        <w:rPr>
          <w:sz w:val="20"/>
          <w:szCs w:val="20"/>
          <w:color w:val="auto"/>
        </w:rPr>
      </w:pPr>
    </w:p>
    <w:p>
      <w:pPr>
        <w:ind w:left="120" w:firstLine="440"/>
        <w:spacing w:after="0" w:line="255" w:lineRule="auto"/>
        <w:rPr>
          <w:sz w:val="20"/>
          <w:szCs w:val="20"/>
          <w:color w:val="auto"/>
        </w:rPr>
      </w:pPr>
      <w:r>
        <w:rPr>
          <w:rFonts w:ascii="Arial" w:cs="Arial" w:eastAsia="Arial" w:hAnsi="Arial"/>
          <w:sz w:val="18"/>
          <w:szCs w:val="18"/>
          <w:color w:val="auto"/>
        </w:rPr>
        <w:t>The tax consequences associated with any other stock-based award of unrestricted shares or an award that is valued by reference to shares granted under the 2021 Plan will vary depending on the specific terms of the award. A participant acquiring unrestricted shares generally will recognize ordinary income equal to the fair market value of the shares on the grant date. The factors that will determine the timing and character of the income include whether or not the award has a readily ascertainable fair market value, whether or not the award is subject to forfeiture provisions or restrictions on transfer, the nature of the property to be received by the participant under the award and the participant’s holding period and tax basis for the award or underlying common stock.</w:t>
      </w:r>
    </w:p>
    <w:p>
      <w:pPr>
        <w:spacing w:after="0" w:line="300"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Section 409A</w:t>
      </w:r>
    </w:p>
    <w:p>
      <w:pPr>
        <w:spacing w:after="0" w:line="117" w:lineRule="exact"/>
        <w:rPr>
          <w:sz w:val="20"/>
          <w:szCs w:val="20"/>
          <w:color w:val="auto"/>
        </w:rPr>
      </w:pPr>
    </w:p>
    <w:p>
      <w:pPr>
        <w:ind w:left="120" w:firstLine="440"/>
        <w:spacing w:after="0" w:line="272" w:lineRule="auto"/>
        <w:rPr>
          <w:sz w:val="20"/>
          <w:szCs w:val="20"/>
          <w:color w:val="auto"/>
        </w:rPr>
      </w:pPr>
      <w:r>
        <w:rPr>
          <w:rFonts w:ascii="Arial" w:cs="Arial" w:eastAsia="Arial" w:hAnsi="Arial"/>
          <w:sz w:val="17"/>
          <w:szCs w:val="17"/>
          <w:color w:val="auto"/>
        </w:rPr>
        <w:t>Section 409A provides certain requirements for non-qualified deferred compensation arrangements with respect to an individual’s deferral and distribution elections and permissible distribution events. Certain types of awards granted under the 2021 Plan may be subject to the requirements of Section 409A. It is intended that the .2021 Plan and all awards comply with, or be exempt from, the requirements of Section 409A. If an award is subject to and fails to satisfy the requirements of Section 409A, the recipient of that award may recognize ordinary income on the amounts deferred under the award, to the extent vested, which may be prior to when the compensation is actually or constructively received. Also, if an award that is subject to Section 409A fails to comply with Section 409A’s provisions, Section 409A imposes an additional 20% federal income tax on compensation recognized as ordinary income, as well as interest on such deferred compensation.</w:t>
      </w:r>
    </w:p>
    <w:p>
      <w:pPr>
        <w:spacing w:after="0" w:line="285"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Tax Effect for Definitive</w:t>
      </w:r>
    </w:p>
    <w:p>
      <w:pPr>
        <w:spacing w:after="0" w:line="117" w:lineRule="exact"/>
        <w:rPr>
          <w:sz w:val="20"/>
          <w:szCs w:val="20"/>
          <w:color w:val="auto"/>
        </w:rPr>
      </w:pPr>
    </w:p>
    <w:p>
      <w:pPr>
        <w:ind w:left="120" w:right="380" w:firstLine="440"/>
        <w:spacing w:after="0" w:line="277" w:lineRule="auto"/>
        <w:rPr>
          <w:sz w:val="20"/>
          <w:szCs w:val="20"/>
          <w:color w:val="auto"/>
        </w:rPr>
      </w:pPr>
      <w:r>
        <w:rPr>
          <w:rFonts w:ascii="Arial" w:cs="Arial" w:eastAsia="Arial" w:hAnsi="Arial"/>
          <w:sz w:val="18"/>
          <w:szCs w:val="18"/>
          <w:color w:val="auto"/>
        </w:rPr>
        <w:t>Definitive generally is entitled to a tax deduction in connection with an award under the 2021 Plan in an amount equal to the ordinary income realized by a participant and at the time the participant recognizes such</w:t>
      </w:r>
    </w:p>
    <w:p>
      <w:pPr>
        <w:spacing w:after="0" w:line="103"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149</w:t>
      </w:r>
    </w:p>
    <w:p>
      <w:pPr>
        <w:sectPr>
          <w:pgSz w:w="11900" w:h="16838" w:orient="portrait"/>
          <w:cols w:equalWidth="0" w:num="1">
            <w:col w:w="11120"/>
          </w:cols>
          <w:pgMar w:left="320" w:top="459" w:right="459" w:bottom="1440" w:gutter="0" w:footer="0" w:header="0"/>
        </w:sectPr>
      </w:pPr>
    </w:p>
    <w:bookmarkStart w:id="156" w:name="page157"/>
    <w:bookmarkEnd w:id="15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Confidential Treatment Requested by Definitive Healthcare Corp.</w:t>
      </w:r>
    </w:p>
    <w:p>
      <w:pPr>
        <w:spacing w:after="0" w:line="27"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Pursuant to 17 C.F.R. Section 200.83</w:t>
      </w:r>
    </w:p>
    <w:p>
      <w:pPr>
        <w:spacing w:after="0" w:line="143" w:lineRule="exact"/>
        <w:rPr>
          <w:sz w:val="20"/>
          <w:szCs w:val="20"/>
          <w:color w:val="auto"/>
        </w:rPr>
      </w:pPr>
    </w:p>
    <w:p>
      <w:pPr>
        <w:ind w:left="120" w:right="100"/>
        <w:spacing w:after="0" w:line="273" w:lineRule="auto"/>
        <w:rPr>
          <w:sz w:val="20"/>
          <w:szCs w:val="20"/>
          <w:color w:val="auto"/>
        </w:rPr>
      </w:pPr>
      <w:r>
        <w:rPr>
          <w:rFonts w:ascii="Arial" w:cs="Arial" w:eastAsia="Arial" w:hAnsi="Arial"/>
          <w:sz w:val="17"/>
          <w:szCs w:val="17"/>
          <w:color w:val="auto"/>
        </w:rPr>
        <w:t>income (for example, the exercise of a nonqualified stock option). Special rules limit the deductibility of compensation paid to our chief executive officer, chief financial officer and the other “covered employees” as determined under Section 162(m) and applicable guidance. Under Section 162(m), the annual compensation paid to any of these covered employees, including awards that Definitive grants pursuant to the 2021 Plan, whether performance-based or otherwise, will be subject to the $1 million annual deduction limitation. Because of the elimination of the performance-based compensation exemption, it is possible that all or a portion of the compensation paid to covered employees in the form of equity grants under the 2021 Plan may not be deductible by Definitive, to the extent that the annual deduction limitation is exceeded.</w:t>
      </w:r>
    </w:p>
    <w:p>
      <w:pPr>
        <w:spacing w:after="0" w:line="178" w:lineRule="exact"/>
        <w:rPr>
          <w:sz w:val="20"/>
          <w:szCs w:val="20"/>
          <w:color w:val="auto"/>
        </w:rPr>
      </w:pPr>
    </w:p>
    <w:p>
      <w:pPr>
        <w:ind w:left="120" w:firstLine="440"/>
        <w:spacing w:after="0" w:line="257" w:lineRule="auto"/>
        <w:rPr>
          <w:sz w:val="20"/>
          <w:szCs w:val="20"/>
          <w:color w:val="auto"/>
        </w:rPr>
      </w:pPr>
      <w:r>
        <w:rPr>
          <w:rFonts w:ascii="Arial" w:cs="Arial" w:eastAsia="Arial" w:hAnsi="Arial"/>
          <w:sz w:val="18"/>
          <w:szCs w:val="18"/>
          <w:color w:val="auto"/>
        </w:rPr>
        <w:t>THE FOREGOING IS ONLY A SUMMARY OF THE EFFECT OF CURRENT U.S. FEDERAL INCOME TAXATION UPON PARTICIPANTS AND DEFINITIVE WITH RESPECT TO AWARDS UNDER THE 2021 PLAN. IT DOES NOT PURPORT TO BE COMPLETE AND DOES NOT DISCUSS THE IMPACT OF EMPLOYMENT OR OTHER TAX REQUIREMENTS, THE TAX CONSEQUENCES OF A PARTICIPANT’S DEATH, OR THE PROVISIONS OF THE INCOME TAX LAWS OF ANY MUNICIPALITY, STATE, OR FOREIGN COUNTRY IN WHICH THE PARTICIPANT MAY RESIDE.</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2021 Plan Grants</w:t>
      </w:r>
    </w:p>
    <w:p>
      <w:pPr>
        <w:spacing w:after="0" w:line="121" w:lineRule="exact"/>
        <w:rPr>
          <w:sz w:val="20"/>
          <w:szCs w:val="20"/>
          <w:color w:val="auto"/>
        </w:rPr>
      </w:pPr>
    </w:p>
    <w:p>
      <w:pPr>
        <w:ind w:left="120" w:right="240" w:firstLine="440"/>
        <w:spacing w:after="0" w:line="311" w:lineRule="auto"/>
        <w:rPr>
          <w:sz w:val="20"/>
          <w:szCs w:val="20"/>
          <w:color w:val="auto"/>
        </w:rPr>
      </w:pPr>
      <w:r>
        <w:rPr>
          <w:rFonts w:ascii="Arial" w:cs="Arial" w:eastAsia="Arial" w:hAnsi="Arial"/>
          <w:sz w:val="16"/>
          <w:szCs w:val="16"/>
          <w:color w:val="auto"/>
        </w:rPr>
        <w:t>We granted equity awards to approximately 560 employees. These grants are expected to have an estimated fair value at grant of $22.0 million. These awards will be restricted stock units that vest over four years, with 25% vesting on the first anniversary of grant, and the remainder vesting quarterly, subject to continued employment or other service. The related expense will be recognized ratably over the four year vesting period.</w:t>
      </w:r>
    </w:p>
    <w:p>
      <w:pPr>
        <w:spacing w:after="0" w:line="149" w:lineRule="exact"/>
        <w:rPr>
          <w:sz w:val="20"/>
          <w:szCs w:val="20"/>
          <w:color w:val="auto"/>
        </w:rPr>
      </w:pPr>
    </w:p>
    <w:p>
      <w:pPr>
        <w:ind w:left="120" w:right="60" w:firstLine="440"/>
        <w:spacing w:after="0" w:line="270" w:lineRule="auto"/>
        <w:rPr>
          <w:sz w:val="20"/>
          <w:szCs w:val="20"/>
          <w:color w:val="auto"/>
        </w:rPr>
      </w:pPr>
      <w:r>
        <w:rPr>
          <w:rFonts w:ascii="Arial" w:cs="Arial" w:eastAsia="Arial" w:hAnsi="Arial"/>
          <w:sz w:val="17"/>
          <w:szCs w:val="17"/>
          <w:color w:val="auto"/>
        </w:rPr>
        <w:t>In addition, we granted equity awards to 10 members of the executive leadership team, including our executive officers. These awards will be in the form of restricted stock units, 75% of which will vest based on the performance of employment or other service and 25% will vest based on achievement of performance metric(s) and continued employment or other service. The former portion will vest over four years, with 25% vesting on the first anniversary of grant, and the remainder vesting quarterly. The latter portion will be tied to a 2022 business metric(s). To the extent the performance criteria is achieved, the restricted stock units will vest ratably on each of January 1, 2023, January 1, 2024 and January 1, 2025. We recently granted equity awards to our new President in the form of restricted stock units that vest over time. His first award vests over four years with 25% vesting on the first anniversary of grant and the remainder vesting quarterly. The second award vests over three years with 33% vesting on the first anniversary of grant, and the remainder vesting quarterly. The estimated fair value of these awards at grant is $17.5 million. The related expense will be recognized at the time of vesting.</w:t>
      </w:r>
    </w:p>
    <w:p>
      <w:pPr>
        <w:spacing w:after="0" w:line="28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Definitive Healthcare Corp. 2021 Employee Stock Purchase Plan</w:t>
      </w:r>
    </w:p>
    <w:p>
      <w:pPr>
        <w:spacing w:after="0" w:line="113"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Summary</w:t>
      </w:r>
    </w:p>
    <w:p>
      <w:pPr>
        <w:spacing w:after="0" w:line="121" w:lineRule="exact"/>
        <w:rPr>
          <w:sz w:val="20"/>
          <w:szCs w:val="20"/>
          <w:color w:val="auto"/>
        </w:rPr>
      </w:pPr>
    </w:p>
    <w:p>
      <w:pPr>
        <w:ind w:left="120" w:right="160" w:firstLine="440"/>
        <w:spacing w:after="0" w:line="308" w:lineRule="auto"/>
        <w:rPr>
          <w:sz w:val="20"/>
          <w:szCs w:val="20"/>
          <w:color w:val="auto"/>
        </w:rPr>
      </w:pPr>
      <w:r>
        <w:rPr>
          <w:rFonts w:ascii="Arial" w:cs="Arial" w:eastAsia="Arial" w:hAnsi="Arial"/>
          <w:sz w:val="17"/>
          <w:szCs w:val="17"/>
          <w:color w:val="auto"/>
        </w:rPr>
        <w:t>In connection our IPO, we adopted the Definitive Healthcare Corp. 2021 Employee Stock Purchase Plan (the “ESPP”). The principal features of the ESPP are summarized below. This summary does not purport to be a complete statement of the terms of the ESPP.</w:t>
      </w:r>
    </w:p>
    <w:p>
      <w:pPr>
        <w:spacing w:after="0" w:line="254"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Purpose</w:t>
      </w:r>
    </w:p>
    <w:p>
      <w:pPr>
        <w:spacing w:after="0" w:line="117" w:lineRule="exact"/>
        <w:rPr>
          <w:sz w:val="20"/>
          <w:szCs w:val="20"/>
          <w:color w:val="auto"/>
        </w:rPr>
      </w:pPr>
    </w:p>
    <w:p>
      <w:pPr>
        <w:ind w:left="120" w:right="140" w:firstLine="440"/>
        <w:spacing w:after="0" w:line="257" w:lineRule="auto"/>
        <w:rPr>
          <w:sz w:val="20"/>
          <w:szCs w:val="20"/>
          <w:color w:val="auto"/>
        </w:rPr>
      </w:pPr>
      <w:r>
        <w:rPr>
          <w:rFonts w:ascii="Arial" w:cs="Arial" w:eastAsia="Arial" w:hAnsi="Arial"/>
          <w:sz w:val="18"/>
          <w:szCs w:val="18"/>
          <w:color w:val="auto"/>
        </w:rPr>
        <w:t>The ESPP provides a means by which eligible employees and/or eligible service providers of either Definitive or an affiliate may be given an opportunity to purchase shares of common stock. The ESPP permits us to grant a series of purchase rights to eligible employees and/or eligible service providers. By means of the ESPP, we seek to retain and assist our affiliates in retaining the services of such eligible employees and eligible service providers, to secure and retain the services of new eligible employees and eligible service providers and to provide incentives for such persons to exert maximum efforts for our success and that of our affiliates.</w:t>
      </w:r>
    </w:p>
    <w:p>
      <w:pPr>
        <w:spacing w:after="0" w:line="120" w:lineRule="exact"/>
        <w:rPr>
          <w:sz w:val="20"/>
          <w:szCs w:val="20"/>
          <w:color w:val="auto"/>
        </w:rPr>
      </w:pPr>
    </w:p>
    <w:p>
      <w:pPr>
        <w:jc w:val="center"/>
        <w:ind w:right="-379"/>
        <w:spacing w:after="0"/>
        <w:rPr>
          <w:sz w:val="20"/>
          <w:szCs w:val="20"/>
          <w:color w:val="auto"/>
        </w:rPr>
      </w:pPr>
      <w:r>
        <w:rPr>
          <w:rFonts w:ascii="Arial" w:cs="Arial" w:eastAsia="Arial" w:hAnsi="Arial"/>
          <w:sz w:val="18"/>
          <w:szCs w:val="18"/>
          <w:color w:val="auto"/>
        </w:rPr>
        <w:t>150</w:t>
      </w:r>
    </w:p>
    <w:p>
      <w:pPr>
        <w:sectPr>
          <w:pgSz w:w="11900" w:h="16838" w:orient="portrait"/>
          <w:cols w:equalWidth="0" w:num="1">
            <w:col w:w="11100"/>
          </w:cols>
          <w:pgMar w:left="320" w:top="459" w:right="479" w:bottom="1440" w:gutter="0" w:footer="0" w:header="0"/>
        </w:sectPr>
      </w:pPr>
    </w:p>
    <w:bookmarkStart w:id="157" w:name="page158"/>
    <w:bookmarkEnd w:id="15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Confidential Treatment Requested by Definitive Healthcare Corp.</w:t>
      </w:r>
    </w:p>
    <w:p>
      <w:pPr>
        <w:spacing w:after="0" w:line="27"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Pursuant to 17 C.F.R. Section 200.83</w:t>
      </w:r>
    </w:p>
    <w:p>
      <w:pPr>
        <w:spacing w:after="0" w:line="143" w:lineRule="exact"/>
        <w:rPr>
          <w:sz w:val="20"/>
          <w:szCs w:val="20"/>
          <w:color w:val="auto"/>
        </w:rPr>
      </w:pPr>
    </w:p>
    <w:p>
      <w:pPr>
        <w:ind w:left="120" w:right="20" w:firstLine="440"/>
        <w:spacing w:after="0" w:line="291" w:lineRule="auto"/>
        <w:rPr>
          <w:sz w:val="20"/>
          <w:szCs w:val="20"/>
          <w:color w:val="auto"/>
        </w:rPr>
      </w:pPr>
      <w:r>
        <w:rPr>
          <w:rFonts w:ascii="Arial" w:cs="Arial" w:eastAsia="Arial" w:hAnsi="Arial"/>
          <w:sz w:val="16"/>
          <w:szCs w:val="16"/>
          <w:color w:val="auto"/>
        </w:rPr>
        <w:t>The ESPP includes two components: a “423 Component” and a “Non-423 Component.” We intend the 423 Component to qualify as an employee stock purchase plan pursuant to Section 423 of the Code. The provisions of the 423 Component are construed in a manner that is consistent with the requirements of Section 423 of the Code, including without limitation to extend and limit ESPP participation in a uniform and non-discriminating basis. In addition, the ESPP authorizes grants of purchase rights under the Non-423 Component that do not meet the requirements of an employee stock purchase plan under Section 423 of the Code. Except as otherwise provided in the ESPP or determined by the Board, the Non-423 Component operates and is administered in the same manner as the 423 Component. Eligible employees are able to participate in the 423 Component or Non-423 Component of the ESPP. Eligible service providers (who may or may not be eligible employees) are only able to participate in the Non-423 Component of the ESPP.</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Administration</w:t>
      </w:r>
    </w:p>
    <w:p>
      <w:pPr>
        <w:spacing w:after="0" w:line="117" w:lineRule="exact"/>
        <w:rPr>
          <w:sz w:val="20"/>
          <w:szCs w:val="20"/>
          <w:color w:val="auto"/>
        </w:rPr>
      </w:pPr>
    </w:p>
    <w:p>
      <w:pPr>
        <w:ind w:left="120" w:right="40" w:firstLine="440"/>
        <w:spacing w:after="0" w:line="259" w:lineRule="auto"/>
        <w:rPr>
          <w:sz w:val="20"/>
          <w:szCs w:val="20"/>
          <w:color w:val="auto"/>
        </w:rPr>
      </w:pPr>
      <w:r>
        <w:rPr>
          <w:rFonts w:ascii="Arial" w:cs="Arial" w:eastAsia="Arial" w:hAnsi="Arial"/>
          <w:sz w:val="18"/>
          <w:szCs w:val="18"/>
          <w:color w:val="auto"/>
        </w:rPr>
        <w:t>The Board administers the ESPP and has the final power to construe and interpret both the ESPP and the rights granted under it. Further, the Board has the power, subject to the provisions of the ESPP, to determine when and how rights to purchase common stock will be granted, the provisions of each offering of such rights (which need not be identical), and whether any employee or other service provider will be eligible to participate in the ESPP.</w:t>
      </w:r>
    </w:p>
    <w:p>
      <w:pPr>
        <w:spacing w:after="0" w:line="187" w:lineRule="exact"/>
        <w:rPr>
          <w:sz w:val="20"/>
          <w:szCs w:val="20"/>
          <w:color w:val="auto"/>
        </w:rPr>
      </w:pPr>
    </w:p>
    <w:p>
      <w:pPr>
        <w:ind w:left="120" w:right="120" w:firstLine="440"/>
        <w:spacing w:after="0" w:line="259" w:lineRule="auto"/>
        <w:rPr>
          <w:sz w:val="20"/>
          <w:szCs w:val="20"/>
          <w:color w:val="auto"/>
        </w:rPr>
      </w:pPr>
      <w:r>
        <w:rPr>
          <w:rFonts w:ascii="Arial" w:cs="Arial" w:eastAsia="Arial" w:hAnsi="Arial"/>
          <w:sz w:val="18"/>
          <w:szCs w:val="18"/>
          <w:color w:val="auto"/>
        </w:rPr>
        <w:t>The Board has the power to delegate administration of the ESPP to a committee composed of one or more members of the Board. As used herein with respect to the ESPP, the term “Board” refers to any committee the Board appoints, and to the Board. Whether or not the Board has delegated administration of the ESPP to a committee, the Board has the final power to determine all questions of policy and expediency that may arise in the administration of the ESPP.</w:t>
      </w:r>
    </w:p>
    <w:p>
      <w:pPr>
        <w:spacing w:after="0" w:line="295"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Common Stock Subject to the ESPP</w:t>
      </w:r>
    </w:p>
    <w:p>
      <w:pPr>
        <w:spacing w:after="0" w:line="117" w:lineRule="exact"/>
        <w:rPr>
          <w:sz w:val="20"/>
          <w:szCs w:val="20"/>
          <w:color w:val="auto"/>
        </w:rPr>
      </w:pPr>
    </w:p>
    <w:p>
      <w:pPr>
        <w:ind w:left="120" w:right="280" w:firstLine="440"/>
        <w:spacing w:after="0" w:line="286" w:lineRule="auto"/>
        <w:rPr>
          <w:sz w:val="20"/>
          <w:szCs w:val="20"/>
          <w:color w:val="auto"/>
        </w:rPr>
      </w:pPr>
      <w:r>
        <w:rPr>
          <w:rFonts w:ascii="Arial" w:cs="Arial" w:eastAsia="Arial" w:hAnsi="Arial"/>
          <w:sz w:val="16"/>
          <w:szCs w:val="16"/>
          <w:color w:val="auto"/>
        </w:rPr>
        <w:t>Subject to adjustments as provided in the ESPP, the maximum number of shares of common stock that may be issued under the ESPP will not exceed 1,498,173 shares of common stock. On the first day of each fiscal year, commencing on January 1, 2023 and ending on (and including) January 1, 2032, the share reserve will automatically increase by a number equal to the least of (i) 1% of the total number of shares of common stock actually issued and outstanding on the last day of the preceding fiscal year, (ii) a number of shares of common stock determined by the Board; and</w:t>
      </w:r>
    </w:p>
    <w:p>
      <w:pPr>
        <w:spacing w:after="0" w:line="1" w:lineRule="exact"/>
        <w:rPr>
          <w:sz w:val="20"/>
          <w:szCs w:val="20"/>
          <w:color w:val="auto"/>
        </w:rPr>
      </w:pPr>
    </w:p>
    <w:p>
      <w:pPr>
        <w:ind w:left="120" w:right="20" w:hanging="4"/>
        <w:spacing w:after="0" w:line="253" w:lineRule="auto"/>
        <w:tabs>
          <w:tab w:leader="none" w:pos="435" w:val="left"/>
        </w:tabs>
        <w:numPr>
          <w:ilvl w:val="0"/>
          <w:numId w:val="137"/>
        </w:numPr>
        <w:rPr>
          <w:rFonts w:ascii="Arial" w:cs="Arial" w:eastAsia="Arial" w:hAnsi="Arial"/>
          <w:sz w:val="18"/>
          <w:szCs w:val="18"/>
          <w:color w:val="auto"/>
        </w:rPr>
      </w:pPr>
      <w:r>
        <w:rPr>
          <w:rFonts w:ascii="Arial" w:cs="Arial" w:eastAsia="Arial" w:hAnsi="Arial"/>
          <w:sz w:val="18"/>
          <w:szCs w:val="18"/>
          <w:color w:val="auto"/>
        </w:rPr>
        <w:t>1,498,173 shares of common stock. If any purchase right granted under the ESPP terminates without having been exercised in full, the shares of common stock not purchased under such purchase right will again become available for issuance under the ESPP. The ESPP will be effective on the day immediately prior to the date on which the Registration Statement is declared effective by the SEC under the Securities Act until the 10 year anniversary following the date the ESPP became effective.</w:t>
      </w:r>
    </w:p>
    <w:p>
      <w:pPr>
        <w:spacing w:after="0" w:line="301"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Offerings</w:t>
      </w:r>
    </w:p>
    <w:p>
      <w:pPr>
        <w:spacing w:after="0" w:line="117" w:lineRule="exact"/>
        <w:rPr>
          <w:sz w:val="20"/>
          <w:szCs w:val="20"/>
          <w:color w:val="auto"/>
        </w:rPr>
      </w:pPr>
    </w:p>
    <w:p>
      <w:pPr>
        <w:ind w:left="120" w:firstLine="440"/>
        <w:spacing w:after="0" w:line="296" w:lineRule="auto"/>
        <w:rPr>
          <w:sz w:val="20"/>
          <w:szCs w:val="20"/>
          <w:color w:val="auto"/>
        </w:rPr>
      </w:pPr>
      <w:r>
        <w:rPr>
          <w:rFonts w:ascii="Arial" w:cs="Arial" w:eastAsia="Arial" w:hAnsi="Arial"/>
          <w:sz w:val="16"/>
          <w:szCs w:val="16"/>
          <w:color w:val="auto"/>
        </w:rPr>
        <w:t>The ESPP is implemented by offerings of rights to all eligible employees and eligible service providers from time to time. Offerings may comprise one or more purchase periods. The maximum length for an offering under the ESPP is 27 months. The provisions of separate offerings need not be identical. When a participant elects to join an offering, he or she is granted a purchase right to acquire shares of common stock on each purchase date within the offering, each corresponding to the end of a purchase period within such offering. On each purchase date, all payroll deductions collected from the participant during such purchase period are automatically applied to the purchase of common stock, subject to certain limitations.</w:t>
      </w:r>
    </w:p>
    <w:p>
      <w:pPr>
        <w:spacing w:after="0" w:line="26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Eligibility</w:t>
      </w:r>
    </w:p>
    <w:p>
      <w:pPr>
        <w:spacing w:after="0" w:line="117" w:lineRule="exact"/>
        <w:rPr>
          <w:sz w:val="20"/>
          <w:szCs w:val="20"/>
          <w:color w:val="auto"/>
        </w:rPr>
      </w:pPr>
    </w:p>
    <w:p>
      <w:pPr>
        <w:ind w:left="120" w:right="580" w:firstLine="440"/>
        <w:spacing w:after="0" w:line="277" w:lineRule="auto"/>
        <w:rPr>
          <w:sz w:val="20"/>
          <w:szCs w:val="20"/>
          <w:color w:val="auto"/>
        </w:rPr>
      </w:pPr>
      <w:r>
        <w:rPr>
          <w:rFonts w:ascii="Arial" w:cs="Arial" w:eastAsia="Arial" w:hAnsi="Arial"/>
          <w:sz w:val="18"/>
          <w:szCs w:val="18"/>
          <w:color w:val="auto"/>
        </w:rPr>
        <w:t>Purchase rights may be granted only to our employees, employees of qualifying related corporations or, solely with respect to the Non-423 Component, employees of an affiliate (other than a qualifying related</w:t>
      </w:r>
    </w:p>
    <w:p>
      <w:pPr>
        <w:spacing w:after="0" w:line="103"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151</w:t>
      </w:r>
    </w:p>
    <w:p>
      <w:pPr>
        <w:sectPr>
          <w:pgSz w:w="11900" w:h="16838" w:orient="portrait"/>
          <w:cols w:equalWidth="0" w:num="1">
            <w:col w:w="11120"/>
          </w:cols>
          <w:pgMar w:left="320" w:top="459" w:right="459" w:bottom="1440" w:gutter="0" w:footer="0" w:header="0"/>
        </w:sectPr>
      </w:pPr>
    </w:p>
    <w:bookmarkStart w:id="158" w:name="page159"/>
    <w:bookmarkEnd w:id="15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Confidential Treatment Requested by Definitive Healthcare Corp.</w:t>
      </w:r>
    </w:p>
    <w:p>
      <w:pPr>
        <w:spacing w:after="0" w:line="27"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Pursuant to 17 C.F.R. Section 200.83</w:t>
      </w:r>
    </w:p>
    <w:p>
      <w:pPr>
        <w:spacing w:after="0" w:line="143" w:lineRule="exact"/>
        <w:rPr>
          <w:sz w:val="20"/>
          <w:szCs w:val="20"/>
          <w:color w:val="auto"/>
        </w:rPr>
      </w:pPr>
    </w:p>
    <w:p>
      <w:pPr>
        <w:ind w:left="120"/>
        <w:spacing w:after="0" w:line="290" w:lineRule="auto"/>
        <w:rPr>
          <w:sz w:val="20"/>
          <w:szCs w:val="20"/>
          <w:color w:val="auto"/>
        </w:rPr>
      </w:pPr>
      <w:r>
        <w:rPr>
          <w:rFonts w:ascii="Arial" w:cs="Arial" w:eastAsia="Arial" w:hAnsi="Arial"/>
          <w:sz w:val="16"/>
          <w:szCs w:val="16"/>
          <w:color w:val="auto"/>
        </w:rPr>
        <w:t>corporation) or eligible service providers. The Board may provide that employees will not be eligible to be granted purchase rights under the ESPP if, on the offering date, the employee (i) has not completed at least two years of service since the employee’s last hire date (or such lesser period as the Board may determine), (ii) customarily works not more than 20 hours per week (or such lesser period as the Board may determine), (iii) customarily works not more than five months per calendar year (or such lesser period as the Board may determine), (iv) is an officer within the meaning of Section 16 of the Exchange Act, (v) is a highly compensated employee within the meaning of the Code, or (vi) has not satisfied such other criteria as the Board may determine consistent with Section 423 of the Code. Unless otherwise determined by the Board for any offering, an employee will not be eligible to be granted purchase rights unless, on the offering date, the employee customarily works more than 20 hours per week and more than five months per calendar year, and has been employed by us or a related corporation or affiliate for at least three continuous months preceding such offering date.</w:t>
      </w:r>
    </w:p>
    <w:p>
      <w:pPr>
        <w:spacing w:after="0" w:line="165" w:lineRule="exact"/>
        <w:rPr>
          <w:sz w:val="20"/>
          <w:szCs w:val="20"/>
          <w:color w:val="auto"/>
        </w:rPr>
      </w:pPr>
    </w:p>
    <w:p>
      <w:pPr>
        <w:ind w:left="120" w:right="100" w:firstLine="440"/>
        <w:spacing w:after="0" w:line="279" w:lineRule="auto"/>
        <w:rPr>
          <w:sz w:val="20"/>
          <w:szCs w:val="20"/>
          <w:color w:val="auto"/>
        </w:rPr>
      </w:pPr>
      <w:r>
        <w:rPr>
          <w:rFonts w:ascii="Arial" w:cs="Arial" w:eastAsia="Arial" w:hAnsi="Arial"/>
          <w:sz w:val="17"/>
          <w:szCs w:val="17"/>
          <w:color w:val="auto"/>
        </w:rPr>
        <w:t>No employee will be eligible for the grant of any purchase rights if, immediately thereafter, such employee owns stock possessing 5% or more of the total combined voting power or value of all classes of our stock or the stock of any related corporation. An eligible employee may be granted purchase rights only if such purchase rights, together with any other rights granted under all our and any related corporations’ employee stock purchase plan, do not permit such eligible employee’s rights to purchase stock in excess of $25,000 worth of stock in any calendar year.</w:t>
      </w:r>
    </w:p>
    <w:p>
      <w:pPr>
        <w:spacing w:after="0" w:line="27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Participation in the ESPP</w:t>
      </w:r>
    </w:p>
    <w:p>
      <w:pPr>
        <w:spacing w:after="0" w:line="117" w:lineRule="exact"/>
        <w:rPr>
          <w:sz w:val="20"/>
          <w:szCs w:val="20"/>
          <w:color w:val="auto"/>
        </w:rPr>
      </w:pPr>
    </w:p>
    <w:p>
      <w:pPr>
        <w:ind w:left="120" w:right="20" w:firstLine="440"/>
        <w:spacing w:after="0" w:line="296" w:lineRule="auto"/>
        <w:rPr>
          <w:sz w:val="20"/>
          <w:szCs w:val="20"/>
          <w:color w:val="auto"/>
        </w:rPr>
      </w:pPr>
      <w:r>
        <w:rPr>
          <w:rFonts w:ascii="Arial" w:cs="Arial" w:eastAsia="Arial" w:hAnsi="Arial"/>
          <w:sz w:val="16"/>
          <w:szCs w:val="16"/>
          <w:color w:val="auto"/>
        </w:rPr>
        <w:t>On each offering date, each eligible employee or eligible service provider, pursuant to an offering made under the ESPP, will be granted a purchase right to purchase up to that number of shares of common stock purchasable either with a percentage or with a maximum dollar amount, as designated by the Board; provided however, that in the case of eligible employees, such percentage or maximum dollar amount will in either case not exceed 15% of such employee’s earnings during the period that begins on the offering date (or such later date as the Board determines for a particular offering) and ends on the date stated in the offering, which date will be no later than the end of the offering, unless otherwise provided for in an offering.</w:t>
      </w:r>
    </w:p>
    <w:p>
      <w:pPr>
        <w:spacing w:after="0" w:line="26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Purchase Price</w:t>
      </w:r>
    </w:p>
    <w:p>
      <w:pPr>
        <w:spacing w:after="0" w:line="117" w:lineRule="exact"/>
        <w:rPr>
          <w:sz w:val="20"/>
          <w:szCs w:val="20"/>
          <w:color w:val="auto"/>
        </w:rPr>
      </w:pPr>
    </w:p>
    <w:p>
      <w:pPr>
        <w:ind w:left="120" w:right="80" w:firstLine="440"/>
        <w:spacing w:after="0" w:line="263" w:lineRule="auto"/>
        <w:rPr>
          <w:sz w:val="20"/>
          <w:szCs w:val="20"/>
          <w:color w:val="auto"/>
        </w:rPr>
      </w:pPr>
      <w:r>
        <w:rPr>
          <w:rFonts w:ascii="Arial" w:cs="Arial" w:eastAsia="Arial" w:hAnsi="Arial"/>
          <w:sz w:val="18"/>
          <w:szCs w:val="18"/>
          <w:color w:val="auto"/>
        </w:rPr>
        <w:t>The purchase price of shares of common stock acquired pursuant to purchase rights will be not less than the lesser of (i) 85% of the fair market value of the shares of common stock on the offering date; or (ii) 85% of the fair market value of the shares of common stock on the applicable purchase date (i.e., the last day of the applicable purchase period).</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Payment of Purchase Price; Payroll Deductions</w:t>
      </w:r>
    </w:p>
    <w:p>
      <w:pPr>
        <w:spacing w:after="0" w:line="117" w:lineRule="exact"/>
        <w:rPr>
          <w:sz w:val="20"/>
          <w:szCs w:val="20"/>
          <w:color w:val="auto"/>
        </w:rPr>
      </w:pPr>
    </w:p>
    <w:p>
      <w:pPr>
        <w:ind w:left="120" w:right="140" w:firstLine="440"/>
        <w:spacing w:after="0" w:line="273" w:lineRule="auto"/>
        <w:rPr>
          <w:sz w:val="20"/>
          <w:szCs w:val="20"/>
          <w:color w:val="auto"/>
        </w:rPr>
      </w:pPr>
      <w:r>
        <w:rPr>
          <w:rFonts w:ascii="Arial" w:cs="Arial" w:eastAsia="Arial" w:hAnsi="Arial"/>
          <w:sz w:val="17"/>
          <w:szCs w:val="17"/>
          <w:color w:val="auto"/>
        </w:rPr>
        <w:t>The purchase price of the shares is accumulated by payroll deductions over the offering. To the extent permitted in the offering document, a participant may increase, reduce or terminate his or her payroll deductions. All payroll deductions made on behalf of a participant are credited to his or her account under the ESPP and deposited with our general funds. No interest will accrue on such payroll deductions. To the extent permitted in the offering document, a participant may make additional payments into such account. If required under applicable laws or regulations or if specifically provided in the offering, in addition to or instead of making contributions by payroll deductions, a participant may make contributions through a payment by cash, check, or wire transfer prior to a purchase date, in a manner we direct.</w:t>
      </w:r>
    </w:p>
    <w:p>
      <w:pPr>
        <w:spacing w:after="0" w:line="286"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Purchase of Stock</w:t>
      </w:r>
    </w:p>
    <w:p>
      <w:pPr>
        <w:spacing w:after="0" w:line="117" w:lineRule="exact"/>
        <w:rPr>
          <w:sz w:val="20"/>
          <w:szCs w:val="20"/>
          <w:color w:val="auto"/>
        </w:rPr>
      </w:pPr>
    </w:p>
    <w:p>
      <w:pPr>
        <w:ind w:left="120" w:right="240" w:firstLine="440"/>
        <w:spacing w:after="0" w:line="277" w:lineRule="auto"/>
        <w:rPr>
          <w:sz w:val="20"/>
          <w:szCs w:val="20"/>
          <w:color w:val="auto"/>
        </w:rPr>
      </w:pPr>
      <w:r>
        <w:rPr>
          <w:rFonts w:ascii="Arial" w:cs="Arial" w:eastAsia="Arial" w:hAnsi="Arial"/>
          <w:sz w:val="18"/>
          <w:szCs w:val="18"/>
          <w:color w:val="auto"/>
        </w:rPr>
        <w:t>The Board will establish one or more purchase dates during an offering on which purchase rights granted for that offering will be exercised and shares of common stock will be purchased in accordance with such offering.</w:t>
      </w:r>
    </w:p>
    <w:p>
      <w:pPr>
        <w:spacing w:after="0" w:line="103" w:lineRule="exact"/>
        <w:rPr>
          <w:sz w:val="20"/>
          <w:szCs w:val="20"/>
          <w:color w:val="auto"/>
        </w:rPr>
      </w:pPr>
    </w:p>
    <w:p>
      <w:pPr>
        <w:jc w:val="center"/>
        <w:ind w:right="-359"/>
        <w:spacing w:after="0"/>
        <w:rPr>
          <w:sz w:val="20"/>
          <w:szCs w:val="20"/>
          <w:color w:val="auto"/>
        </w:rPr>
      </w:pPr>
      <w:r>
        <w:rPr>
          <w:rFonts w:ascii="Arial" w:cs="Arial" w:eastAsia="Arial" w:hAnsi="Arial"/>
          <w:sz w:val="18"/>
          <w:szCs w:val="18"/>
          <w:color w:val="auto"/>
        </w:rPr>
        <w:t>152</w:t>
      </w:r>
    </w:p>
    <w:p>
      <w:pPr>
        <w:sectPr>
          <w:pgSz w:w="11900" w:h="16838" w:orient="portrait"/>
          <w:cols w:equalWidth="0" w:num="1">
            <w:col w:w="11120"/>
          </w:cols>
          <w:pgMar w:left="320" w:top="459" w:right="459" w:bottom="1440" w:gutter="0" w:footer="0" w:header="0"/>
        </w:sectPr>
      </w:pPr>
    </w:p>
    <w:bookmarkStart w:id="159" w:name="page160"/>
    <w:bookmarkEnd w:id="15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Confidential Treatment Requested by Definitive Healthcare Corp.</w:t>
      </w:r>
    </w:p>
    <w:p>
      <w:pPr>
        <w:spacing w:after="0" w:line="27"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Pursuant to 17 C.F.R. Section 200.83</w:t>
      </w:r>
    </w:p>
    <w:p>
      <w:pPr>
        <w:spacing w:after="0" w:line="143" w:lineRule="exact"/>
        <w:rPr>
          <w:sz w:val="20"/>
          <w:szCs w:val="20"/>
          <w:color w:val="auto"/>
        </w:rPr>
      </w:pPr>
    </w:p>
    <w:p>
      <w:pPr>
        <w:ind w:left="120" w:firstLine="440"/>
        <w:spacing w:after="0" w:line="301" w:lineRule="auto"/>
        <w:rPr>
          <w:sz w:val="20"/>
          <w:szCs w:val="20"/>
          <w:color w:val="auto"/>
        </w:rPr>
      </w:pPr>
      <w:r>
        <w:rPr>
          <w:rFonts w:ascii="Arial" w:cs="Arial" w:eastAsia="Arial" w:hAnsi="Arial"/>
          <w:sz w:val="16"/>
          <w:szCs w:val="16"/>
          <w:color w:val="auto"/>
        </w:rPr>
        <w:t>In connection with each offering, the Board may specify a maximum number of shares of common stock that may be purchased by any participant or all participants. If the aggregate purchase of shares of common stock issuable on exercise of purchase rights granted under the offering would exceed any such maximum aggregate number, then, in the absence of any Board action otherwise, a pro rata (based on each participant’s accumulated contributions) allocation of the shares of common stock available will be made in as nearly a uniform manner as will be practicable and equitable.</w:t>
      </w:r>
    </w:p>
    <w:p>
      <w:pPr>
        <w:spacing w:after="0" w:line="265"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Withdrawal</w:t>
      </w:r>
    </w:p>
    <w:p>
      <w:pPr>
        <w:spacing w:after="0" w:line="117" w:lineRule="exact"/>
        <w:rPr>
          <w:sz w:val="20"/>
          <w:szCs w:val="20"/>
          <w:color w:val="auto"/>
        </w:rPr>
      </w:pPr>
    </w:p>
    <w:p>
      <w:pPr>
        <w:ind w:left="120" w:right="260" w:firstLine="440"/>
        <w:spacing w:after="0" w:line="255" w:lineRule="auto"/>
        <w:rPr>
          <w:sz w:val="20"/>
          <w:szCs w:val="20"/>
          <w:color w:val="auto"/>
        </w:rPr>
      </w:pPr>
      <w:r>
        <w:rPr>
          <w:rFonts w:ascii="Arial" w:cs="Arial" w:eastAsia="Arial" w:hAnsi="Arial"/>
          <w:sz w:val="18"/>
          <w:szCs w:val="18"/>
          <w:color w:val="auto"/>
        </w:rPr>
        <w:t>During an offering, a participant may cease making contributions and withdraw from the offering by delivering a withdrawal form. We may impose a deadline before a purchase date for withdrawing. On such withdrawal, such participant’s purchase right in that offering will immediately terminate and we will distribute as soon as practicable to such participant all of his or her accumulated but unused contributions without interest and such participant’s purchase right in that offering will then terminate. A participant’s withdrawal from that offering will have no effect on his or her eligibility to participate in any other offerings under the ESPP, but such participant will be required to deliver a new enrollment form to participate in subsequent offerings.</w:t>
      </w:r>
    </w:p>
    <w:p>
      <w:pPr>
        <w:spacing w:after="0" w:line="300"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Termination of Employment</w:t>
      </w:r>
    </w:p>
    <w:p>
      <w:pPr>
        <w:spacing w:after="0" w:line="117" w:lineRule="exact"/>
        <w:rPr>
          <w:sz w:val="20"/>
          <w:szCs w:val="20"/>
          <w:color w:val="auto"/>
        </w:rPr>
      </w:pPr>
    </w:p>
    <w:p>
      <w:pPr>
        <w:ind w:left="120" w:firstLine="440"/>
        <w:spacing w:after="0" w:line="301" w:lineRule="auto"/>
        <w:rPr>
          <w:sz w:val="20"/>
          <w:szCs w:val="20"/>
          <w:color w:val="auto"/>
        </w:rPr>
      </w:pPr>
      <w:r>
        <w:rPr>
          <w:rFonts w:ascii="Arial" w:cs="Arial" w:eastAsia="Arial" w:hAnsi="Arial"/>
          <w:sz w:val="16"/>
          <w:szCs w:val="16"/>
          <w:color w:val="auto"/>
        </w:rPr>
        <w:t>Purchase rights granted pursuant to any offering under the ESPP will terminate immediately if the participant either (i) is no longer an eligible employee or eligible service provider for any reason or for no reason, or (ii) is otherwise no longer eligible to participate. We shall have the exclusive discretion to determine when a participant is no longer actively providing services and the date of the termination of employment or service for purposes of the ESPP. As soon as practicable, we will distribute to such individual all of his or her accumulated but unused contributions without interest.</w:t>
      </w:r>
    </w:p>
    <w:p>
      <w:pPr>
        <w:spacing w:after="0" w:line="265"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Restrictions on Transfer</w:t>
      </w:r>
    </w:p>
    <w:p>
      <w:pPr>
        <w:spacing w:after="0" w:line="117" w:lineRule="exact"/>
        <w:rPr>
          <w:sz w:val="20"/>
          <w:szCs w:val="20"/>
          <w:color w:val="auto"/>
        </w:rPr>
      </w:pPr>
    </w:p>
    <w:p>
      <w:pPr>
        <w:ind w:left="120" w:right="180" w:firstLine="440"/>
        <w:spacing w:after="0" w:line="277" w:lineRule="auto"/>
        <w:rPr>
          <w:sz w:val="20"/>
          <w:szCs w:val="20"/>
          <w:color w:val="auto"/>
        </w:rPr>
      </w:pPr>
      <w:r>
        <w:rPr>
          <w:rFonts w:ascii="Arial" w:cs="Arial" w:eastAsia="Arial" w:hAnsi="Arial"/>
          <w:sz w:val="18"/>
          <w:szCs w:val="18"/>
          <w:color w:val="auto"/>
        </w:rPr>
        <w:t>During a participant’s lifetime, purchase rights will be exercisable only by such participant. Purchase rights are not transferable by a participant, except by will, by the laws of descent and distribution, or, if we so permit, by a beneficiary designation.</w:t>
      </w:r>
    </w:p>
    <w:p>
      <w:pPr>
        <w:spacing w:after="0" w:line="27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Exercise of Purchase Rights</w:t>
      </w:r>
    </w:p>
    <w:p>
      <w:pPr>
        <w:spacing w:after="0" w:line="117" w:lineRule="exact"/>
        <w:rPr>
          <w:sz w:val="20"/>
          <w:szCs w:val="20"/>
          <w:color w:val="auto"/>
        </w:rPr>
      </w:pPr>
    </w:p>
    <w:p>
      <w:pPr>
        <w:ind w:left="120" w:right="100" w:firstLine="440"/>
        <w:spacing w:after="0" w:line="301" w:lineRule="auto"/>
        <w:rPr>
          <w:sz w:val="20"/>
          <w:szCs w:val="20"/>
          <w:color w:val="auto"/>
        </w:rPr>
      </w:pPr>
      <w:r>
        <w:rPr>
          <w:rFonts w:ascii="Arial" w:cs="Arial" w:eastAsia="Arial" w:hAnsi="Arial"/>
          <w:sz w:val="16"/>
          <w:szCs w:val="16"/>
          <w:color w:val="auto"/>
        </w:rPr>
        <w:t>On each purchase date, each participant’s accumulated contributions will be applied to the purchase of shares of common stock, up to the maximum number of shares of common stock permitted by the ESPP and the applicable offering, at the purchase price specified in the offering. Unless otherwise specified in the ESPP, no fractional shares will be issued and, if any amount of accumulated contributions remains in a participant’s account after the purchase of shares of common stock on the final purchase date in an offering, such remaining amount will roll over to the next offering.</w:t>
      </w:r>
    </w:p>
    <w:p>
      <w:pPr>
        <w:spacing w:after="0" w:line="157" w:lineRule="exact"/>
        <w:rPr>
          <w:sz w:val="20"/>
          <w:szCs w:val="20"/>
          <w:color w:val="auto"/>
        </w:rPr>
      </w:pPr>
    </w:p>
    <w:p>
      <w:pPr>
        <w:ind w:left="120" w:right="20" w:firstLine="440"/>
        <w:spacing w:after="0" w:line="255" w:lineRule="auto"/>
        <w:rPr>
          <w:sz w:val="20"/>
          <w:szCs w:val="20"/>
          <w:color w:val="auto"/>
        </w:rPr>
      </w:pPr>
      <w:r>
        <w:rPr>
          <w:rFonts w:ascii="Arial" w:cs="Arial" w:eastAsia="Arial" w:hAnsi="Arial"/>
          <w:sz w:val="18"/>
          <w:szCs w:val="18"/>
          <w:color w:val="auto"/>
        </w:rPr>
        <w:t>No purchase rights may be exercised to any extent unless and until the shares of common stock to be issued on such exercise under the ESPP are covered by an effective registration statement pursuant to the Securities Act, and the ESPP is in material compliance with all applicable U.S. federal and state, foreign and other securities, exchange control, and other laws applicable to the ESPP. If, on the purchase date, as delayed to the maximum extent permissible, the shares of common stock are not registered and the ESPP is not in material compliance with all applicable laws or regulations, no purchase rights will be exercised and all accumulated but unused contributions will be distributed as soon as practicable to the participants without interest.</w:t>
      </w:r>
    </w:p>
    <w:p>
      <w:pPr>
        <w:spacing w:after="0" w:line="300"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Capitalization Adjustments</w:t>
      </w:r>
    </w:p>
    <w:p>
      <w:pPr>
        <w:spacing w:after="0" w:line="117" w:lineRule="exact"/>
        <w:rPr>
          <w:sz w:val="20"/>
          <w:szCs w:val="20"/>
          <w:color w:val="auto"/>
        </w:rPr>
      </w:pPr>
    </w:p>
    <w:p>
      <w:pPr>
        <w:ind w:left="120" w:right="520" w:firstLine="440"/>
        <w:spacing w:after="0" w:line="277" w:lineRule="auto"/>
        <w:rPr>
          <w:sz w:val="20"/>
          <w:szCs w:val="20"/>
          <w:color w:val="auto"/>
        </w:rPr>
      </w:pPr>
      <w:r>
        <w:rPr>
          <w:rFonts w:ascii="Arial" w:cs="Arial" w:eastAsia="Arial" w:hAnsi="Arial"/>
          <w:sz w:val="18"/>
          <w:szCs w:val="18"/>
          <w:color w:val="auto"/>
        </w:rPr>
        <w:t>In the event of a capitalization adjustment, the Board will appropriately and proportionately adjust: (i) the classes and maximum number of securities subject to the ESPP, (ii) the classes and maximum number of</w:t>
      </w:r>
    </w:p>
    <w:p>
      <w:pPr>
        <w:spacing w:after="0" w:line="103" w:lineRule="exact"/>
        <w:rPr>
          <w:sz w:val="20"/>
          <w:szCs w:val="20"/>
          <w:color w:val="auto"/>
        </w:rPr>
      </w:pPr>
    </w:p>
    <w:p>
      <w:pPr>
        <w:jc w:val="center"/>
        <w:ind w:right="-379"/>
        <w:spacing w:after="0"/>
        <w:rPr>
          <w:sz w:val="20"/>
          <w:szCs w:val="20"/>
          <w:color w:val="auto"/>
        </w:rPr>
      </w:pPr>
      <w:r>
        <w:rPr>
          <w:rFonts w:ascii="Arial" w:cs="Arial" w:eastAsia="Arial" w:hAnsi="Arial"/>
          <w:sz w:val="18"/>
          <w:szCs w:val="18"/>
          <w:color w:val="auto"/>
        </w:rPr>
        <w:t>153</w:t>
      </w:r>
    </w:p>
    <w:p>
      <w:pPr>
        <w:sectPr>
          <w:pgSz w:w="11900" w:h="16838" w:orient="portrait"/>
          <w:cols w:equalWidth="0" w:num="1">
            <w:col w:w="11100"/>
          </w:cols>
          <w:pgMar w:left="320" w:top="459" w:right="479" w:bottom="1440" w:gutter="0" w:footer="0" w:header="0"/>
        </w:sectPr>
      </w:pPr>
    </w:p>
    <w:bookmarkStart w:id="160" w:name="page161"/>
    <w:bookmarkEnd w:id="16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Confidential Treatment Requested by Definitive Healthcare Corp.</w:t>
      </w:r>
    </w:p>
    <w:p>
      <w:pPr>
        <w:spacing w:after="0" w:line="27"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Pursuant to 17 C.F.R. Section 200.83</w:t>
      </w:r>
    </w:p>
    <w:p>
      <w:pPr>
        <w:spacing w:after="0" w:line="143" w:lineRule="exact"/>
        <w:rPr>
          <w:sz w:val="20"/>
          <w:szCs w:val="20"/>
          <w:color w:val="auto"/>
        </w:rPr>
      </w:pPr>
    </w:p>
    <w:p>
      <w:pPr>
        <w:ind w:left="120" w:right="20"/>
        <w:spacing w:after="0" w:line="263" w:lineRule="auto"/>
        <w:rPr>
          <w:sz w:val="20"/>
          <w:szCs w:val="20"/>
          <w:color w:val="auto"/>
        </w:rPr>
      </w:pPr>
      <w:r>
        <w:rPr>
          <w:rFonts w:ascii="Arial" w:cs="Arial" w:eastAsia="Arial" w:hAnsi="Arial"/>
          <w:sz w:val="18"/>
          <w:szCs w:val="18"/>
          <w:color w:val="auto"/>
        </w:rPr>
        <w:t>securities by which the share reserve is to increase automatically each year pursuant to the ESPP, (iii) the classes and number of securities subject to, and the purchase price applicable to outstanding offerings and purchase rights, and (iv) the classes and number of securities that are the subject of the purchase limits under each ongoing offering.</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Dissolution or Liquidation</w:t>
      </w:r>
    </w:p>
    <w:p>
      <w:pPr>
        <w:spacing w:after="0" w:line="117" w:lineRule="exact"/>
        <w:rPr>
          <w:sz w:val="20"/>
          <w:szCs w:val="20"/>
          <w:color w:val="auto"/>
        </w:rPr>
      </w:pPr>
    </w:p>
    <w:p>
      <w:pPr>
        <w:ind w:left="120" w:right="140" w:firstLine="440"/>
        <w:spacing w:after="0" w:line="279" w:lineRule="auto"/>
        <w:rPr>
          <w:sz w:val="20"/>
          <w:szCs w:val="20"/>
          <w:color w:val="auto"/>
        </w:rPr>
      </w:pPr>
      <w:r>
        <w:rPr>
          <w:rFonts w:ascii="Arial" w:cs="Arial" w:eastAsia="Arial" w:hAnsi="Arial"/>
          <w:sz w:val="17"/>
          <w:szCs w:val="17"/>
          <w:color w:val="auto"/>
        </w:rPr>
        <w:t>In the event of Definitive’s dissolution or liquidation, the Board will shorten any offering then in progress by setting a new purchase date prior to the consummation of such proposed dissolution or liquidation. The Board will notify each participant in writing, prior to the new purchase date that the purchase date for the participant’s purchase rights has been changed to the new purchase date and that such purchase rights will be automatically exercised on the new purchase date, unless prior to such date the participant has withdrawn from the offering.</w:t>
      </w:r>
    </w:p>
    <w:p>
      <w:pPr>
        <w:spacing w:after="0" w:line="27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Effect of a Change in Control:</w:t>
      </w:r>
    </w:p>
    <w:p>
      <w:pPr>
        <w:spacing w:after="0" w:line="117" w:lineRule="exact"/>
        <w:rPr>
          <w:sz w:val="20"/>
          <w:szCs w:val="20"/>
          <w:color w:val="auto"/>
        </w:rPr>
      </w:pPr>
    </w:p>
    <w:p>
      <w:pPr>
        <w:ind w:left="560"/>
        <w:spacing w:after="0"/>
        <w:rPr>
          <w:sz w:val="20"/>
          <w:szCs w:val="20"/>
          <w:color w:val="auto"/>
        </w:rPr>
      </w:pPr>
      <w:r>
        <w:rPr>
          <w:rFonts w:ascii="Arial" w:cs="Arial" w:eastAsia="Arial" w:hAnsi="Arial"/>
          <w:sz w:val="18"/>
          <w:szCs w:val="18"/>
          <w:color w:val="auto"/>
        </w:rPr>
        <w:t>Upon any of the following events (each a Change in Control under the ESPP):</w:t>
      </w:r>
    </w:p>
    <w:p>
      <w:pPr>
        <w:spacing w:after="0" w:line="131" w:lineRule="exact"/>
        <w:rPr>
          <w:sz w:val="20"/>
          <w:szCs w:val="20"/>
          <w:color w:val="auto"/>
        </w:rPr>
      </w:pPr>
    </w:p>
    <w:p>
      <w:pPr>
        <w:ind w:left="1080" w:right="40" w:hanging="424"/>
        <w:spacing w:after="0" w:line="286" w:lineRule="auto"/>
        <w:tabs>
          <w:tab w:leader="none" w:pos="1080" w:val="left"/>
        </w:tabs>
        <w:numPr>
          <w:ilvl w:val="0"/>
          <w:numId w:val="138"/>
        </w:numPr>
        <w:rPr>
          <w:rFonts w:ascii="Arial" w:cs="Arial" w:eastAsia="Arial" w:hAnsi="Arial"/>
          <w:sz w:val="17"/>
          <w:szCs w:val="17"/>
          <w:color w:val="auto"/>
        </w:rPr>
      </w:pPr>
      <w:r>
        <w:rPr>
          <w:rFonts w:ascii="Arial" w:cs="Arial" w:eastAsia="Arial" w:hAnsi="Arial"/>
          <w:sz w:val="17"/>
          <w:szCs w:val="17"/>
          <w:color w:val="auto"/>
        </w:rPr>
        <w:t>any person (other than Definitive, any trustee or other fiduciary holding securities under any employee benefit plan of Definitive, or any company owned, directly or indirectly by stockholders of Definitive in substantially the same proportions as their shares of common stock) becomes the beneficial owner, directly or indirectly, of at least 50% of our then outstanding capital stock;</w:t>
      </w:r>
    </w:p>
    <w:p>
      <w:pPr>
        <w:spacing w:after="0" w:line="70" w:lineRule="exact"/>
        <w:rPr>
          <w:rFonts w:ascii="Arial" w:cs="Arial" w:eastAsia="Arial" w:hAnsi="Arial"/>
          <w:sz w:val="17"/>
          <w:szCs w:val="17"/>
          <w:color w:val="auto"/>
        </w:rPr>
      </w:pPr>
    </w:p>
    <w:p>
      <w:pPr>
        <w:ind w:left="1080" w:right="180" w:hanging="424"/>
        <w:spacing w:after="0" w:line="277" w:lineRule="auto"/>
        <w:tabs>
          <w:tab w:leader="none" w:pos="1080" w:val="left"/>
        </w:tabs>
        <w:numPr>
          <w:ilvl w:val="0"/>
          <w:numId w:val="138"/>
        </w:numPr>
        <w:rPr>
          <w:rFonts w:ascii="Arial" w:cs="Arial" w:eastAsia="Arial" w:hAnsi="Arial"/>
          <w:sz w:val="18"/>
          <w:szCs w:val="18"/>
          <w:color w:val="auto"/>
        </w:rPr>
      </w:pPr>
      <w:r>
        <w:rPr>
          <w:rFonts w:ascii="Arial" w:cs="Arial" w:eastAsia="Arial" w:hAnsi="Arial"/>
          <w:sz w:val="18"/>
          <w:szCs w:val="18"/>
          <w:color w:val="auto"/>
        </w:rPr>
        <w:t>during any period of two consecutive years, individuals who at the beginning of such period constitute the Board, cease for any reason to constitute at least a majority of the Board;</w:t>
      </w:r>
    </w:p>
    <w:p>
      <w:pPr>
        <w:spacing w:after="0" w:line="75" w:lineRule="exact"/>
        <w:rPr>
          <w:rFonts w:ascii="Arial" w:cs="Arial" w:eastAsia="Arial" w:hAnsi="Arial"/>
          <w:sz w:val="18"/>
          <w:szCs w:val="18"/>
          <w:color w:val="auto"/>
        </w:rPr>
      </w:pPr>
    </w:p>
    <w:p>
      <w:pPr>
        <w:ind w:left="1080" w:right="60" w:hanging="424"/>
        <w:spacing w:after="0" w:line="277" w:lineRule="auto"/>
        <w:tabs>
          <w:tab w:leader="none" w:pos="1080" w:val="left"/>
        </w:tabs>
        <w:numPr>
          <w:ilvl w:val="0"/>
          <w:numId w:val="138"/>
        </w:numPr>
        <w:rPr>
          <w:rFonts w:ascii="Arial" w:cs="Arial" w:eastAsia="Arial" w:hAnsi="Arial"/>
          <w:sz w:val="18"/>
          <w:szCs w:val="18"/>
          <w:color w:val="auto"/>
        </w:rPr>
      </w:pPr>
      <w:r>
        <w:rPr>
          <w:rFonts w:ascii="Arial" w:cs="Arial" w:eastAsia="Arial" w:hAnsi="Arial"/>
          <w:sz w:val="18"/>
          <w:szCs w:val="18"/>
          <w:color w:val="auto"/>
        </w:rPr>
        <w:t>an amalgamation, merger, or consolidation of Definitive with any other company or corporation or a scheme of arrangement involving any other company or corporation; or</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138"/>
        </w:numPr>
        <w:rPr>
          <w:rFonts w:ascii="Arial" w:cs="Arial" w:eastAsia="Arial" w:hAnsi="Arial"/>
          <w:sz w:val="18"/>
          <w:szCs w:val="18"/>
          <w:color w:val="auto"/>
        </w:rPr>
      </w:pPr>
      <w:r>
        <w:rPr>
          <w:rFonts w:ascii="Arial" w:cs="Arial" w:eastAsia="Arial" w:hAnsi="Arial"/>
          <w:sz w:val="18"/>
          <w:szCs w:val="18"/>
          <w:color w:val="auto"/>
        </w:rPr>
        <w:t>a sale or disposition of all or substantially all of Definitive’s assets;</w:t>
      </w:r>
    </w:p>
    <w:p>
      <w:pPr>
        <w:spacing w:after="0" w:line="225" w:lineRule="exact"/>
        <w:rPr>
          <w:sz w:val="20"/>
          <w:szCs w:val="20"/>
          <w:color w:val="auto"/>
        </w:rPr>
      </w:pPr>
    </w:p>
    <w:p>
      <w:pPr>
        <w:ind w:left="120"/>
        <w:spacing w:after="0" w:line="272" w:lineRule="auto"/>
        <w:rPr>
          <w:sz w:val="20"/>
          <w:szCs w:val="20"/>
          <w:color w:val="auto"/>
        </w:rPr>
      </w:pPr>
      <w:r>
        <w:rPr>
          <w:rFonts w:ascii="Arial" w:cs="Arial" w:eastAsia="Arial" w:hAnsi="Arial"/>
          <w:sz w:val="17"/>
          <w:szCs w:val="17"/>
          <w:color w:val="auto"/>
        </w:rPr>
        <w:t>any surviving corporation or acquiring corporation (or the surviving or acquiring corporation’s parent company) may assume or continue outstanding purchase rights or may substitute similar rights for outstanding purchase rights, or, if any surviving or acquiring corporation (or its parent company) does not assume or continue such purchase rights or does not substitute similar rights for such purchase rights, then the participants’ accumulated contributions will be used to purchase shares of common stock prior to the Change in Control under the outstanding purchase rights, and the purchase rights will terminate immediately after such purchase. The Board will notify each participant in writing prior to the new purchase date that the purchase date for the participant’s purchase rights has been changed to the new purchase date and that such purchase rights will be automatically exercised on the new purchase date unless prior to such date the participant has withdrawn from the offering.</w:t>
      </w:r>
    </w:p>
    <w:p>
      <w:pPr>
        <w:spacing w:after="0" w:line="285"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Amendment, Termination or Suspension of the ESPP; Term</w:t>
      </w:r>
    </w:p>
    <w:p>
      <w:pPr>
        <w:spacing w:after="0" w:line="117" w:lineRule="exact"/>
        <w:rPr>
          <w:sz w:val="20"/>
          <w:szCs w:val="20"/>
          <w:color w:val="auto"/>
        </w:rPr>
      </w:pPr>
    </w:p>
    <w:p>
      <w:pPr>
        <w:ind w:left="120" w:right="340" w:firstLine="440"/>
        <w:spacing w:after="0" w:line="286" w:lineRule="auto"/>
        <w:rPr>
          <w:sz w:val="20"/>
          <w:szCs w:val="20"/>
          <w:color w:val="auto"/>
        </w:rPr>
      </w:pPr>
      <w:r>
        <w:rPr>
          <w:rFonts w:ascii="Arial" w:cs="Arial" w:eastAsia="Arial" w:hAnsi="Arial"/>
          <w:sz w:val="16"/>
          <w:szCs w:val="16"/>
          <w:color w:val="auto"/>
        </w:rPr>
        <w:t>The Board may amend the ESPP at any time in any respect the Board deems necessary or advisable. However, except with respect to capitalization adjustments described above, stockholder approval will be required for any amendment of the ESPP for which stockholder approval is required by applicable laws, regulations or listing requirements, including any amendment that either (i) increases the number of shares of common stock available for issuance under the ESPP, (ii) expands the class of individuals eligible to become participants and receive purchase rights,</w:t>
      </w:r>
    </w:p>
    <w:p>
      <w:pPr>
        <w:spacing w:after="0" w:line="1" w:lineRule="exact"/>
        <w:rPr>
          <w:sz w:val="20"/>
          <w:szCs w:val="20"/>
          <w:color w:val="auto"/>
        </w:rPr>
      </w:pPr>
    </w:p>
    <w:p>
      <w:pPr>
        <w:ind w:left="120" w:right="60" w:hanging="4"/>
        <w:spacing w:after="0" w:line="255" w:lineRule="auto"/>
        <w:tabs>
          <w:tab w:leader="none" w:pos="435" w:val="left"/>
        </w:tabs>
        <w:numPr>
          <w:ilvl w:val="0"/>
          <w:numId w:val="139"/>
        </w:numPr>
        <w:rPr>
          <w:rFonts w:ascii="Arial" w:cs="Arial" w:eastAsia="Arial" w:hAnsi="Arial"/>
          <w:sz w:val="18"/>
          <w:szCs w:val="18"/>
          <w:color w:val="auto"/>
        </w:rPr>
      </w:pPr>
      <w:r>
        <w:rPr>
          <w:rFonts w:ascii="Arial" w:cs="Arial" w:eastAsia="Arial" w:hAnsi="Arial"/>
          <w:sz w:val="18"/>
          <w:szCs w:val="18"/>
          <w:color w:val="auto"/>
        </w:rPr>
        <w:t>materially increases the benefits accruing to participants under the ESPP or reduces the price at which shares of common stock may be purchased under the ESPP, (iv) extends the term of the ESPP, or (v) expands the types of awards available for issuance under the ESPP, but in each case only to the extent stockholder approval is required by applicable laws, regulations, or listing requirements.</w:t>
      </w:r>
    </w:p>
    <w:p>
      <w:pPr>
        <w:spacing w:after="0" w:line="190" w:lineRule="exact"/>
        <w:rPr>
          <w:sz w:val="20"/>
          <w:szCs w:val="20"/>
          <w:color w:val="auto"/>
        </w:rPr>
      </w:pPr>
    </w:p>
    <w:p>
      <w:pPr>
        <w:ind w:left="120" w:right="260" w:firstLine="440"/>
        <w:spacing w:after="0" w:line="277" w:lineRule="auto"/>
        <w:rPr>
          <w:sz w:val="20"/>
          <w:szCs w:val="20"/>
          <w:color w:val="auto"/>
        </w:rPr>
      </w:pPr>
      <w:r>
        <w:rPr>
          <w:rFonts w:ascii="Arial" w:cs="Arial" w:eastAsia="Arial" w:hAnsi="Arial"/>
          <w:sz w:val="18"/>
          <w:szCs w:val="18"/>
          <w:color w:val="auto"/>
        </w:rPr>
        <w:t>The Board may suspend or terminate the ESPP at any time. No purchase rights may be granted under the ESPP while the ESPP is suspended or after it is terminated.</w:t>
      </w:r>
    </w:p>
    <w:p>
      <w:pPr>
        <w:spacing w:after="0" w:line="103"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154</w:t>
      </w:r>
    </w:p>
    <w:p>
      <w:pPr>
        <w:sectPr>
          <w:pgSz w:w="11900" w:h="16838" w:orient="portrait"/>
          <w:cols w:equalWidth="0" w:num="1">
            <w:col w:w="11140"/>
          </w:cols>
          <w:pgMar w:left="320" w:top="459" w:right="439" w:bottom="1440" w:gutter="0" w:footer="0" w:header="0"/>
        </w:sectPr>
      </w:pPr>
    </w:p>
    <w:bookmarkStart w:id="161" w:name="page162"/>
    <w:bookmarkEnd w:id="16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Confidential Treatment Requested by Definitive Healthcare Corp.</w:t>
      </w:r>
    </w:p>
    <w:p>
      <w:pPr>
        <w:spacing w:after="0" w:line="27"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Pursuant to 17 C.F.R. Section 200.83</w:t>
      </w:r>
    </w:p>
    <w:p>
      <w:pPr>
        <w:spacing w:after="0" w:line="143" w:lineRule="exact"/>
        <w:rPr>
          <w:sz w:val="20"/>
          <w:szCs w:val="20"/>
          <w:color w:val="auto"/>
        </w:rPr>
      </w:pPr>
    </w:p>
    <w:p>
      <w:pPr>
        <w:ind w:left="120" w:right="80" w:firstLine="440"/>
        <w:spacing w:after="0" w:line="259" w:lineRule="auto"/>
        <w:rPr>
          <w:sz w:val="20"/>
          <w:szCs w:val="20"/>
          <w:color w:val="auto"/>
        </w:rPr>
      </w:pPr>
      <w:r>
        <w:rPr>
          <w:rFonts w:ascii="Arial" w:cs="Arial" w:eastAsia="Arial" w:hAnsi="Arial"/>
          <w:sz w:val="18"/>
          <w:szCs w:val="18"/>
          <w:color w:val="auto"/>
        </w:rPr>
        <w:t>Any benefits, privileges, entitlements, and obligations under any outstanding purchase rights granted before an amendment, suspension, or termination of the ESPP will not be materially impaired by any such amendment, suspension, or termination except (i) with the consent of the person to whom such purchase rights were granted, (ii) as necessary to comply with any laws, listing requirements, or governmental regulations, or (iii) as necessary to obtain or maintain any special tax, listing, or regulatory treatment.</w:t>
      </w:r>
    </w:p>
    <w:p>
      <w:pPr>
        <w:spacing w:after="0" w:line="187" w:lineRule="exact"/>
        <w:rPr>
          <w:sz w:val="20"/>
          <w:szCs w:val="20"/>
          <w:color w:val="auto"/>
        </w:rPr>
      </w:pPr>
    </w:p>
    <w:p>
      <w:pPr>
        <w:ind w:left="560"/>
        <w:spacing w:after="0"/>
        <w:rPr>
          <w:sz w:val="20"/>
          <w:szCs w:val="20"/>
          <w:color w:val="auto"/>
        </w:rPr>
      </w:pPr>
      <w:r>
        <w:rPr>
          <w:rFonts w:ascii="Arial" w:cs="Arial" w:eastAsia="Arial" w:hAnsi="Arial"/>
          <w:sz w:val="17"/>
          <w:szCs w:val="17"/>
          <w:color w:val="auto"/>
        </w:rPr>
        <w:t>The ESPP became effective on September 13, 2021, and will expire on the tenth anniversary of the date the ESPP became effective.</w:t>
      </w:r>
    </w:p>
    <w:p>
      <w:pPr>
        <w:spacing w:after="0" w:line="34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U.S. Federal Income Tax Consequences</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423 Component</w:t>
      </w:r>
    </w:p>
    <w:p>
      <w:pPr>
        <w:spacing w:after="0" w:line="117" w:lineRule="exact"/>
        <w:rPr>
          <w:sz w:val="20"/>
          <w:szCs w:val="20"/>
          <w:color w:val="auto"/>
        </w:rPr>
      </w:pPr>
    </w:p>
    <w:p>
      <w:pPr>
        <w:ind w:left="120" w:right="400" w:firstLine="440"/>
        <w:spacing w:after="0" w:line="308" w:lineRule="auto"/>
        <w:rPr>
          <w:sz w:val="20"/>
          <w:szCs w:val="20"/>
          <w:color w:val="auto"/>
        </w:rPr>
      </w:pPr>
      <w:r>
        <w:rPr>
          <w:rFonts w:ascii="Arial" w:cs="Arial" w:eastAsia="Arial" w:hAnsi="Arial"/>
          <w:sz w:val="17"/>
          <w:szCs w:val="17"/>
          <w:color w:val="auto"/>
        </w:rPr>
        <w:t>Rights granted under the 423 Component of the ESPP are intended to qualify for favorable U.S. federal income tax treatment associated with rights granted under an employee stock purchase plan which qualifies under the provisions of Section 423 of the Code.</w:t>
      </w:r>
    </w:p>
    <w:p>
      <w:pPr>
        <w:spacing w:after="0" w:line="146" w:lineRule="exact"/>
        <w:rPr>
          <w:sz w:val="20"/>
          <w:szCs w:val="20"/>
          <w:color w:val="auto"/>
        </w:rPr>
      </w:pPr>
    </w:p>
    <w:p>
      <w:pPr>
        <w:ind w:left="120" w:right="380" w:firstLine="440"/>
        <w:spacing w:after="0" w:line="286" w:lineRule="auto"/>
        <w:rPr>
          <w:sz w:val="20"/>
          <w:szCs w:val="20"/>
          <w:color w:val="auto"/>
        </w:rPr>
      </w:pPr>
      <w:r>
        <w:rPr>
          <w:rFonts w:ascii="Arial" w:cs="Arial" w:eastAsia="Arial" w:hAnsi="Arial"/>
          <w:sz w:val="17"/>
          <w:szCs w:val="17"/>
          <w:color w:val="auto"/>
        </w:rPr>
        <w:t>A participant will be taxed on amounts withheld for the purchase of shares of common stock as if such amounts were actually received. Otherwise, no income will be taxable to a participant as a result of the granting or exercise of a purchase right until a sale or other disposition of the acquired shares. The taxation upon such sale or other disposition will depend upon the holding period of the acquired shares.</w:t>
      </w:r>
    </w:p>
    <w:p>
      <w:pPr>
        <w:spacing w:after="0" w:line="165" w:lineRule="exact"/>
        <w:rPr>
          <w:sz w:val="20"/>
          <w:szCs w:val="20"/>
          <w:color w:val="auto"/>
        </w:rPr>
      </w:pPr>
    </w:p>
    <w:p>
      <w:pPr>
        <w:ind w:left="120" w:right="100" w:firstLine="440"/>
        <w:spacing w:after="0" w:line="257" w:lineRule="auto"/>
        <w:rPr>
          <w:sz w:val="20"/>
          <w:szCs w:val="20"/>
          <w:color w:val="auto"/>
        </w:rPr>
      </w:pPr>
      <w:r>
        <w:rPr>
          <w:rFonts w:ascii="Arial" w:cs="Arial" w:eastAsia="Arial" w:hAnsi="Arial"/>
          <w:sz w:val="18"/>
          <w:szCs w:val="18"/>
          <w:color w:val="auto"/>
        </w:rPr>
        <w:t>If the shares are sold or otherwise disposed of more than two years after the beginning of the offering period and more than one year after the shares are transferred to the participant, then the lesser of the following will be treated as ordinary income: (i) the excess of the fair market value of the shares at the time of such sale or other disposition over the purchase price; or (ii) the excess of the fair market value of the shares as of the beginning of the offering period over the purchase price (determined as of the beginning of the offering period). Any further gain or any loss will be taxed as a long-term capital gain or loss.</w:t>
      </w:r>
    </w:p>
    <w:p>
      <w:pPr>
        <w:spacing w:after="0" w:line="188" w:lineRule="exact"/>
        <w:rPr>
          <w:sz w:val="20"/>
          <w:szCs w:val="20"/>
          <w:color w:val="auto"/>
        </w:rPr>
      </w:pPr>
    </w:p>
    <w:p>
      <w:pPr>
        <w:ind w:left="120" w:right="200" w:firstLine="440"/>
        <w:spacing w:after="0" w:line="342" w:lineRule="auto"/>
        <w:rPr>
          <w:sz w:val="20"/>
          <w:szCs w:val="20"/>
          <w:color w:val="auto"/>
        </w:rPr>
      </w:pPr>
      <w:r>
        <w:rPr>
          <w:rFonts w:ascii="Arial" w:cs="Arial" w:eastAsia="Arial" w:hAnsi="Arial"/>
          <w:sz w:val="16"/>
          <w:szCs w:val="16"/>
          <w:color w:val="auto"/>
        </w:rPr>
        <w:t>If the shares are sold or otherwise disposed of before the expiration of either of the holding periods described above, then the excess of the fair market value of the shares on the purchase date over the purchase price will be treated as ordinary income at the time of such sale or other disposition.</w:t>
      </w:r>
    </w:p>
    <w:p>
      <w:pPr>
        <w:spacing w:after="0" w:line="124" w:lineRule="exact"/>
        <w:rPr>
          <w:sz w:val="20"/>
          <w:szCs w:val="20"/>
          <w:color w:val="auto"/>
        </w:rPr>
      </w:pPr>
    </w:p>
    <w:p>
      <w:pPr>
        <w:ind w:left="120" w:firstLine="440"/>
        <w:spacing w:after="0" w:line="259" w:lineRule="auto"/>
        <w:rPr>
          <w:sz w:val="20"/>
          <w:szCs w:val="20"/>
          <w:color w:val="auto"/>
        </w:rPr>
      </w:pPr>
      <w:r>
        <w:rPr>
          <w:rFonts w:ascii="Arial" w:cs="Arial" w:eastAsia="Arial" w:hAnsi="Arial"/>
          <w:sz w:val="18"/>
          <w:szCs w:val="18"/>
          <w:color w:val="auto"/>
        </w:rPr>
        <w:t>The balance of any gain will be treated as capital gain. Even if the shares are later sold or otherwise disposed of for less than their fair market value on the purchase date, the same amount of ordinary income is attributed to the participant, and a capital loss is recognized equal to the difference between the sales price and the fair market value of the shares on such purchase date. Any capital gain or loss will be short-term or long-term, depending on how long the shares have been held.</w:t>
      </w:r>
    </w:p>
    <w:p>
      <w:pPr>
        <w:spacing w:after="0" w:line="295"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Non-423 Component</w:t>
      </w:r>
    </w:p>
    <w:p>
      <w:pPr>
        <w:spacing w:after="0" w:line="117" w:lineRule="exact"/>
        <w:rPr>
          <w:sz w:val="20"/>
          <w:szCs w:val="20"/>
          <w:color w:val="auto"/>
        </w:rPr>
      </w:pPr>
    </w:p>
    <w:p>
      <w:pPr>
        <w:ind w:left="120" w:right="60" w:firstLine="440"/>
        <w:spacing w:after="0" w:line="296" w:lineRule="auto"/>
        <w:rPr>
          <w:sz w:val="20"/>
          <w:szCs w:val="20"/>
          <w:color w:val="auto"/>
        </w:rPr>
      </w:pPr>
      <w:r>
        <w:rPr>
          <w:rFonts w:ascii="Arial" w:cs="Arial" w:eastAsia="Arial" w:hAnsi="Arial"/>
          <w:sz w:val="16"/>
          <w:szCs w:val="16"/>
          <w:color w:val="auto"/>
        </w:rPr>
        <w:t>A participant will be taxed on amounts withheld for the purchase of shares of common stock as if such amounts were actually received. Under the Non-423 Component, a participant will recognize ordinary income equal to the excess, if any, of the fair market value of the underlying stock on the date of exercise of the purchase right over the purchase price. If the participant is employed by Definitive or one of its affiliates, that income will be subject to withholding taxes. The participant’s tax basis in those shares will be equal to the fair market value of the shares on the date of exercise of the purchase right, and the participant’s capital gain holding period for those shares will begin on the day after the shares are transferred to the participant.</w:t>
      </w:r>
    </w:p>
    <w:p>
      <w:pPr>
        <w:spacing w:after="0" w:line="26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Tax Effects for Definitive</w:t>
      </w:r>
    </w:p>
    <w:p>
      <w:pPr>
        <w:spacing w:after="0" w:line="121" w:lineRule="exact"/>
        <w:rPr>
          <w:sz w:val="20"/>
          <w:szCs w:val="20"/>
          <w:color w:val="auto"/>
        </w:rPr>
      </w:pPr>
    </w:p>
    <w:p>
      <w:pPr>
        <w:ind w:left="120" w:right="100" w:firstLine="440"/>
        <w:spacing w:after="0" w:line="277" w:lineRule="auto"/>
        <w:rPr>
          <w:sz w:val="20"/>
          <w:szCs w:val="20"/>
          <w:color w:val="auto"/>
        </w:rPr>
      </w:pPr>
      <w:r>
        <w:rPr>
          <w:rFonts w:ascii="Arial" w:cs="Arial" w:eastAsia="Arial" w:hAnsi="Arial"/>
          <w:sz w:val="18"/>
          <w:szCs w:val="18"/>
          <w:color w:val="auto"/>
        </w:rPr>
        <w:t>There are no U.S. federal income tax consequences to Definitive by reason of the grant or exercise of rights under the ESPP. Definitive is entitled to a deduction to the extent amounts are taxed as ordinary income to a</w:t>
      </w:r>
    </w:p>
    <w:p>
      <w:pPr>
        <w:spacing w:after="0" w:line="103" w:lineRule="exact"/>
        <w:rPr>
          <w:sz w:val="20"/>
          <w:szCs w:val="20"/>
          <w:color w:val="auto"/>
        </w:rPr>
      </w:pPr>
    </w:p>
    <w:p>
      <w:pPr>
        <w:jc w:val="center"/>
        <w:ind w:right="-359"/>
        <w:spacing w:after="0"/>
        <w:rPr>
          <w:sz w:val="20"/>
          <w:szCs w:val="20"/>
          <w:color w:val="auto"/>
        </w:rPr>
      </w:pPr>
      <w:r>
        <w:rPr>
          <w:rFonts w:ascii="Arial" w:cs="Arial" w:eastAsia="Arial" w:hAnsi="Arial"/>
          <w:sz w:val="18"/>
          <w:szCs w:val="18"/>
          <w:color w:val="auto"/>
        </w:rPr>
        <w:t>155</w:t>
      </w:r>
    </w:p>
    <w:p>
      <w:pPr>
        <w:sectPr>
          <w:pgSz w:w="11900" w:h="16838" w:orient="portrait"/>
          <w:cols w:equalWidth="0" w:num="1">
            <w:col w:w="11120"/>
          </w:cols>
          <w:pgMar w:left="320" w:top="459" w:right="459" w:bottom="1440" w:gutter="0" w:footer="0" w:header="0"/>
        </w:sectPr>
      </w:pPr>
    </w:p>
    <w:bookmarkStart w:id="162" w:name="page163"/>
    <w:bookmarkEnd w:id="16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Confidential Treatment Requested by Definitive Healthcare Corp.</w:t>
      </w:r>
    </w:p>
    <w:p>
      <w:pPr>
        <w:spacing w:after="0" w:line="27"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Pursuant to 17 C.F.R. Section 200.83</w:t>
      </w:r>
    </w:p>
    <w:p>
      <w:pPr>
        <w:spacing w:after="0" w:line="143" w:lineRule="exact"/>
        <w:rPr>
          <w:sz w:val="20"/>
          <w:szCs w:val="20"/>
          <w:color w:val="auto"/>
        </w:rPr>
      </w:pPr>
    </w:p>
    <w:p>
      <w:pPr>
        <w:ind w:left="120" w:right="800"/>
        <w:spacing w:after="0" w:line="308" w:lineRule="auto"/>
        <w:rPr>
          <w:sz w:val="20"/>
          <w:szCs w:val="20"/>
          <w:color w:val="auto"/>
        </w:rPr>
      </w:pPr>
      <w:r>
        <w:rPr>
          <w:rFonts w:ascii="Arial" w:cs="Arial" w:eastAsia="Arial" w:hAnsi="Arial"/>
          <w:sz w:val="17"/>
          <w:szCs w:val="17"/>
          <w:color w:val="auto"/>
        </w:rPr>
        <w:t>participant for shares sold or otherwise disposed of before the expiration of the holding periods described above (subject to the requirement of reasonableness, the deduction limits under Section 162(m) of the Code and the satisfaction of tax reporting obligations).</w:t>
      </w:r>
    </w:p>
    <w:p>
      <w:pPr>
        <w:spacing w:after="0" w:line="146" w:lineRule="exact"/>
        <w:rPr>
          <w:sz w:val="20"/>
          <w:szCs w:val="20"/>
          <w:color w:val="auto"/>
        </w:rPr>
      </w:pPr>
    </w:p>
    <w:p>
      <w:pPr>
        <w:ind w:left="120" w:right="40" w:firstLine="440"/>
        <w:spacing w:after="0" w:line="273" w:lineRule="auto"/>
        <w:rPr>
          <w:sz w:val="20"/>
          <w:szCs w:val="20"/>
          <w:color w:val="auto"/>
        </w:rPr>
      </w:pPr>
      <w:r>
        <w:rPr>
          <w:rFonts w:ascii="Arial" w:cs="Arial" w:eastAsia="Arial" w:hAnsi="Arial"/>
          <w:sz w:val="17"/>
          <w:szCs w:val="17"/>
          <w:color w:val="auto"/>
        </w:rPr>
        <w:t>THE FOREGOING IS ONLY A SUMMARY OF THE EFFECT OF CURRENT U.S. FEDERAL INCOME TAXATION UPON PARTICIPANTS AND DEFINITIVE WITH RESPECT TO AWARDS UNDER THE ESPP. IT DOES NOT PURPORT TO BE COMPLETE AND DOES NOT DISCUSS THE IMPACT OF EMPLOYMENT OR OTHER TAX REQUIREMENTS, THE TAX CONSEQUENCES OF A PARTICIPANT’S DEATH, OR THE PROVISIONS OF THE INCOME TAX LAWS OF ANY MUNICIPALITY, STATE, OR FOREIGN COUNTRY IN WHICH THE PARTICIPANT MAY RESIDE. THE ESPP IS NOT QUALIFIED UNDER THE PROVISIONS OF SECTION 401(A) OF THE CODE AND IS NOT SUBJECT TO ANY OF THE PROVISIONS OF THE EMPLOYEE RETIREMENT INCOME SECURITY ACT OF 1974, AS AMENDED.</w:t>
      </w:r>
    </w:p>
    <w:p>
      <w:pPr>
        <w:spacing w:after="0" w:line="28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Director Compensation</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6"/>
          <w:szCs w:val="16"/>
          <w:color w:val="auto"/>
        </w:rPr>
        <w:t>Any director who is an employee receives no additional compensation for services as a director or as a member of a committee of our Board.</w:t>
      </w:r>
    </w:p>
    <w:p>
      <w:pPr>
        <w:spacing w:after="0" w:line="248"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following table sets forth information concerning the compensation of our directors for fiscal year 2020.</w:t>
      </w:r>
    </w:p>
    <w:p>
      <w:pPr>
        <w:spacing w:after="0" w:line="231"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360" w:type="dxa"/>
            <w:vAlign w:val="bottom"/>
          </w:tcPr>
          <w:p>
            <w:pPr>
              <w:spacing w:after="0"/>
              <w:rPr>
                <w:sz w:val="14"/>
                <w:szCs w:val="14"/>
                <w:color w:val="auto"/>
              </w:rPr>
            </w:pPr>
          </w:p>
        </w:tc>
        <w:tc>
          <w:tcPr>
            <w:tcW w:w="4240" w:type="dxa"/>
            <w:vAlign w:val="bottom"/>
          </w:tcPr>
          <w:p>
            <w:pPr>
              <w:spacing w:after="0"/>
              <w:rPr>
                <w:sz w:val="14"/>
                <w:szCs w:val="14"/>
                <w:color w:val="auto"/>
              </w:rPr>
            </w:pPr>
          </w:p>
        </w:tc>
        <w:tc>
          <w:tcPr>
            <w:tcW w:w="3000" w:type="dxa"/>
            <w:vAlign w:val="bottom"/>
          </w:tcPr>
          <w:p>
            <w:pPr>
              <w:spacing w:after="0"/>
              <w:rPr>
                <w:sz w:val="14"/>
                <w:szCs w:val="14"/>
                <w:color w:val="auto"/>
              </w:rPr>
            </w:pPr>
          </w:p>
        </w:tc>
        <w:tc>
          <w:tcPr>
            <w:tcW w:w="1300" w:type="dxa"/>
            <w:vAlign w:val="bottom"/>
            <w:gridSpan w:val="3"/>
          </w:tcPr>
          <w:p>
            <w:pPr>
              <w:spacing w:after="0"/>
              <w:rPr>
                <w:sz w:val="20"/>
                <w:szCs w:val="20"/>
                <w:color w:val="auto"/>
              </w:rPr>
            </w:pPr>
            <w:r>
              <w:rPr>
                <w:rFonts w:ascii="Arial" w:cs="Arial" w:eastAsia="Arial" w:hAnsi="Arial"/>
                <w:sz w:val="14"/>
                <w:szCs w:val="14"/>
                <w:b w:val="1"/>
                <w:bCs w:val="1"/>
                <w:color w:val="auto"/>
              </w:rPr>
              <w:t>Fees earned or</w:t>
            </w:r>
          </w:p>
        </w:tc>
        <w:tc>
          <w:tcPr>
            <w:tcW w:w="240" w:type="dxa"/>
            <w:vAlign w:val="bottom"/>
          </w:tcPr>
          <w:p>
            <w:pPr>
              <w:spacing w:after="0"/>
              <w:rPr>
                <w:sz w:val="14"/>
                <w:szCs w:val="14"/>
                <w:color w:val="auto"/>
              </w:rPr>
            </w:pPr>
          </w:p>
        </w:tc>
        <w:tc>
          <w:tcPr>
            <w:tcW w:w="122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89"/>
              </w:rPr>
              <w:t>Stock</w:t>
            </w:r>
          </w:p>
        </w:tc>
        <w:tc>
          <w:tcPr>
            <w:tcW w:w="660" w:type="dxa"/>
            <w:vAlign w:val="bottom"/>
            <w:gridSpan w:val="2"/>
            <w:vMerge w:val="restart"/>
          </w:tcPr>
          <w:p>
            <w:pPr>
              <w:ind w:left="14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48"/>
        </w:trPr>
        <w:tc>
          <w:tcPr>
            <w:tcW w:w="360" w:type="dxa"/>
            <w:vAlign w:val="bottom"/>
            <w:vMerge w:val="restart"/>
          </w:tcPr>
          <w:p>
            <w:pPr>
              <w:spacing w:after="0"/>
              <w:rPr>
                <w:sz w:val="20"/>
                <w:szCs w:val="20"/>
                <w:color w:val="auto"/>
              </w:rPr>
            </w:pPr>
            <w:r>
              <w:rPr>
                <w:rFonts w:ascii="Arial" w:cs="Arial" w:eastAsia="Arial" w:hAnsi="Arial"/>
                <w:sz w:val="14"/>
                <w:szCs w:val="14"/>
                <w:b w:val="1"/>
                <w:bCs w:val="1"/>
                <w:color w:val="auto"/>
                <w:w w:val="89"/>
              </w:rPr>
              <w:t>Name</w:t>
            </w:r>
          </w:p>
        </w:tc>
        <w:tc>
          <w:tcPr>
            <w:tcW w:w="4240" w:type="dxa"/>
            <w:vAlign w:val="bottom"/>
            <w:vMerge w:val="restart"/>
          </w:tcPr>
          <w:p>
            <w:pPr>
              <w:spacing w:after="0"/>
              <w:rPr>
                <w:sz w:val="12"/>
                <w:szCs w:val="12"/>
                <w:color w:val="auto"/>
              </w:rPr>
            </w:pPr>
          </w:p>
        </w:tc>
        <w:tc>
          <w:tcPr>
            <w:tcW w:w="3000" w:type="dxa"/>
            <w:vAlign w:val="bottom"/>
          </w:tcPr>
          <w:p>
            <w:pPr>
              <w:spacing w:after="0"/>
              <w:rPr>
                <w:sz w:val="12"/>
                <w:szCs w:val="12"/>
                <w:color w:val="auto"/>
              </w:rPr>
            </w:pPr>
          </w:p>
        </w:tc>
        <w:tc>
          <w:tcPr>
            <w:tcW w:w="1300" w:type="dxa"/>
            <w:vAlign w:val="bottom"/>
            <w:gridSpan w:val="3"/>
          </w:tcPr>
          <w:p>
            <w:pPr>
              <w:jc w:val="right"/>
              <w:ind w:right="404"/>
              <w:spacing w:after="0" w:line="149" w:lineRule="exact"/>
              <w:rPr>
                <w:sz w:val="20"/>
                <w:szCs w:val="20"/>
                <w:color w:val="auto"/>
              </w:rPr>
            </w:pPr>
            <w:r>
              <w:rPr>
                <w:rFonts w:ascii="Arial" w:cs="Arial" w:eastAsia="Arial" w:hAnsi="Arial"/>
                <w:sz w:val="14"/>
                <w:szCs w:val="14"/>
                <w:b w:val="1"/>
                <w:bCs w:val="1"/>
                <w:color w:val="auto"/>
                <w:w w:val="98"/>
              </w:rPr>
              <w:t>paid in cash</w:t>
            </w:r>
          </w:p>
        </w:tc>
        <w:tc>
          <w:tcPr>
            <w:tcW w:w="240" w:type="dxa"/>
            <w:vAlign w:val="bottom"/>
          </w:tcPr>
          <w:p>
            <w:pPr>
              <w:spacing w:after="0"/>
              <w:rPr>
                <w:sz w:val="12"/>
                <w:szCs w:val="12"/>
                <w:color w:val="auto"/>
              </w:rPr>
            </w:pPr>
          </w:p>
        </w:tc>
        <w:tc>
          <w:tcPr>
            <w:tcW w:w="1220" w:type="dxa"/>
            <w:vAlign w:val="bottom"/>
            <w:gridSpan w:val="2"/>
          </w:tcPr>
          <w:p>
            <w:pPr>
              <w:jc w:val="center"/>
              <w:ind w:right="400"/>
              <w:spacing w:after="0" w:line="149" w:lineRule="exact"/>
              <w:rPr>
                <w:sz w:val="20"/>
                <w:szCs w:val="20"/>
                <w:color w:val="auto"/>
              </w:rPr>
            </w:pPr>
            <w:r>
              <w:rPr>
                <w:rFonts w:ascii="Arial" w:cs="Arial" w:eastAsia="Arial" w:hAnsi="Arial"/>
                <w:sz w:val="14"/>
                <w:szCs w:val="14"/>
                <w:b w:val="1"/>
                <w:bCs w:val="1"/>
                <w:color w:val="auto"/>
                <w:w w:val="95"/>
              </w:rPr>
              <w:t>awards</w:t>
            </w:r>
          </w:p>
        </w:tc>
        <w:tc>
          <w:tcPr>
            <w:tcW w:w="66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8"/>
        </w:trPr>
        <w:tc>
          <w:tcPr>
            <w:tcW w:w="360" w:type="dxa"/>
            <w:vAlign w:val="bottom"/>
            <w:tcBorders>
              <w:bottom w:val="single" w:sz="8" w:color="auto"/>
            </w:tcBorders>
            <w:vMerge w:val="continue"/>
          </w:tcPr>
          <w:p>
            <w:pPr>
              <w:spacing w:after="0"/>
              <w:rPr>
                <w:sz w:val="15"/>
                <w:szCs w:val="15"/>
                <w:color w:val="auto"/>
              </w:rPr>
            </w:pPr>
          </w:p>
        </w:tc>
        <w:tc>
          <w:tcPr>
            <w:tcW w:w="4240" w:type="dxa"/>
            <w:vAlign w:val="bottom"/>
            <w:vMerge w:val="continue"/>
          </w:tcPr>
          <w:p>
            <w:pPr>
              <w:spacing w:after="0"/>
              <w:rPr>
                <w:sz w:val="15"/>
                <w:szCs w:val="15"/>
                <w:color w:val="auto"/>
              </w:rPr>
            </w:pPr>
          </w:p>
        </w:tc>
        <w:tc>
          <w:tcPr>
            <w:tcW w:w="30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80" w:type="dxa"/>
            <w:vAlign w:val="bottom"/>
          </w:tcPr>
          <w:p>
            <w:pPr>
              <w:jc w:val="right"/>
              <w:ind w:right="272"/>
              <w:spacing w:after="0" w:line="158" w:lineRule="exact"/>
              <w:rPr>
                <w:sz w:val="20"/>
                <w:szCs w:val="20"/>
                <w:color w:val="auto"/>
              </w:rPr>
            </w:pPr>
            <w:r>
              <w:rPr>
                <w:rFonts w:ascii="Arial" w:cs="Arial" w:eastAsia="Arial" w:hAnsi="Arial"/>
                <w:sz w:val="14"/>
                <w:szCs w:val="14"/>
                <w:b w:val="1"/>
                <w:bCs w:val="1"/>
                <w:color w:val="auto"/>
              </w:rPr>
              <w:t>($)</w:t>
            </w:r>
          </w:p>
        </w:tc>
        <w:tc>
          <w:tcPr>
            <w:tcW w:w="400" w:type="dxa"/>
            <w:vAlign w:val="bottom"/>
          </w:tcPr>
          <w:p>
            <w:pPr>
              <w:spacing w:after="0"/>
              <w:rPr>
                <w:sz w:val="15"/>
                <w:szCs w:val="15"/>
                <w:color w:val="auto"/>
              </w:rPr>
            </w:pPr>
          </w:p>
        </w:tc>
        <w:tc>
          <w:tcPr>
            <w:tcW w:w="1060" w:type="dxa"/>
            <w:vAlign w:val="bottom"/>
            <w:gridSpan w:val="2"/>
          </w:tcPr>
          <w:p>
            <w:pPr>
              <w:ind w:left="560"/>
              <w:spacing w:after="0" w:line="158" w:lineRule="exact"/>
              <w:rPr>
                <w:sz w:val="20"/>
                <w:szCs w:val="20"/>
                <w:color w:val="auto"/>
              </w:rPr>
            </w:pPr>
            <w:r>
              <w:rPr>
                <w:rFonts w:ascii="Arial" w:cs="Arial" w:eastAsia="Arial" w:hAnsi="Arial"/>
                <w:sz w:val="14"/>
                <w:szCs w:val="14"/>
                <w:b w:val="1"/>
                <w:bCs w:val="1"/>
                <w:color w:val="auto"/>
              </w:rPr>
              <w:t>($)</w:t>
            </w:r>
          </w:p>
        </w:tc>
        <w:tc>
          <w:tcPr>
            <w:tcW w:w="400" w:type="dxa"/>
            <w:vAlign w:val="bottom"/>
          </w:tcPr>
          <w:p>
            <w:pPr>
              <w:spacing w:after="0"/>
              <w:rPr>
                <w:sz w:val="15"/>
                <w:szCs w:val="15"/>
                <w:color w:val="auto"/>
              </w:rPr>
            </w:pPr>
          </w:p>
        </w:tc>
        <w:tc>
          <w:tcPr>
            <w:tcW w:w="600" w:type="dxa"/>
            <w:vAlign w:val="bottom"/>
          </w:tcPr>
          <w:p>
            <w:pPr>
              <w:jc w:val="right"/>
              <w:ind w:right="135"/>
              <w:spacing w:after="0" w:line="158" w:lineRule="exact"/>
              <w:rPr>
                <w:sz w:val="20"/>
                <w:szCs w:val="20"/>
                <w:color w:val="auto"/>
              </w:rPr>
            </w:pPr>
            <w:r>
              <w:rPr>
                <w:rFonts w:ascii="Arial" w:cs="Arial" w:eastAsia="Arial" w:hAnsi="Arial"/>
                <w:sz w:val="14"/>
                <w:szCs w:val="14"/>
                <w:b w:val="1"/>
                <w:bCs w:val="1"/>
                <w:color w:val="auto"/>
              </w:rPr>
              <w:t>($)</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4600" w:type="dxa"/>
            <w:vAlign w:val="bottom"/>
            <w:tcBorders>
              <w:top w:val="single" w:sz="8" w:color="CCEEFF"/>
            </w:tcBorders>
            <w:gridSpan w:val="2"/>
            <w:shd w:val="clear" w:color="auto" w:fill="CCEEFF"/>
          </w:tcPr>
          <w:p>
            <w:pPr>
              <w:spacing w:after="0" w:line="203" w:lineRule="exact"/>
              <w:rPr>
                <w:sz w:val="20"/>
                <w:szCs w:val="20"/>
                <w:color w:val="auto"/>
              </w:rPr>
            </w:pPr>
            <w:r>
              <w:rPr>
                <w:rFonts w:ascii="Arial" w:cs="Arial" w:eastAsia="Arial" w:hAnsi="Arial"/>
                <w:sz w:val="18"/>
                <w:szCs w:val="18"/>
                <w:color w:val="auto"/>
              </w:rPr>
              <w:t>Samuel A. Hamood</w:t>
            </w:r>
            <w:r>
              <w:rPr>
                <w:rFonts w:ascii="Arial" w:cs="Arial" w:eastAsia="Arial" w:hAnsi="Arial"/>
                <w:sz w:val="15"/>
                <w:szCs w:val="15"/>
                <w:color w:val="auto"/>
              </w:rPr>
              <w:t>(1)</w:t>
            </w:r>
          </w:p>
        </w:tc>
        <w:tc>
          <w:tcPr>
            <w:tcW w:w="300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line="203" w:lineRule="exact"/>
              <w:rPr>
                <w:sz w:val="20"/>
                <w:szCs w:val="20"/>
                <w:color w:val="auto"/>
              </w:rPr>
            </w:pPr>
            <w:r>
              <w:rPr>
                <w:rFonts w:ascii="Arial" w:cs="Arial" w:eastAsia="Arial" w:hAnsi="Arial"/>
                <w:sz w:val="18"/>
                <w:szCs w:val="18"/>
                <w:color w:val="auto"/>
              </w:rPr>
              <w:t>$</w:t>
            </w:r>
          </w:p>
        </w:tc>
        <w:tc>
          <w:tcPr>
            <w:tcW w:w="68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17,500</w:t>
            </w:r>
          </w:p>
        </w:tc>
        <w:tc>
          <w:tcPr>
            <w:tcW w:w="400" w:type="dxa"/>
            <w:vAlign w:val="bottom"/>
            <w:tcBorders>
              <w:top w:val="single" w:sz="8" w:color="CCEEFF"/>
            </w:tcBorders>
            <w:shd w:val="clear" w:color="auto" w:fill="CCEEFF"/>
          </w:tcPr>
          <w:p>
            <w:pPr>
              <w:jc w:val="right"/>
              <w:ind w:right="144"/>
              <w:spacing w:after="0"/>
              <w:rPr>
                <w:sz w:val="20"/>
                <w:szCs w:val="20"/>
                <w:color w:val="auto"/>
              </w:rPr>
            </w:pPr>
            <w:r>
              <w:rPr>
                <w:rFonts w:ascii="Arial" w:cs="Arial" w:eastAsia="Arial" w:hAnsi="Arial"/>
                <w:sz w:val="15"/>
                <w:szCs w:val="15"/>
                <w:color w:val="auto"/>
                <w:w w:val="87"/>
              </w:rPr>
              <w:t>(2)</w:t>
            </w:r>
          </w:p>
        </w:tc>
        <w:tc>
          <w:tcPr>
            <w:tcW w:w="240" w:type="dxa"/>
            <w:vAlign w:val="bottom"/>
            <w:tcBorders>
              <w:top w:val="single" w:sz="8" w:color="CCEEFF"/>
            </w:tcBorders>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jc w:val="center"/>
              <w:spacing w:after="0" w:line="203" w:lineRule="exact"/>
              <w:rPr>
                <w:sz w:val="20"/>
                <w:szCs w:val="20"/>
                <w:color w:val="auto"/>
              </w:rPr>
            </w:pPr>
            <w:r>
              <w:rPr>
                <w:rFonts w:ascii="Arial" w:cs="Arial" w:eastAsia="Arial" w:hAnsi="Arial"/>
                <w:sz w:val="18"/>
                <w:szCs w:val="18"/>
                <w:color w:val="auto"/>
                <w:w w:val="91"/>
              </w:rPr>
              <w:t>$30,974</w:t>
            </w:r>
            <w:r>
              <w:rPr>
                <w:rFonts w:ascii="Arial" w:cs="Arial" w:eastAsia="Arial" w:hAnsi="Arial"/>
                <w:sz w:val="15"/>
                <w:szCs w:val="15"/>
                <w:color w:val="auto"/>
                <w:w w:val="91"/>
              </w:rPr>
              <w:t>(3)</w:t>
            </w:r>
          </w:p>
        </w:tc>
        <w:tc>
          <w:tcPr>
            <w:tcW w:w="400" w:type="dxa"/>
            <w:vAlign w:val="bottom"/>
            <w:tcBorders>
              <w:top w:val="single" w:sz="8" w:color="CCEEFF"/>
            </w:tcBorders>
            <w:shd w:val="clear" w:color="auto" w:fill="CCEEFF"/>
          </w:tcPr>
          <w:p>
            <w:pPr>
              <w:spacing w:after="0"/>
              <w:rPr>
                <w:sz w:val="17"/>
                <w:szCs w:val="17"/>
                <w:color w:val="auto"/>
              </w:rPr>
            </w:pPr>
          </w:p>
        </w:tc>
        <w:tc>
          <w:tcPr>
            <w:tcW w:w="60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89"/>
              </w:rPr>
              <w:t>$48,474</w:t>
            </w:r>
          </w:p>
        </w:tc>
        <w:tc>
          <w:tcPr>
            <w:tcW w:w="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600" w:type="dxa"/>
            <w:vAlign w:val="bottom"/>
            <w:gridSpan w:val="2"/>
          </w:tcPr>
          <w:p>
            <w:pPr>
              <w:spacing w:after="0"/>
              <w:rPr>
                <w:sz w:val="20"/>
                <w:szCs w:val="20"/>
                <w:color w:val="auto"/>
              </w:rPr>
            </w:pPr>
            <w:r>
              <w:rPr>
                <w:rFonts w:ascii="Arial" w:cs="Arial" w:eastAsia="Arial" w:hAnsi="Arial"/>
                <w:sz w:val="18"/>
                <w:szCs w:val="18"/>
                <w:color w:val="auto"/>
              </w:rPr>
              <w:t>John Maldonado</w:t>
            </w:r>
          </w:p>
        </w:tc>
        <w:tc>
          <w:tcPr>
            <w:tcW w:w="3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gridSpan w:val="2"/>
          </w:tcPr>
          <w:p>
            <w:pPr>
              <w:jc w:val="right"/>
              <w:ind w:right="404"/>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220" w:type="dxa"/>
            <w:vAlign w:val="bottom"/>
            <w:gridSpan w:val="2"/>
          </w:tcPr>
          <w:p>
            <w:pPr>
              <w:ind w:left="320"/>
              <w:spacing w:after="0"/>
              <w:rPr>
                <w:sz w:val="20"/>
                <w:szCs w:val="20"/>
                <w:color w:val="auto"/>
              </w:rPr>
            </w:pPr>
            <w:r>
              <w:rPr>
                <w:rFonts w:ascii="Arial" w:cs="Arial" w:eastAsia="Arial" w:hAnsi="Arial"/>
                <w:sz w:val="18"/>
                <w:szCs w:val="18"/>
                <w:color w:val="auto"/>
              </w:rPr>
              <w:t>—</w:t>
            </w:r>
          </w:p>
        </w:tc>
        <w:tc>
          <w:tcPr>
            <w:tcW w:w="660" w:type="dxa"/>
            <w:vAlign w:val="bottom"/>
            <w:gridSpan w:val="2"/>
          </w:tcPr>
          <w:p>
            <w:pPr>
              <w:ind w:left="3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6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Christopher Egan</w:t>
            </w:r>
          </w:p>
        </w:tc>
        <w:tc>
          <w:tcPr>
            <w:tcW w:w="3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04"/>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0" w:type="dxa"/>
            <w:vAlign w:val="bottom"/>
            <w:gridSpan w:val="2"/>
          </w:tcPr>
          <w:p>
            <w:pPr>
              <w:spacing w:after="0"/>
              <w:rPr>
                <w:sz w:val="20"/>
                <w:szCs w:val="20"/>
                <w:color w:val="auto"/>
              </w:rPr>
            </w:pPr>
            <w:r>
              <w:rPr>
                <w:rFonts w:ascii="Arial" w:cs="Arial" w:eastAsia="Arial" w:hAnsi="Arial"/>
                <w:sz w:val="18"/>
                <w:szCs w:val="18"/>
                <w:color w:val="auto"/>
              </w:rPr>
              <w:t>Lauren Young</w:t>
            </w:r>
          </w:p>
        </w:tc>
        <w:tc>
          <w:tcPr>
            <w:tcW w:w="3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gridSpan w:val="2"/>
          </w:tcPr>
          <w:p>
            <w:pPr>
              <w:jc w:val="right"/>
              <w:ind w:right="404"/>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220" w:type="dxa"/>
            <w:vAlign w:val="bottom"/>
            <w:gridSpan w:val="2"/>
          </w:tcPr>
          <w:p>
            <w:pPr>
              <w:ind w:left="320"/>
              <w:spacing w:after="0"/>
              <w:rPr>
                <w:sz w:val="20"/>
                <w:szCs w:val="20"/>
                <w:color w:val="auto"/>
              </w:rPr>
            </w:pPr>
            <w:r>
              <w:rPr>
                <w:rFonts w:ascii="Arial" w:cs="Arial" w:eastAsia="Arial" w:hAnsi="Arial"/>
                <w:sz w:val="18"/>
                <w:szCs w:val="18"/>
                <w:color w:val="auto"/>
              </w:rPr>
              <w:t>—</w:t>
            </w:r>
          </w:p>
        </w:tc>
        <w:tc>
          <w:tcPr>
            <w:tcW w:w="660" w:type="dxa"/>
            <w:vAlign w:val="bottom"/>
            <w:gridSpan w:val="2"/>
          </w:tcPr>
          <w:p>
            <w:pPr>
              <w:ind w:left="3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6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Chris Mitchell</w:t>
            </w:r>
          </w:p>
        </w:tc>
        <w:tc>
          <w:tcPr>
            <w:tcW w:w="3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04"/>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600" w:type="dxa"/>
            <w:vAlign w:val="bottom"/>
            <w:gridSpan w:val="2"/>
          </w:tcPr>
          <w:p>
            <w:pPr>
              <w:spacing w:after="0"/>
              <w:rPr>
                <w:sz w:val="20"/>
                <w:szCs w:val="20"/>
                <w:color w:val="auto"/>
              </w:rPr>
            </w:pPr>
            <w:r>
              <w:rPr>
                <w:rFonts w:ascii="Arial" w:cs="Arial" w:eastAsia="Arial" w:hAnsi="Arial"/>
                <w:sz w:val="18"/>
                <w:szCs w:val="18"/>
                <w:color w:val="auto"/>
              </w:rPr>
              <w:t>Jeff Haywood</w:t>
            </w:r>
          </w:p>
        </w:tc>
        <w:tc>
          <w:tcPr>
            <w:tcW w:w="3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gridSpan w:val="2"/>
          </w:tcPr>
          <w:p>
            <w:pPr>
              <w:jc w:val="right"/>
              <w:ind w:right="404"/>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220" w:type="dxa"/>
            <w:vAlign w:val="bottom"/>
            <w:gridSpan w:val="2"/>
          </w:tcPr>
          <w:p>
            <w:pPr>
              <w:ind w:left="320"/>
              <w:spacing w:after="0"/>
              <w:rPr>
                <w:sz w:val="20"/>
                <w:szCs w:val="20"/>
                <w:color w:val="auto"/>
              </w:rPr>
            </w:pPr>
            <w:r>
              <w:rPr>
                <w:rFonts w:ascii="Arial" w:cs="Arial" w:eastAsia="Arial" w:hAnsi="Arial"/>
                <w:sz w:val="18"/>
                <w:szCs w:val="18"/>
                <w:color w:val="auto"/>
              </w:rPr>
              <w:t>—</w:t>
            </w:r>
          </w:p>
        </w:tc>
        <w:tc>
          <w:tcPr>
            <w:tcW w:w="660" w:type="dxa"/>
            <w:vAlign w:val="bottom"/>
            <w:gridSpan w:val="2"/>
          </w:tcPr>
          <w:p>
            <w:pPr>
              <w:ind w:left="3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6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 Randall Winn</w:t>
            </w:r>
          </w:p>
        </w:tc>
        <w:tc>
          <w:tcPr>
            <w:tcW w:w="3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04"/>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85725</wp:posOffset>
            </wp:positionV>
            <wp:extent cx="771525" cy="8890"/>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771525" cy="8890"/>
                    </a:xfrm>
                    <a:prstGeom prst="rect">
                      <a:avLst/>
                    </a:prstGeom>
                    <a:noFill/>
                  </pic:spPr>
                </pic:pic>
              </a:graphicData>
            </a:graphic>
          </wp:anchor>
        </w:drawing>
      </w:r>
    </w:p>
    <w:p>
      <w:pPr>
        <w:spacing w:after="0" w:line="155" w:lineRule="exact"/>
        <w:rPr>
          <w:sz w:val="20"/>
          <w:szCs w:val="20"/>
          <w:color w:val="auto"/>
        </w:rPr>
      </w:pPr>
    </w:p>
    <w:p>
      <w:pPr>
        <w:ind w:left="540" w:hanging="424"/>
        <w:spacing w:after="0"/>
        <w:tabs>
          <w:tab w:leader="none" w:pos="540" w:val="left"/>
        </w:tabs>
        <w:numPr>
          <w:ilvl w:val="0"/>
          <w:numId w:val="140"/>
        </w:numPr>
        <w:rPr>
          <w:rFonts w:ascii="Arial" w:cs="Arial" w:eastAsia="Arial" w:hAnsi="Arial"/>
          <w:sz w:val="18"/>
          <w:szCs w:val="18"/>
          <w:color w:val="auto"/>
        </w:rPr>
      </w:pPr>
      <w:r>
        <w:rPr>
          <w:rFonts w:ascii="Arial" w:cs="Arial" w:eastAsia="Arial" w:hAnsi="Arial"/>
          <w:sz w:val="18"/>
          <w:szCs w:val="18"/>
          <w:color w:val="auto"/>
        </w:rPr>
        <w:t>Our only director who received compensation in fiscal 2020 was Mr. Hamood, who joined the Board in September 2020.</w:t>
      </w:r>
    </w:p>
    <w:p>
      <w:pPr>
        <w:spacing w:after="0" w:line="23" w:lineRule="exact"/>
        <w:rPr>
          <w:rFonts w:ascii="Arial" w:cs="Arial" w:eastAsia="Arial" w:hAnsi="Arial"/>
          <w:sz w:val="18"/>
          <w:szCs w:val="18"/>
          <w:color w:val="auto"/>
        </w:rPr>
      </w:pPr>
    </w:p>
    <w:p>
      <w:pPr>
        <w:ind w:left="540" w:hanging="424"/>
        <w:spacing w:after="0"/>
        <w:tabs>
          <w:tab w:leader="none" w:pos="540" w:val="left"/>
        </w:tabs>
        <w:numPr>
          <w:ilvl w:val="0"/>
          <w:numId w:val="140"/>
        </w:numPr>
        <w:rPr>
          <w:rFonts w:ascii="Arial" w:cs="Arial" w:eastAsia="Arial" w:hAnsi="Arial"/>
          <w:sz w:val="18"/>
          <w:szCs w:val="18"/>
          <w:color w:val="auto"/>
        </w:rPr>
      </w:pPr>
      <w:r>
        <w:rPr>
          <w:rFonts w:ascii="Arial" w:cs="Arial" w:eastAsia="Arial" w:hAnsi="Arial"/>
          <w:sz w:val="18"/>
          <w:szCs w:val="18"/>
          <w:color w:val="auto"/>
        </w:rPr>
        <w:t>Earned for Mr. Hamood’s service on the Board and as chair of the Audit Committee in 2020, which was paid in January 2021.</w:t>
      </w:r>
    </w:p>
    <w:p>
      <w:pPr>
        <w:spacing w:after="0" w:line="9" w:lineRule="exact"/>
        <w:rPr>
          <w:rFonts w:ascii="Arial" w:cs="Arial" w:eastAsia="Arial" w:hAnsi="Arial"/>
          <w:sz w:val="18"/>
          <w:szCs w:val="18"/>
          <w:color w:val="auto"/>
        </w:rPr>
      </w:pPr>
    </w:p>
    <w:p>
      <w:pPr>
        <w:ind w:left="540" w:hanging="424"/>
        <w:spacing w:after="0"/>
        <w:tabs>
          <w:tab w:leader="none" w:pos="540" w:val="left"/>
        </w:tabs>
        <w:numPr>
          <w:ilvl w:val="0"/>
          <w:numId w:val="140"/>
        </w:numPr>
        <w:rPr>
          <w:rFonts w:ascii="Arial" w:cs="Arial" w:eastAsia="Arial" w:hAnsi="Arial"/>
          <w:sz w:val="18"/>
          <w:szCs w:val="18"/>
          <w:color w:val="auto"/>
        </w:rPr>
      </w:pPr>
      <w:r>
        <w:rPr>
          <w:rFonts w:ascii="Arial" w:cs="Arial" w:eastAsia="Arial" w:hAnsi="Arial"/>
          <w:sz w:val="18"/>
          <w:szCs w:val="18"/>
          <w:color w:val="auto"/>
        </w:rPr>
        <w:t>Mr. Hamood received a grant of 34,037 Class B Units on April 28, 2021 in consideration for his joining the Board.</w:t>
      </w:r>
    </w:p>
    <w:p>
      <w:pPr>
        <w:spacing w:after="0" w:line="143"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156</w:t>
      </w:r>
    </w:p>
    <w:p>
      <w:pPr>
        <w:sectPr>
          <w:pgSz w:w="11900" w:h="16838" w:orient="portrait"/>
          <w:cols w:equalWidth="0" w:num="1">
            <w:col w:w="11140"/>
          </w:cols>
          <w:pgMar w:left="320" w:top="459" w:right="439" w:bottom="1440" w:gutter="0" w:footer="0" w:header="0"/>
        </w:sectPr>
      </w:pPr>
    </w:p>
    <w:bookmarkStart w:id="163" w:name="page164"/>
    <w:bookmarkEnd w:id="163"/>
    <w:tbl>
      <w:tblPr>
        <w:tblLayout w:type="fixed"/>
        <w:tblInd w:w="0" w:type="dxa"/>
        <w:tblCellMar>
          <w:top w:w="0" w:type="dxa"/>
          <w:left w:w="0" w:type="dxa"/>
          <w:bottom w:w="0" w:type="dxa"/>
          <w:right w:w="0" w:type="dxa"/>
        </w:tblCellMar>
      </w:tblPr>
      <w:tr>
        <w:trPr>
          <w:trHeight w:val="207"/>
        </w:trPr>
        <w:tc>
          <w:tcPr>
            <w:tcW w:w="8500" w:type="dxa"/>
            <w:vAlign w:val="bottom"/>
            <w:gridSpan w:val="3"/>
          </w:tcPr>
          <w:p>
            <w:pPr>
              <w:spacing w:after="0"/>
              <w:rPr>
                <w:rFonts w:ascii="Arial" w:cs="Arial" w:eastAsia="Arial" w:hAnsi="Arial"/>
                <w:sz w:val="18"/>
                <w:szCs w:val="18"/>
                <w:b w:val="1"/>
                <w:bCs w:val="1"/>
                <w:color w:val="0000EE"/>
              </w:rPr>
            </w:pPr>
            <w:hyperlink w:anchor="page3">
              <w:r>
                <w:rPr>
                  <w:rFonts w:ascii="Arial" w:cs="Arial" w:eastAsia="Arial" w:hAnsi="Arial"/>
                  <w:sz w:val="18"/>
                  <w:szCs w:val="18"/>
                  <w:b w:val="1"/>
                  <w:bCs w:val="1"/>
                  <w:color w:val="0000EE"/>
                </w:rPr>
                <w:t>Table of Contents</w:t>
              </w:r>
            </w:hyperlink>
          </w:p>
        </w:tc>
        <w:tc>
          <w:tcPr>
            <w:tcW w:w="2220" w:type="dxa"/>
            <w:vAlign w:val="bottom"/>
          </w:tcPr>
          <w:p>
            <w:pPr>
              <w:spacing w:after="0"/>
              <w:rPr>
                <w:sz w:val="17"/>
                <w:szCs w:val="17"/>
                <w:color w:val="auto"/>
              </w:rPr>
            </w:pPr>
          </w:p>
        </w:tc>
      </w:tr>
      <w:tr>
        <w:trPr>
          <w:trHeight w:val="515"/>
        </w:trPr>
        <w:tc>
          <w:tcPr>
            <w:tcW w:w="840" w:type="dxa"/>
            <w:vAlign w:val="bottom"/>
            <w:tcBorders>
              <w:top w:val="single" w:sz="8" w:color="0000EE"/>
            </w:tcBorders>
          </w:tcPr>
          <w:p>
            <w:pPr>
              <w:spacing w:after="0"/>
              <w:rPr>
                <w:sz w:val="24"/>
                <w:szCs w:val="24"/>
                <w:color w:val="auto"/>
              </w:rPr>
            </w:pPr>
          </w:p>
        </w:tc>
        <w:tc>
          <w:tcPr>
            <w:tcW w:w="520" w:type="dxa"/>
            <w:vAlign w:val="bottom"/>
            <w:tcBorders>
              <w:top w:val="single" w:sz="8" w:color="0000EE"/>
            </w:tcBorders>
          </w:tcPr>
          <w:p>
            <w:pPr>
              <w:spacing w:after="0"/>
              <w:rPr>
                <w:sz w:val="24"/>
                <w:szCs w:val="24"/>
                <w:color w:val="auto"/>
              </w:rPr>
            </w:pPr>
          </w:p>
        </w:tc>
        <w:tc>
          <w:tcPr>
            <w:tcW w:w="7140" w:type="dxa"/>
            <w:vAlign w:val="bottom"/>
          </w:tcPr>
          <w:p>
            <w:pPr>
              <w:jc w:val="center"/>
              <w:ind w:left="1310"/>
              <w:spacing w:after="0"/>
              <w:rPr>
                <w:sz w:val="20"/>
                <w:szCs w:val="20"/>
                <w:color w:val="auto"/>
              </w:rPr>
            </w:pPr>
            <w:r>
              <w:rPr>
                <w:rFonts w:ascii="Arial" w:cs="Arial" w:eastAsia="Arial" w:hAnsi="Arial"/>
                <w:sz w:val="18"/>
                <w:szCs w:val="18"/>
                <w:b w:val="1"/>
                <w:bCs w:val="1"/>
                <w:color w:val="auto"/>
                <w:w w:val="91"/>
              </w:rPr>
              <w:t>Confidential Treatment Requested by Definitive Healthcare Corp.</w:t>
            </w:r>
          </w:p>
        </w:tc>
        <w:tc>
          <w:tcPr>
            <w:tcW w:w="2220" w:type="dxa"/>
            <w:vAlign w:val="bottom"/>
          </w:tcPr>
          <w:p>
            <w:pPr>
              <w:spacing w:after="0"/>
              <w:rPr>
                <w:sz w:val="24"/>
                <w:szCs w:val="24"/>
                <w:color w:val="auto"/>
              </w:rPr>
            </w:pPr>
          </w:p>
        </w:tc>
      </w:tr>
      <w:tr>
        <w:trPr>
          <w:trHeight w:val="234"/>
        </w:trPr>
        <w:tc>
          <w:tcPr>
            <w:tcW w:w="84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7140" w:type="dxa"/>
            <w:vAlign w:val="bottom"/>
          </w:tcPr>
          <w:p>
            <w:pPr>
              <w:jc w:val="center"/>
              <w:ind w:left="1290"/>
              <w:spacing w:after="0"/>
              <w:rPr>
                <w:sz w:val="20"/>
                <w:szCs w:val="20"/>
                <w:color w:val="auto"/>
              </w:rPr>
            </w:pPr>
            <w:r>
              <w:rPr>
                <w:rFonts w:ascii="Arial" w:cs="Arial" w:eastAsia="Arial" w:hAnsi="Arial"/>
                <w:sz w:val="18"/>
                <w:szCs w:val="18"/>
                <w:b w:val="1"/>
                <w:bCs w:val="1"/>
                <w:color w:val="auto"/>
                <w:w w:val="89"/>
              </w:rPr>
              <w:t>Pursuant to 17 C.F.R. Section 200.83</w:t>
            </w:r>
          </w:p>
        </w:tc>
        <w:tc>
          <w:tcPr>
            <w:tcW w:w="2220" w:type="dxa"/>
            <w:vAlign w:val="bottom"/>
          </w:tcPr>
          <w:p>
            <w:pPr>
              <w:spacing w:after="0"/>
              <w:rPr>
                <w:sz w:val="20"/>
                <w:szCs w:val="20"/>
                <w:color w:val="auto"/>
              </w:rPr>
            </w:pPr>
          </w:p>
        </w:tc>
      </w:tr>
      <w:tr>
        <w:trPr>
          <w:trHeight w:val="365"/>
        </w:trPr>
        <w:tc>
          <w:tcPr>
            <w:tcW w:w="8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7140" w:type="dxa"/>
            <w:vAlign w:val="bottom"/>
          </w:tcPr>
          <w:p>
            <w:pPr>
              <w:jc w:val="center"/>
              <w:ind w:left="1310"/>
              <w:spacing w:after="0"/>
              <w:rPr>
                <w:sz w:val="20"/>
                <w:szCs w:val="20"/>
                <w:color w:val="auto"/>
              </w:rPr>
            </w:pPr>
            <w:r>
              <w:rPr>
                <w:rFonts w:ascii="Arial" w:cs="Arial" w:eastAsia="Arial" w:hAnsi="Arial"/>
                <w:sz w:val="18"/>
                <w:szCs w:val="18"/>
                <w:b w:val="1"/>
                <w:bCs w:val="1"/>
                <w:color w:val="auto"/>
              </w:rPr>
              <w:t>PRINCIPAL STOCKHOLDERS</w:t>
            </w:r>
          </w:p>
        </w:tc>
        <w:tc>
          <w:tcPr>
            <w:tcW w:w="2220" w:type="dxa"/>
            <w:vAlign w:val="bottom"/>
          </w:tcPr>
          <w:p>
            <w:pPr>
              <w:spacing w:after="0"/>
              <w:rPr>
                <w:sz w:val="24"/>
                <w:szCs w:val="24"/>
                <w:color w:val="auto"/>
              </w:rPr>
            </w:pPr>
          </w:p>
        </w:tc>
      </w:tr>
      <w:tr>
        <w:trPr>
          <w:trHeight w:val="418"/>
        </w:trPr>
        <w:tc>
          <w:tcPr>
            <w:tcW w:w="8500" w:type="dxa"/>
            <w:vAlign w:val="bottom"/>
            <w:gridSpan w:val="3"/>
          </w:tcPr>
          <w:p>
            <w:pPr>
              <w:ind w:left="560"/>
              <w:spacing w:after="0"/>
              <w:rPr>
                <w:sz w:val="20"/>
                <w:szCs w:val="20"/>
                <w:color w:val="auto"/>
              </w:rPr>
            </w:pPr>
            <w:r>
              <w:rPr>
                <w:rFonts w:ascii="Arial" w:cs="Arial" w:eastAsia="Arial" w:hAnsi="Arial"/>
                <w:sz w:val="18"/>
                <w:szCs w:val="18"/>
                <w:color w:val="auto"/>
                <w:w w:val="96"/>
              </w:rPr>
              <w:t>The following table sets forth information regarding the beneficial ownership of our common stock as of</w:t>
            </w:r>
          </w:p>
        </w:tc>
        <w:tc>
          <w:tcPr>
            <w:tcW w:w="2220" w:type="dxa"/>
            <w:vAlign w:val="bottom"/>
          </w:tcPr>
          <w:p>
            <w:pPr>
              <w:ind w:left="360"/>
              <w:spacing w:after="0"/>
              <w:rPr>
                <w:sz w:val="20"/>
                <w:szCs w:val="20"/>
                <w:color w:val="auto"/>
              </w:rPr>
            </w:pPr>
            <w:r>
              <w:rPr>
                <w:rFonts w:ascii="Arial" w:cs="Arial" w:eastAsia="Arial" w:hAnsi="Arial"/>
                <w:sz w:val="18"/>
                <w:szCs w:val="18"/>
                <w:color w:val="auto"/>
                <w:w w:val="89"/>
              </w:rPr>
              <w:t>, 2021 as adjusted for this</w:t>
            </w:r>
          </w:p>
        </w:tc>
      </w:tr>
      <w:tr>
        <w:trPr>
          <w:trHeight w:val="230"/>
        </w:trPr>
        <w:tc>
          <w:tcPr>
            <w:tcW w:w="8500" w:type="dxa"/>
            <w:vAlign w:val="bottom"/>
            <w:gridSpan w:val="3"/>
          </w:tcPr>
          <w:p>
            <w:pPr>
              <w:ind w:left="120"/>
              <w:spacing w:after="0"/>
              <w:rPr>
                <w:sz w:val="20"/>
                <w:szCs w:val="20"/>
                <w:color w:val="auto"/>
              </w:rPr>
            </w:pPr>
            <w:r>
              <w:rPr>
                <w:rFonts w:ascii="Arial" w:cs="Arial" w:eastAsia="Arial" w:hAnsi="Arial"/>
                <w:sz w:val="18"/>
                <w:szCs w:val="18"/>
                <w:color w:val="auto"/>
              </w:rPr>
              <w:t>offering as described in “Use of Proceeds” by:</w:t>
            </w:r>
          </w:p>
        </w:tc>
        <w:tc>
          <w:tcPr>
            <w:tcW w:w="2220" w:type="dxa"/>
            <w:vAlign w:val="bottom"/>
          </w:tcPr>
          <w:p>
            <w:pPr>
              <w:spacing w:after="0"/>
              <w:rPr>
                <w:sz w:val="20"/>
                <w:szCs w:val="20"/>
                <w:color w:val="auto"/>
              </w:rPr>
            </w:pPr>
          </w:p>
        </w:tc>
      </w:tr>
      <w:tr>
        <w:trPr>
          <w:trHeight w:val="338"/>
        </w:trPr>
        <w:tc>
          <w:tcPr>
            <w:tcW w:w="840" w:type="dxa"/>
            <w:vAlign w:val="bottom"/>
          </w:tcPr>
          <w:p>
            <w:pPr>
              <w:ind w:left="540"/>
              <w:spacing w:after="0"/>
              <w:rPr>
                <w:sz w:val="20"/>
                <w:szCs w:val="20"/>
                <w:color w:val="auto"/>
              </w:rPr>
            </w:pPr>
            <w:r>
              <w:rPr>
                <w:rFonts w:ascii="Arial" w:cs="Arial" w:eastAsia="Arial" w:hAnsi="Arial"/>
                <w:sz w:val="18"/>
                <w:szCs w:val="18"/>
                <w:color w:val="auto"/>
              </w:rPr>
              <w:t>•</w:t>
            </w:r>
          </w:p>
        </w:tc>
        <w:tc>
          <w:tcPr>
            <w:tcW w:w="7660" w:type="dxa"/>
            <w:vAlign w:val="bottom"/>
            <w:gridSpan w:val="2"/>
          </w:tcPr>
          <w:p>
            <w:pPr>
              <w:ind w:left="240"/>
              <w:spacing w:after="0"/>
              <w:rPr>
                <w:sz w:val="20"/>
                <w:szCs w:val="20"/>
                <w:color w:val="auto"/>
              </w:rPr>
            </w:pPr>
            <w:r>
              <w:rPr>
                <w:rFonts w:ascii="Arial" w:cs="Arial" w:eastAsia="Arial" w:hAnsi="Arial"/>
                <w:sz w:val="18"/>
                <w:szCs w:val="18"/>
                <w:color w:val="auto"/>
                <w:w w:val="99"/>
              </w:rPr>
              <w:t>each person or group whom we know to own beneficially more than 5% of our common stock;</w:t>
            </w:r>
          </w:p>
        </w:tc>
        <w:tc>
          <w:tcPr>
            <w:tcW w:w="2220" w:type="dxa"/>
            <w:vAlign w:val="bottom"/>
          </w:tcPr>
          <w:p>
            <w:pPr>
              <w:spacing w:after="0"/>
              <w:rPr>
                <w:sz w:val="24"/>
                <w:szCs w:val="24"/>
                <w:color w:val="auto"/>
              </w:rPr>
            </w:pPr>
          </w:p>
        </w:tc>
      </w:tr>
      <w:tr>
        <w:trPr>
          <w:trHeight w:val="338"/>
        </w:trPr>
        <w:tc>
          <w:tcPr>
            <w:tcW w:w="840" w:type="dxa"/>
            <w:vAlign w:val="bottom"/>
          </w:tcPr>
          <w:p>
            <w:pPr>
              <w:ind w:left="540"/>
              <w:spacing w:after="0"/>
              <w:rPr>
                <w:sz w:val="20"/>
                <w:szCs w:val="20"/>
                <w:color w:val="auto"/>
              </w:rPr>
            </w:pPr>
            <w:r>
              <w:rPr>
                <w:rFonts w:ascii="Arial" w:cs="Arial" w:eastAsia="Arial" w:hAnsi="Arial"/>
                <w:sz w:val="18"/>
                <w:szCs w:val="18"/>
                <w:color w:val="auto"/>
              </w:rPr>
              <w:t>•</w:t>
            </w:r>
          </w:p>
        </w:tc>
        <w:tc>
          <w:tcPr>
            <w:tcW w:w="7660" w:type="dxa"/>
            <w:vAlign w:val="bottom"/>
            <w:gridSpan w:val="2"/>
          </w:tcPr>
          <w:p>
            <w:pPr>
              <w:ind w:left="240"/>
              <w:spacing w:after="0"/>
              <w:rPr>
                <w:sz w:val="20"/>
                <w:szCs w:val="20"/>
                <w:color w:val="auto"/>
              </w:rPr>
            </w:pPr>
            <w:r>
              <w:rPr>
                <w:rFonts w:ascii="Arial" w:cs="Arial" w:eastAsia="Arial" w:hAnsi="Arial"/>
                <w:sz w:val="18"/>
                <w:szCs w:val="18"/>
                <w:color w:val="auto"/>
              </w:rPr>
              <w:t>each of the directors and named executive officers individually; and</w:t>
            </w:r>
          </w:p>
        </w:tc>
        <w:tc>
          <w:tcPr>
            <w:tcW w:w="2220" w:type="dxa"/>
            <w:vAlign w:val="bottom"/>
          </w:tcPr>
          <w:p>
            <w:pPr>
              <w:spacing w:after="0"/>
              <w:rPr>
                <w:sz w:val="24"/>
                <w:szCs w:val="24"/>
                <w:color w:val="auto"/>
              </w:rPr>
            </w:pPr>
          </w:p>
        </w:tc>
      </w:tr>
      <w:tr>
        <w:trPr>
          <w:trHeight w:val="338"/>
        </w:trPr>
        <w:tc>
          <w:tcPr>
            <w:tcW w:w="840" w:type="dxa"/>
            <w:vAlign w:val="bottom"/>
          </w:tcPr>
          <w:p>
            <w:pPr>
              <w:ind w:left="540"/>
              <w:spacing w:after="0"/>
              <w:rPr>
                <w:sz w:val="20"/>
                <w:szCs w:val="20"/>
                <w:color w:val="auto"/>
              </w:rPr>
            </w:pPr>
            <w:r>
              <w:rPr>
                <w:rFonts w:ascii="Arial" w:cs="Arial" w:eastAsia="Arial" w:hAnsi="Arial"/>
                <w:sz w:val="18"/>
                <w:szCs w:val="18"/>
                <w:color w:val="auto"/>
              </w:rPr>
              <w:t>•</w:t>
            </w:r>
          </w:p>
        </w:tc>
        <w:tc>
          <w:tcPr>
            <w:tcW w:w="7660" w:type="dxa"/>
            <w:vAlign w:val="bottom"/>
            <w:gridSpan w:val="2"/>
          </w:tcPr>
          <w:p>
            <w:pPr>
              <w:ind w:left="240"/>
              <w:spacing w:after="0"/>
              <w:rPr>
                <w:sz w:val="20"/>
                <w:szCs w:val="20"/>
                <w:color w:val="auto"/>
              </w:rPr>
            </w:pPr>
            <w:r>
              <w:rPr>
                <w:rFonts w:ascii="Arial" w:cs="Arial" w:eastAsia="Arial" w:hAnsi="Arial"/>
                <w:sz w:val="18"/>
                <w:szCs w:val="18"/>
                <w:color w:val="auto"/>
              </w:rPr>
              <w:t>all directors and executive officers as a group.</w:t>
            </w:r>
          </w:p>
        </w:tc>
        <w:tc>
          <w:tcPr>
            <w:tcW w:w="2220" w:type="dxa"/>
            <w:vAlign w:val="bottom"/>
          </w:tcPr>
          <w:p>
            <w:pPr>
              <w:spacing w:after="0"/>
              <w:rPr>
                <w:sz w:val="24"/>
                <w:szCs w:val="24"/>
                <w:color w:val="auto"/>
              </w:rPr>
            </w:pPr>
          </w:p>
        </w:tc>
      </w:tr>
    </w:tbl>
    <w:p>
      <w:pPr>
        <w:spacing w:after="0" w:line="202"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p>
    <w:p>
      <w:pPr>
        <w:ind w:left="120" w:right="80" w:firstLine="440"/>
        <w:spacing w:after="0" w:line="254" w:lineRule="auto"/>
        <w:rPr>
          <w:sz w:val="20"/>
          <w:szCs w:val="20"/>
          <w:color w:val="auto"/>
        </w:rPr>
      </w:pPr>
      <w:r>
        <w:rPr>
          <w:rFonts w:ascii="Arial" w:cs="Arial" w:eastAsia="Arial" w:hAnsi="Arial"/>
          <w:sz w:val="18"/>
          <w:szCs w:val="18"/>
          <w:color w:val="auto"/>
        </w:rPr>
        <w:t>The numbers of shares of common stock beneficially owned, percentages of beneficial ownership and percentages of combined voting power before this offering that are set forth below are based on the number of shares of Class A common stock and Class B common stock to be issued and outstanding prior to this offering. See “Prospectus Summary—Organizational Structure.” The numbers of shares of common stock beneficially owned, percentages of beneficial ownership and percentages of combined voting power after this offering that are set forth below are based on the number of shares of Class A common stock and Class B common stock to be issued and outstanding before this offering and immediately after this offering (after giving effect to the use of proceeds therefrom). See “Use of Proceeds.” Each Unitholder holds one share of Class B common stock for each LLC unit such Unitholder beneficially owns.</w:t>
      </w:r>
    </w:p>
    <w:p>
      <w:pPr>
        <w:spacing w:after="0" w:line="195" w:lineRule="exact"/>
        <w:rPr>
          <w:sz w:val="20"/>
          <w:szCs w:val="20"/>
          <w:color w:val="auto"/>
        </w:rPr>
      </w:pPr>
    </w:p>
    <w:p>
      <w:pPr>
        <w:ind w:left="120" w:firstLine="440"/>
        <w:spacing w:after="0" w:line="255" w:lineRule="auto"/>
        <w:rPr>
          <w:sz w:val="20"/>
          <w:szCs w:val="20"/>
          <w:color w:val="auto"/>
        </w:rPr>
      </w:pPr>
      <w:r>
        <w:rPr>
          <w:rFonts w:ascii="Arial" w:cs="Arial" w:eastAsia="Arial" w:hAnsi="Arial"/>
          <w:sz w:val="18"/>
          <w:szCs w:val="18"/>
          <w:color w:val="auto"/>
        </w:rPr>
        <w:t>In accordance with the rules of the SEC, beneficial ownership includes voting or investment power with respect to securities. The number of shares of Class A common stock outstanding after this offering includes shares of common stock being offered for sale by us in this offering and the shares of Class A common stock owned by the Blocker Companies’ Former Owners. Unless otherwise indicated, the address for each listed stockholder is: c/o Definitive Healthcare Corp., 550 Cochituate Rd, Framingham, Massachusetts 01701. To our knowledge, except as indicated in the footnotes to this table and pursuant to applicable community property laws, the persons named in the table have sole voting and investment power with respect to all shares of common stock.</w:t>
      </w:r>
    </w:p>
    <w:p>
      <w:pPr>
        <w:spacing w:after="0" w:line="125" w:lineRule="exact"/>
        <w:rPr>
          <w:sz w:val="20"/>
          <w:szCs w:val="20"/>
          <w:color w:val="auto"/>
        </w:rPr>
      </w:pPr>
    </w:p>
    <w:p>
      <w:pPr>
        <w:jc w:val="center"/>
        <w:ind w:right="-419"/>
        <w:spacing w:after="0"/>
        <w:rPr>
          <w:sz w:val="20"/>
          <w:szCs w:val="20"/>
          <w:color w:val="auto"/>
        </w:rPr>
      </w:pPr>
      <w:r>
        <w:rPr>
          <w:rFonts w:ascii="Arial" w:cs="Arial" w:eastAsia="Arial" w:hAnsi="Arial"/>
          <w:sz w:val="18"/>
          <w:szCs w:val="18"/>
          <w:color w:val="auto"/>
        </w:rPr>
        <w:t>157</w:t>
      </w:r>
    </w:p>
    <w:p>
      <w:pPr>
        <w:sectPr>
          <w:pgSz w:w="11900" w:h="16838" w:orient="portrait"/>
          <w:cols w:equalWidth="0" w:num="1">
            <w:col w:w="11060"/>
          </w:cols>
          <w:pgMar w:left="320" w:top="446" w:right="519" w:bottom="1440" w:gutter="0" w:footer="0" w:header="0"/>
        </w:sectPr>
      </w:pPr>
    </w:p>
    <w:bookmarkStart w:id="164" w:name="page165"/>
    <w:bookmarkEnd w:id="16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Confidential Treatment Requested by Definitive Healthcare Corp.</w:t>
      </w:r>
    </w:p>
    <w:p>
      <w:pPr>
        <w:spacing w:after="0" w:line="2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Pursuant to 17 C.F.R. Section 200.83</w:t>
      </w:r>
    </w:p>
    <w:p>
      <w:pPr>
        <w:spacing w:after="0" w:line="122"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1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580" w:type="dxa"/>
            <w:vAlign w:val="bottom"/>
            <w:gridSpan w:val="4"/>
            <w:vMerge w:val="restart"/>
          </w:tcPr>
          <w:p>
            <w:pPr>
              <w:jc w:val="center"/>
              <w:ind w:right="80"/>
              <w:spacing w:after="0"/>
              <w:rPr>
                <w:sz w:val="20"/>
                <w:szCs w:val="20"/>
                <w:color w:val="auto"/>
              </w:rPr>
            </w:pPr>
            <w:r>
              <w:rPr>
                <w:rFonts w:ascii="Arial" w:cs="Arial" w:eastAsia="Arial" w:hAnsi="Arial"/>
                <w:sz w:val="14"/>
                <w:szCs w:val="14"/>
                <w:b w:val="1"/>
                <w:bCs w:val="1"/>
                <w:color w:val="auto"/>
                <w:w w:val="89"/>
              </w:rPr>
              <w:t>Shares of Class A</w:t>
            </w:r>
          </w:p>
        </w:tc>
        <w:tc>
          <w:tcPr>
            <w:tcW w:w="1580" w:type="dxa"/>
            <w:vAlign w:val="bottom"/>
            <w:gridSpan w:val="4"/>
            <w:vMerge w:val="restart"/>
          </w:tcPr>
          <w:p>
            <w:pPr>
              <w:jc w:val="center"/>
              <w:ind w:right="100"/>
              <w:spacing w:after="0"/>
              <w:rPr>
                <w:sz w:val="20"/>
                <w:szCs w:val="20"/>
                <w:color w:val="auto"/>
              </w:rPr>
            </w:pPr>
            <w:r>
              <w:rPr>
                <w:rFonts w:ascii="Arial" w:cs="Arial" w:eastAsia="Arial" w:hAnsi="Arial"/>
                <w:sz w:val="14"/>
                <w:szCs w:val="14"/>
                <w:b w:val="1"/>
                <w:bCs w:val="1"/>
                <w:color w:val="auto"/>
                <w:w w:val="90"/>
              </w:rPr>
              <w:t>Shares of Class A</w:t>
            </w: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560" w:type="dxa"/>
            <w:vAlign w:val="bottom"/>
            <w:gridSpan w:val="4"/>
          </w:tcPr>
          <w:p>
            <w:pPr>
              <w:jc w:val="center"/>
              <w:ind w:right="100"/>
              <w:spacing w:after="0"/>
              <w:rPr>
                <w:sz w:val="20"/>
                <w:szCs w:val="20"/>
                <w:color w:val="auto"/>
              </w:rPr>
            </w:pPr>
            <w:r>
              <w:rPr>
                <w:rFonts w:ascii="Arial" w:cs="Arial" w:eastAsia="Arial" w:hAnsi="Arial"/>
                <w:sz w:val="14"/>
                <w:szCs w:val="14"/>
                <w:b w:val="1"/>
                <w:bCs w:val="1"/>
                <w:color w:val="auto"/>
                <w:w w:val="89"/>
              </w:rPr>
              <w:t>Shares of Class B</w:t>
            </w:r>
          </w:p>
        </w:tc>
        <w:tc>
          <w:tcPr>
            <w:tcW w:w="1520" w:type="dxa"/>
            <w:vAlign w:val="bottom"/>
            <w:gridSpan w:val="4"/>
            <w:vMerge w:val="restart"/>
          </w:tcPr>
          <w:p>
            <w:pPr>
              <w:jc w:val="center"/>
              <w:ind w:right="60"/>
              <w:spacing w:after="0"/>
              <w:rPr>
                <w:sz w:val="20"/>
                <w:szCs w:val="20"/>
                <w:color w:val="auto"/>
              </w:rPr>
            </w:pPr>
            <w:r>
              <w:rPr>
                <w:rFonts w:ascii="Arial" w:cs="Arial" w:eastAsia="Arial" w:hAnsi="Arial"/>
                <w:sz w:val="14"/>
                <w:szCs w:val="14"/>
                <w:b w:val="1"/>
                <w:bCs w:val="1"/>
                <w:color w:val="auto"/>
                <w:w w:val="89"/>
              </w:rPr>
              <w:t>Shares of Class B</w:t>
            </w:r>
          </w:p>
        </w:tc>
        <w:tc>
          <w:tcPr>
            <w:tcW w:w="0" w:type="dxa"/>
            <w:vAlign w:val="bottom"/>
          </w:tcPr>
          <w:p>
            <w:pPr>
              <w:spacing w:after="0"/>
              <w:rPr>
                <w:sz w:val="1"/>
                <w:szCs w:val="1"/>
                <w:color w:val="auto"/>
              </w:rPr>
            </w:pPr>
          </w:p>
        </w:tc>
      </w:tr>
      <w:tr>
        <w:trPr>
          <w:trHeight w:val="149"/>
        </w:trPr>
        <w:tc>
          <w:tcPr>
            <w:tcW w:w="1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580" w:type="dxa"/>
            <w:vAlign w:val="bottom"/>
            <w:gridSpan w:val="4"/>
            <w:vMerge w:val="continue"/>
          </w:tcPr>
          <w:p>
            <w:pPr>
              <w:spacing w:after="0"/>
              <w:rPr>
                <w:sz w:val="12"/>
                <w:szCs w:val="12"/>
                <w:color w:val="auto"/>
              </w:rPr>
            </w:pPr>
          </w:p>
        </w:tc>
        <w:tc>
          <w:tcPr>
            <w:tcW w:w="1580" w:type="dxa"/>
            <w:vAlign w:val="bottom"/>
            <w:gridSpan w:val="4"/>
            <w:vMerge w:val="continue"/>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560" w:type="dxa"/>
            <w:vAlign w:val="bottom"/>
            <w:gridSpan w:val="4"/>
          </w:tcPr>
          <w:p>
            <w:pPr>
              <w:jc w:val="center"/>
              <w:ind w:right="100"/>
              <w:spacing w:after="0" w:line="149" w:lineRule="exact"/>
              <w:rPr>
                <w:sz w:val="20"/>
                <w:szCs w:val="20"/>
                <w:color w:val="auto"/>
              </w:rPr>
            </w:pPr>
            <w:r>
              <w:rPr>
                <w:rFonts w:ascii="Arial" w:cs="Arial" w:eastAsia="Arial" w:hAnsi="Arial"/>
                <w:sz w:val="14"/>
                <w:szCs w:val="14"/>
                <w:b w:val="1"/>
                <w:bCs w:val="1"/>
                <w:color w:val="auto"/>
                <w:w w:val="91"/>
              </w:rPr>
              <w:t>common stock</w:t>
            </w:r>
          </w:p>
        </w:tc>
        <w:tc>
          <w:tcPr>
            <w:tcW w:w="1520" w:type="dxa"/>
            <w:vAlign w:val="bottom"/>
            <w:gridSpan w:val="4"/>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320" w:type="dxa"/>
            <w:vAlign w:val="bottom"/>
            <w:gridSpan w:val="3"/>
            <w:vMerge w:val="restart"/>
          </w:tcPr>
          <w:p>
            <w:pPr>
              <w:jc w:val="center"/>
              <w:ind w:left="162"/>
              <w:spacing w:after="0"/>
              <w:rPr>
                <w:sz w:val="20"/>
                <w:szCs w:val="20"/>
                <w:color w:val="auto"/>
              </w:rPr>
            </w:pPr>
            <w:r>
              <w:rPr>
                <w:rFonts w:ascii="Arial" w:cs="Arial" w:eastAsia="Arial" w:hAnsi="Arial"/>
                <w:sz w:val="14"/>
                <w:szCs w:val="14"/>
                <w:b w:val="1"/>
                <w:bCs w:val="1"/>
                <w:color w:val="auto"/>
                <w:w w:val="93"/>
              </w:rPr>
              <w:t>Class A Units in</w:t>
            </w:r>
          </w:p>
        </w:tc>
        <w:tc>
          <w:tcPr>
            <w:tcW w:w="2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580" w:type="dxa"/>
            <w:vAlign w:val="bottom"/>
            <w:gridSpan w:val="4"/>
          </w:tcPr>
          <w:p>
            <w:pPr>
              <w:jc w:val="center"/>
              <w:ind w:right="80"/>
              <w:spacing w:after="0" w:line="149" w:lineRule="exact"/>
              <w:rPr>
                <w:sz w:val="20"/>
                <w:szCs w:val="20"/>
                <w:color w:val="auto"/>
              </w:rPr>
            </w:pPr>
            <w:r>
              <w:rPr>
                <w:rFonts w:ascii="Arial" w:cs="Arial" w:eastAsia="Arial" w:hAnsi="Arial"/>
                <w:sz w:val="14"/>
                <w:szCs w:val="14"/>
                <w:b w:val="1"/>
                <w:bCs w:val="1"/>
                <w:color w:val="auto"/>
                <w:w w:val="91"/>
              </w:rPr>
              <w:t>common stock</w:t>
            </w:r>
          </w:p>
        </w:tc>
        <w:tc>
          <w:tcPr>
            <w:tcW w:w="1580" w:type="dxa"/>
            <w:vAlign w:val="bottom"/>
            <w:gridSpan w:val="4"/>
          </w:tcPr>
          <w:p>
            <w:pPr>
              <w:jc w:val="center"/>
              <w:ind w:right="100"/>
              <w:spacing w:after="0" w:line="149" w:lineRule="exact"/>
              <w:rPr>
                <w:sz w:val="20"/>
                <w:szCs w:val="20"/>
                <w:color w:val="auto"/>
              </w:rPr>
            </w:pPr>
            <w:r>
              <w:rPr>
                <w:rFonts w:ascii="Arial" w:cs="Arial" w:eastAsia="Arial" w:hAnsi="Arial"/>
                <w:sz w:val="14"/>
                <w:szCs w:val="14"/>
                <w:b w:val="1"/>
                <w:bCs w:val="1"/>
                <w:color w:val="auto"/>
                <w:w w:val="89"/>
              </w:rPr>
              <w:t>common stock</w:t>
            </w: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560" w:type="dxa"/>
            <w:vAlign w:val="bottom"/>
            <w:gridSpan w:val="4"/>
          </w:tcPr>
          <w:p>
            <w:pPr>
              <w:jc w:val="center"/>
              <w:ind w:right="100"/>
              <w:spacing w:after="0" w:line="149" w:lineRule="exact"/>
              <w:rPr>
                <w:sz w:val="20"/>
                <w:szCs w:val="20"/>
                <w:color w:val="auto"/>
              </w:rPr>
            </w:pPr>
            <w:r>
              <w:rPr>
                <w:rFonts w:ascii="Arial" w:cs="Arial" w:eastAsia="Arial" w:hAnsi="Arial"/>
                <w:sz w:val="14"/>
                <w:szCs w:val="14"/>
                <w:b w:val="1"/>
                <w:bCs w:val="1"/>
                <w:color w:val="auto"/>
                <w:w w:val="91"/>
              </w:rPr>
              <w:t>beneficially owned after</w:t>
            </w:r>
          </w:p>
        </w:tc>
        <w:tc>
          <w:tcPr>
            <w:tcW w:w="1520" w:type="dxa"/>
            <w:vAlign w:val="bottom"/>
            <w:gridSpan w:val="4"/>
          </w:tcPr>
          <w:p>
            <w:pPr>
              <w:jc w:val="center"/>
              <w:ind w:right="40"/>
              <w:spacing w:after="0" w:line="149" w:lineRule="exact"/>
              <w:rPr>
                <w:sz w:val="20"/>
                <w:szCs w:val="20"/>
                <w:color w:val="auto"/>
              </w:rPr>
            </w:pPr>
            <w:r>
              <w:rPr>
                <w:rFonts w:ascii="Arial" w:cs="Arial" w:eastAsia="Arial" w:hAnsi="Arial"/>
                <w:sz w:val="14"/>
                <w:szCs w:val="14"/>
                <w:b w:val="1"/>
                <w:bCs w:val="1"/>
                <w:color w:val="auto"/>
                <w:w w:val="89"/>
              </w:rPr>
              <w:t>common stock</w:t>
            </w:r>
          </w:p>
        </w:tc>
        <w:tc>
          <w:tcPr>
            <w:tcW w:w="0" w:type="dxa"/>
            <w:vAlign w:val="bottom"/>
          </w:tcPr>
          <w:p>
            <w:pPr>
              <w:spacing w:after="0"/>
              <w:rPr>
                <w:sz w:val="1"/>
                <w:szCs w:val="1"/>
                <w:color w:val="auto"/>
              </w:rPr>
            </w:pPr>
          </w:p>
        </w:tc>
      </w:tr>
      <w:tr>
        <w:trPr>
          <w:trHeight w:val="148"/>
        </w:trPr>
        <w:tc>
          <w:tcPr>
            <w:tcW w:w="1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320" w:type="dxa"/>
            <w:vAlign w:val="bottom"/>
            <w:gridSpan w:val="3"/>
            <w:vMerge w:val="continue"/>
          </w:tcPr>
          <w:p>
            <w:pPr>
              <w:spacing w:after="0"/>
              <w:rPr>
                <w:sz w:val="12"/>
                <w:szCs w:val="12"/>
                <w:color w:val="auto"/>
              </w:rPr>
            </w:pPr>
          </w:p>
        </w:tc>
        <w:tc>
          <w:tcPr>
            <w:tcW w:w="2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580" w:type="dxa"/>
            <w:vAlign w:val="bottom"/>
            <w:gridSpan w:val="4"/>
          </w:tcPr>
          <w:p>
            <w:pPr>
              <w:jc w:val="center"/>
              <w:ind w:right="80"/>
              <w:spacing w:after="0" w:line="149" w:lineRule="exact"/>
              <w:rPr>
                <w:sz w:val="20"/>
                <w:szCs w:val="20"/>
                <w:color w:val="auto"/>
              </w:rPr>
            </w:pPr>
            <w:r>
              <w:rPr>
                <w:rFonts w:ascii="Arial" w:cs="Arial" w:eastAsia="Arial" w:hAnsi="Arial"/>
                <w:sz w:val="14"/>
                <w:szCs w:val="14"/>
                <w:b w:val="1"/>
                <w:bCs w:val="1"/>
                <w:color w:val="auto"/>
                <w:w w:val="91"/>
              </w:rPr>
              <w:t>beneficially owned after</w:t>
            </w:r>
          </w:p>
        </w:tc>
        <w:tc>
          <w:tcPr>
            <w:tcW w:w="1580" w:type="dxa"/>
            <w:vAlign w:val="bottom"/>
            <w:gridSpan w:val="4"/>
          </w:tcPr>
          <w:p>
            <w:pPr>
              <w:jc w:val="center"/>
              <w:ind w:right="100"/>
              <w:spacing w:after="0" w:line="149" w:lineRule="exact"/>
              <w:rPr>
                <w:sz w:val="20"/>
                <w:szCs w:val="20"/>
                <w:color w:val="auto"/>
              </w:rPr>
            </w:pPr>
            <w:r>
              <w:rPr>
                <w:rFonts w:ascii="Arial" w:cs="Arial" w:eastAsia="Arial" w:hAnsi="Arial"/>
                <w:sz w:val="14"/>
                <w:szCs w:val="14"/>
                <w:b w:val="1"/>
                <w:bCs w:val="1"/>
                <w:color w:val="auto"/>
                <w:w w:val="93"/>
              </w:rPr>
              <w:t>beneficially owned after</w:t>
            </w:r>
          </w:p>
        </w:tc>
        <w:tc>
          <w:tcPr>
            <w:tcW w:w="1780" w:type="dxa"/>
            <w:vAlign w:val="bottom"/>
            <w:gridSpan w:val="4"/>
            <w:vMerge w:val="restart"/>
          </w:tcPr>
          <w:p>
            <w:pPr>
              <w:jc w:val="center"/>
              <w:ind w:right="240"/>
              <w:spacing w:after="0"/>
              <w:rPr>
                <w:sz w:val="20"/>
                <w:szCs w:val="20"/>
                <w:color w:val="auto"/>
              </w:rPr>
            </w:pPr>
            <w:r>
              <w:rPr>
                <w:rFonts w:ascii="Arial" w:cs="Arial" w:eastAsia="Arial" w:hAnsi="Arial"/>
                <w:sz w:val="14"/>
                <w:szCs w:val="14"/>
                <w:b w:val="1"/>
                <w:bCs w:val="1"/>
                <w:color w:val="auto"/>
                <w:w w:val="97"/>
              </w:rPr>
              <w:t>Units in</w:t>
            </w:r>
          </w:p>
        </w:tc>
        <w:tc>
          <w:tcPr>
            <w:tcW w:w="1560" w:type="dxa"/>
            <w:vAlign w:val="bottom"/>
            <w:gridSpan w:val="4"/>
          </w:tcPr>
          <w:p>
            <w:pPr>
              <w:jc w:val="center"/>
              <w:ind w:right="100"/>
              <w:spacing w:after="0" w:line="149" w:lineRule="exact"/>
              <w:rPr>
                <w:sz w:val="20"/>
                <w:szCs w:val="20"/>
                <w:color w:val="auto"/>
              </w:rPr>
            </w:pPr>
            <w:r>
              <w:rPr>
                <w:rFonts w:ascii="Arial" w:cs="Arial" w:eastAsia="Arial" w:hAnsi="Arial"/>
                <w:sz w:val="14"/>
                <w:szCs w:val="14"/>
                <w:b w:val="1"/>
                <w:bCs w:val="1"/>
                <w:color w:val="auto"/>
                <w:w w:val="91"/>
              </w:rPr>
              <w:t>this offering</w:t>
            </w:r>
          </w:p>
        </w:tc>
        <w:tc>
          <w:tcPr>
            <w:tcW w:w="1520" w:type="dxa"/>
            <w:vAlign w:val="bottom"/>
            <w:gridSpan w:val="4"/>
          </w:tcPr>
          <w:p>
            <w:pPr>
              <w:jc w:val="center"/>
              <w:ind w:right="40"/>
              <w:spacing w:after="0" w:line="149" w:lineRule="exact"/>
              <w:rPr>
                <w:sz w:val="20"/>
                <w:szCs w:val="20"/>
                <w:color w:val="auto"/>
              </w:rPr>
            </w:pPr>
            <w:r>
              <w:rPr>
                <w:rFonts w:ascii="Arial" w:cs="Arial" w:eastAsia="Arial" w:hAnsi="Arial"/>
                <w:sz w:val="14"/>
                <w:szCs w:val="14"/>
                <w:b w:val="1"/>
                <w:bCs w:val="1"/>
                <w:color w:val="auto"/>
                <w:w w:val="93"/>
              </w:rPr>
              <w:t>beneficially owned after</w:t>
            </w:r>
          </w:p>
        </w:tc>
        <w:tc>
          <w:tcPr>
            <w:tcW w:w="0" w:type="dxa"/>
            <w:vAlign w:val="bottom"/>
          </w:tcPr>
          <w:p>
            <w:pPr>
              <w:spacing w:after="0"/>
              <w:rPr>
                <w:sz w:val="1"/>
                <w:szCs w:val="1"/>
                <w:color w:val="auto"/>
              </w:rPr>
            </w:pPr>
          </w:p>
        </w:tc>
      </w:tr>
      <w:tr>
        <w:trPr>
          <w:trHeight w:val="148"/>
        </w:trPr>
        <w:tc>
          <w:tcPr>
            <w:tcW w:w="1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320" w:type="dxa"/>
            <w:vAlign w:val="bottom"/>
            <w:gridSpan w:val="3"/>
          </w:tcPr>
          <w:p>
            <w:pPr>
              <w:jc w:val="center"/>
              <w:ind w:left="162"/>
              <w:spacing w:after="0" w:line="149" w:lineRule="exact"/>
              <w:rPr>
                <w:sz w:val="20"/>
                <w:szCs w:val="20"/>
                <w:color w:val="auto"/>
              </w:rPr>
            </w:pPr>
            <w:r>
              <w:rPr>
                <w:rFonts w:ascii="Arial" w:cs="Arial" w:eastAsia="Arial" w:hAnsi="Arial"/>
                <w:sz w:val="14"/>
                <w:szCs w:val="14"/>
                <w:b w:val="1"/>
                <w:bCs w:val="1"/>
                <w:color w:val="auto"/>
                <w:w w:val="95"/>
              </w:rPr>
              <w:t>Definitive OpCo</w:t>
            </w:r>
          </w:p>
        </w:tc>
        <w:tc>
          <w:tcPr>
            <w:tcW w:w="2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580" w:type="dxa"/>
            <w:vAlign w:val="bottom"/>
            <w:gridSpan w:val="4"/>
          </w:tcPr>
          <w:p>
            <w:pPr>
              <w:jc w:val="center"/>
              <w:ind w:right="80"/>
              <w:spacing w:after="0" w:line="149" w:lineRule="exact"/>
              <w:rPr>
                <w:sz w:val="20"/>
                <w:szCs w:val="20"/>
                <w:color w:val="auto"/>
              </w:rPr>
            </w:pPr>
            <w:r>
              <w:rPr>
                <w:rFonts w:ascii="Arial" w:cs="Arial" w:eastAsia="Arial" w:hAnsi="Arial"/>
                <w:sz w:val="14"/>
                <w:szCs w:val="14"/>
                <w:b w:val="1"/>
                <w:bCs w:val="1"/>
                <w:color w:val="auto"/>
                <w:w w:val="91"/>
              </w:rPr>
              <w:t>this offering (assuming</w:t>
            </w:r>
          </w:p>
        </w:tc>
        <w:tc>
          <w:tcPr>
            <w:tcW w:w="1580" w:type="dxa"/>
            <w:vAlign w:val="bottom"/>
            <w:gridSpan w:val="4"/>
          </w:tcPr>
          <w:p>
            <w:pPr>
              <w:jc w:val="center"/>
              <w:ind w:right="100"/>
              <w:spacing w:after="0" w:line="149" w:lineRule="exact"/>
              <w:rPr>
                <w:sz w:val="20"/>
                <w:szCs w:val="20"/>
                <w:color w:val="auto"/>
              </w:rPr>
            </w:pPr>
            <w:r>
              <w:rPr>
                <w:rFonts w:ascii="Arial" w:cs="Arial" w:eastAsia="Arial" w:hAnsi="Arial"/>
                <w:sz w:val="14"/>
                <w:szCs w:val="14"/>
                <w:b w:val="1"/>
                <w:bCs w:val="1"/>
                <w:color w:val="auto"/>
                <w:w w:val="90"/>
              </w:rPr>
              <w:t>this offering (assuming</w:t>
            </w:r>
          </w:p>
        </w:tc>
        <w:tc>
          <w:tcPr>
            <w:tcW w:w="1780" w:type="dxa"/>
            <w:vAlign w:val="bottom"/>
            <w:gridSpan w:val="4"/>
            <w:vMerge w:val="continue"/>
          </w:tcPr>
          <w:p>
            <w:pPr>
              <w:spacing w:after="0"/>
              <w:rPr>
                <w:sz w:val="12"/>
                <w:szCs w:val="12"/>
                <w:color w:val="auto"/>
              </w:rPr>
            </w:pPr>
          </w:p>
        </w:tc>
        <w:tc>
          <w:tcPr>
            <w:tcW w:w="1560" w:type="dxa"/>
            <w:vAlign w:val="bottom"/>
            <w:gridSpan w:val="4"/>
          </w:tcPr>
          <w:p>
            <w:pPr>
              <w:jc w:val="center"/>
              <w:ind w:right="100"/>
              <w:spacing w:after="0" w:line="149" w:lineRule="exact"/>
              <w:rPr>
                <w:sz w:val="20"/>
                <w:szCs w:val="20"/>
                <w:color w:val="auto"/>
              </w:rPr>
            </w:pPr>
            <w:r>
              <w:rPr>
                <w:rFonts w:ascii="Arial" w:cs="Arial" w:eastAsia="Arial" w:hAnsi="Arial"/>
                <w:sz w:val="14"/>
                <w:szCs w:val="14"/>
                <w:b w:val="1"/>
                <w:bCs w:val="1"/>
                <w:color w:val="auto"/>
                <w:w w:val="88"/>
              </w:rPr>
              <w:t>(assuming no exercise</w:t>
            </w:r>
          </w:p>
        </w:tc>
        <w:tc>
          <w:tcPr>
            <w:tcW w:w="1520" w:type="dxa"/>
            <w:vAlign w:val="bottom"/>
            <w:gridSpan w:val="4"/>
          </w:tcPr>
          <w:p>
            <w:pPr>
              <w:jc w:val="center"/>
              <w:ind w:right="40"/>
              <w:spacing w:after="0" w:line="149" w:lineRule="exact"/>
              <w:rPr>
                <w:sz w:val="20"/>
                <w:szCs w:val="20"/>
                <w:color w:val="auto"/>
              </w:rPr>
            </w:pPr>
            <w:r>
              <w:rPr>
                <w:rFonts w:ascii="Arial" w:cs="Arial" w:eastAsia="Arial" w:hAnsi="Arial"/>
                <w:sz w:val="14"/>
                <w:szCs w:val="14"/>
                <w:b w:val="1"/>
                <w:bCs w:val="1"/>
                <w:color w:val="auto"/>
                <w:w w:val="90"/>
              </w:rPr>
              <w:t>this offering (assuming</w:t>
            </w:r>
          </w:p>
        </w:tc>
        <w:tc>
          <w:tcPr>
            <w:tcW w:w="0" w:type="dxa"/>
            <w:vAlign w:val="bottom"/>
          </w:tcPr>
          <w:p>
            <w:pPr>
              <w:spacing w:after="0"/>
              <w:rPr>
                <w:sz w:val="1"/>
                <w:szCs w:val="1"/>
                <w:color w:val="auto"/>
              </w:rPr>
            </w:pPr>
          </w:p>
        </w:tc>
      </w:tr>
      <w:tr>
        <w:trPr>
          <w:trHeight w:val="148"/>
        </w:trPr>
        <w:tc>
          <w:tcPr>
            <w:tcW w:w="1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320" w:type="dxa"/>
            <w:vAlign w:val="bottom"/>
            <w:gridSpan w:val="3"/>
          </w:tcPr>
          <w:p>
            <w:pPr>
              <w:jc w:val="center"/>
              <w:ind w:left="182"/>
              <w:spacing w:after="0" w:line="149" w:lineRule="exact"/>
              <w:rPr>
                <w:sz w:val="20"/>
                <w:szCs w:val="20"/>
                <w:color w:val="auto"/>
              </w:rPr>
            </w:pPr>
            <w:r>
              <w:rPr>
                <w:rFonts w:ascii="Arial" w:cs="Arial" w:eastAsia="Arial" w:hAnsi="Arial"/>
                <w:sz w:val="14"/>
                <w:szCs w:val="14"/>
                <w:b w:val="1"/>
                <w:bCs w:val="1"/>
                <w:color w:val="auto"/>
                <w:w w:val="91"/>
              </w:rPr>
              <w:t>beneficially</w:t>
            </w:r>
          </w:p>
        </w:tc>
        <w:tc>
          <w:tcPr>
            <w:tcW w:w="2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580" w:type="dxa"/>
            <w:vAlign w:val="bottom"/>
            <w:gridSpan w:val="4"/>
          </w:tcPr>
          <w:p>
            <w:pPr>
              <w:jc w:val="center"/>
              <w:ind w:right="80"/>
              <w:spacing w:after="0" w:line="149" w:lineRule="exact"/>
              <w:rPr>
                <w:sz w:val="20"/>
                <w:szCs w:val="20"/>
                <w:color w:val="auto"/>
              </w:rPr>
            </w:pPr>
            <w:r>
              <w:rPr>
                <w:rFonts w:ascii="Arial" w:cs="Arial" w:eastAsia="Arial" w:hAnsi="Arial"/>
                <w:sz w:val="14"/>
                <w:szCs w:val="14"/>
                <w:b w:val="1"/>
                <w:bCs w:val="1"/>
                <w:color w:val="auto"/>
                <w:w w:val="90"/>
              </w:rPr>
              <w:t>no exercise of the option</w:t>
            </w:r>
          </w:p>
        </w:tc>
        <w:tc>
          <w:tcPr>
            <w:tcW w:w="1580" w:type="dxa"/>
            <w:vAlign w:val="bottom"/>
            <w:gridSpan w:val="4"/>
          </w:tcPr>
          <w:p>
            <w:pPr>
              <w:jc w:val="center"/>
              <w:ind w:right="100"/>
              <w:spacing w:after="0" w:line="149" w:lineRule="exact"/>
              <w:rPr>
                <w:sz w:val="20"/>
                <w:szCs w:val="20"/>
                <w:color w:val="auto"/>
              </w:rPr>
            </w:pPr>
            <w:r>
              <w:rPr>
                <w:rFonts w:ascii="Arial" w:cs="Arial" w:eastAsia="Arial" w:hAnsi="Arial"/>
                <w:sz w:val="14"/>
                <w:szCs w:val="14"/>
                <w:b w:val="1"/>
                <w:bCs w:val="1"/>
                <w:color w:val="auto"/>
                <w:w w:val="91"/>
              </w:rPr>
              <w:t>full exercise of the</w:t>
            </w:r>
          </w:p>
        </w:tc>
        <w:tc>
          <w:tcPr>
            <w:tcW w:w="1780" w:type="dxa"/>
            <w:vAlign w:val="bottom"/>
            <w:gridSpan w:val="4"/>
          </w:tcPr>
          <w:p>
            <w:pPr>
              <w:jc w:val="center"/>
              <w:ind w:right="240"/>
              <w:spacing w:after="0" w:line="149" w:lineRule="exact"/>
              <w:rPr>
                <w:sz w:val="20"/>
                <w:szCs w:val="20"/>
                <w:color w:val="auto"/>
              </w:rPr>
            </w:pPr>
            <w:r>
              <w:rPr>
                <w:rFonts w:ascii="Arial" w:cs="Arial" w:eastAsia="Arial" w:hAnsi="Arial"/>
                <w:sz w:val="14"/>
                <w:szCs w:val="14"/>
                <w:b w:val="1"/>
                <w:bCs w:val="1"/>
                <w:color w:val="auto"/>
                <w:w w:val="97"/>
              </w:rPr>
              <w:t>Definitive OpCo</w:t>
            </w:r>
          </w:p>
        </w:tc>
        <w:tc>
          <w:tcPr>
            <w:tcW w:w="1560" w:type="dxa"/>
            <w:vAlign w:val="bottom"/>
            <w:gridSpan w:val="4"/>
          </w:tcPr>
          <w:p>
            <w:pPr>
              <w:jc w:val="center"/>
              <w:ind w:right="100"/>
              <w:spacing w:after="0" w:line="149" w:lineRule="exact"/>
              <w:rPr>
                <w:sz w:val="20"/>
                <w:szCs w:val="20"/>
                <w:color w:val="auto"/>
              </w:rPr>
            </w:pPr>
            <w:r>
              <w:rPr>
                <w:rFonts w:ascii="Arial" w:cs="Arial" w:eastAsia="Arial" w:hAnsi="Arial"/>
                <w:sz w:val="14"/>
                <w:szCs w:val="14"/>
                <w:b w:val="1"/>
                <w:bCs w:val="1"/>
                <w:color w:val="auto"/>
                <w:w w:val="91"/>
              </w:rPr>
              <w:t>of the option</w:t>
            </w:r>
          </w:p>
        </w:tc>
        <w:tc>
          <w:tcPr>
            <w:tcW w:w="1520" w:type="dxa"/>
            <w:vAlign w:val="bottom"/>
            <w:gridSpan w:val="4"/>
          </w:tcPr>
          <w:p>
            <w:pPr>
              <w:jc w:val="center"/>
              <w:ind w:right="40"/>
              <w:spacing w:after="0" w:line="149" w:lineRule="exact"/>
              <w:rPr>
                <w:sz w:val="20"/>
                <w:szCs w:val="20"/>
                <w:color w:val="auto"/>
              </w:rPr>
            </w:pPr>
            <w:r>
              <w:rPr>
                <w:rFonts w:ascii="Arial" w:cs="Arial" w:eastAsia="Arial" w:hAnsi="Arial"/>
                <w:sz w:val="14"/>
                <w:szCs w:val="14"/>
                <w:b w:val="1"/>
                <w:bCs w:val="1"/>
                <w:color w:val="auto"/>
                <w:w w:val="91"/>
              </w:rPr>
              <w:t>full exercise of the</w:t>
            </w:r>
          </w:p>
        </w:tc>
        <w:tc>
          <w:tcPr>
            <w:tcW w:w="0" w:type="dxa"/>
            <w:vAlign w:val="bottom"/>
          </w:tcPr>
          <w:p>
            <w:pPr>
              <w:spacing w:after="0"/>
              <w:rPr>
                <w:sz w:val="1"/>
                <w:szCs w:val="1"/>
                <w:color w:val="auto"/>
              </w:rPr>
            </w:pPr>
          </w:p>
        </w:tc>
      </w:tr>
      <w:tr>
        <w:trPr>
          <w:trHeight w:val="149"/>
        </w:trPr>
        <w:tc>
          <w:tcPr>
            <w:tcW w:w="1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320" w:type="dxa"/>
            <w:vAlign w:val="bottom"/>
            <w:gridSpan w:val="3"/>
          </w:tcPr>
          <w:p>
            <w:pPr>
              <w:jc w:val="center"/>
              <w:ind w:left="182"/>
              <w:spacing w:after="0" w:line="149" w:lineRule="exact"/>
              <w:rPr>
                <w:sz w:val="20"/>
                <w:szCs w:val="20"/>
                <w:color w:val="auto"/>
              </w:rPr>
            </w:pPr>
            <w:r>
              <w:rPr>
                <w:rFonts w:ascii="Arial" w:cs="Arial" w:eastAsia="Arial" w:hAnsi="Arial"/>
                <w:sz w:val="14"/>
                <w:szCs w:val="14"/>
                <w:b w:val="1"/>
                <w:bCs w:val="1"/>
                <w:color w:val="auto"/>
                <w:w w:val="90"/>
              </w:rPr>
              <w:t>owned before</w:t>
            </w:r>
          </w:p>
        </w:tc>
        <w:tc>
          <w:tcPr>
            <w:tcW w:w="2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580" w:type="dxa"/>
            <w:vAlign w:val="bottom"/>
            <w:gridSpan w:val="4"/>
          </w:tcPr>
          <w:p>
            <w:pPr>
              <w:jc w:val="center"/>
              <w:ind w:right="80"/>
              <w:spacing w:after="0" w:line="149" w:lineRule="exact"/>
              <w:rPr>
                <w:sz w:val="20"/>
                <w:szCs w:val="20"/>
                <w:color w:val="auto"/>
              </w:rPr>
            </w:pPr>
            <w:r>
              <w:rPr>
                <w:rFonts w:ascii="Arial" w:cs="Arial" w:eastAsia="Arial" w:hAnsi="Arial"/>
                <w:sz w:val="14"/>
                <w:szCs w:val="14"/>
                <w:b w:val="1"/>
                <w:bCs w:val="1"/>
                <w:color w:val="auto"/>
                <w:w w:val="88"/>
              </w:rPr>
              <w:t>to purchase</w:t>
            </w:r>
          </w:p>
        </w:tc>
        <w:tc>
          <w:tcPr>
            <w:tcW w:w="1580" w:type="dxa"/>
            <w:vAlign w:val="bottom"/>
            <w:gridSpan w:val="4"/>
          </w:tcPr>
          <w:p>
            <w:pPr>
              <w:jc w:val="center"/>
              <w:ind w:right="80"/>
              <w:spacing w:after="0" w:line="149" w:lineRule="exact"/>
              <w:rPr>
                <w:sz w:val="20"/>
                <w:szCs w:val="20"/>
                <w:color w:val="auto"/>
              </w:rPr>
            </w:pPr>
            <w:r>
              <w:rPr>
                <w:rFonts w:ascii="Arial" w:cs="Arial" w:eastAsia="Arial" w:hAnsi="Arial"/>
                <w:sz w:val="14"/>
                <w:szCs w:val="14"/>
                <w:b w:val="1"/>
                <w:bCs w:val="1"/>
                <w:color w:val="auto"/>
                <w:w w:val="90"/>
              </w:rPr>
              <w:t>option to purchase</w:t>
            </w:r>
          </w:p>
        </w:tc>
        <w:tc>
          <w:tcPr>
            <w:tcW w:w="1780" w:type="dxa"/>
            <w:vAlign w:val="bottom"/>
            <w:gridSpan w:val="4"/>
          </w:tcPr>
          <w:p>
            <w:pPr>
              <w:jc w:val="center"/>
              <w:ind w:right="240"/>
              <w:spacing w:after="0" w:line="149" w:lineRule="exact"/>
              <w:rPr>
                <w:sz w:val="20"/>
                <w:szCs w:val="20"/>
                <w:color w:val="auto"/>
              </w:rPr>
            </w:pPr>
            <w:r>
              <w:rPr>
                <w:rFonts w:ascii="Arial" w:cs="Arial" w:eastAsia="Arial" w:hAnsi="Arial"/>
                <w:sz w:val="14"/>
                <w:szCs w:val="14"/>
                <w:b w:val="1"/>
                <w:bCs w:val="1"/>
                <w:color w:val="auto"/>
                <w:w w:val="91"/>
              </w:rPr>
              <w:t>beneficially owned</w:t>
            </w:r>
          </w:p>
        </w:tc>
        <w:tc>
          <w:tcPr>
            <w:tcW w:w="1560" w:type="dxa"/>
            <w:vAlign w:val="bottom"/>
            <w:gridSpan w:val="4"/>
          </w:tcPr>
          <w:p>
            <w:pPr>
              <w:jc w:val="center"/>
              <w:ind w:right="100"/>
              <w:spacing w:after="0" w:line="149" w:lineRule="exact"/>
              <w:rPr>
                <w:sz w:val="20"/>
                <w:szCs w:val="20"/>
                <w:color w:val="auto"/>
              </w:rPr>
            </w:pPr>
            <w:r>
              <w:rPr>
                <w:rFonts w:ascii="Arial" w:cs="Arial" w:eastAsia="Arial" w:hAnsi="Arial"/>
                <w:sz w:val="14"/>
                <w:szCs w:val="14"/>
                <w:b w:val="1"/>
                <w:bCs w:val="1"/>
                <w:color w:val="auto"/>
                <w:w w:val="88"/>
              </w:rPr>
              <w:t>to purchase</w:t>
            </w:r>
          </w:p>
        </w:tc>
        <w:tc>
          <w:tcPr>
            <w:tcW w:w="1520" w:type="dxa"/>
            <w:vAlign w:val="bottom"/>
            <w:gridSpan w:val="4"/>
          </w:tcPr>
          <w:p>
            <w:pPr>
              <w:jc w:val="center"/>
              <w:ind w:right="60"/>
              <w:spacing w:after="0" w:line="149" w:lineRule="exact"/>
              <w:rPr>
                <w:sz w:val="20"/>
                <w:szCs w:val="20"/>
                <w:color w:val="auto"/>
              </w:rPr>
            </w:pPr>
            <w:r>
              <w:rPr>
                <w:rFonts w:ascii="Arial" w:cs="Arial" w:eastAsia="Arial" w:hAnsi="Arial"/>
                <w:sz w:val="14"/>
                <w:szCs w:val="14"/>
                <w:b w:val="1"/>
                <w:bCs w:val="1"/>
                <w:color w:val="auto"/>
                <w:w w:val="90"/>
              </w:rPr>
              <w:t>option to purchase</w:t>
            </w:r>
          </w:p>
        </w:tc>
        <w:tc>
          <w:tcPr>
            <w:tcW w:w="0" w:type="dxa"/>
            <w:vAlign w:val="bottom"/>
          </w:tcPr>
          <w:p>
            <w:pPr>
              <w:spacing w:after="0"/>
              <w:rPr>
                <w:sz w:val="1"/>
                <w:szCs w:val="1"/>
                <w:color w:val="auto"/>
              </w:rPr>
            </w:pPr>
          </w:p>
        </w:tc>
      </w:tr>
      <w:tr>
        <w:trPr>
          <w:trHeight w:val="171"/>
        </w:trPr>
        <w:tc>
          <w:tcPr>
            <w:tcW w:w="1300" w:type="dxa"/>
            <w:vAlign w:val="bottom"/>
            <w:gridSpan w:val="6"/>
            <w:vMerge w:val="restart"/>
          </w:tcPr>
          <w:p>
            <w:pPr>
              <w:spacing w:after="0"/>
              <w:rPr>
                <w:sz w:val="20"/>
                <w:szCs w:val="20"/>
                <w:color w:val="auto"/>
              </w:rPr>
            </w:pPr>
            <w:r>
              <w:rPr>
                <w:rFonts w:ascii="Arial" w:cs="Arial" w:eastAsia="Arial" w:hAnsi="Arial"/>
                <w:sz w:val="14"/>
                <w:szCs w:val="14"/>
                <w:b w:val="1"/>
                <w:bCs w:val="1"/>
                <w:color w:val="auto"/>
                <w:w w:val="90"/>
              </w:rPr>
              <w:t>Name and address of</w:t>
            </w:r>
          </w:p>
        </w:tc>
        <w:tc>
          <w:tcPr>
            <w:tcW w:w="40" w:type="dxa"/>
            <w:vAlign w:val="bottom"/>
          </w:tcPr>
          <w:p>
            <w:pPr>
              <w:spacing w:after="0"/>
              <w:rPr>
                <w:sz w:val="14"/>
                <w:szCs w:val="14"/>
                <w:color w:val="auto"/>
              </w:rPr>
            </w:pPr>
          </w:p>
        </w:tc>
        <w:tc>
          <w:tcPr>
            <w:tcW w:w="1320" w:type="dxa"/>
            <w:vAlign w:val="bottom"/>
            <w:gridSpan w:val="3"/>
          </w:tcPr>
          <w:p>
            <w:pPr>
              <w:jc w:val="center"/>
              <w:ind w:left="162"/>
              <w:spacing w:after="0"/>
              <w:rPr>
                <w:sz w:val="20"/>
                <w:szCs w:val="20"/>
                <w:color w:val="auto"/>
              </w:rPr>
            </w:pPr>
            <w:r>
              <w:rPr>
                <w:rFonts w:ascii="Arial" w:cs="Arial" w:eastAsia="Arial" w:hAnsi="Arial"/>
                <w:sz w:val="14"/>
                <w:szCs w:val="14"/>
                <w:b w:val="1"/>
                <w:bCs w:val="1"/>
                <w:color w:val="auto"/>
                <w:w w:val="93"/>
              </w:rPr>
              <w:t>this offering</w:t>
            </w:r>
          </w:p>
        </w:tc>
        <w:tc>
          <w:tcPr>
            <w:tcW w:w="2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580" w:type="dxa"/>
            <w:vAlign w:val="bottom"/>
            <w:gridSpan w:val="4"/>
          </w:tcPr>
          <w:p>
            <w:pPr>
              <w:jc w:val="center"/>
              <w:ind w:right="80"/>
              <w:spacing w:after="0"/>
              <w:rPr>
                <w:sz w:val="20"/>
                <w:szCs w:val="20"/>
                <w:color w:val="auto"/>
              </w:rPr>
            </w:pPr>
            <w:r>
              <w:rPr>
                <w:rFonts w:ascii="Arial" w:cs="Arial" w:eastAsia="Arial" w:hAnsi="Arial"/>
                <w:sz w:val="14"/>
                <w:szCs w:val="14"/>
                <w:b w:val="1"/>
                <w:bCs w:val="1"/>
                <w:color w:val="auto"/>
                <w:w w:val="91"/>
              </w:rPr>
              <w:t>additional shares)</w:t>
            </w:r>
          </w:p>
        </w:tc>
        <w:tc>
          <w:tcPr>
            <w:tcW w:w="1580" w:type="dxa"/>
            <w:vAlign w:val="bottom"/>
            <w:gridSpan w:val="4"/>
          </w:tcPr>
          <w:p>
            <w:pPr>
              <w:jc w:val="center"/>
              <w:ind w:right="80"/>
              <w:spacing w:after="0"/>
              <w:rPr>
                <w:sz w:val="20"/>
                <w:szCs w:val="20"/>
                <w:color w:val="auto"/>
              </w:rPr>
            </w:pPr>
            <w:r>
              <w:rPr>
                <w:rFonts w:ascii="Arial" w:cs="Arial" w:eastAsia="Arial" w:hAnsi="Arial"/>
                <w:sz w:val="14"/>
                <w:szCs w:val="14"/>
                <w:b w:val="1"/>
                <w:bCs w:val="1"/>
                <w:color w:val="auto"/>
                <w:w w:val="91"/>
              </w:rPr>
              <w:t>additional shares)</w:t>
            </w:r>
          </w:p>
        </w:tc>
        <w:tc>
          <w:tcPr>
            <w:tcW w:w="1780" w:type="dxa"/>
            <w:vAlign w:val="bottom"/>
            <w:gridSpan w:val="4"/>
          </w:tcPr>
          <w:p>
            <w:pPr>
              <w:jc w:val="center"/>
              <w:ind w:right="240"/>
              <w:spacing w:after="0"/>
              <w:rPr>
                <w:sz w:val="20"/>
                <w:szCs w:val="20"/>
                <w:color w:val="auto"/>
              </w:rPr>
            </w:pPr>
            <w:r>
              <w:rPr>
                <w:rFonts w:ascii="Arial" w:cs="Arial" w:eastAsia="Arial" w:hAnsi="Arial"/>
                <w:sz w:val="14"/>
                <w:szCs w:val="14"/>
                <w:b w:val="1"/>
                <w:bCs w:val="1"/>
                <w:color w:val="auto"/>
                <w:w w:val="92"/>
              </w:rPr>
              <w:t>before this offering</w:t>
            </w:r>
          </w:p>
        </w:tc>
        <w:tc>
          <w:tcPr>
            <w:tcW w:w="1560" w:type="dxa"/>
            <w:vAlign w:val="bottom"/>
            <w:gridSpan w:val="4"/>
          </w:tcPr>
          <w:p>
            <w:pPr>
              <w:jc w:val="center"/>
              <w:ind w:right="100"/>
              <w:spacing w:after="0"/>
              <w:rPr>
                <w:sz w:val="20"/>
                <w:szCs w:val="20"/>
                <w:color w:val="auto"/>
              </w:rPr>
            </w:pPr>
            <w:r>
              <w:rPr>
                <w:rFonts w:ascii="Arial" w:cs="Arial" w:eastAsia="Arial" w:hAnsi="Arial"/>
                <w:sz w:val="14"/>
                <w:szCs w:val="14"/>
                <w:b w:val="1"/>
                <w:bCs w:val="1"/>
                <w:color w:val="auto"/>
                <w:w w:val="92"/>
              </w:rPr>
              <w:t>additional shares</w:t>
            </w:r>
          </w:p>
        </w:tc>
        <w:tc>
          <w:tcPr>
            <w:tcW w:w="1520" w:type="dxa"/>
            <w:vAlign w:val="bottom"/>
            <w:gridSpan w:val="4"/>
          </w:tcPr>
          <w:p>
            <w:pPr>
              <w:jc w:val="center"/>
              <w:ind w:right="60"/>
              <w:spacing w:after="0"/>
              <w:rPr>
                <w:sz w:val="20"/>
                <w:szCs w:val="20"/>
                <w:color w:val="auto"/>
              </w:rPr>
            </w:pPr>
            <w:r>
              <w:rPr>
                <w:rFonts w:ascii="Arial" w:cs="Arial" w:eastAsia="Arial" w:hAnsi="Arial"/>
                <w:sz w:val="14"/>
                <w:szCs w:val="14"/>
                <w:b w:val="1"/>
                <w:bCs w:val="1"/>
                <w:color w:val="auto"/>
                <w:w w:val="91"/>
              </w:rPr>
              <w:t>additional shares)</w:t>
            </w:r>
          </w:p>
        </w:tc>
        <w:tc>
          <w:tcPr>
            <w:tcW w:w="0" w:type="dxa"/>
            <w:vAlign w:val="bottom"/>
          </w:tcPr>
          <w:p>
            <w:pPr>
              <w:spacing w:after="0"/>
              <w:rPr>
                <w:sz w:val="1"/>
                <w:szCs w:val="1"/>
                <w:color w:val="auto"/>
              </w:rPr>
            </w:pPr>
          </w:p>
        </w:tc>
      </w:tr>
      <w:tr>
        <w:trPr>
          <w:trHeight w:val="115"/>
        </w:trPr>
        <w:tc>
          <w:tcPr>
            <w:tcW w:w="1300" w:type="dxa"/>
            <w:vAlign w:val="bottom"/>
            <w:gridSpan w:val="6"/>
            <w:vMerge w:val="continue"/>
          </w:tcPr>
          <w:p>
            <w:pPr>
              <w:spacing w:after="0"/>
              <w:rPr>
                <w:sz w:val="10"/>
                <w:szCs w:val="10"/>
                <w:color w:val="auto"/>
              </w:rPr>
            </w:pPr>
          </w:p>
        </w:tc>
        <w:tc>
          <w:tcPr>
            <w:tcW w:w="40" w:type="dxa"/>
            <w:vAlign w:val="bottom"/>
          </w:tcPr>
          <w:p>
            <w:pPr>
              <w:spacing w:after="0"/>
              <w:rPr>
                <w:sz w:val="10"/>
                <w:szCs w:val="10"/>
                <w:color w:val="auto"/>
              </w:rPr>
            </w:pPr>
          </w:p>
        </w:tc>
        <w:tc>
          <w:tcPr>
            <w:tcW w:w="860" w:type="dxa"/>
            <w:vAlign w:val="bottom"/>
            <w:tcBorders>
              <w:top w:val="single" w:sz="8" w:color="auto"/>
            </w:tcBorders>
            <w:gridSpan w:val="2"/>
          </w:tcPr>
          <w:p>
            <w:pPr>
              <w:ind w:left="60"/>
              <w:spacing w:after="0" w:line="115" w:lineRule="exact"/>
              <w:rPr>
                <w:sz w:val="20"/>
                <w:szCs w:val="20"/>
                <w:color w:val="auto"/>
              </w:rPr>
            </w:pPr>
            <w:r>
              <w:rPr>
                <w:rFonts w:ascii="Arial" w:cs="Arial" w:eastAsia="Arial" w:hAnsi="Arial"/>
                <w:sz w:val="13"/>
                <w:szCs w:val="13"/>
                <w:b w:val="1"/>
                <w:bCs w:val="1"/>
                <w:color w:val="auto"/>
              </w:rPr>
              <w:t>Number of</w:t>
            </w:r>
          </w:p>
        </w:tc>
        <w:tc>
          <w:tcPr>
            <w:tcW w:w="700" w:type="dxa"/>
            <w:vAlign w:val="bottom"/>
            <w:tcBorders>
              <w:top w:val="single" w:sz="8" w:color="auto"/>
            </w:tcBorders>
            <w:gridSpan w:val="2"/>
          </w:tcPr>
          <w:p>
            <w:pPr>
              <w:jc w:val="right"/>
              <w:spacing w:after="0" w:line="115" w:lineRule="exact"/>
              <w:rPr>
                <w:sz w:val="20"/>
                <w:szCs w:val="20"/>
                <w:color w:val="auto"/>
              </w:rPr>
            </w:pPr>
            <w:r>
              <w:rPr>
                <w:rFonts w:ascii="Arial" w:cs="Arial" w:eastAsia="Arial" w:hAnsi="Arial"/>
                <w:sz w:val="13"/>
                <w:szCs w:val="13"/>
                <w:b w:val="1"/>
                <w:bCs w:val="1"/>
                <w:color w:val="auto"/>
                <w:w w:val="96"/>
              </w:rPr>
              <w:t>Percentage</w:t>
            </w:r>
          </w:p>
        </w:tc>
        <w:tc>
          <w:tcPr>
            <w:tcW w:w="220" w:type="dxa"/>
            <w:vAlign w:val="bottom"/>
          </w:tcPr>
          <w:p>
            <w:pPr>
              <w:spacing w:after="0"/>
              <w:rPr>
                <w:sz w:val="10"/>
                <w:szCs w:val="10"/>
                <w:color w:val="auto"/>
              </w:rPr>
            </w:pPr>
          </w:p>
        </w:tc>
        <w:tc>
          <w:tcPr>
            <w:tcW w:w="700" w:type="dxa"/>
            <w:vAlign w:val="bottom"/>
            <w:tcBorders>
              <w:top w:val="single" w:sz="8" w:color="auto"/>
            </w:tcBorders>
            <w:gridSpan w:val="2"/>
          </w:tcPr>
          <w:p>
            <w:pPr>
              <w:ind w:left="60"/>
              <w:spacing w:after="0" w:line="115" w:lineRule="exact"/>
              <w:rPr>
                <w:sz w:val="20"/>
                <w:szCs w:val="20"/>
                <w:color w:val="auto"/>
              </w:rPr>
            </w:pPr>
            <w:r>
              <w:rPr>
                <w:rFonts w:ascii="Arial" w:cs="Arial" w:eastAsia="Arial" w:hAnsi="Arial"/>
                <w:sz w:val="13"/>
                <w:szCs w:val="13"/>
                <w:b w:val="1"/>
                <w:bCs w:val="1"/>
                <w:color w:val="auto"/>
              </w:rPr>
              <w:t>Number</w:t>
            </w:r>
          </w:p>
        </w:tc>
        <w:tc>
          <w:tcPr>
            <w:tcW w:w="800" w:type="dxa"/>
            <w:vAlign w:val="bottom"/>
            <w:tcBorders>
              <w:top w:val="single" w:sz="8" w:color="auto"/>
            </w:tcBorders>
          </w:tcPr>
          <w:p>
            <w:pPr>
              <w:jc w:val="center"/>
              <w:spacing w:after="0" w:line="115" w:lineRule="exact"/>
              <w:rPr>
                <w:sz w:val="20"/>
                <w:szCs w:val="20"/>
                <w:color w:val="auto"/>
              </w:rPr>
            </w:pPr>
            <w:r>
              <w:rPr>
                <w:rFonts w:ascii="Arial" w:cs="Arial" w:eastAsia="Arial" w:hAnsi="Arial"/>
                <w:sz w:val="13"/>
                <w:szCs w:val="13"/>
                <w:b w:val="1"/>
                <w:bCs w:val="1"/>
                <w:color w:val="auto"/>
                <w:w w:val="96"/>
              </w:rPr>
              <w:t>Percentage</w:t>
            </w:r>
          </w:p>
        </w:tc>
        <w:tc>
          <w:tcPr>
            <w:tcW w:w="80" w:type="dxa"/>
            <w:vAlign w:val="bottom"/>
          </w:tcPr>
          <w:p>
            <w:pPr>
              <w:spacing w:after="0"/>
              <w:rPr>
                <w:sz w:val="10"/>
                <w:szCs w:val="10"/>
                <w:color w:val="auto"/>
              </w:rPr>
            </w:pPr>
          </w:p>
        </w:tc>
        <w:tc>
          <w:tcPr>
            <w:tcW w:w="700" w:type="dxa"/>
            <w:vAlign w:val="bottom"/>
            <w:tcBorders>
              <w:top w:val="single" w:sz="8" w:color="auto"/>
            </w:tcBorders>
            <w:gridSpan w:val="2"/>
          </w:tcPr>
          <w:p>
            <w:pPr>
              <w:ind w:left="60"/>
              <w:spacing w:after="0" w:line="115" w:lineRule="exact"/>
              <w:rPr>
                <w:sz w:val="20"/>
                <w:szCs w:val="20"/>
                <w:color w:val="auto"/>
              </w:rPr>
            </w:pPr>
            <w:r>
              <w:rPr>
                <w:rFonts w:ascii="Arial" w:cs="Arial" w:eastAsia="Arial" w:hAnsi="Arial"/>
                <w:sz w:val="13"/>
                <w:szCs w:val="13"/>
                <w:b w:val="1"/>
                <w:bCs w:val="1"/>
                <w:color w:val="auto"/>
              </w:rPr>
              <w:t>Number</w:t>
            </w:r>
          </w:p>
        </w:tc>
        <w:tc>
          <w:tcPr>
            <w:tcW w:w="780" w:type="dxa"/>
            <w:vAlign w:val="bottom"/>
            <w:tcBorders>
              <w:top w:val="single" w:sz="8" w:color="auto"/>
            </w:tcBorders>
          </w:tcPr>
          <w:p>
            <w:pPr>
              <w:jc w:val="center"/>
              <w:spacing w:after="0" w:line="115" w:lineRule="exact"/>
              <w:rPr>
                <w:sz w:val="20"/>
                <w:szCs w:val="20"/>
                <w:color w:val="auto"/>
              </w:rPr>
            </w:pPr>
            <w:r>
              <w:rPr>
                <w:rFonts w:ascii="Arial" w:cs="Arial" w:eastAsia="Arial" w:hAnsi="Arial"/>
                <w:sz w:val="13"/>
                <w:szCs w:val="13"/>
                <w:b w:val="1"/>
                <w:bCs w:val="1"/>
                <w:color w:val="auto"/>
                <w:w w:val="96"/>
              </w:rPr>
              <w:t>Percentage</w:t>
            </w:r>
          </w:p>
        </w:tc>
        <w:tc>
          <w:tcPr>
            <w:tcW w:w="100" w:type="dxa"/>
            <w:vAlign w:val="bottom"/>
          </w:tcPr>
          <w:p>
            <w:pPr>
              <w:spacing w:after="0"/>
              <w:rPr>
                <w:sz w:val="10"/>
                <w:szCs w:val="10"/>
                <w:color w:val="auto"/>
              </w:rPr>
            </w:pPr>
          </w:p>
        </w:tc>
        <w:tc>
          <w:tcPr>
            <w:tcW w:w="860" w:type="dxa"/>
            <w:vAlign w:val="bottom"/>
            <w:tcBorders>
              <w:top w:val="single" w:sz="8" w:color="auto"/>
            </w:tcBorders>
            <w:gridSpan w:val="2"/>
          </w:tcPr>
          <w:p>
            <w:pPr>
              <w:jc w:val="right"/>
              <w:ind w:right="140"/>
              <w:spacing w:after="0" w:line="115" w:lineRule="exact"/>
              <w:rPr>
                <w:sz w:val="20"/>
                <w:szCs w:val="20"/>
                <w:color w:val="auto"/>
              </w:rPr>
            </w:pPr>
            <w:r>
              <w:rPr>
                <w:rFonts w:ascii="Arial" w:cs="Arial" w:eastAsia="Arial" w:hAnsi="Arial"/>
                <w:sz w:val="13"/>
                <w:szCs w:val="13"/>
                <w:b w:val="1"/>
                <w:bCs w:val="1"/>
                <w:color w:val="auto"/>
              </w:rPr>
              <w:t>Number of</w:t>
            </w:r>
          </w:p>
        </w:tc>
        <w:tc>
          <w:tcPr>
            <w:tcW w:w="680" w:type="dxa"/>
            <w:vAlign w:val="bottom"/>
            <w:tcBorders>
              <w:top w:val="single" w:sz="8" w:color="auto"/>
            </w:tcBorders>
          </w:tcPr>
          <w:p>
            <w:pPr>
              <w:jc w:val="right"/>
              <w:spacing w:after="0" w:line="115" w:lineRule="exact"/>
              <w:rPr>
                <w:sz w:val="20"/>
                <w:szCs w:val="20"/>
                <w:color w:val="auto"/>
              </w:rPr>
            </w:pPr>
            <w:r>
              <w:rPr>
                <w:rFonts w:ascii="Arial" w:cs="Arial" w:eastAsia="Arial" w:hAnsi="Arial"/>
                <w:sz w:val="13"/>
                <w:szCs w:val="13"/>
                <w:b w:val="1"/>
                <w:bCs w:val="1"/>
                <w:color w:val="auto"/>
                <w:w w:val="94"/>
              </w:rPr>
              <w:t>Percentage</w:t>
            </w:r>
          </w:p>
        </w:tc>
        <w:tc>
          <w:tcPr>
            <w:tcW w:w="240" w:type="dxa"/>
            <w:vAlign w:val="bottom"/>
          </w:tcPr>
          <w:p>
            <w:pPr>
              <w:spacing w:after="0"/>
              <w:rPr>
                <w:sz w:val="10"/>
                <w:szCs w:val="10"/>
                <w:color w:val="auto"/>
              </w:rPr>
            </w:pPr>
          </w:p>
        </w:tc>
        <w:tc>
          <w:tcPr>
            <w:tcW w:w="700" w:type="dxa"/>
            <w:vAlign w:val="bottom"/>
            <w:tcBorders>
              <w:top w:val="single" w:sz="8" w:color="auto"/>
            </w:tcBorders>
            <w:gridSpan w:val="2"/>
          </w:tcPr>
          <w:p>
            <w:pPr>
              <w:ind w:left="40"/>
              <w:spacing w:after="0" w:line="115" w:lineRule="exact"/>
              <w:rPr>
                <w:sz w:val="20"/>
                <w:szCs w:val="20"/>
                <w:color w:val="auto"/>
              </w:rPr>
            </w:pPr>
            <w:r>
              <w:rPr>
                <w:rFonts w:ascii="Arial" w:cs="Arial" w:eastAsia="Arial" w:hAnsi="Arial"/>
                <w:sz w:val="13"/>
                <w:szCs w:val="13"/>
                <w:b w:val="1"/>
                <w:bCs w:val="1"/>
                <w:color w:val="auto"/>
              </w:rPr>
              <w:t>Number</w:t>
            </w:r>
          </w:p>
        </w:tc>
        <w:tc>
          <w:tcPr>
            <w:tcW w:w="760" w:type="dxa"/>
            <w:vAlign w:val="bottom"/>
            <w:tcBorders>
              <w:top w:val="single" w:sz="8" w:color="auto"/>
            </w:tcBorders>
          </w:tcPr>
          <w:p>
            <w:pPr>
              <w:jc w:val="center"/>
              <w:spacing w:after="0" w:line="115" w:lineRule="exact"/>
              <w:rPr>
                <w:sz w:val="20"/>
                <w:szCs w:val="20"/>
                <w:color w:val="auto"/>
              </w:rPr>
            </w:pPr>
            <w:r>
              <w:rPr>
                <w:rFonts w:ascii="Arial" w:cs="Arial" w:eastAsia="Arial" w:hAnsi="Arial"/>
                <w:sz w:val="13"/>
                <w:szCs w:val="13"/>
                <w:b w:val="1"/>
                <w:bCs w:val="1"/>
                <w:color w:val="auto"/>
                <w:w w:val="96"/>
              </w:rPr>
              <w:t>Percentage</w:t>
            </w:r>
          </w:p>
        </w:tc>
        <w:tc>
          <w:tcPr>
            <w:tcW w:w="100" w:type="dxa"/>
            <w:vAlign w:val="bottom"/>
          </w:tcPr>
          <w:p>
            <w:pPr>
              <w:spacing w:after="0"/>
              <w:rPr>
                <w:sz w:val="10"/>
                <w:szCs w:val="10"/>
                <w:color w:val="auto"/>
              </w:rPr>
            </w:pPr>
          </w:p>
        </w:tc>
        <w:tc>
          <w:tcPr>
            <w:tcW w:w="780" w:type="dxa"/>
            <w:vAlign w:val="bottom"/>
            <w:tcBorders>
              <w:top w:val="single" w:sz="8" w:color="auto"/>
            </w:tcBorders>
            <w:gridSpan w:val="2"/>
          </w:tcPr>
          <w:p>
            <w:pPr>
              <w:jc w:val="center"/>
              <w:ind w:right="100"/>
              <w:spacing w:after="0" w:line="115" w:lineRule="exact"/>
              <w:rPr>
                <w:sz w:val="20"/>
                <w:szCs w:val="20"/>
                <w:color w:val="auto"/>
              </w:rPr>
            </w:pPr>
            <w:r>
              <w:rPr>
                <w:rFonts w:ascii="Arial" w:cs="Arial" w:eastAsia="Arial" w:hAnsi="Arial"/>
                <w:sz w:val="13"/>
                <w:szCs w:val="13"/>
                <w:b w:val="1"/>
                <w:bCs w:val="1"/>
                <w:color w:val="auto"/>
              </w:rPr>
              <w:t>Number of</w:t>
            </w:r>
          </w:p>
        </w:tc>
        <w:tc>
          <w:tcPr>
            <w:tcW w:w="700" w:type="dxa"/>
            <w:vAlign w:val="bottom"/>
            <w:tcBorders>
              <w:top w:val="single" w:sz="8" w:color="auto"/>
            </w:tcBorders>
          </w:tcPr>
          <w:p>
            <w:pPr>
              <w:jc w:val="center"/>
              <w:spacing w:after="0" w:line="115" w:lineRule="exact"/>
              <w:rPr>
                <w:sz w:val="20"/>
                <w:szCs w:val="20"/>
                <w:color w:val="auto"/>
              </w:rPr>
            </w:pPr>
            <w:r>
              <w:rPr>
                <w:rFonts w:ascii="Arial" w:cs="Arial" w:eastAsia="Arial" w:hAnsi="Arial"/>
                <w:sz w:val="13"/>
                <w:szCs w:val="13"/>
                <w:b w:val="1"/>
                <w:bCs w:val="1"/>
                <w:color w:val="auto"/>
                <w:w w:val="96"/>
              </w:rPr>
              <w:t>Percentage</w:t>
            </w: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2"/>
        </w:trPr>
        <w:tc>
          <w:tcPr>
            <w:tcW w:w="1300" w:type="dxa"/>
            <w:vAlign w:val="bottom"/>
            <w:tcBorders>
              <w:bottom w:val="single" w:sz="8" w:color="auto"/>
            </w:tcBorders>
            <w:gridSpan w:val="6"/>
          </w:tcPr>
          <w:p>
            <w:pPr>
              <w:spacing w:after="0"/>
              <w:rPr>
                <w:sz w:val="20"/>
                <w:szCs w:val="20"/>
                <w:color w:val="auto"/>
              </w:rPr>
            </w:pPr>
            <w:r>
              <w:rPr>
                <w:rFonts w:ascii="Arial" w:cs="Arial" w:eastAsia="Arial" w:hAnsi="Arial"/>
                <w:sz w:val="14"/>
                <w:szCs w:val="14"/>
                <w:b w:val="1"/>
                <w:bCs w:val="1"/>
                <w:color w:val="auto"/>
              </w:rPr>
              <w:t>beneficial owner</w:t>
            </w:r>
          </w:p>
        </w:tc>
        <w:tc>
          <w:tcPr>
            <w:tcW w:w="40" w:type="dxa"/>
            <w:vAlign w:val="bottom"/>
          </w:tcPr>
          <w:p>
            <w:pPr>
              <w:spacing w:after="0"/>
              <w:rPr>
                <w:sz w:val="15"/>
                <w:szCs w:val="15"/>
                <w:color w:val="auto"/>
              </w:rPr>
            </w:pPr>
          </w:p>
        </w:tc>
        <w:tc>
          <w:tcPr>
            <w:tcW w:w="860" w:type="dxa"/>
            <w:vAlign w:val="bottom"/>
            <w:gridSpan w:val="2"/>
          </w:tcPr>
          <w:p>
            <w:pPr>
              <w:ind w:left="200"/>
              <w:spacing w:after="0"/>
              <w:rPr>
                <w:sz w:val="20"/>
                <w:szCs w:val="20"/>
                <w:color w:val="auto"/>
              </w:rPr>
            </w:pPr>
            <w:r>
              <w:rPr>
                <w:rFonts w:ascii="Arial" w:cs="Arial" w:eastAsia="Arial" w:hAnsi="Arial"/>
                <w:sz w:val="14"/>
                <w:szCs w:val="14"/>
                <w:b w:val="1"/>
                <w:bCs w:val="1"/>
                <w:color w:val="auto"/>
              </w:rPr>
              <w:t>shares</w:t>
            </w:r>
          </w:p>
        </w:tc>
        <w:tc>
          <w:tcPr>
            <w:tcW w:w="920" w:type="dxa"/>
            <w:vAlign w:val="bottom"/>
            <w:gridSpan w:val="3"/>
          </w:tcPr>
          <w:p>
            <w:pPr>
              <w:jc w:val="right"/>
              <w:ind w:right="300"/>
              <w:spacing w:after="0"/>
              <w:rPr>
                <w:sz w:val="20"/>
                <w:szCs w:val="20"/>
                <w:color w:val="auto"/>
              </w:rPr>
            </w:pPr>
            <w:r>
              <w:rPr>
                <w:rFonts w:ascii="Arial" w:cs="Arial" w:eastAsia="Arial" w:hAnsi="Arial"/>
                <w:sz w:val="14"/>
                <w:szCs w:val="14"/>
                <w:b w:val="1"/>
                <w:bCs w:val="1"/>
                <w:color w:val="auto"/>
                <w:w w:val="96"/>
              </w:rPr>
              <w:t>of shares</w:t>
            </w:r>
          </w:p>
        </w:tc>
        <w:tc>
          <w:tcPr>
            <w:tcW w:w="700" w:type="dxa"/>
            <w:vAlign w:val="bottom"/>
            <w:gridSpan w:val="2"/>
          </w:tcPr>
          <w:p>
            <w:pPr>
              <w:ind w:left="40"/>
              <w:spacing w:after="0"/>
              <w:rPr>
                <w:sz w:val="20"/>
                <w:szCs w:val="20"/>
                <w:color w:val="auto"/>
              </w:rPr>
            </w:pPr>
            <w:r>
              <w:rPr>
                <w:rFonts w:ascii="Arial" w:cs="Arial" w:eastAsia="Arial" w:hAnsi="Arial"/>
                <w:sz w:val="14"/>
                <w:szCs w:val="14"/>
                <w:b w:val="1"/>
                <w:bCs w:val="1"/>
                <w:color w:val="auto"/>
              </w:rPr>
              <w:t>of shares</w:t>
            </w:r>
          </w:p>
        </w:tc>
        <w:tc>
          <w:tcPr>
            <w:tcW w:w="88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89"/>
              </w:rPr>
              <w:t>of shares</w:t>
            </w:r>
          </w:p>
        </w:tc>
        <w:tc>
          <w:tcPr>
            <w:tcW w:w="700" w:type="dxa"/>
            <w:vAlign w:val="bottom"/>
            <w:gridSpan w:val="2"/>
          </w:tcPr>
          <w:p>
            <w:pPr>
              <w:ind w:left="40"/>
              <w:spacing w:after="0"/>
              <w:rPr>
                <w:sz w:val="20"/>
                <w:szCs w:val="20"/>
                <w:color w:val="auto"/>
              </w:rPr>
            </w:pPr>
            <w:r>
              <w:rPr>
                <w:rFonts w:ascii="Arial" w:cs="Arial" w:eastAsia="Arial" w:hAnsi="Arial"/>
                <w:sz w:val="14"/>
                <w:szCs w:val="14"/>
                <w:b w:val="1"/>
                <w:bCs w:val="1"/>
                <w:color w:val="auto"/>
              </w:rPr>
              <w:t>of shares</w:t>
            </w:r>
          </w:p>
        </w:tc>
        <w:tc>
          <w:tcPr>
            <w:tcW w:w="88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6"/>
              </w:rPr>
              <w:t>of shares</w:t>
            </w:r>
          </w:p>
        </w:tc>
        <w:tc>
          <w:tcPr>
            <w:tcW w:w="860" w:type="dxa"/>
            <w:vAlign w:val="bottom"/>
            <w:gridSpan w:val="2"/>
          </w:tcPr>
          <w:p>
            <w:pPr>
              <w:jc w:val="right"/>
              <w:ind w:right="280"/>
              <w:spacing w:after="0"/>
              <w:rPr>
                <w:sz w:val="20"/>
                <w:szCs w:val="20"/>
                <w:color w:val="auto"/>
              </w:rPr>
            </w:pPr>
            <w:r>
              <w:rPr>
                <w:rFonts w:ascii="Arial" w:cs="Arial" w:eastAsia="Arial" w:hAnsi="Arial"/>
                <w:sz w:val="14"/>
                <w:szCs w:val="14"/>
                <w:b w:val="1"/>
                <w:bCs w:val="1"/>
                <w:color w:val="auto"/>
              </w:rPr>
              <w:t>shares</w:t>
            </w:r>
          </w:p>
        </w:tc>
        <w:tc>
          <w:tcPr>
            <w:tcW w:w="920" w:type="dxa"/>
            <w:vAlign w:val="bottom"/>
            <w:gridSpan w:val="2"/>
          </w:tcPr>
          <w:p>
            <w:pPr>
              <w:jc w:val="right"/>
              <w:ind w:right="300"/>
              <w:spacing w:after="0"/>
              <w:rPr>
                <w:sz w:val="20"/>
                <w:szCs w:val="20"/>
                <w:color w:val="auto"/>
              </w:rPr>
            </w:pPr>
            <w:r>
              <w:rPr>
                <w:rFonts w:ascii="Arial" w:cs="Arial" w:eastAsia="Arial" w:hAnsi="Arial"/>
                <w:sz w:val="14"/>
                <w:szCs w:val="14"/>
                <w:b w:val="1"/>
                <w:bCs w:val="1"/>
                <w:color w:val="auto"/>
                <w:w w:val="96"/>
              </w:rPr>
              <w:t>of shares</w:t>
            </w:r>
          </w:p>
        </w:tc>
        <w:tc>
          <w:tcPr>
            <w:tcW w:w="700" w:type="dxa"/>
            <w:vAlign w:val="bottom"/>
            <w:gridSpan w:val="2"/>
          </w:tcPr>
          <w:p>
            <w:pPr>
              <w:ind w:left="20"/>
              <w:spacing w:after="0"/>
              <w:rPr>
                <w:sz w:val="20"/>
                <w:szCs w:val="20"/>
                <w:color w:val="auto"/>
              </w:rPr>
            </w:pPr>
            <w:r>
              <w:rPr>
                <w:rFonts w:ascii="Arial" w:cs="Arial" w:eastAsia="Arial" w:hAnsi="Arial"/>
                <w:sz w:val="14"/>
                <w:szCs w:val="14"/>
                <w:b w:val="1"/>
                <w:bCs w:val="1"/>
                <w:color w:val="auto"/>
              </w:rPr>
              <w:t>of shares</w:t>
            </w:r>
          </w:p>
        </w:tc>
        <w:tc>
          <w:tcPr>
            <w:tcW w:w="86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86"/>
              </w:rPr>
              <w:t>of shares</w:t>
            </w:r>
          </w:p>
        </w:tc>
        <w:tc>
          <w:tcPr>
            <w:tcW w:w="78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8"/>
              </w:rPr>
              <w:t>shares</w:t>
            </w:r>
          </w:p>
        </w:tc>
        <w:tc>
          <w:tcPr>
            <w:tcW w:w="740" w:type="dxa"/>
            <w:vAlign w:val="bottom"/>
            <w:gridSpan w:val="2"/>
          </w:tcPr>
          <w:p>
            <w:pPr>
              <w:jc w:val="center"/>
              <w:ind w:right="60"/>
              <w:spacing w:after="0"/>
              <w:rPr>
                <w:sz w:val="20"/>
                <w:szCs w:val="20"/>
                <w:color w:val="auto"/>
              </w:rPr>
            </w:pPr>
            <w:r>
              <w:rPr>
                <w:rFonts w:ascii="Arial" w:cs="Arial" w:eastAsia="Arial" w:hAnsi="Arial"/>
                <w:sz w:val="14"/>
                <w:szCs w:val="14"/>
                <w:b w:val="1"/>
                <w:bCs w:val="1"/>
                <w:color w:val="auto"/>
                <w:w w:val="89"/>
              </w:rPr>
              <w:t>of shares</w:t>
            </w:r>
          </w:p>
        </w:tc>
        <w:tc>
          <w:tcPr>
            <w:tcW w:w="0" w:type="dxa"/>
            <w:vAlign w:val="bottom"/>
          </w:tcPr>
          <w:p>
            <w:pPr>
              <w:spacing w:after="0"/>
              <w:rPr>
                <w:sz w:val="1"/>
                <w:szCs w:val="1"/>
                <w:color w:val="auto"/>
              </w:rPr>
            </w:pPr>
          </w:p>
        </w:tc>
      </w:tr>
      <w:tr>
        <w:trPr>
          <w:trHeight w:val="170"/>
        </w:trPr>
        <w:tc>
          <w:tcPr>
            <w:tcW w:w="1300" w:type="dxa"/>
            <w:vAlign w:val="bottom"/>
            <w:tcBorders>
              <w:top w:val="single" w:sz="8" w:color="CCEEFF"/>
            </w:tcBorders>
            <w:gridSpan w:val="6"/>
            <w:shd w:val="clear" w:color="auto" w:fill="CCEEFF"/>
          </w:tcPr>
          <w:p>
            <w:pPr>
              <w:spacing w:after="0" w:line="136" w:lineRule="exact"/>
              <w:rPr>
                <w:sz w:val="20"/>
                <w:szCs w:val="20"/>
                <w:color w:val="auto"/>
              </w:rPr>
            </w:pPr>
            <w:r>
              <w:rPr>
                <w:rFonts w:ascii="Arial" w:cs="Arial" w:eastAsia="Arial" w:hAnsi="Arial"/>
                <w:sz w:val="15"/>
                <w:szCs w:val="15"/>
                <w:b w:val="1"/>
                <w:bCs w:val="1"/>
                <w:color w:val="auto"/>
                <w:w w:val="99"/>
              </w:rPr>
              <w:t>5% stock-holders:</w:t>
            </w:r>
          </w:p>
        </w:tc>
        <w:tc>
          <w:tcPr>
            <w:tcW w:w="40" w:type="dxa"/>
            <w:vAlign w:val="bottom"/>
            <w:tcBorders>
              <w:top w:val="single" w:sz="8" w:color="CCEEFF"/>
            </w:tcBorders>
            <w:shd w:val="clear" w:color="auto" w:fill="CCEEFF"/>
          </w:tcPr>
          <w:p>
            <w:pPr>
              <w:spacing w:after="0"/>
              <w:rPr>
                <w:sz w:val="14"/>
                <w:szCs w:val="14"/>
                <w:color w:val="auto"/>
              </w:rPr>
            </w:pPr>
          </w:p>
        </w:tc>
        <w:tc>
          <w:tcPr>
            <w:tcW w:w="780" w:type="dxa"/>
            <w:vAlign w:val="bottom"/>
            <w:tcBorders>
              <w:top w:val="single" w:sz="8" w:color="auto"/>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460" w:type="dxa"/>
            <w:vAlign w:val="bottom"/>
            <w:tcBorders>
              <w:top w:val="single" w:sz="8" w:color="auto"/>
            </w:tcBorders>
            <w:shd w:val="clear" w:color="auto" w:fill="CCEEFF"/>
          </w:tcPr>
          <w:p>
            <w:pPr>
              <w:spacing w:after="0"/>
              <w:rPr>
                <w:sz w:val="14"/>
                <w:szCs w:val="14"/>
                <w:color w:val="auto"/>
              </w:rPr>
            </w:pPr>
          </w:p>
        </w:tc>
        <w:tc>
          <w:tcPr>
            <w:tcW w:w="240" w:type="dxa"/>
            <w:vAlign w:val="bottom"/>
            <w:tcBorders>
              <w:top w:val="single" w:sz="8" w:color="auto"/>
            </w:tcBorders>
            <w:shd w:val="clear" w:color="auto" w:fill="CCEEFF"/>
          </w:tcPr>
          <w:p>
            <w:pPr>
              <w:spacing w:after="0"/>
              <w:rPr>
                <w:sz w:val="14"/>
                <w:szCs w:val="14"/>
                <w:color w:val="auto"/>
              </w:rPr>
            </w:pPr>
          </w:p>
        </w:tc>
        <w:tc>
          <w:tcPr>
            <w:tcW w:w="220" w:type="dxa"/>
            <w:vAlign w:val="bottom"/>
            <w:tcBorders>
              <w:top w:val="single" w:sz="8" w:color="CCEEFF"/>
            </w:tcBorders>
            <w:shd w:val="clear" w:color="auto" w:fill="CCEEFF"/>
          </w:tcPr>
          <w:p>
            <w:pPr>
              <w:spacing w:after="0"/>
              <w:rPr>
                <w:sz w:val="14"/>
                <w:szCs w:val="14"/>
                <w:color w:val="auto"/>
              </w:rPr>
            </w:pPr>
          </w:p>
        </w:tc>
        <w:tc>
          <w:tcPr>
            <w:tcW w:w="620" w:type="dxa"/>
            <w:vAlign w:val="bottom"/>
            <w:tcBorders>
              <w:top w:val="single" w:sz="8" w:color="auto"/>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800" w:type="dxa"/>
            <w:vAlign w:val="bottom"/>
            <w:tcBorders>
              <w:top w:val="single" w:sz="8" w:color="auto"/>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620" w:type="dxa"/>
            <w:vAlign w:val="bottom"/>
            <w:tcBorders>
              <w:top w:val="single" w:sz="8" w:color="auto"/>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78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76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680" w:type="dxa"/>
            <w:vAlign w:val="bottom"/>
            <w:tcBorders>
              <w:top w:val="single" w:sz="8" w:color="auto"/>
            </w:tcBorders>
            <w:shd w:val="clear" w:color="auto" w:fill="CCEEFF"/>
          </w:tcPr>
          <w:p>
            <w:pPr>
              <w:spacing w:after="0"/>
              <w:rPr>
                <w:sz w:val="14"/>
                <w:szCs w:val="14"/>
                <w:color w:val="auto"/>
              </w:rPr>
            </w:pPr>
          </w:p>
        </w:tc>
        <w:tc>
          <w:tcPr>
            <w:tcW w:w="240" w:type="dxa"/>
            <w:vAlign w:val="bottom"/>
            <w:tcBorders>
              <w:top w:val="single" w:sz="8" w:color="CCEEFF"/>
            </w:tcBorders>
            <w:shd w:val="clear" w:color="auto" w:fill="CCEEFF"/>
          </w:tcPr>
          <w:p>
            <w:pPr>
              <w:spacing w:after="0"/>
              <w:rPr>
                <w:sz w:val="14"/>
                <w:szCs w:val="14"/>
                <w:color w:val="auto"/>
              </w:rPr>
            </w:pPr>
          </w:p>
        </w:tc>
        <w:tc>
          <w:tcPr>
            <w:tcW w:w="60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76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68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700" w:type="dxa"/>
            <w:vAlign w:val="bottom"/>
            <w:tcBorders>
              <w:top w:val="single" w:sz="8" w:color="auto"/>
            </w:tcBorders>
            <w:shd w:val="clear" w:color="auto" w:fill="CCEEFF"/>
          </w:tcPr>
          <w:p>
            <w:pPr>
              <w:spacing w:after="0"/>
              <w:rPr>
                <w:sz w:val="14"/>
                <w:szCs w:val="14"/>
                <w:color w:val="auto"/>
              </w:rPr>
            </w:pPr>
          </w:p>
        </w:tc>
        <w:tc>
          <w:tcPr>
            <w:tcW w:w="40" w:type="dxa"/>
            <w:vAlign w:val="bottom"/>
            <w:tcBorders>
              <w:top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93"/>
        </w:trPr>
        <w:tc>
          <w:tcPr>
            <w:tcW w:w="1260" w:type="dxa"/>
            <w:vAlign w:val="bottom"/>
            <w:tcBorders>
              <w:top w:val="single" w:sz="8" w:color="auto"/>
            </w:tcBorders>
            <w:gridSpan w:val="5"/>
          </w:tcPr>
          <w:p>
            <w:pPr>
              <w:spacing w:after="0"/>
              <w:rPr>
                <w:sz w:val="20"/>
                <w:szCs w:val="20"/>
                <w:color w:val="auto"/>
              </w:rPr>
            </w:pPr>
            <w:r>
              <w:rPr>
                <w:rFonts w:ascii="Arial" w:cs="Arial" w:eastAsia="Arial" w:hAnsi="Arial"/>
                <w:sz w:val="16"/>
                <w:szCs w:val="16"/>
                <w:color w:val="auto"/>
                <w:w w:val="90"/>
              </w:rPr>
              <w:t>Funds managed by</w:t>
            </w:r>
          </w:p>
        </w:tc>
        <w:tc>
          <w:tcPr>
            <w:tcW w:w="40" w:type="dxa"/>
            <w:vAlign w:val="bottom"/>
            <w:tcBorders>
              <w:top w:val="single" w:sz="8" w:color="CCEEFF"/>
            </w:tcBorders>
          </w:tcPr>
          <w:p>
            <w:pPr>
              <w:spacing w:after="0"/>
              <w:rPr>
                <w:sz w:val="16"/>
                <w:szCs w:val="16"/>
                <w:color w:val="auto"/>
              </w:rPr>
            </w:pPr>
          </w:p>
        </w:tc>
        <w:tc>
          <w:tcPr>
            <w:tcW w:w="40" w:type="dxa"/>
            <w:vAlign w:val="bottom"/>
            <w:tcBorders>
              <w:top w:val="single" w:sz="8" w:color="CCEEFF"/>
            </w:tcBorders>
          </w:tcPr>
          <w:p>
            <w:pPr>
              <w:spacing w:after="0"/>
              <w:rPr>
                <w:sz w:val="16"/>
                <w:szCs w:val="16"/>
                <w:color w:val="auto"/>
              </w:rPr>
            </w:pPr>
          </w:p>
        </w:tc>
        <w:tc>
          <w:tcPr>
            <w:tcW w:w="780" w:type="dxa"/>
            <w:vAlign w:val="bottom"/>
            <w:tcBorders>
              <w:top w:val="single" w:sz="8" w:color="CCEEFF"/>
            </w:tcBorders>
          </w:tcPr>
          <w:p>
            <w:pPr>
              <w:spacing w:after="0"/>
              <w:rPr>
                <w:sz w:val="16"/>
                <w:szCs w:val="16"/>
                <w:color w:val="auto"/>
              </w:rPr>
            </w:pPr>
          </w:p>
        </w:tc>
        <w:tc>
          <w:tcPr>
            <w:tcW w:w="80" w:type="dxa"/>
            <w:vAlign w:val="bottom"/>
            <w:tcBorders>
              <w:top w:val="single" w:sz="8" w:color="CCEEFF"/>
            </w:tcBorders>
          </w:tcPr>
          <w:p>
            <w:pPr>
              <w:spacing w:after="0"/>
              <w:rPr>
                <w:sz w:val="16"/>
                <w:szCs w:val="16"/>
                <w:color w:val="auto"/>
              </w:rPr>
            </w:pPr>
          </w:p>
        </w:tc>
        <w:tc>
          <w:tcPr>
            <w:tcW w:w="460" w:type="dxa"/>
            <w:vAlign w:val="bottom"/>
            <w:tcBorders>
              <w:top w:val="single" w:sz="8" w:color="CCEEFF"/>
            </w:tcBorders>
          </w:tcPr>
          <w:p>
            <w:pPr>
              <w:spacing w:after="0"/>
              <w:rPr>
                <w:sz w:val="16"/>
                <w:szCs w:val="16"/>
                <w:color w:val="auto"/>
              </w:rPr>
            </w:pPr>
          </w:p>
        </w:tc>
        <w:tc>
          <w:tcPr>
            <w:tcW w:w="240" w:type="dxa"/>
            <w:vAlign w:val="bottom"/>
            <w:tcBorders>
              <w:top w:val="single" w:sz="8" w:color="CCEEFF"/>
            </w:tcBorders>
          </w:tcPr>
          <w:p>
            <w:pPr>
              <w:spacing w:after="0"/>
              <w:rPr>
                <w:sz w:val="16"/>
                <w:szCs w:val="16"/>
                <w:color w:val="auto"/>
              </w:rPr>
            </w:pPr>
          </w:p>
        </w:tc>
        <w:tc>
          <w:tcPr>
            <w:tcW w:w="220" w:type="dxa"/>
            <w:vAlign w:val="bottom"/>
            <w:tcBorders>
              <w:top w:val="single" w:sz="8" w:color="CCEEFF"/>
            </w:tcBorders>
          </w:tcPr>
          <w:p>
            <w:pPr>
              <w:spacing w:after="0"/>
              <w:rPr>
                <w:sz w:val="16"/>
                <w:szCs w:val="16"/>
                <w:color w:val="auto"/>
              </w:rPr>
            </w:pPr>
          </w:p>
        </w:tc>
        <w:tc>
          <w:tcPr>
            <w:tcW w:w="620" w:type="dxa"/>
            <w:vAlign w:val="bottom"/>
            <w:tcBorders>
              <w:top w:val="single" w:sz="8" w:color="CCEEFF"/>
            </w:tcBorders>
          </w:tcPr>
          <w:p>
            <w:pPr>
              <w:spacing w:after="0"/>
              <w:rPr>
                <w:sz w:val="16"/>
                <w:szCs w:val="16"/>
                <w:color w:val="auto"/>
              </w:rPr>
            </w:pPr>
          </w:p>
        </w:tc>
        <w:tc>
          <w:tcPr>
            <w:tcW w:w="80" w:type="dxa"/>
            <w:vAlign w:val="bottom"/>
            <w:tcBorders>
              <w:top w:val="single" w:sz="8" w:color="CCEEFF"/>
            </w:tcBorders>
          </w:tcPr>
          <w:p>
            <w:pPr>
              <w:spacing w:after="0"/>
              <w:rPr>
                <w:sz w:val="16"/>
                <w:szCs w:val="16"/>
                <w:color w:val="auto"/>
              </w:rPr>
            </w:pPr>
          </w:p>
        </w:tc>
        <w:tc>
          <w:tcPr>
            <w:tcW w:w="800" w:type="dxa"/>
            <w:vAlign w:val="bottom"/>
            <w:tcBorders>
              <w:top w:val="single" w:sz="8" w:color="CCEEFF"/>
            </w:tcBorders>
          </w:tcPr>
          <w:p>
            <w:pPr>
              <w:spacing w:after="0"/>
              <w:rPr>
                <w:sz w:val="16"/>
                <w:szCs w:val="16"/>
                <w:color w:val="auto"/>
              </w:rPr>
            </w:pPr>
          </w:p>
        </w:tc>
        <w:tc>
          <w:tcPr>
            <w:tcW w:w="80" w:type="dxa"/>
            <w:vAlign w:val="bottom"/>
            <w:tcBorders>
              <w:top w:val="single" w:sz="8" w:color="CCEEFF"/>
            </w:tcBorders>
          </w:tcPr>
          <w:p>
            <w:pPr>
              <w:spacing w:after="0"/>
              <w:rPr>
                <w:sz w:val="16"/>
                <w:szCs w:val="16"/>
                <w:color w:val="auto"/>
              </w:rPr>
            </w:pPr>
          </w:p>
        </w:tc>
        <w:tc>
          <w:tcPr>
            <w:tcW w:w="620" w:type="dxa"/>
            <w:vAlign w:val="bottom"/>
            <w:tcBorders>
              <w:top w:val="single" w:sz="8" w:color="CCEEFF"/>
            </w:tcBorders>
          </w:tcPr>
          <w:p>
            <w:pPr>
              <w:spacing w:after="0"/>
              <w:rPr>
                <w:sz w:val="16"/>
                <w:szCs w:val="16"/>
                <w:color w:val="auto"/>
              </w:rPr>
            </w:pPr>
          </w:p>
        </w:tc>
        <w:tc>
          <w:tcPr>
            <w:tcW w:w="80" w:type="dxa"/>
            <w:vAlign w:val="bottom"/>
            <w:tcBorders>
              <w:top w:val="single" w:sz="8" w:color="CCEEFF"/>
            </w:tcBorders>
          </w:tcPr>
          <w:p>
            <w:pPr>
              <w:spacing w:after="0"/>
              <w:rPr>
                <w:sz w:val="16"/>
                <w:szCs w:val="16"/>
                <w:color w:val="auto"/>
              </w:rPr>
            </w:pPr>
          </w:p>
        </w:tc>
        <w:tc>
          <w:tcPr>
            <w:tcW w:w="780" w:type="dxa"/>
            <w:vAlign w:val="bottom"/>
            <w:tcBorders>
              <w:top w:val="single" w:sz="8" w:color="CCEEFF"/>
            </w:tcBorders>
          </w:tcPr>
          <w:p>
            <w:pPr>
              <w:spacing w:after="0"/>
              <w:rPr>
                <w:sz w:val="16"/>
                <w:szCs w:val="16"/>
                <w:color w:val="auto"/>
              </w:rPr>
            </w:pPr>
          </w:p>
        </w:tc>
        <w:tc>
          <w:tcPr>
            <w:tcW w:w="100" w:type="dxa"/>
            <w:vAlign w:val="bottom"/>
            <w:tcBorders>
              <w:top w:val="single" w:sz="8" w:color="CCEEFF"/>
            </w:tcBorders>
          </w:tcPr>
          <w:p>
            <w:pPr>
              <w:spacing w:after="0"/>
              <w:rPr>
                <w:sz w:val="16"/>
                <w:szCs w:val="16"/>
                <w:color w:val="auto"/>
              </w:rPr>
            </w:pPr>
          </w:p>
        </w:tc>
        <w:tc>
          <w:tcPr>
            <w:tcW w:w="760" w:type="dxa"/>
            <w:vAlign w:val="bottom"/>
            <w:tcBorders>
              <w:top w:val="single" w:sz="8" w:color="CCEEFF"/>
            </w:tcBorders>
          </w:tcPr>
          <w:p>
            <w:pPr>
              <w:spacing w:after="0"/>
              <w:rPr>
                <w:sz w:val="16"/>
                <w:szCs w:val="16"/>
                <w:color w:val="auto"/>
              </w:rPr>
            </w:pPr>
          </w:p>
        </w:tc>
        <w:tc>
          <w:tcPr>
            <w:tcW w:w="100" w:type="dxa"/>
            <w:vAlign w:val="bottom"/>
            <w:tcBorders>
              <w:top w:val="single" w:sz="8" w:color="CCEEFF"/>
            </w:tcBorders>
          </w:tcPr>
          <w:p>
            <w:pPr>
              <w:spacing w:after="0"/>
              <w:rPr>
                <w:sz w:val="16"/>
                <w:szCs w:val="16"/>
                <w:color w:val="auto"/>
              </w:rPr>
            </w:pPr>
          </w:p>
        </w:tc>
        <w:tc>
          <w:tcPr>
            <w:tcW w:w="680" w:type="dxa"/>
            <w:vAlign w:val="bottom"/>
            <w:tcBorders>
              <w:top w:val="single" w:sz="8" w:color="CCEEFF"/>
            </w:tcBorders>
          </w:tcPr>
          <w:p>
            <w:pPr>
              <w:spacing w:after="0"/>
              <w:rPr>
                <w:sz w:val="16"/>
                <w:szCs w:val="16"/>
                <w:color w:val="auto"/>
              </w:rPr>
            </w:pPr>
          </w:p>
        </w:tc>
        <w:tc>
          <w:tcPr>
            <w:tcW w:w="240" w:type="dxa"/>
            <w:vAlign w:val="bottom"/>
            <w:tcBorders>
              <w:top w:val="single" w:sz="8" w:color="CCEEFF"/>
            </w:tcBorders>
          </w:tcPr>
          <w:p>
            <w:pPr>
              <w:spacing w:after="0"/>
              <w:rPr>
                <w:sz w:val="16"/>
                <w:szCs w:val="16"/>
                <w:color w:val="auto"/>
              </w:rPr>
            </w:pPr>
          </w:p>
        </w:tc>
        <w:tc>
          <w:tcPr>
            <w:tcW w:w="600" w:type="dxa"/>
            <w:vAlign w:val="bottom"/>
            <w:tcBorders>
              <w:top w:val="single" w:sz="8" w:color="CCEEFF"/>
            </w:tcBorders>
          </w:tcPr>
          <w:p>
            <w:pPr>
              <w:spacing w:after="0"/>
              <w:rPr>
                <w:sz w:val="16"/>
                <w:szCs w:val="16"/>
                <w:color w:val="auto"/>
              </w:rPr>
            </w:pPr>
          </w:p>
        </w:tc>
        <w:tc>
          <w:tcPr>
            <w:tcW w:w="100" w:type="dxa"/>
            <w:vAlign w:val="bottom"/>
            <w:tcBorders>
              <w:top w:val="single" w:sz="8" w:color="CCEEFF"/>
            </w:tcBorders>
          </w:tcPr>
          <w:p>
            <w:pPr>
              <w:spacing w:after="0"/>
              <w:rPr>
                <w:sz w:val="16"/>
                <w:szCs w:val="16"/>
                <w:color w:val="auto"/>
              </w:rPr>
            </w:pPr>
          </w:p>
        </w:tc>
        <w:tc>
          <w:tcPr>
            <w:tcW w:w="760" w:type="dxa"/>
            <w:vAlign w:val="bottom"/>
            <w:tcBorders>
              <w:top w:val="single" w:sz="8" w:color="CCEEFF"/>
            </w:tcBorders>
          </w:tcPr>
          <w:p>
            <w:pPr>
              <w:spacing w:after="0"/>
              <w:rPr>
                <w:sz w:val="16"/>
                <w:szCs w:val="16"/>
                <w:color w:val="auto"/>
              </w:rPr>
            </w:pPr>
          </w:p>
        </w:tc>
        <w:tc>
          <w:tcPr>
            <w:tcW w:w="100" w:type="dxa"/>
            <w:vAlign w:val="bottom"/>
            <w:tcBorders>
              <w:top w:val="single" w:sz="8" w:color="CCEEFF"/>
            </w:tcBorders>
          </w:tcPr>
          <w:p>
            <w:pPr>
              <w:spacing w:after="0"/>
              <w:rPr>
                <w:sz w:val="16"/>
                <w:szCs w:val="16"/>
                <w:color w:val="auto"/>
              </w:rPr>
            </w:pPr>
          </w:p>
        </w:tc>
        <w:tc>
          <w:tcPr>
            <w:tcW w:w="680" w:type="dxa"/>
            <w:vAlign w:val="bottom"/>
            <w:tcBorders>
              <w:top w:val="single" w:sz="8" w:color="CCEEFF"/>
            </w:tcBorders>
          </w:tcPr>
          <w:p>
            <w:pPr>
              <w:spacing w:after="0"/>
              <w:rPr>
                <w:sz w:val="16"/>
                <w:szCs w:val="16"/>
                <w:color w:val="auto"/>
              </w:rPr>
            </w:pPr>
          </w:p>
        </w:tc>
        <w:tc>
          <w:tcPr>
            <w:tcW w:w="100" w:type="dxa"/>
            <w:vAlign w:val="bottom"/>
            <w:tcBorders>
              <w:top w:val="single" w:sz="8" w:color="CCEEFF"/>
            </w:tcBorders>
          </w:tcPr>
          <w:p>
            <w:pPr>
              <w:spacing w:after="0"/>
              <w:rPr>
                <w:sz w:val="16"/>
                <w:szCs w:val="16"/>
                <w:color w:val="auto"/>
              </w:rPr>
            </w:pPr>
          </w:p>
        </w:tc>
        <w:tc>
          <w:tcPr>
            <w:tcW w:w="700" w:type="dxa"/>
            <w:vAlign w:val="bottom"/>
            <w:tcBorders>
              <w:top w:val="single" w:sz="8" w:color="CCEEFF"/>
            </w:tcBorders>
          </w:tcPr>
          <w:p>
            <w:pPr>
              <w:spacing w:after="0"/>
              <w:rPr>
                <w:sz w:val="16"/>
                <w:szCs w:val="16"/>
                <w:color w:val="auto"/>
              </w:rPr>
            </w:pPr>
          </w:p>
        </w:tc>
        <w:tc>
          <w:tcPr>
            <w:tcW w:w="40" w:type="dxa"/>
            <w:vAlign w:val="bottom"/>
            <w:tcBorders>
              <w:top w:val="single" w:sz="8" w:color="CCEEFF"/>
            </w:tcBorders>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160" w:type="dxa"/>
            <w:vAlign w:val="bottom"/>
          </w:tcPr>
          <w:p>
            <w:pPr>
              <w:spacing w:after="0"/>
              <w:rPr>
                <w:sz w:val="17"/>
                <w:szCs w:val="17"/>
                <w:color w:val="auto"/>
              </w:rPr>
            </w:pPr>
          </w:p>
        </w:tc>
        <w:tc>
          <w:tcPr>
            <w:tcW w:w="1140" w:type="dxa"/>
            <w:vAlign w:val="bottom"/>
            <w:gridSpan w:val="5"/>
          </w:tcPr>
          <w:p>
            <w:pPr>
              <w:spacing w:after="0"/>
              <w:rPr>
                <w:sz w:val="20"/>
                <w:szCs w:val="20"/>
                <w:color w:val="auto"/>
              </w:rPr>
            </w:pPr>
            <w:r>
              <w:rPr>
                <w:rFonts w:ascii="Arial" w:cs="Arial" w:eastAsia="Arial" w:hAnsi="Arial"/>
                <w:sz w:val="16"/>
                <w:szCs w:val="16"/>
                <w:color w:val="auto"/>
              </w:rPr>
              <w:t>Advent</w:t>
            </w:r>
          </w:p>
        </w:tc>
        <w:tc>
          <w:tcPr>
            <w:tcW w:w="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60" w:type="dxa"/>
            <w:vAlign w:val="bottom"/>
          </w:tcPr>
          <w:p>
            <w:pPr>
              <w:spacing w:after="0"/>
              <w:rPr>
                <w:sz w:val="17"/>
                <w:szCs w:val="17"/>
                <w:color w:val="auto"/>
              </w:rPr>
            </w:pPr>
          </w:p>
        </w:tc>
        <w:tc>
          <w:tcPr>
            <w:tcW w:w="1140" w:type="dxa"/>
            <w:vAlign w:val="bottom"/>
            <w:gridSpan w:val="5"/>
          </w:tcPr>
          <w:p>
            <w:pPr>
              <w:spacing w:after="0"/>
              <w:rPr>
                <w:sz w:val="20"/>
                <w:szCs w:val="20"/>
                <w:color w:val="auto"/>
              </w:rPr>
            </w:pPr>
            <w:r>
              <w:rPr>
                <w:rFonts w:ascii="Arial" w:cs="Arial" w:eastAsia="Arial" w:hAnsi="Arial"/>
                <w:sz w:val="16"/>
                <w:szCs w:val="16"/>
                <w:color w:val="auto"/>
              </w:rPr>
              <w:t>International</w:t>
            </w:r>
          </w:p>
        </w:tc>
        <w:tc>
          <w:tcPr>
            <w:tcW w:w="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160" w:type="dxa"/>
            <w:vAlign w:val="bottom"/>
          </w:tcPr>
          <w:p>
            <w:pPr>
              <w:spacing w:after="0"/>
              <w:rPr>
                <w:sz w:val="18"/>
                <w:szCs w:val="18"/>
                <w:color w:val="auto"/>
              </w:rPr>
            </w:pPr>
          </w:p>
        </w:tc>
        <w:tc>
          <w:tcPr>
            <w:tcW w:w="1140" w:type="dxa"/>
            <w:vAlign w:val="bottom"/>
            <w:gridSpan w:val="5"/>
          </w:tcPr>
          <w:p>
            <w:pPr>
              <w:spacing w:after="0"/>
              <w:rPr>
                <w:sz w:val="20"/>
                <w:szCs w:val="20"/>
                <w:color w:val="auto"/>
              </w:rPr>
            </w:pPr>
            <w:r>
              <w:rPr>
                <w:rFonts w:ascii="Arial" w:cs="Arial" w:eastAsia="Arial" w:hAnsi="Arial"/>
                <w:sz w:val="16"/>
                <w:szCs w:val="16"/>
                <w:color w:val="auto"/>
              </w:rPr>
              <w:t>Corporation (1)</w:t>
            </w:r>
          </w:p>
        </w:tc>
        <w:tc>
          <w:tcPr>
            <w:tcW w:w="820" w:type="dxa"/>
            <w:vAlign w:val="bottom"/>
            <w:gridSpan w:val="2"/>
          </w:tcPr>
          <w:p>
            <w:pPr>
              <w:jc w:val="right"/>
              <w:spacing w:after="0"/>
              <w:rPr>
                <w:sz w:val="20"/>
                <w:szCs w:val="20"/>
                <w:color w:val="auto"/>
              </w:rPr>
            </w:pPr>
            <w:r>
              <w:rPr>
                <w:rFonts w:ascii="Arial" w:cs="Arial" w:eastAsia="Arial" w:hAnsi="Arial"/>
                <w:sz w:val="16"/>
                <w:szCs w:val="16"/>
                <w:color w:val="auto"/>
                <w:w w:val="99"/>
              </w:rPr>
              <w:t>64,596,549</w:t>
            </w:r>
          </w:p>
        </w:tc>
        <w:tc>
          <w:tcPr>
            <w:tcW w:w="80" w:type="dxa"/>
            <w:vAlign w:val="bottom"/>
          </w:tcPr>
          <w:p>
            <w:pPr>
              <w:spacing w:after="0"/>
              <w:rPr>
                <w:sz w:val="18"/>
                <w:szCs w:val="18"/>
                <w:color w:val="auto"/>
              </w:rPr>
            </w:pPr>
          </w:p>
        </w:tc>
        <w:tc>
          <w:tcPr>
            <w:tcW w:w="920" w:type="dxa"/>
            <w:vAlign w:val="bottom"/>
            <w:gridSpan w:val="3"/>
          </w:tcPr>
          <w:p>
            <w:pPr>
              <w:jc w:val="right"/>
              <w:ind w:right="80"/>
              <w:spacing w:after="0"/>
              <w:rPr>
                <w:sz w:val="20"/>
                <w:szCs w:val="20"/>
                <w:color w:val="auto"/>
              </w:rPr>
            </w:pPr>
            <w:r>
              <w:rPr>
                <w:rFonts w:ascii="Arial" w:cs="Arial" w:eastAsia="Arial" w:hAnsi="Arial"/>
                <w:sz w:val="16"/>
                <w:szCs w:val="16"/>
                <w:color w:val="auto"/>
              </w:rPr>
              <w:t>73.2%</w:t>
            </w:r>
          </w:p>
        </w:tc>
        <w:tc>
          <w:tcPr>
            <w:tcW w:w="6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9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1300" w:type="dxa"/>
            <w:vAlign w:val="bottom"/>
            <w:gridSpan w:val="6"/>
            <w:shd w:val="clear" w:color="auto" w:fill="CCEEFF"/>
          </w:tcPr>
          <w:p>
            <w:pPr>
              <w:spacing w:after="0"/>
              <w:rPr>
                <w:sz w:val="20"/>
                <w:szCs w:val="20"/>
                <w:color w:val="auto"/>
              </w:rPr>
            </w:pPr>
            <w:r>
              <w:rPr>
                <w:rFonts w:ascii="Arial" w:cs="Arial" w:eastAsia="Arial" w:hAnsi="Arial"/>
                <w:sz w:val="16"/>
                <w:szCs w:val="16"/>
                <w:color w:val="auto"/>
              </w:rPr>
              <w:t>Affiliates of</w:t>
            </w:r>
          </w:p>
        </w:tc>
        <w:tc>
          <w:tcPr>
            <w:tcW w:w="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60" w:type="dxa"/>
            <w:vAlign w:val="bottom"/>
            <w:shd w:val="clear" w:color="auto" w:fill="CCEEFF"/>
          </w:tcPr>
          <w:p>
            <w:pPr>
              <w:spacing w:after="0"/>
              <w:rPr>
                <w:sz w:val="17"/>
                <w:szCs w:val="17"/>
                <w:color w:val="auto"/>
              </w:rPr>
            </w:pPr>
          </w:p>
        </w:tc>
        <w:tc>
          <w:tcPr>
            <w:tcW w:w="1140" w:type="dxa"/>
            <w:vAlign w:val="bottom"/>
            <w:gridSpan w:val="5"/>
            <w:shd w:val="clear" w:color="auto" w:fill="CCEEFF"/>
          </w:tcPr>
          <w:p>
            <w:pPr>
              <w:spacing w:after="0"/>
              <w:rPr>
                <w:sz w:val="20"/>
                <w:szCs w:val="20"/>
                <w:color w:val="auto"/>
              </w:rPr>
            </w:pPr>
            <w:r>
              <w:rPr>
                <w:rFonts w:ascii="Arial" w:cs="Arial" w:eastAsia="Arial" w:hAnsi="Arial"/>
                <w:sz w:val="16"/>
                <w:szCs w:val="16"/>
                <w:color w:val="auto"/>
                <w:w w:val="95"/>
              </w:rPr>
              <w:t>Spectrum Equity</w:t>
            </w:r>
          </w:p>
        </w:tc>
        <w:tc>
          <w:tcPr>
            <w:tcW w:w="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780" w:type="dxa"/>
            <w:vAlign w:val="bottom"/>
            <w:gridSpan w:val="2"/>
            <w:shd w:val="clear" w:color="auto" w:fill="CCEEFF"/>
          </w:tcPr>
          <w:p>
            <w:pPr>
              <w:ind w:left="160"/>
              <w:spacing w:after="0"/>
              <w:rPr>
                <w:sz w:val="20"/>
                <w:szCs w:val="20"/>
                <w:color w:val="auto"/>
              </w:rPr>
            </w:pPr>
            <w:r>
              <w:rPr>
                <w:rFonts w:ascii="Arial" w:cs="Arial" w:eastAsia="Arial" w:hAnsi="Arial"/>
                <w:sz w:val="16"/>
                <w:szCs w:val="16"/>
                <w:color w:val="auto"/>
              </w:rPr>
              <w:t>(2)</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2,885,876</w:t>
            </w:r>
          </w:p>
        </w:tc>
        <w:tc>
          <w:tcPr>
            <w:tcW w:w="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46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w w:val="98"/>
              </w:rPr>
              <w:t>3.3%</w:t>
            </w:r>
          </w:p>
        </w:tc>
        <w:tc>
          <w:tcPr>
            <w:tcW w:w="6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w w:val="92"/>
              </w:rPr>
              <w:t>27,710,989</w:t>
            </w: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46.1%</w:t>
            </w: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1300" w:type="dxa"/>
            <w:vAlign w:val="bottom"/>
            <w:gridSpan w:val="6"/>
          </w:tcPr>
          <w:p>
            <w:pPr>
              <w:spacing w:after="0"/>
              <w:rPr>
                <w:sz w:val="20"/>
                <w:szCs w:val="20"/>
                <w:color w:val="auto"/>
              </w:rPr>
            </w:pPr>
            <w:r>
              <w:rPr>
                <w:rFonts w:ascii="Arial" w:cs="Arial" w:eastAsia="Arial" w:hAnsi="Arial"/>
                <w:sz w:val="16"/>
                <w:szCs w:val="16"/>
                <w:color w:val="auto"/>
              </w:rPr>
              <w:t>Jason Krantz (3)</w:t>
            </w:r>
          </w:p>
        </w:tc>
        <w:tc>
          <w:tcPr>
            <w:tcW w:w="40" w:type="dxa"/>
            <w:vAlign w:val="bottom"/>
          </w:tcPr>
          <w:p>
            <w:pPr>
              <w:spacing w:after="0"/>
              <w:rPr>
                <w:sz w:val="17"/>
                <w:szCs w:val="17"/>
                <w:color w:val="auto"/>
              </w:rPr>
            </w:pPr>
          </w:p>
        </w:tc>
        <w:tc>
          <w:tcPr>
            <w:tcW w:w="860" w:type="dxa"/>
            <w:vAlign w:val="bottom"/>
            <w:gridSpan w:val="2"/>
          </w:tcPr>
          <w:p>
            <w:pPr>
              <w:ind w:left="540"/>
              <w:spacing w:after="0"/>
              <w:rPr>
                <w:sz w:val="20"/>
                <w:szCs w:val="20"/>
                <w:color w:val="auto"/>
              </w:rPr>
            </w:pPr>
            <w:r>
              <w:rPr>
                <w:rFonts w:ascii="Arial" w:cs="Arial" w:eastAsia="Arial" w:hAnsi="Arial"/>
                <w:sz w:val="16"/>
                <w:szCs w:val="16"/>
                <w:color w:val="auto"/>
              </w:rPr>
              <w:t>—</w:t>
            </w:r>
          </w:p>
        </w:tc>
        <w:tc>
          <w:tcPr>
            <w:tcW w:w="460" w:type="dxa"/>
            <w:vAlign w:val="bottom"/>
          </w:tcPr>
          <w:p>
            <w:pPr>
              <w:spacing w:after="0"/>
              <w:rPr>
                <w:sz w:val="17"/>
                <w:szCs w:val="17"/>
                <w:color w:val="auto"/>
              </w:rPr>
            </w:pPr>
          </w:p>
        </w:tc>
        <w:tc>
          <w:tcPr>
            <w:tcW w:w="240" w:type="dxa"/>
            <w:vAlign w:val="bottom"/>
          </w:tcPr>
          <w:p>
            <w:pPr>
              <w:jc w:val="right"/>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6"/>
                <w:szCs w:val="16"/>
                <w:color w:val="auto"/>
                <w:w w:val="92"/>
              </w:rPr>
              <w:t>21,994,281</w:t>
            </w:r>
          </w:p>
        </w:tc>
        <w:tc>
          <w:tcPr>
            <w:tcW w:w="920" w:type="dxa"/>
            <w:vAlign w:val="bottom"/>
            <w:gridSpan w:val="2"/>
          </w:tcPr>
          <w:p>
            <w:pPr>
              <w:jc w:val="right"/>
              <w:ind w:right="100"/>
              <w:spacing w:after="0"/>
              <w:rPr>
                <w:sz w:val="20"/>
                <w:szCs w:val="20"/>
                <w:color w:val="auto"/>
              </w:rPr>
            </w:pPr>
            <w:r>
              <w:rPr>
                <w:rFonts w:ascii="Arial" w:cs="Arial" w:eastAsia="Arial" w:hAnsi="Arial"/>
                <w:sz w:val="16"/>
                <w:szCs w:val="16"/>
                <w:color w:val="auto"/>
              </w:rPr>
              <w:t>36.6%</w:t>
            </w:r>
          </w:p>
        </w:tc>
        <w:tc>
          <w:tcPr>
            <w:tcW w:w="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3"/>
        </w:trPr>
        <w:tc>
          <w:tcPr>
            <w:tcW w:w="1300" w:type="dxa"/>
            <w:vAlign w:val="bottom"/>
            <w:gridSpan w:val="6"/>
            <w:shd w:val="clear" w:color="auto" w:fill="CCEEFF"/>
          </w:tcPr>
          <w:p>
            <w:pPr>
              <w:spacing w:after="0"/>
              <w:rPr>
                <w:sz w:val="20"/>
                <w:szCs w:val="20"/>
                <w:color w:val="auto"/>
              </w:rPr>
            </w:pPr>
            <w:r>
              <w:rPr>
                <w:rFonts w:ascii="Arial" w:cs="Arial" w:eastAsia="Arial" w:hAnsi="Arial"/>
                <w:sz w:val="16"/>
                <w:szCs w:val="16"/>
                <w:color w:val="auto"/>
                <w:w w:val="94"/>
              </w:rPr>
              <w:t>AIDH Management</w:t>
            </w:r>
          </w:p>
        </w:tc>
        <w:tc>
          <w:tcPr>
            <w:tcW w:w="4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160" w:type="dxa"/>
            <w:vAlign w:val="bottom"/>
            <w:shd w:val="clear" w:color="auto" w:fill="CCEEFF"/>
          </w:tcPr>
          <w:p>
            <w:pPr>
              <w:spacing w:after="0"/>
              <w:rPr>
                <w:sz w:val="17"/>
                <w:szCs w:val="17"/>
                <w:color w:val="auto"/>
              </w:rPr>
            </w:pPr>
          </w:p>
        </w:tc>
        <w:tc>
          <w:tcPr>
            <w:tcW w:w="1140" w:type="dxa"/>
            <w:vAlign w:val="bottom"/>
            <w:gridSpan w:val="5"/>
            <w:shd w:val="clear" w:color="auto" w:fill="CCEEFF"/>
          </w:tcPr>
          <w:p>
            <w:pPr>
              <w:spacing w:after="0"/>
              <w:rPr>
                <w:sz w:val="20"/>
                <w:szCs w:val="20"/>
                <w:color w:val="auto"/>
              </w:rPr>
            </w:pPr>
            <w:r>
              <w:rPr>
                <w:rFonts w:ascii="Arial" w:cs="Arial" w:eastAsia="Arial" w:hAnsi="Arial"/>
                <w:sz w:val="16"/>
                <w:szCs w:val="16"/>
                <w:color w:val="auto"/>
              </w:rPr>
              <w:t>Holdings, LLC</w:t>
            </w:r>
          </w:p>
        </w:tc>
        <w:tc>
          <w:tcPr>
            <w:tcW w:w="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780" w:type="dxa"/>
            <w:vAlign w:val="bottom"/>
            <w:gridSpan w:val="2"/>
            <w:shd w:val="clear" w:color="auto" w:fill="CCEEFF"/>
          </w:tcPr>
          <w:p>
            <w:pPr>
              <w:ind w:left="160"/>
              <w:spacing w:after="0"/>
              <w:rPr>
                <w:sz w:val="20"/>
                <w:szCs w:val="20"/>
                <w:color w:val="auto"/>
              </w:rPr>
            </w:pPr>
            <w:r>
              <w:rPr>
                <w:rFonts w:ascii="Arial" w:cs="Arial" w:eastAsia="Arial" w:hAnsi="Arial"/>
                <w:sz w:val="16"/>
                <w:szCs w:val="16"/>
                <w:color w:val="auto"/>
              </w:rPr>
              <w:t>(4)</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2,353,564</w:t>
            </w:r>
          </w:p>
        </w:tc>
        <w:tc>
          <w:tcPr>
            <w:tcW w:w="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46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w w:val="98"/>
              </w:rPr>
              <w:t>2.7%</w:t>
            </w:r>
          </w:p>
        </w:tc>
        <w:tc>
          <w:tcPr>
            <w:tcW w:w="6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6,096,202</w:t>
            </w: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10.1%</w:t>
            </w: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3"/>
        </w:trPr>
        <w:tc>
          <w:tcPr>
            <w:tcW w:w="1300" w:type="dxa"/>
            <w:vAlign w:val="bottom"/>
            <w:gridSpan w:val="6"/>
          </w:tcPr>
          <w:p>
            <w:pPr>
              <w:spacing w:after="0"/>
              <w:rPr>
                <w:sz w:val="20"/>
                <w:szCs w:val="20"/>
                <w:color w:val="auto"/>
              </w:rPr>
            </w:pPr>
            <w:r>
              <w:rPr>
                <w:rFonts w:ascii="Arial" w:cs="Arial" w:eastAsia="Arial" w:hAnsi="Arial"/>
                <w:sz w:val="16"/>
                <w:szCs w:val="16"/>
                <w:color w:val="auto"/>
              </w:rPr>
              <w:t>Affiliates of 22C</w:t>
            </w:r>
          </w:p>
        </w:tc>
        <w:tc>
          <w:tcPr>
            <w:tcW w:w="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6"/>
        </w:trPr>
        <w:tc>
          <w:tcPr>
            <w:tcW w:w="160" w:type="dxa"/>
            <w:vAlign w:val="bottom"/>
          </w:tcPr>
          <w:p>
            <w:pPr>
              <w:spacing w:after="0"/>
              <w:rPr>
                <w:sz w:val="17"/>
                <w:szCs w:val="17"/>
                <w:color w:val="auto"/>
              </w:rPr>
            </w:pPr>
          </w:p>
        </w:tc>
        <w:tc>
          <w:tcPr>
            <w:tcW w:w="1140" w:type="dxa"/>
            <w:vAlign w:val="bottom"/>
            <w:gridSpan w:val="5"/>
          </w:tcPr>
          <w:p>
            <w:pPr>
              <w:spacing w:after="0"/>
              <w:rPr>
                <w:sz w:val="20"/>
                <w:szCs w:val="20"/>
                <w:color w:val="auto"/>
              </w:rPr>
            </w:pPr>
            <w:r>
              <w:rPr>
                <w:rFonts w:ascii="Arial" w:cs="Arial" w:eastAsia="Arial" w:hAnsi="Arial"/>
                <w:sz w:val="16"/>
                <w:szCs w:val="16"/>
                <w:color w:val="auto"/>
              </w:rPr>
              <w:t>Capital (5)</w:t>
            </w:r>
          </w:p>
        </w:tc>
        <w:tc>
          <w:tcPr>
            <w:tcW w:w="820" w:type="dxa"/>
            <w:vAlign w:val="bottom"/>
            <w:gridSpan w:val="2"/>
          </w:tcPr>
          <w:p>
            <w:pPr>
              <w:jc w:val="right"/>
              <w:spacing w:after="0"/>
              <w:rPr>
                <w:sz w:val="20"/>
                <w:szCs w:val="20"/>
                <w:color w:val="auto"/>
              </w:rPr>
            </w:pPr>
            <w:r>
              <w:rPr>
                <w:rFonts w:ascii="Arial" w:cs="Arial" w:eastAsia="Arial" w:hAnsi="Arial"/>
                <w:sz w:val="16"/>
                <w:szCs w:val="16"/>
                <w:color w:val="auto"/>
              </w:rPr>
              <w:t>538,456</w:t>
            </w:r>
          </w:p>
        </w:tc>
        <w:tc>
          <w:tcPr>
            <w:tcW w:w="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40" w:type="dxa"/>
            <w:vAlign w:val="bottom"/>
          </w:tcPr>
          <w:p>
            <w:pPr>
              <w:jc w:val="right"/>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6"/>
                <w:szCs w:val="16"/>
                <w:color w:val="auto"/>
              </w:rPr>
              <w:t>4,291,202</w:t>
            </w:r>
          </w:p>
        </w:tc>
        <w:tc>
          <w:tcPr>
            <w:tcW w:w="920" w:type="dxa"/>
            <w:vAlign w:val="bottom"/>
            <w:gridSpan w:val="2"/>
          </w:tcPr>
          <w:p>
            <w:pPr>
              <w:jc w:val="right"/>
              <w:ind w:right="100"/>
              <w:spacing w:after="0"/>
              <w:rPr>
                <w:sz w:val="20"/>
                <w:szCs w:val="20"/>
                <w:color w:val="auto"/>
              </w:rPr>
            </w:pPr>
            <w:r>
              <w:rPr>
                <w:rFonts w:ascii="Arial" w:cs="Arial" w:eastAsia="Arial" w:hAnsi="Arial"/>
                <w:sz w:val="16"/>
                <w:szCs w:val="16"/>
                <w:color w:val="auto"/>
              </w:rPr>
              <w:t>7.1%</w:t>
            </w:r>
          </w:p>
        </w:tc>
        <w:tc>
          <w:tcPr>
            <w:tcW w:w="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14"/>
        </w:trPr>
        <w:tc>
          <w:tcPr>
            <w:tcW w:w="160" w:type="dxa"/>
            <w:vAlign w:val="bottom"/>
          </w:tcPr>
          <w:p>
            <w:pPr>
              <w:spacing w:after="0"/>
              <w:rPr>
                <w:sz w:val="9"/>
                <w:szCs w:val="9"/>
                <w:color w:val="auto"/>
              </w:rPr>
            </w:pPr>
          </w:p>
        </w:tc>
        <w:tc>
          <w:tcPr>
            <w:tcW w:w="620" w:type="dxa"/>
            <w:vAlign w:val="bottom"/>
          </w:tcPr>
          <w:p>
            <w:pPr>
              <w:spacing w:after="0"/>
              <w:rPr>
                <w:sz w:val="9"/>
                <w:szCs w:val="9"/>
                <w:color w:val="auto"/>
              </w:rPr>
            </w:pPr>
          </w:p>
        </w:tc>
        <w:tc>
          <w:tcPr>
            <w:tcW w:w="200" w:type="dxa"/>
            <w:vAlign w:val="bottom"/>
          </w:tcPr>
          <w:p>
            <w:pPr>
              <w:spacing w:after="0"/>
              <w:rPr>
                <w:sz w:val="9"/>
                <w:szCs w:val="9"/>
                <w:color w:val="auto"/>
              </w:rPr>
            </w:pPr>
          </w:p>
        </w:tc>
        <w:tc>
          <w:tcPr>
            <w:tcW w:w="200" w:type="dxa"/>
            <w:vAlign w:val="bottom"/>
          </w:tcPr>
          <w:p>
            <w:pPr>
              <w:spacing w:after="0"/>
              <w:rPr>
                <w:sz w:val="9"/>
                <w:szCs w:val="9"/>
                <w:color w:val="auto"/>
              </w:rPr>
            </w:pPr>
          </w:p>
        </w:tc>
        <w:tc>
          <w:tcPr>
            <w:tcW w:w="80" w:type="dxa"/>
            <w:vAlign w:val="bottom"/>
          </w:tcPr>
          <w:p>
            <w:pPr>
              <w:spacing w:after="0"/>
              <w:rPr>
                <w:sz w:val="9"/>
                <w:szCs w:val="9"/>
                <w:color w:val="auto"/>
              </w:rPr>
            </w:pPr>
          </w:p>
        </w:tc>
        <w:tc>
          <w:tcPr>
            <w:tcW w:w="40" w:type="dxa"/>
            <w:vAlign w:val="bottom"/>
          </w:tcPr>
          <w:p>
            <w:pPr>
              <w:spacing w:after="0"/>
              <w:rPr>
                <w:sz w:val="9"/>
                <w:szCs w:val="9"/>
                <w:color w:val="auto"/>
              </w:rPr>
            </w:pPr>
          </w:p>
        </w:tc>
        <w:tc>
          <w:tcPr>
            <w:tcW w:w="40" w:type="dxa"/>
            <w:vAlign w:val="bottom"/>
          </w:tcPr>
          <w:p>
            <w:pPr>
              <w:spacing w:after="0"/>
              <w:rPr>
                <w:sz w:val="9"/>
                <w:szCs w:val="9"/>
                <w:color w:val="auto"/>
              </w:rPr>
            </w:pPr>
          </w:p>
        </w:tc>
        <w:tc>
          <w:tcPr>
            <w:tcW w:w="780" w:type="dxa"/>
            <w:vAlign w:val="bottom"/>
          </w:tcPr>
          <w:p>
            <w:pPr>
              <w:spacing w:after="0"/>
              <w:rPr>
                <w:sz w:val="9"/>
                <w:szCs w:val="9"/>
                <w:color w:val="auto"/>
              </w:rPr>
            </w:pPr>
          </w:p>
        </w:tc>
        <w:tc>
          <w:tcPr>
            <w:tcW w:w="80" w:type="dxa"/>
            <w:vAlign w:val="bottom"/>
          </w:tcPr>
          <w:p>
            <w:pPr>
              <w:spacing w:after="0"/>
              <w:rPr>
                <w:sz w:val="9"/>
                <w:szCs w:val="9"/>
                <w:color w:val="auto"/>
              </w:rPr>
            </w:pPr>
          </w:p>
        </w:tc>
        <w:tc>
          <w:tcPr>
            <w:tcW w:w="460" w:type="dxa"/>
            <w:vAlign w:val="bottom"/>
          </w:tcPr>
          <w:p>
            <w:pPr>
              <w:spacing w:after="0"/>
              <w:rPr>
                <w:sz w:val="9"/>
                <w:szCs w:val="9"/>
                <w:color w:val="auto"/>
              </w:rPr>
            </w:pPr>
          </w:p>
        </w:tc>
        <w:tc>
          <w:tcPr>
            <w:tcW w:w="240" w:type="dxa"/>
            <w:vAlign w:val="bottom"/>
          </w:tcPr>
          <w:p>
            <w:pPr>
              <w:spacing w:after="0"/>
              <w:rPr>
                <w:sz w:val="9"/>
                <w:szCs w:val="9"/>
                <w:color w:val="auto"/>
              </w:rPr>
            </w:pPr>
          </w:p>
        </w:tc>
        <w:tc>
          <w:tcPr>
            <w:tcW w:w="220" w:type="dxa"/>
            <w:vAlign w:val="bottom"/>
          </w:tcPr>
          <w:p>
            <w:pPr>
              <w:spacing w:after="0"/>
              <w:rPr>
                <w:sz w:val="9"/>
                <w:szCs w:val="9"/>
                <w:color w:val="auto"/>
              </w:rPr>
            </w:pPr>
          </w:p>
        </w:tc>
        <w:tc>
          <w:tcPr>
            <w:tcW w:w="620" w:type="dxa"/>
            <w:vAlign w:val="bottom"/>
          </w:tcPr>
          <w:p>
            <w:pPr>
              <w:spacing w:after="0"/>
              <w:rPr>
                <w:sz w:val="9"/>
                <w:szCs w:val="9"/>
                <w:color w:val="auto"/>
              </w:rPr>
            </w:pPr>
          </w:p>
        </w:tc>
        <w:tc>
          <w:tcPr>
            <w:tcW w:w="80" w:type="dxa"/>
            <w:vAlign w:val="bottom"/>
          </w:tcPr>
          <w:p>
            <w:pPr>
              <w:spacing w:after="0"/>
              <w:rPr>
                <w:sz w:val="9"/>
                <w:szCs w:val="9"/>
                <w:color w:val="auto"/>
              </w:rPr>
            </w:pPr>
          </w:p>
        </w:tc>
        <w:tc>
          <w:tcPr>
            <w:tcW w:w="800" w:type="dxa"/>
            <w:vAlign w:val="bottom"/>
          </w:tcPr>
          <w:p>
            <w:pPr>
              <w:spacing w:after="0"/>
              <w:rPr>
                <w:sz w:val="9"/>
                <w:szCs w:val="9"/>
                <w:color w:val="auto"/>
              </w:rPr>
            </w:pPr>
          </w:p>
        </w:tc>
        <w:tc>
          <w:tcPr>
            <w:tcW w:w="80" w:type="dxa"/>
            <w:vAlign w:val="bottom"/>
          </w:tcPr>
          <w:p>
            <w:pPr>
              <w:spacing w:after="0"/>
              <w:rPr>
                <w:sz w:val="9"/>
                <w:szCs w:val="9"/>
                <w:color w:val="auto"/>
              </w:rPr>
            </w:pPr>
          </w:p>
        </w:tc>
        <w:tc>
          <w:tcPr>
            <w:tcW w:w="620" w:type="dxa"/>
            <w:vAlign w:val="bottom"/>
          </w:tcPr>
          <w:p>
            <w:pPr>
              <w:spacing w:after="0"/>
              <w:rPr>
                <w:sz w:val="9"/>
                <w:szCs w:val="9"/>
                <w:color w:val="auto"/>
              </w:rPr>
            </w:pPr>
          </w:p>
        </w:tc>
        <w:tc>
          <w:tcPr>
            <w:tcW w:w="80" w:type="dxa"/>
            <w:vAlign w:val="bottom"/>
          </w:tcPr>
          <w:p>
            <w:pPr>
              <w:spacing w:after="0"/>
              <w:rPr>
                <w:sz w:val="9"/>
                <w:szCs w:val="9"/>
                <w:color w:val="auto"/>
              </w:rPr>
            </w:pPr>
          </w:p>
        </w:tc>
        <w:tc>
          <w:tcPr>
            <w:tcW w:w="780" w:type="dxa"/>
            <w:vAlign w:val="bottom"/>
          </w:tcPr>
          <w:p>
            <w:pPr>
              <w:spacing w:after="0"/>
              <w:rPr>
                <w:sz w:val="9"/>
                <w:szCs w:val="9"/>
                <w:color w:val="auto"/>
              </w:rPr>
            </w:pPr>
          </w:p>
        </w:tc>
        <w:tc>
          <w:tcPr>
            <w:tcW w:w="100" w:type="dxa"/>
            <w:vAlign w:val="bottom"/>
          </w:tcPr>
          <w:p>
            <w:pPr>
              <w:spacing w:after="0"/>
              <w:rPr>
                <w:sz w:val="9"/>
                <w:szCs w:val="9"/>
                <w:color w:val="auto"/>
              </w:rPr>
            </w:pPr>
          </w:p>
        </w:tc>
        <w:tc>
          <w:tcPr>
            <w:tcW w:w="760" w:type="dxa"/>
            <w:vAlign w:val="bottom"/>
          </w:tcPr>
          <w:p>
            <w:pPr>
              <w:spacing w:after="0"/>
              <w:rPr>
                <w:sz w:val="9"/>
                <w:szCs w:val="9"/>
                <w:color w:val="auto"/>
              </w:rPr>
            </w:pPr>
          </w:p>
        </w:tc>
        <w:tc>
          <w:tcPr>
            <w:tcW w:w="100" w:type="dxa"/>
            <w:vAlign w:val="bottom"/>
          </w:tcPr>
          <w:p>
            <w:pPr>
              <w:spacing w:after="0"/>
              <w:rPr>
                <w:sz w:val="9"/>
                <w:szCs w:val="9"/>
                <w:color w:val="auto"/>
              </w:rPr>
            </w:pPr>
          </w:p>
        </w:tc>
        <w:tc>
          <w:tcPr>
            <w:tcW w:w="680" w:type="dxa"/>
            <w:vAlign w:val="bottom"/>
          </w:tcPr>
          <w:p>
            <w:pPr>
              <w:spacing w:after="0"/>
              <w:rPr>
                <w:sz w:val="9"/>
                <w:szCs w:val="9"/>
                <w:color w:val="auto"/>
              </w:rPr>
            </w:pPr>
          </w:p>
        </w:tc>
        <w:tc>
          <w:tcPr>
            <w:tcW w:w="240" w:type="dxa"/>
            <w:vAlign w:val="bottom"/>
          </w:tcPr>
          <w:p>
            <w:pPr>
              <w:spacing w:after="0"/>
              <w:rPr>
                <w:sz w:val="9"/>
                <w:szCs w:val="9"/>
                <w:color w:val="auto"/>
              </w:rPr>
            </w:pPr>
          </w:p>
        </w:tc>
        <w:tc>
          <w:tcPr>
            <w:tcW w:w="600" w:type="dxa"/>
            <w:vAlign w:val="bottom"/>
          </w:tcPr>
          <w:p>
            <w:pPr>
              <w:spacing w:after="0"/>
              <w:rPr>
                <w:sz w:val="9"/>
                <w:szCs w:val="9"/>
                <w:color w:val="auto"/>
              </w:rPr>
            </w:pPr>
          </w:p>
        </w:tc>
        <w:tc>
          <w:tcPr>
            <w:tcW w:w="100" w:type="dxa"/>
            <w:vAlign w:val="bottom"/>
          </w:tcPr>
          <w:p>
            <w:pPr>
              <w:spacing w:after="0"/>
              <w:rPr>
                <w:sz w:val="9"/>
                <w:szCs w:val="9"/>
                <w:color w:val="auto"/>
              </w:rPr>
            </w:pPr>
          </w:p>
        </w:tc>
        <w:tc>
          <w:tcPr>
            <w:tcW w:w="760" w:type="dxa"/>
            <w:vAlign w:val="bottom"/>
          </w:tcPr>
          <w:p>
            <w:pPr>
              <w:spacing w:after="0"/>
              <w:rPr>
                <w:sz w:val="9"/>
                <w:szCs w:val="9"/>
                <w:color w:val="auto"/>
              </w:rPr>
            </w:pPr>
          </w:p>
        </w:tc>
        <w:tc>
          <w:tcPr>
            <w:tcW w:w="100" w:type="dxa"/>
            <w:vAlign w:val="bottom"/>
          </w:tcPr>
          <w:p>
            <w:pPr>
              <w:spacing w:after="0"/>
              <w:rPr>
                <w:sz w:val="9"/>
                <w:szCs w:val="9"/>
                <w:color w:val="auto"/>
              </w:rPr>
            </w:pPr>
          </w:p>
        </w:tc>
        <w:tc>
          <w:tcPr>
            <w:tcW w:w="680" w:type="dxa"/>
            <w:vAlign w:val="bottom"/>
          </w:tcPr>
          <w:p>
            <w:pPr>
              <w:spacing w:after="0"/>
              <w:rPr>
                <w:sz w:val="9"/>
                <w:szCs w:val="9"/>
                <w:color w:val="auto"/>
              </w:rPr>
            </w:pPr>
          </w:p>
        </w:tc>
        <w:tc>
          <w:tcPr>
            <w:tcW w:w="100" w:type="dxa"/>
            <w:vAlign w:val="bottom"/>
          </w:tcPr>
          <w:p>
            <w:pPr>
              <w:spacing w:after="0"/>
              <w:rPr>
                <w:sz w:val="9"/>
                <w:szCs w:val="9"/>
                <w:color w:val="auto"/>
              </w:rPr>
            </w:pPr>
          </w:p>
        </w:tc>
        <w:tc>
          <w:tcPr>
            <w:tcW w:w="700" w:type="dxa"/>
            <w:vAlign w:val="bottom"/>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62"/>
        </w:trPr>
        <w:tc>
          <w:tcPr>
            <w:tcW w:w="1180" w:type="dxa"/>
            <w:vAlign w:val="bottom"/>
            <w:tcBorders>
              <w:bottom w:val="single" w:sz="8" w:color="auto"/>
            </w:tcBorders>
            <w:gridSpan w:val="4"/>
            <w:shd w:val="clear" w:color="auto" w:fill="CCEEFF"/>
          </w:tcPr>
          <w:p>
            <w:pPr>
              <w:spacing w:after="0" w:line="162" w:lineRule="exact"/>
              <w:rPr>
                <w:sz w:val="20"/>
                <w:szCs w:val="20"/>
                <w:color w:val="auto"/>
              </w:rPr>
            </w:pPr>
            <w:r>
              <w:rPr>
                <w:rFonts w:ascii="Arial" w:cs="Arial" w:eastAsia="Arial" w:hAnsi="Arial"/>
                <w:sz w:val="16"/>
                <w:szCs w:val="16"/>
                <w:b w:val="1"/>
                <w:bCs w:val="1"/>
                <w:color w:val="auto"/>
                <w:w w:val="88"/>
              </w:rPr>
              <w:t>Named executive</w:t>
            </w:r>
          </w:p>
        </w:tc>
        <w:tc>
          <w:tcPr>
            <w:tcW w:w="120" w:type="dxa"/>
            <w:vAlign w:val="bottom"/>
            <w:tcBorders>
              <w:bottom w:val="single" w:sz="8" w:color="CCEEFF"/>
            </w:tcBorders>
            <w:gridSpan w:val="2"/>
            <w:shd w:val="clear" w:color="auto" w:fill="CCEEFF"/>
          </w:tcPr>
          <w:p>
            <w:pPr>
              <w:spacing w:after="0"/>
              <w:rPr>
                <w:sz w:val="14"/>
                <w:szCs w:val="14"/>
                <w:color w:val="auto"/>
              </w:rPr>
            </w:pPr>
          </w:p>
        </w:tc>
        <w:tc>
          <w:tcPr>
            <w:tcW w:w="40" w:type="dxa"/>
            <w:vAlign w:val="bottom"/>
            <w:tcBorders>
              <w:bottom w:val="single" w:sz="8" w:color="CCEEFF"/>
            </w:tcBorders>
            <w:shd w:val="clear" w:color="auto" w:fill="CCEEFF"/>
          </w:tcPr>
          <w:p>
            <w:pPr>
              <w:spacing w:after="0"/>
              <w:rPr>
                <w:sz w:val="14"/>
                <w:szCs w:val="14"/>
                <w:color w:val="auto"/>
              </w:rPr>
            </w:pPr>
          </w:p>
        </w:tc>
        <w:tc>
          <w:tcPr>
            <w:tcW w:w="78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460" w:type="dxa"/>
            <w:vAlign w:val="bottom"/>
            <w:tcBorders>
              <w:bottom w:val="single" w:sz="8" w:color="CCEEFF"/>
            </w:tcBorders>
            <w:shd w:val="clear" w:color="auto" w:fill="CCEEFF"/>
          </w:tcPr>
          <w:p>
            <w:pPr>
              <w:spacing w:after="0"/>
              <w:rPr>
                <w:sz w:val="14"/>
                <w:szCs w:val="14"/>
                <w:color w:val="auto"/>
              </w:rPr>
            </w:pPr>
          </w:p>
        </w:tc>
        <w:tc>
          <w:tcPr>
            <w:tcW w:w="240" w:type="dxa"/>
            <w:vAlign w:val="bottom"/>
            <w:tcBorders>
              <w:bottom w:val="single" w:sz="8" w:color="CCEEFF"/>
            </w:tcBorders>
            <w:shd w:val="clear" w:color="auto" w:fill="CCEEFF"/>
          </w:tcPr>
          <w:p>
            <w:pPr>
              <w:spacing w:after="0"/>
              <w:rPr>
                <w:sz w:val="14"/>
                <w:szCs w:val="14"/>
                <w:color w:val="auto"/>
              </w:rPr>
            </w:pPr>
          </w:p>
        </w:tc>
        <w:tc>
          <w:tcPr>
            <w:tcW w:w="220" w:type="dxa"/>
            <w:vAlign w:val="bottom"/>
            <w:tcBorders>
              <w:bottom w:val="single" w:sz="8" w:color="CCEEFF"/>
            </w:tcBorders>
            <w:shd w:val="clear" w:color="auto" w:fill="CCEEFF"/>
          </w:tcPr>
          <w:p>
            <w:pPr>
              <w:spacing w:after="0"/>
              <w:rPr>
                <w:sz w:val="14"/>
                <w:szCs w:val="14"/>
                <w:color w:val="auto"/>
              </w:rPr>
            </w:pPr>
          </w:p>
        </w:tc>
        <w:tc>
          <w:tcPr>
            <w:tcW w:w="62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80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62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78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76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680" w:type="dxa"/>
            <w:vAlign w:val="bottom"/>
            <w:tcBorders>
              <w:bottom w:val="single" w:sz="8" w:color="CCEEFF"/>
            </w:tcBorders>
            <w:shd w:val="clear" w:color="auto" w:fill="CCEEFF"/>
          </w:tcPr>
          <w:p>
            <w:pPr>
              <w:spacing w:after="0"/>
              <w:rPr>
                <w:sz w:val="14"/>
                <w:szCs w:val="14"/>
                <w:color w:val="auto"/>
              </w:rPr>
            </w:pPr>
          </w:p>
        </w:tc>
        <w:tc>
          <w:tcPr>
            <w:tcW w:w="240" w:type="dxa"/>
            <w:vAlign w:val="bottom"/>
            <w:tcBorders>
              <w:bottom w:val="single" w:sz="8" w:color="CCEEFF"/>
            </w:tcBorders>
            <w:shd w:val="clear" w:color="auto" w:fill="CCEEFF"/>
          </w:tcPr>
          <w:p>
            <w:pPr>
              <w:spacing w:after="0"/>
              <w:rPr>
                <w:sz w:val="14"/>
                <w:szCs w:val="14"/>
                <w:color w:val="auto"/>
              </w:rPr>
            </w:pPr>
          </w:p>
        </w:tc>
        <w:tc>
          <w:tcPr>
            <w:tcW w:w="60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76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68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700" w:type="dxa"/>
            <w:vAlign w:val="bottom"/>
            <w:tcBorders>
              <w:bottom w:val="single" w:sz="8" w:color="CCEEFF"/>
            </w:tcBorders>
            <w:shd w:val="clear" w:color="auto" w:fill="CCEEFF"/>
          </w:tcPr>
          <w:p>
            <w:pPr>
              <w:spacing w:after="0"/>
              <w:rPr>
                <w:sz w:val="14"/>
                <w:szCs w:val="14"/>
                <w:color w:val="auto"/>
              </w:rPr>
            </w:pPr>
          </w:p>
        </w:tc>
        <w:tc>
          <w:tcPr>
            <w:tcW w:w="40" w:type="dxa"/>
            <w:vAlign w:val="bottom"/>
            <w:tcBorders>
              <w:bottom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3"/>
        </w:trPr>
        <w:tc>
          <w:tcPr>
            <w:tcW w:w="160" w:type="dxa"/>
            <w:vAlign w:val="bottom"/>
            <w:tcBorders>
              <w:bottom w:val="single" w:sz="8" w:color="CCEEFF"/>
            </w:tcBorders>
            <w:shd w:val="clear" w:color="auto" w:fill="CCEEFF"/>
          </w:tcPr>
          <w:p>
            <w:pPr>
              <w:spacing w:after="0"/>
              <w:rPr>
                <w:sz w:val="15"/>
                <w:szCs w:val="15"/>
                <w:color w:val="auto"/>
              </w:rPr>
            </w:pPr>
          </w:p>
        </w:tc>
        <w:tc>
          <w:tcPr>
            <w:tcW w:w="820" w:type="dxa"/>
            <w:vAlign w:val="bottom"/>
            <w:tcBorders>
              <w:bottom w:val="single" w:sz="8" w:color="auto"/>
            </w:tcBorders>
            <w:gridSpan w:val="2"/>
            <w:shd w:val="clear" w:color="auto" w:fill="CCEEFF"/>
          </w:tcPr>
          <w:p>
            <w:pPr>
              <w:spacing w:after="0" w:line="183" w:lineRule="exact"/>
              <w:rPr>
                <w:sz w:val="20"/>
                <w:szCs w:val="20"/>
                <w:color w:val="auto"/>
              </w:rPr>
            </w:pPr>
            <w:r>
              <w:rPr>
                <w:rFonts w:ascii="Arial" w:cs="Arial" w:eastAsia="Arial" w:hAnsi="Arial"/>
                <w:sz w:val="16"/>
                <w:szCs w:val="16"/>
                <w:b w:val="1"/>
                <w:bCs w:val="1"/>
                <w:color w:val="auto"/>
                <w:w w:val="88"/>
              </w:rPr>
              <w:t>officers and</w:t>
            </w:r>
          </w:p>
        </w:tc>
        <w:tc>
          <w:tcPr>
            <w:tcW w:w="320" w:type="dxa"/>
            <w:vAlign w:val="bottom"/>
            <w:tcBorders>
              <w:bottom w:val="single" w:sz="8" w:color="CCEEFF"/>
            </w:tcBorders>
            <w:gridSpan w:val="3"/>
            <w:shd w:val="clear" w:color="auto" w:fill="CCEEFF"/>
          </w:tcPr>
          <w:p>
            <w:pPr>
              <w:spacing w:after="0"/>
              <w:rPr>
                <w:sz w:val="15"/>
                <w:szCs w:val="15"/>
                <w:color w:val="auto"/>
              </w:rPr>
            </w:pPr>
          </w:p>
        </w:tc>
        <w:tc>
          <w:tcPr>
            <w:tcW w:w="40" w:type="dxa"/>
            <w:vAlign w:val="bottom"/>
            <w:tcBorders>
              <w:bottom w:val="single" w:sz="8" w:color="CCEEFF"/>
            </w:tcBorders>
            <w:shd w:val="clear" w:color="auto" w:fill="CCEEFF"/>
          </w:tcPr>
          <w:p>
            <w:pPr>
              <w:spacing w:after="0"/>
              <w:rPr>
                <w:sz w:val="15"/>
                <w:szCs w:val="15"/>
                <w:color w:val="auto"/>
              </w:rPr>
            </w:pPr>
          </w:p>
        </w:tc>
        <w:tc>
          <w:tcPr>
            <w:tcW w:w="78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460" w:type="dxa"/>
            <w:vAlign w:val="bottom"/>
            <w:tcBorders>
              <w:bottom w:val="single" w:sz="8" w:color="CCEEFF"/>
            </w:tcBorders>
            <w:shd w:val="clear" w:color="auto" w:fill="CCEEFF"/>
          </w:tcPr>
          <w:p>
            <w:pPr>
              <w:spacing w:after="0"/>
              <w:rPr>
                <w:sz w:val="15"/>
                <w:szCs w:val="15"/>
                <w:color w:val="auto"/>
              </w:rPr>
            </w:pPr>
          </w:p>
        </w:tc>
        <w:tc>
          <w:tcPr>
            <w:tcW w:w="240" w:type="dxa"/>
            <w:vAlign w:val="bottom"/>
            <w:tcBorders>
              <w:bottom w:val="single" w:sz="8" w:color="CCEEFF"/>
            </w:tcBorders>
            <w:shd w:val="clear" w:color="auto" w:fill="CCEEFF"/>
          </w:tcPr>
          <w:p>
            <w:pPr>
              <w:spacing w:after="0"/>
              <w:rPr>
                <w:sz w:val="15"/>
                <w:szCs w:val="15"/>
                <w:color w:val="auto"/>
              </w:rPr>
            </w:pPr>
          </w:p>
        </w:tc>
        <w:tc>
          <w:tcPr>
            <w:tcW w:w="220" w:type="dxa"/>
            <w:vAlign w:val="bottom"/>
            <w:tcBorders>
              <w:bottom w:val="single" w:sz="8" w:color="CCEEFF"/>
            </w:tcBorders>
            <w:shd w:val="clear" w:color="auto" w:fill="CCEEFF"/>
          </w:tcPr>
          <w:p>
            <w:pPr>
              <w:spacing w:after="0"/>
              <w:rPr>
                <w:sz w:val="15"/>
                <w:szCs w:val="15"/>
                <w:color w:val="auto"/>
              </w:rPr>
            </w:pPr>
          </w:p>
        </w:tc>
        <w:tc>
          <w:tcPr>
            <w:tcW w:w="62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80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62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78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76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680" w:type="dxa"/>
            <w:vAlign w:val="bottom"/>
            <w:tcBorders>
              <w:bottom w:val="single" w:sz="8" w:color="CCEEFF"/>
            </w:tcBorders>
            <w:shd w:val="clear" w:color="auto" w:fill="CCEEFF"/>
          </w:tcPr>
          <w:p>
            <w:pPr>
              <w:spacing w:after="0"/>
              <w:rPr>
                <w:sz w:val="15"/>
                <w:szCs w:val="15"/>
                <w:color w:val="auto"/>
              </w:rPr>
            </w:pPr>
          </w:p>
        </w:tc>
        <w:tc>
          <w:tcPr>
            <w:tcW w:w="240" w:type="dxa"/>
            <w:vAlign w:val="bottom"/>
            <w:tcBorders>
              <w:bottom w:val="single" w:sz="8" w:color="CCEEFF"/>
            </w:tcBorders>
            <w:shd w:val="clear" w:color="auto" w:fill="CCEEFF"/>
          </w:tcPr>
          <w:p>
            <w:pPr>
              <w:spacing w:after="0"/>
              <w:rPr>
                <w:sz w:val="15"/>
                <w:szCs w:val="15"/>
                <w:color w:val="auto"/>
              </w:rPr>
            </w:pPr>
          </w:p>
        </w:tc>
        <w:tc>
          <w:tcPr>
            <w:tcW w:w="60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76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68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700" w:type="dxa"/>
            <w:vAlign w:val="bottom"/>
            <w:tcBorders>
              <w:bottom w:val="single" w:sz="8" w:color="CCEEFF"/>
            </w:tcBorders>
            <w:shd w:val="clear" w:color="auto" w:fill="CCEEFF"/>
          </w:tcPr>
          <w:p>
            <w:pPr>
              <w:spacing w:after="0"/>
              <w:rPr>
                <w:sz w:val="15"/>
                <w:szCs w:val="15"/>
                <w:color w:val="auto"/>
              </w:rPr>
            </w:pPr>
          </w:p>
        </w:tc>
        <w:tc>
          <w:tcPr>
            <w:tcW w:w="40" w:type="dxa"/>
            <w:vAlign w:val="bottom"/>
            <w:tcBorders>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160" w:type="dxa"/>
            <w:vAlign w:val="bottom"/>
            <w:tcBorders>
              <w:bottom w:val="single" w:sz="8" w:color="CCEEFF"/>
            </w:tcBorders>
            <w:shd w:val="clear" w:color="auto" w:fill="CCEEFF"/>
          </w:tcPr>
          <w:p>
            <w:pPr>
              <w:spacing w:after="0"/>
              <w:rPr>
                <w:sz w:val="17"/>
                <w:szCs w:val="17"/>
                <w:color w:val="auto"/>
              </w:rPr>
            </w:pPr>
          </w:p>
        </w:tc>
        <w:tc>
          <w:tcPr>
            <w:tcW w:w="620" w:type="dxa"/>
            <w:vAlign w:val="bottom"/>
            <w:tcBorders>
              <w:bottom w:val="single" w:sz="8" w:color="auto"/>
            </w:tcBorders>
            <w:shd w:val="clear" w:color="auto" w:fill="CCEEFF"/>
          </w:tcPr>
          <w:p>
            <w:pPr>
              <w:spacing w:after="0" w:line="183" w:lineRule="exact"/>
              <w:rPr>
                <w:sz w:val="20"/>
                <w:szCs w:val="20"/>
                <w:color w:val="auto"/>
              </w:rPr>
            </w:pPr>
            <w:r>
              <w:rPr>
                <w:rFonts w:ascii="Arial" w:cs="Arial" w:eastAsia="Arial" w:hAnsi="Arial"/>
                <w:sz w:val="16"/>
                <w:szCs w:val="16"/>
                <w:b w:val="1"/>
                <w:bCs w:val="1"/>
                <w:color w:val="auto"/>
                <w:w w:val="87"/>
              </w:rPr>
              <w:t>directors</w:t>
            </w:r>
          </w:p>
        </w:tc>
        <w:tc>
          <w:tcPr>
            <w:tcW w:w="520" w:type="dxa"/>
            <w:vAlign w:val="bottom"/>
            <w:tcBorders>
              <w:bottom w:val="single" w:sz="8" w:color="CCEEFF"/>
            </w:tcBorders>
            <w:gridSpan w:val="4"/>
            <w:shd w:val="clear" w:color="auto" w:fill="CCEEFF"/>
          </w:tcPr>
          <w:p>
            <w:pPr>
              <w:spacing w:after="0"/>
              <w:rPr>
                <w:sz w:val="17"/>
                <w:szCs w:val="17"/>
                <w:color w:val="auto"/>
              </w:rPr>
            </w:pPr>
          </w:p>
        </w:tc>
        <w:tc>
          <w:tcPr>
            <w:tcW w:w="40" w:type="dxa"/>
            <w:vAlign w:val="bottom"/>
            <w:tcBorders>
              <w:bottom w:val="single" w:sz="8" w:color="CCEEFF"/>
            </w:tcBorders>
            <w:shd w:val="clear" w:color="auto" w:fill="CCEEFF"/>
          </w:tcPr>
          <w:p>
            <w:pPr>
              <w:spacing w:after="0"/>
              <w:rPr>
                <w:sz w:val="17"/>
                <w:szCs w:val="17"/>
                <w:color w:val="auto"/>
              </w:rPr>
            </w:pPr>
          </w:p>
        </w:tc>
        <w:tc>
          <w:tcPr>
            <w:tcW w:w="78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46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CCEEFF"/>
            </w:tcBorders>
            <w:shd w:val="clear" w:color="auto" w:fill="CCEEFF"/>
          </w:tcPr>
          <w:p>
            <w:pPr>
              <w:spacing w:after="0"/>
              <w:rPr>
                <w:sz w:val="17"/>
                <w:szCs w:val="17"/>
                <w:color w:val="auto"/>
              </w:rPr>
            </w:pPr>
          </w:p>
        </w:tc>
        <w:tc>
          <w:tcPr>
            <w:tcW w:w="62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80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62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78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76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68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CCEEFF"/>
            </w:tcBorders>
            <w:shd w:val="clear" w:color="auto" w:fill="CCEEFF"/>
          </w:tcPr>
          <w:p>
            <w:pPr>
              <w:spacing w:after="0"/>
              <w:rPr>
                <w:sz w:val="17"/>
                <w:szCs w:val="17"/>
                <w:color w:val="auto"/>
              </w:rPr>
            </w:pPr>
          </w:p>
        </w:tc>
        <w:tc>
          <w:tcPr>
            <w:tcW w:w="60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76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68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700" w:type="dxa"/>
            <w:vAlign w:val="bottom"/>
            <w:tcBorders>
              <w:bottom w:val="single" w:sz="8" w:color="CCEEFF"/>
            </w:tcBorders>
            <w:shd w:val="clear" w:color="auto" w:fill="CCEEFF"/>
          </w:tcPr>
          <w:p>
            <w:pPr>
              <w:spacing w:after="0"/>
              <w:rPr>
                <w:sz w:val="17"/>
                <w:szCs w:val="17"/>
                <w:color w:val="auto"/>
              </w:rPr>
            </w:pPr>
          </w:p>
        </w:tc>
        <w:tc>
          <w:tcPr>
            <w:tcW w:w="4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300" w:type="dxa"/>
            <w:vAlign w:val="bottom"/>
            <w:gridSpan w:val="6"/>
          </w:tcPr>
          <w:p>
            <w:pPr>
              <w:spacing w:after="0"/>
              <w:rPr>
                <w:sz w:val="20"/>
                <w:szCs w:val="20"/>
                <w:color w:val="auto"/>
              </w:rPr>
            </w:pPr>
            <w:r>
              <w:rPr>
                <w:rFonts w:ascii="Arial" w:cs="Arial" w:eastAsia="Arial" w:hAnsi="Arial"/>
                <w:sz w:val="16"/>
                <w:szCs w:val="16"/>
                <w:color w:val="auto"/>
              </w:rPr>
              <w:t>Jason Krantz (3)</w:t>
            </w:r>
          </w:p>
        </w:tc>
        <w:tc>
          <w:tcPr>
            <w:tcW w:w="40" w:type="dxa"/>
            <w:vAlign w:val="bottom"/>
          </w:tcPr>
          <w:p>
            <w:pPr>
              <w:spacing w:after="0"/>
              <w:rPr>
                <w:sz w:val="17"/>
                <w:szCs w:val="17"/>
                <w:color w:val="auto"/>
              </w:rPr>
            </w:pPr>
          </w:p>
        </w:tc>
        <w:tc>
          <w:tcPr>
            <w:tcW w:w="860" w:type="dxa"/>
            <w:vAlign w:val="bottom"/>
            <w:gridSpan w:val="2"/>
          </w:tcPr>
          <w:p>
            <w:pPr>
              <w:ind w:left="540"/>
              <w:spacing w:after="0"/>
              <w:rPr>
                <w:sz w:val="20"/>
                <w:szCs w:val="20"/>
                <w:color w:val="auto"/>
              </w:rPr>
            </w:pPr>
            <w:r>
              <w:rPr>
                <w:rFonts w:ascii="Arial" w:cs="Arial" w:eastAsia="Arial" w:hAnsi="Arial"/>
                <w:sz w:val="16"/>
                <w:szCs w:val="16"/>
                <w:color w:val="auto"/>
              </w:rPr>
              <w:t>—</w:t>
            </w:r>
          </w:p>
        </w:tc>
        <w:tc>
          <w:tcPr>
            <w:tcW w:w="460" w:type="dxa"/>
            <w:vAlign w:val="bottom"/>
          </w:tcPr>
          <w:p>
            <w:pPr>
              <w:spacing w:after="0"/>
              <w:rPr>
                <w:sz w:val="17"/>
                <w:szCs w:val="17"/>
                <w:color w:val="auto"/>
              </w:rPr>
            </w:pPr>
          </w:p>
        </w:tc>
        <w:tc>
          <w:tcPr>
            <w:tcW w:w="240" w:type="dxa"/>
            <w:vAlign w:val="bottom"/>
          </w:tcPr>
          <w:p>
            <w:pPr>
              <w:jc w:val="right"/>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6"/>
                <w:szCs w:val="16"/>
                <w:color w:val="auto"/>
                <w:w w:val="92"/>
              </w:rPr>
              <w:t>21,994,281</w:t>
            </w:r>
          </w:p>
        </w:tc>
        <w:tc>
          <w:tcPr>
            <w:tcW w:w="920" w:type="dxa"/>
            <w:vAlign w:val="bottom"/>
            <w:gridSpan w:val="2"/>
          </w:tcPr>
          <w:p>
            <w:pPr>
              <w:jc w:val="right"/>
              <w:ind w:right="100"/>
              <w:spacing w:after="0"/>
              <w:rPr>
                <w:sz w:val="20"/>
                <w:szCs w:val="20"/>
                <w:color w:val="auto"/>
              </w:rPr>
            </w:pPr>
            <w:r>
              <w:rPr>
                <w:rFonts w:ascii="Arial" w:cs="Arial" w:eastAsia="Arial" w:hAnsi="Arial"/>
                <w:sz w:val="16"/>
                <w:szCs w:val="16"/>
                <w:color w:val="auto"/>
              </w:rPr>
              <w:t>36.6%</w:t>
            </w:r>
          </w:p>
        </w:tc>
        <w:tc>
          <w:tcPr>
            <w:tcW w:w="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300" w:type="dxa"/>
            <w:vAlign w:val="bottom"/>
            <w:gridSpan w:val="6"/>
            <w:shd w:val="clear" w:color="auto" w:fill="CCEEFF"/>
          </w:tcPr>
          <w:p>
            <w:pPr>
              <w:spacing w:after="0"/>
              <w:rPr>
                <w:sz w:val="20"/>
                <w:szCs w:val="20"/>
                <w:color w:val="auto"/>
              </w:rPr>
            </w:pPr>
            <w:r>
              <w:rPr>
                <w:rFonts w:ascii="Arial" w:cs="Arial" w:eastAsia="Arial" w:hAnsi="Arial"/>
                <w:sz w:val="16"/>
                <w:szCs w:val="16"/>
                <w:color w:val="auto"/>
              </w:rPr>
              <w:t>Richard Booth</w:t>
            </w:r>
          </w:p>
        </w:tc>
        <w:tc>
          <w:tcPr>
            <w:tcW w:w="40" w:type="dxa"/>
            <w:vAlign w:val="bottom"/>
            <w:shd w:val="clear" w:color="auto" w:fill="CCEEFF"/>
          </w:tcPr>
          <w:p>
            <w:pPr>
              <w:spacing w:after="0"/>
              <w:rPr>
                <w:sz w:val="17"/>
                <w:szCs w:val="17"/>
                <w:color w:val="auto"/>
              </w:rPr>
            </w:pPr>
          </w:p>
        </w:tc>
        <w:tc>
          <w:tcPr>
            <w:tcW w:w="860" w:type="dxa"/>
            <w:vAlign w:val="bottom"/>
            <w:gridSpan w:val="2"/>
            <w:shd w:val="clear" w:color="auto" w:fill="CCEEFF"/>
          </w:tcPr>
          <w:p>
            <w:pPr>
              <w:ind w:left="540"/>
              <w:spacing w:after="0"/>
              <w:rPr>
                <w:sz w:val="20"/>
                <w:szCs w:val="20"/>
                <w:color w:val="auto"/>
              </w:rPr>
            </w:pPr>
            <w:r>
              <w:rPr>
                <w:rFonts w:ascii="Arial" w:cs="Arial" w:eastAsia="Arial" w:hAnsi="Arial"/>
                <w:sz w:val="16"/>
                <w:szCs w:val="16"/>
                <w:color w:val="auto"/>
              </w:rPr>
              <w:t>—</w:t>
            </w:r>
          </w:p>
        </w:tc>
        <w:tc>
          <w:tcPr>
            <w:tcW w:w="460" w:type="dxa"/>
            <w:vAlign w:val="bottom"/>
            <w:shd w:val="clear" w:color="auto" w:fill="CCEEFF"/>
          </w:tcPr>
          <w:p>
            <w:pPr>
              <w:spacing w:after="0"/>
              <w:rPr>
                <w:sz w:val="17"/>
                <w:szCs w:val="17"/>
                <w:color w:val="auto"/>
              </w:rPr>
            </w:pPr>
          </w:p>
        </w:tc>
        <w:tc>
          <w:tcPr>
            <w:tcW w:w="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486,827</w:t>
            </w:r>
          </w:p>
        </w:tc>
        <w:tc>
          <w:tcPr>
            <w:tcW w:w="92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6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300" w:type="dxa"/>
            <w:vAlign w:val="bottom"/>
            <w:gridSpan w:val="6"/>
          </w:tcPr>
          <w:p>
            <w:pPr>
              <w:spacing w:after="0"/>
              <w:rPr>
                <w:sz w:val="20"/>
                <w:szCs w:val="20"/>
                <w:color w:val="auto"/>
              </w:rPr>
            </w:pPr>
            <w:r>
              <w:rPr>
                <w:rFonts w:ascii="Arial" w:cs="Arial" w:eastAsia="Arial" w:hAnsi="Arial"/>
                <w:sz w:val="16"/>
                <w:szCs w:val="16"/>
                <w:color w:val="auto"/>
              </w:rPr>
              <w:t>David Samuels</w:t>
            </w:r>
          </w:p>
        </w:tc>
        <w:tc>
          <w:tcPr>
            <w:tcW w:w="40" w:type="dxa"/>
            <w:vAlign w:val="bottom"/>
          </w:tcPr>
          <w:p>
            <w:pPr>
              <w:spacing w:after="0"/>
              <w:rPr>
                <w:sz w:val="17"/>
                <w:szCs w:val="17"/>
                <w:color w:val="auto"/>
              </w:rPr>
            </w:pPr>
          </w:p>
        </w:tc>
        <w:tc>
          <w:tcPr>
            <w:tcW w:w="860" w:type="dxa"/>
            <w:vAlign w:val="bottom"/>
            <w:gridSpan w:val="2"/>
          </w:tcPr>
          <w:p>
            <w:pPr>
              <w:ind w:left="540"/>
              <w:spacing w:after="0"/>
              <w:rPr>
                <w:sz w:val="20"/>
                <w:szCs w:val="20"/>
                <w:color w:val="auto"/>
              </w:rPr>
            </w:pPr>
            <w:r>
              <w:rPr>
                <w:rFonts w:ascii="Arial" w:cs="Arial" w:eastAsia="Arial" w:hAnsi="Arial"/>
                <w:sz w:val="16"/>
                <w:szCs w:val="16"/>
                <w:color w:val="auto"/>
              </w:rPr>
              <w:t>—</w:t>
            </w:r>
          </w:p>
        </w:tc>
        <w:tc>
          <w:tcPr>
            <w:tcW w:w="460" w:type="dxa"/>
            <w:vAlign w:val="bottom"/>
          </w:tcPr>
          <w:p>
            <w:pPr>
              <w:spacing w:after="0"/>
              <w:rPr>
                <w:sz w:val="17"/>
                <w:szCs w:val="17"/>
                <w:color w:val="auto"/>
              </w:rPr>
            </w:pPr>
          </w:p>
        </w:tc>
        <w:tc>
          <w:tcPr>
            <w:tcW w:w="240" w:type="dxa"/>
            <w:vAlign w:val="bottom"/>
          </w:tcPr>
          <w:p>
            <w:pPr>
              <w:jc w:val="right"/>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6"/>
                <w:szCs w:val="16"/>
                <w:color w:val="auto"/>
              </w:rPr>
              <w:t>228,200</w:t>
            </w:r>
          </w:p>
        </w:tc>
        <w:tc>
          <w:tcPr>
            <w:tcW w:w="9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300" w:type="dxa"/>
            <w:vAlign w:val="bottom"/>
            <w:gridSpan w:val="6"/>
            <w:shd w:val="clear" w:color="auto" w:fill="CCEEFF"/>
          </w:tcPr>
          <w:p>
            <w:pPr>
              <w:spacing w:after="0"/>
              <w:rPr>
                <w:sz w:val="20"/>
                <w:szCs w:val="20"/>
                <w:color w:val="auto"/>
              </w:rPr>
            </w:pPr>
            <w:r>
              <w:rPr>
                <w:rFonts w:ascii="Arial" w:cs="Arial" w:eastAsia="Arial" w:hAnsi="Arial"/>
                <w:sz w:val="16"/>
                <w:szCs w:val="16"/>
                <w:color w:val="auto"/>
              </w:rPr>
              <w:t>Joseph Mirisola</w:t>
            </w:r>
          </w:p>
        </w:tc>
        <w:tc>
          <w:tcPr>
            <w:tcW w:w="40" w:type="dxa"/>
            <w:vAlign w:val="bottom"/>
            <w:shd w:val="clear" w:color="auto" w:fill="CCEEFF"/>
          </w:tcPr>
          <w:p>
            <w:pPr>
              <w:spacing w:after="0"/>
              <w:rPr>
                <w:sz w:val="17"/>
                <w:szCs w:val="17"/>
                <w:color w:val="auto"/>
              </w:rPr>
            </w:pPr>
          </w:p>
        </w:tc>
        <w:tc>
          <w:tcPr>
            <w:tcW w:w="860" w:type="dxa"/>
            <w:vAlign w:val="bottom"/>
            <w:gridSpan w:val="2"/>
            <w:shd w:val="clear" w:color="auto" w:fill="CCEEFF"/>
          </w:tcPr>
          <w:p>
            <w:pPr>
              <w:ind w:left="540"/>
              <w:spacing w:after="0"/>
              <w:rPr>
                <w:sz w:val="20"/>
                <w:szCs w:val="20"/>
                <w:color w:val="auto"/>
              </w:rPr>
            </w:pPr>
            <w:r>
              <w:rPr>
                <w:rFonts w:ascii="Arial" w:cs="Arial" w:eastAsia="Arial" w:hAnsi="Arial"/>
                <w:sz w:val="16"/>
                <w:szCs w:val="16"/>
                <w:color w:val="auto"/>
              </w:rPr>
              <w:t>—</w:t>
            </w:r>
          </w:p>
        </w:tc>
        <w:tc>
          <w:tcPr>
            <w:tcW w:w="460" w:type="dxa"/>
            <w:vAlign w:val="bottom"/>
            <w:shd w:val="clear" w:color="auto" w:fill="CCEEFF"/>
          </w:tcPr>
          <w:p>
            <w:pPr>
              <w:spacing w:after="0"/>
              <w:rPr>
                <w:sz w:val="17"/>
                <w:szCs w:val="17"/>
                <w:color w:val="auto"/>
              </w:rPr>
            </w:pPr>
          </w:p>
        </w:tc>
        <w:tc>
          <w:tcPr>
            <w:tcW w:w="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467,503</w:t>
            </w:r>
          </w:p>
        </w:tc>
        <w:tc>
          <w:tcPr>
            <w:tcW w:w="92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6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300" w:type="dxa"/>
            <w:vAlign w:val="bottom"/>
            <w:gridSpan w:val="6"/>
          </w:tcPr>
          <w:p>
            <w:pPr>
              <w:spacing w:after="0"/>
              <w:rPr>
                <w:sz w:val="20"/>
                <w:szCs w:val="20"/>
                <w:color w:val="auto"/>
              </w:rPr>
            </w:pPr>
            <w:r>
              <w:rPr>
                <w:rFonts w:ascii="Arial" w:cs="Arial" w:eastAsia="Arial" w:hAnsi="Arial"/>
                <w:sz w:val="16"/>
                <w:szCs w:val="16"/>
                <w:color w:val="auto"/>
              </w:rPr>
              <w:t>Kate Shamsuddin</w:t>
            </w:r>
          </w:p>
        </w:tc>
        <w:tc>
          <w:tcPr>
            <w:tcW w:w="40" w:type="dxa"/>
            <w:vAlign w:val="bottom"/>
          </w:tcPr>
          <w:p>
            <w:pPr>
              <w:spacing w:after="0"/>
              <w:rPr>
                <w:sz w:val="17"/>
                <w:szCs w:val="17"/>
                <w:color w:val="auto"/>
              </w:rPr>
            </w:pPr>
          </w:p>
        </w:tc>
        <w:tc>
          <w:tcPr>
            <w:tcW w:w="860" w:type="dxa"/>
            <w:vAlign w:val="bottom"/>
            <w:gridSpan w:val="2"/>
          </w:tcPr>
          <w:p>
            <w:pPr>
              <w:ind w:left="540"/>
              <w:spacing w:after="0"/>
              <w:rPr>
                <w:sz w:val="20"/>
                <w:szCs w:val="20"/>
                <w:color w:val="auto"/>
              </w:rPr>
            </w:pPr>
            <w:r>
              <w:rPr>
                <w:rFonts w:ascii="Arial" w:cs="Arial" w:eastAsia="Arial" w:hAnsi="Arial"/>
                <w:sz w:val="16"/>
                <w:szCs w:val="16"/>
                <w:color w:val="auto"/>
              </w:rPr>
              <w:t>—</w:t>
            </w:r>
          </w:p>
        </w:tc>
        <w:tc>
          <w:tcPr>
            <w:tcW w:w="460" w:type="dxa"/>
            <w:vAlign w:val="bottom"/>
          </w:tcPr>
          <w:p>
            <w:pPr>
              <w:spacing w:after="0"/>
              <w:rPr>
                <w:sz w:val="17"/>
                <w:szCs w:val="17"/>
                <w:color w:val="auto"/>
              </w:rPr>
            </w:pPr>
          </w:p>
        </w:tc>
        <w:tc>
          <w:tcPr>
            <w:tcW w:w="240" w:type="dxa"/>
            <w:vAlign w:val="bottom"/>
          </w:tcPr>
          <w:p>
            <w:pPr>
              <w:jc w:val="right"/>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6"/>
                <w:szCs w:val="16"/>
                <w:color w:val="auto"/>
              </w:rPr>
              <w:t>438,510</w:t>
            </w:r>
          </w:p>
        </w:tc>
        <w:tc>
          <w:tcPr>
            <w:tcW w:w="9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3"/>
        </w:trPr>
        <w:tc>
          <w:tcPr>
            <w:tcW w:w="1300" w:type="dxa"/>
            <w:vAlign w:val="bottom"/>
            <w:gridSpan w:val="6"/>
            <w:shd w:val="clear" w:color="auto" w:fill="CCEEFF"/>
          </w:tcPr>
          <w:p>
            <w:pPr>
              <w:spacing w:after="0"/>
              <w:rPr>
                <w:sz w:val="20"/>
                <w:szCs w:val="20"/>
                <w:color w:val="auto"/>
              </w:rPr>
            </w:pPr>
            <w:r>
              <w:rPr>
                <w:rFonts w:ascii="Arial" w:cs="Arial" w:eastAsia="Arial" w:hAnsi="Arial"/>
                <w:sz w:val="16"/>
                <w:szCs w:val="16"/>
                <w:color w:val="auto"/>
              </w:rPr>
              <w:t>Chris Mitchell (2)</w:t>
            </w:r>
          </w:p>
        </w:tc>
        <w:tc>
          <w:tcPr>
            <w:tcW w:w="4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2"/>
        </w:trPr>
        <w:tc>
          <w:tcPr>
            <w:tcW w:w="780" w:type="dxa"/>
            <w:vAlign w:val="bottom"/>
            <w:gridSpan w:val="2"/>
            <w:shd w:val="clear" w:color="auto" w:fill="CCEEFF"/>
          </w:tcPr>
          <w:p>
            <w:pPr>
              <w:ind w:left="160"/>
              <w:spacing w:after="0"/>
              <w:rPr>
                <w:sz w:val="20"/>
                <w:szCs w:val="20"/>
                <w:color w:val="auto"/>
              </w:rPr>
            </w:pPr>
            <w:r>
              <w:rPr>
                <w:rFonts w:ascii="Arial" w:cs="Arial" w:eastAsia="Arial" w:hAnsi="Arial"/>
                <w:sz w:val="16"/>
                <w:szCs w:val="16"/>
                <w:color w:val="auto"/>
              </w:rPr>
              <w:t>(5)</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ind w:left="540"/>
              <w:spacing w:after="0"/>
              <w:rPr>
                <w:sz w:val="20"/>
                <w:szCs w:val="20"/>
                <w:color w:val="auto"/>
              </w:rPr>
            </w:pPr>
            <w:r>
              <w:rPr>
                <w:rFonts w:ascii="Arial" w:cs="Arial" w:eastAsia="Arial" w:hAnsi="Arial"/>
                <w:sz w:val="16"/>
                <w:szCs w:val="16"/>
                <w:color w:val="auto"/>
              </w:rPr>
              <w:t>—</w:t>
            </w:r>
          </w:p>
        </w:tc>
        <w:tc>
          <w:tcPr>
            <w:tcW w:w="460" w:type="dxa"/>
            <w:vAlign w:val="bottom"/>
            <w:shd w:val="clear" w:color="auto" w:fill="CCEEFF"/>
          </w:tcPr>
          <w:p>
            <w:pPr>
              <w:spacing w:after="0"/>
              <w:rPr>
                <w:sz w:val="18"/>
                <w:szCs w:val="18"/>
                <w:color w:val="auto"/>
              </w:rPr>
            </w:pPr>
          </w:p>
        </w:tc>
        <w:tc>
          <w:tcPr>
            <w:tcW w:w="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92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1300" w:type="dxa"/>
            <w:vAlign w:val="bottom"/>
            <w:gridSpan w:val="6"/>
          </w:tcPr>
          <w:p>
            <w:pPr>
              <w:spacing w:after="0"/>
              <w:rPr>
                <w:sz w:val="20"/>
                <w:szCs w:val="20"/>
                <w:color w:val="auto"/>
              </w:rPr>
            </w:pPr>
            <w:r>
              <w:rPr>
                <w:rFonts w:ascii="Arial" w:cs="Arial" w:eastAsia="Arial" w:hAnsi="Arial"/>
                <w:sz w:val="16"/>
                <w:szCs w:val="16"/>
                <w:color w:val="auto"/>
              </w:rPr>
              <w:t>Jeff Haywood</w:t>
            </w:r>
          </w:p>
        </w:tc>
        <w:tc>
          <w:tcPr>
            <w:tcW w:w="40" w:type="dxa"/>
            <w:vAlign w:val="bottom"/>
          </w:tcPr>
          <w:p>
            <w:pPr>
              <w:spacing w:after="0"/>
              <w:rPr>
                <w:sz w:val="17"/>
                <w:szCs w:val="17"/>
                <w:color w:val="auto"/>
              </w:rPr>
            </w:pPr>
          </w:p>
        </w:tc>
        <w:tc>
          <w:tcPr>
            <w:tcW w:w="860" w:type="dxa"/>
            <w:vAlign w:val="bottom"/>
            <w:gridSpan w:val="2"/>
          </w:tcPr>
          <w:p>
            <w:pPr>
              <w:ind w:left="540"/>
              <w:spacing w:after="0"/>
              <w:rPr>
                <w:sz w:val="20"/>
                <w:szCs w:val="20"/>
                <w:color w:val="auto"/>
              </w:rPr>
            </w:pPr>
            <w:r>
              <w:rPr>
                <w:rFonts w:ascii="Arial" w:cs="Arial" w:eastAsia="Arial" w:hAnsi="Arial"/>
                <w:sz w:val="16"/>
                <w:szCs w:val="16"/>
                <w:color w:val="auto"/>
              </w:rPr>
              <w:t>—</w:t>
            </w:r>
          </w:p>
        </w:tc>
        <w:tc>
          <w:tcPr>
            <w:tcW w:w="460" w:type="dxa"/>
            <w:vAlign w:val="bottom"/>
          </w:tcPr>
          <w:p>
            <w:pPr>
              <w:spacing w:after="0"/>
              <w:rPr>
                <w:sz w:val="17"/>
                <w:szCs w:val="17"/>
                <w:color w:val="auto"/>
              </w:rPr>
            </w:pPr>
          </w:p>
        </w:tc>
        <w:tc>
          <w:tcPr>
            <w:tcW w:w="240" w:type="dxa"/>
            <w:vAlign w:val="bottom"/>
          </w:tcPr>
          <w:p>
            <w:pPr>
              <w:jc w:val="right"/>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9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300" w:type="dxa"/>
            <w:vAlign w:val="bottom"/>
            <w:gridSpan w:val="6"/>
            <w:shd w:val="clear" w:color="auto" w:fill="CCEEFF"/>
          </w:tcPr>
          <w:p>
            <w:pPr>
              <w:spacing w:after="0"/>
              <w:rPr>
                <w:sz w:val="20"/>
                <w:szCs w:val="20"/>
                <w:color w:val="auto"/>
              </w:rPr>
            </w:pPr>
            <w:r>
              <w:rPr>
                <w:rFonts w:ascii="Arial" w:cs="Arial" w:eastAsia="Arial" w:hAnsi="Arial"/>
                <w:sz w:val="16"/>
                <w:szCs w:val="16"/>
                <w:color w:val="auto"/>
              </w:rPr>
              <w:t>Lauren Young (6)</w:t>
            </w:r>
          </w:p>
        </w:tc>
        <w:tc>
          <w:tcPr>
            <w:tcW w:w="40" w:type="dxa"/>
            <w:vAlign w:val="bottom"/>
            <w:shd w:val="clear" w:color="auto" w:fill="CCEEFF"/>
          </w:tcPr>
          <w:p>
            <w:pPr>
              <w:spacing w:after="0"/>
              <w:rPr>
                <w:sz w:val="17"/>
                <w:szCs w:val="17"/>
                <w:color w:val="auto"/>
              </w:rPr>
            </w:pPr>
          </w:p>
        </w:tc>
        <w:tc>
          <w:tcPr>
            <w:tcW w:w="860" w:type="dxa"/>
            <w:vAlign w:val="bottom"/>
            <w:gridSpan w:val="2"/>
            <w:shd w:val="clear" w:color="auto" w:fill="CCEEFF"/>
          </w:tcPr>
          <w:p>
            <w:pPr>
              <w:ind w:left="540"/>
              <w:spacing w:after="0"/>
              <w:rPr>
                <w:sz w:val="20"/>
                <w:szCs w:val="20"/>
                <w:color w:val="auto"/>
              </w:rPr>
            </w:pPr>
            <w:r>
              <w:rPr>
                <w:rFonts w:ascii="Arial" w:cs="Arial" w:eastAsia="Arial" w:hAnsi="Arial"/>
                <w:sz w:val="16"/>
                <w:szCs w:val="16"/>
                <w:color w:val="auto"/>
              </w:rPr>
              <w:t>—</w:t>
            </w:r>
          </w:p>
        </w:tc>
        <w:tc>
          <w:tcPr>
            <w:tcW w:w="460" w:type="dxa"/>
            <w:vAlign w:val="bottom"/>
            <w:shd w:val="clear" w:color="auto" w:fill="CCEEFF"/>
          </w:tcPr>
          <w:p>
            <w:pPr>
              <w:spacing w:after="0"/>
              <w:rPr>
                <w:sz w:val="17"/>
                <w:szCs w:val="17"/>
                <w:color w:val="auto"/>
              </w:rPr>
            </w:pPr>
          </w:p>
        </w:tc>
        <w:tc>
          <w:tcPr>
            <w:tcW w:w="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92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6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300" w:type="dxa"/>
            <w:vAlign w:val="bottom"/>
            <w:gridSpan w:val="6"/>
          </w:tcPr>
          <w:p>
            <w:pPr>
              <w:spacing w:after="0"/>
              <w:rPr>
                <w:sz w:val="20"/>
                <w:szCs w:val="20"/>
                <w:color w:val="auto"/>
              </w:rPr>
            </w:pPr>
            <w:r>
              <w:rPr>
                <w:rFonts w:ascii="Arial" w:cs="Arial" w:eastAsia="Arial" w:hAnsi="Arial"/>
                <w:sz w:val="16"/>
                <w:szCs w:val="16"/>
                <w:color w:val="auto"/>
              </w:rPr>
              <w:t>Chris Egan (6)</w:t>
            </w:r>
          </w:p>
        </w:tc>
        <w:tc>
          <w:tcPr>
            <w:tcW w:w="40" w:type="dxa"/>
            <w:vAlign w:val="bottom"/>
          </w:tcPr>
          <w:p>
            <w:pPr>
              <w:spacing w:after="0"/>
              <w:rPr>
                <w:sz w:val="17"/>
                <w:szCs w:val="17"/>
                <w:color w:val="auto"/>
              </w:rPr>
            </w:pPr>
          </w:p>
        </w:tc>
        <w:tc>
          <w:tcPr>
            <w:tcW w:w="860" w:type="dxa"/>
            <w:vAlign w:val="bottom"/>
            <w:gridSpan w:val="2"/>
          </w:tcPr>
          <w:p>
            <w:pPr>
              <w:ind w:left="540"/>
              <w:spacing w:after="0"/>
              <w:rPr>
                <w:sz w:val="20"/>
                <w:szCs w:val="20"/>
                <w:color w:val="auto"/>
              </w:rPr>
            </w:pPr>
            <w:r>
              <w:rPr>
                <w:rFonts w:ascii="Arial" w:cs="Arial" w:eastAsia="Arial" w:hAnsi="Arial"/>
                <w:sz w:val="16"/>
                <w:szCs w:val="16"/>
                <w:color w:val="auto"/>
              </w:rPr>
              <w:t>—</w:t>
            </w:r>
          </w:p>
        </w:tc>
        <w:tc>
          <w:tcPr>
            <w:tcW w:w="460" w:type="dxa"/>
            <w:vAlign w:val="bottom"/>
          </w:tcPr>
          <w:p>
            <w:pPr>
              <w:spacing w:after="0"/>
              <w:rPr>
                <w:sz w:val="17"/>
                <w:szCs w:val="17"/>
                <w:color w:val="auto"/>
              </w:rPr>
            </w:pPr>
          </w:p>
        </w:tc>
        <w:tc>
          <w:tcPr>
            <w:tcW w:w="240" w:type="dxa"/>
            <w:vAlign w:val="bottom"/>
          </w:tcPr>
          <w:p>
            <w:pPr>
              <w:jc w:val="right"/>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9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1300" w:type="dxa"/>
            <w:vAlign w:val="bottom"/>
            <w:gridSpan w:val="6"/>
            <w:shd w:val="clear" w:color="auto" w:fill="CCEEFF"/>
          </w:tcPr>
          <w:p>
            <w:pPr>
              <w:spacing w:after="0"/>
              <w:rPr>
                <w:sz w:val="20"/>
                <w:szCs w:val="20"/>
                <w:color w:val="auto"/>
              </w:rPr>
            </w:pPr>
            <w:r>
              <w:rPr>
                <w:rFonts w:ascii="Arial" w:cs="Arial" w:eastAsia="Arial" w:hAnsi="Arial"/>
                <w:sz w:val="16"/>
                <w:szCs w:val="16"/>
                <w:color w:val="auto"/>
              </w:rPr>
              <w:t>Randall Winn (7)</w:t>
            </w: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538,456</w:t>
            </w:r>
          </w:p>
        </w:tc>
        <w:tc>
          <w:tcPr>
            <w:tcW w:w="8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4,291,202</w:t>
            </w: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7.1%</w:t>
            </w:r>
          </w:p>
        </w:tc>
        <w:tc>
          <w:tcPr>
            <w:tcW w:w="6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300" w:type="dxa"/>
            <w:vAlign w:val="bottom"/>
            <w:gridSpan w:val="6"/>
          </w:tcPr>
          <w:p>
            <w:pPr>
              <w:spacing w:after="0"/>
              <w:rPr>
                <w:sz w:val="20"/>
                <w:szCs w:val="20"/>
                <w:color w:val="auto"/>
              </w:rPr>
            </w:pPr>
            <w:r>
              <w:rPr>
                <w:rFonts w:ascii="Arial" w:cs="Arial" w:eastAsia="Arial" w:hAnsi="Arial"/>
                <w:sz w:val="16"/>
                <w:szCs w:val="16"/>
                <w:color w:val="auto"/>
                <w:w w:val="92"/>
              </w:rPr>
              <w:t>Samuel A. Hamood</w:t>
            </w:r>
          </w:p>
        </w:tc>
        <w:tc>
          <w:tcPr>
            <w:tcW w:w="40" w:type="dxa"/>
            <w:vAlign w:val="bottom"/>
          </w:tcPr>
          <w:p>
            <w:pPr>
              <w:spacing w:after="0"/>
              <w:rPr>
                <w:sz w:val="17"/>
                <w:szCs w:val="17"/>
                <w:color w:val="auto"/>
              </w:rPr>
            </w:pPr>
          </w:p>
        </w:tc>
        <w:tc>
          <w:tcPr>
            <w:tcW w:w="860" w:type="dxa"/>
            <w:vAlign w:val="bottom"/>
            <w:gridSpan w:val="2"/>
          </w:tcPr>
          <w:p>
            <w:pPr>
              <w:ind w:left="540"/>
              <w:spacing w:after="0"/>
              <w:rPr>
                <w:sz w:val="20"/>
                <w:szCs w:val="20"/>
                <w:color w:val="auto"/>
              </w:rPr>
            </w:pPr>
            <w:r>
              <w:rPr>
                <w:rFonts w:ascii="Arial" w:cs="Arial" w:eastAsia="Arial" w:hAnsi="Arial"/>
                <w:sz w:val="16"/>
                <w:szCs w:val="16"/>
                <w:color w:val="auto"/>
              </w:rPr>
              <w:t>—</w:t>
            </w:r>
          </w:p>
        </w:tc>
        <w:tc>
          <w:tcPr>
            <w:tcW w:w="460" w:type="dxa"/>
            <w:vAlign w:val="bottom"/>
          </w:tcPr>
          <w:p>
            <w:pPr>
              <w:spacing w:after="0"/>
              <w:rPr>
                <w:sz w:val="17"/>
                <w:szCs w:val="17"/>
                <w:color w:val="auto"/>
              </w:rPr>
            </w:pPr>
          </w:p>
        </w:tc>
        <w:tc>
          <w:tcPr>
            <w:tcW w:w="240" w:type="dxa"/>
            <w:vAlign w:val="bottom"/>
          </w:tcPr>
          <w:p>
            <w:pPr>
              <w:jc w:val="right"/>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6"/>
                <w:szCs w:val="16"/>
                <w:color w:val="auto"/>
              </w:rPr>
              <w:t>310,078</w:t>
            </w:r>
          </w:p>
        </w:tc>
        <w:tc>
          <w:tcPr>
            <w:tcW w:w="9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300" w:type="dxa"/>
            <w:vAlign w:val="bottom"/>
            <w:gridSpan w:val="6"/>
            <w:shd w:val="clear" w:color="auto" w:fill="CCEEFF"/>
          </w:tcPr>
          <w:p>
            <w:pPr>
              <w:spacing w:after="0"/>
              <w:rPr>
                <w:sz w:val="20"/>
                <w:szCs w:val="20"/>
                <w:color w:val="auto"/>
              </w:rPr>
            </w:pPr>
            <w:r>
              <w:rPr>
                <w:rFonts w:ascii="Arial" w:cs="Arial" w:eastAsia="Arial" w:hAnsi="Arial"/>
                <w:sz w:val="16"/>
                <w:szCs w:val="16"/>
                <w:color w:val="auto"/>
              </w:rPr>
              <w:t>Jill Larsen</w:t>
            </w:r>
          </w:p>
        </w:tc>
        <w:tc>
          <w:tcPr>
            <w:tcW w:w="40" w:type="dxa"/>
            <w:vAlign w:val="bottom"/>
            <w:shd w:val="clear" w:color="auto" w:fill="CCEEFF"/>
          </w:tcPr>
          <w:p>
            <w:pPr>
              <w:spacing w:after="0"/>
              <w:rPr>
                <w:sz w:val="17"/>
                <w:szCs w:val="17"/>
                <w:color w:val="auto"/>
              </w:rPr>
            </w:pPr>
          </w:p>
        </w:tc>
        <w:tc>
          <w:tcPr>
            <w:tcW w:w="860" w:type="dxa"/>
            <w:vAlign w:val="bottom"/>
            <w:gridSpan w:val="2"/>
            <w:shd w:val="clear" w:color="auto" w:fill="CCEEFF"/>
          </w:tcPr>
          <w:p>
            <w:pPr>
              <w:ind w:left="540"/>
              <w:spacing w:after="0"/>
              <w:rPr>
                <w:sz w:val="20"/>
                <w:szCs w:val="20"/>
                <w:color w:val="auto"/>
              </w:rPr>
            </w:pPr>
            <w:r>
              <w:rPr>
                <w:rFonts w:ascii="Arial" w:cs="Arial" w:eastAsia="Arial" w:hAnsi="Arial"/>
                <w:sz w:val="16"/>
                <w:szCs w:val="16"/>
                <w:color w:val="auto"/>
              </w:rPr>
              <w:t>—</w:t>
            </w:r>
          </w:p>
        </w:tc>
        <w:tc>
          <w:tcPr>
            <w:tcW w:w="460" w:type="dxa"/>
            <w:vAlign w:val="bottom"/>
            <w:shd w:val="clear" w:color="auto" w:fill="CCEEFF"/>
          </w:tcPr>
          <w:p>
            <w:pPr>
              <w:spacing w:after="0"/>
              <w:rPr>
                <w:sz w:val="17"/>
                <w:szCs w:val="17"/>
                <w:color w:val="auto"/>
              </w:rPr>
            </w:pPr>
          </w:p>
        </w:tc>
        <w:tc>
          <w:tcPr>
            <w:tcW w:w="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44,463</w:t>
            </w:r>
          </w:p>
        </w:tc>
        <w:tc>
          <w:tcPr>
            <w:tcW w:w="92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6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3"/>
        </w:trPr>
        <w:tc>
          <w:tcPr>
            <w:tcW w:w="1300" w:type="dxa"/>
            <w:vAlign w:val="bottom"/>
            <w:gridSpan w:val="6"/>
          </w:tcPr>
          <w:p>
            <w:pPr>
              <w:spacing w:after="0"/>
              <w:rPr>
                <w:sz w:val="20"/>
                <w:szCs w:val="20"/>
                <w:color w:val="auto"/>
              </w:rPr>
            </w:pPr>
            <w:r>
              <w:rPr>
                <w:rFonts w:ascii="Arial" w:cs="Arial" w:eastAsia="Arial" w:hAnsi="Arial"/>
                <w:sz w:val="16"/>
                <w:szCs w:val="16"/>
                <w:color w:val="auto"/>
              </w:rPr>
              <w:t>Robert</w:t>
            </w:r>
          </w:p>
        </w:tc>
        <w:tc>
          <w:tcPr>
            <w:tcW w:w="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160" w:type="dxa"/>
            <w:vAlign w:val="bottom"/>
          </w:tcPr>
          <w:p>
            <w:pPr>
              <w:spacing w:after="0"/>
              <w:rPr>
                <w:sz w:val="18"/>
                <w:szCs w:val="18"/>
                <w:color w:val="auto"/>
              </w:rPr>
            </w:pPr>
          </w:p>
        </w:tc>
        <w:tc>
          <w:tcPr>
            <w:tcW w:w="1140" w:type="dxa"/>
            <w:vAlign w:val="bottom"/>
            <w:gridSpan w:val="5"/>
          </w:tcPr>
          <w:p>
            <w:pPr>
              <w:spacing w:after="0"/>
              <w:rPr>
                <w:sz w:val="20"/>
                <w:szCs w:val="20"/>
                <w:color w:val="auto"/>
              </w:rPr>
            </w:pPr>
            <w:r>
              <w:rPr>
                <w:rFonts w:ascii="Arial" w:cs="Arial" w:eastAsia="Arial" w:hAnsi="Arial"/>
                <w:sz w:val="16"/>
                <w:szCs w:val="16"/>
                <w:color w:val="auto"/>
                <w:w w:val="99"/>
              </w:rPr>
              <w:t>Musslewhite (8)</w:t>
            </w:r>
          </w:p>
        </w:tc>
        <w:tc>
          <w:tcPr>
            <w:tcW w:w="40" w:type="dxa"/>
            <w:vAlign w:val="bottom"/>
          </w:tcPr>
          <w:p>
            <w:pPr>
              <w:spacing w:after="0"/>
              <w:rPr>
                <w:sz w:val="18"/>
                <w:szCs w:val="18"/>
                <w:color w:val="auto"/>
              </w:rPr>
            </w:pPr>
          </w:p>
        </w:tc>
        <w:tc>
          <w:tcPr>
            <w:tcW w:w="860" w:type="dxa"/>
            <w:vAlign w:val="bottom"/>
            <w:gridSpan w:val="2"/>
          </w:tcPr>
          <w:p>
            <w:pPr>
              <w:ind w:left="540"/>
              <w:spacing w:after="0"/>
              <w:rPr>
                <w:sz w:val="20"/>
                <w:szCs w:val="20"/>
                <w:color w:val="auto"/>
              </w:rPr>
            </w:pPr>
            <w:r>
              <w:rPr>
                <w:rFonts w:ascii="Arial" w:cs="Arial" w:eastAsia="Arial" w:hAnsi="Arial"/>
                <w:sz w:val="16"/>
                <w:szCs w:val="16"/>
                <w:color w:val="auto"/>
              </w:rPr>
              <w:t>—</w:t>
            </w:r>
          </w:p>
        </w:tc>
        <w:tc>
          <w:tcPr>
            <w:tcW w:w="460" w:type="dxa"/>
            <w:vAlign w:val="bottom"/>
          </w:tcPr>
          <w:p>
            <w:pPr>
              <w:spacing w:after="0"/>
              <w:rPr>
                <w:sz w:val="18"/>
                <w:szCs w:val="18"/>
                <w:color w:val="auto"/>
              </w:rPr>
            </w:pPr>
          </w:p>
        </w:tc>
        <w:tc>
          <w:tcPr>
            <w:tcW w:w="240" w:type="dxa"/>
            <w:vAlign w:val="bottom"/>
          </w:tcPr>
          <w:p>
            <w:pPr>
              <w:jc w:val="right"/>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6"/>
                <w:szCs w:val="16"/>
                <w:color w:val="auto"/>
              </w:rPr>
              <w:t>478,156</w:t>
            </w:r>
          </w:p>
        </w:tc>
        <w:tc>
          <w:tcPr>
            <w:tcW w:w="9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1300" w:type="dxa"/>
            <w:vAlign w:val="bottom"/>
            <w:gridSpan w:val="6"/>
            <w:shd w:val="clear" w:color="auto" w:fill="CCEEFF"/>
          </w:tcPr>
          <w:p>
            <w:pPr>
              <w:spacing w:after="0"/>
              <w:rPr>
                <w:sz w:val="20"/>
                <w:szCs w:val="20"/>
                <w:color w:val="auto"/>
              </w:rPr>
            </w:pPr>
            <w:r>
              <w:rPr>
                <w:rFonts w:ascii="Arial" w:cs="Arial" w:eastAsia="Arial" w:hAnsi="Arial"/>
                <w:sz w:val="16"/>
                <w:szCs w:val="16"/>
                <w:color w:val="auto"/>
              </w:rPr>
              <w:t>Kathleen A.</w:t>
            </w:r>
          </w:p>
        </w:tc>
        <w:tc>
          <w:tcPr>
            <w:tcW w:w="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160" w:type="dxa"/>
            <w:vAlign w:val="bottom"/>
            <w:shd w:val="clear" w:color="auto" w:fill="CCEEFF"/>
          </w:tcPr>
          <w:p>
            <w:pPr>
              <w:spacing w:after="0"/>
              <w:rPr>
                <w:sz w:val="18"/>
                <w:szCs w:val="18"/>
                <w:color w:val="auto"/>
              </w:rPr>
            </w:pPr>
          </w:p>
        </w:tc>
        <w:tc>
          <w:tcPr>
            <w:tcW w:w="1140" w:type="dxa"/>
            <w:vAlign w:val="bottom"/>
            <w:gridSpan w:val="5"/>
            <w:shd w:val="clear" w:color="auto" w:fill="CCEEFF"/>
          </w:tcPr>
          <w:p>
            <w:pPr>
              <w:spacing w:after="0"/>
              <w:rPr>
                <w:sz w:val="20"/>
                <w:szCs w:val="20"/>
                <w:color w:val="auto"/>
              </w:rPr>
            </w:pPr>
            <w:r>
              <w:rPr>
                <w:rFonts w:ascii="Arial" w:cs="Arial" w:eastAsia="Arial" w:hAnsi="Arial"/>
                <w:sz w:val="16"/>
                <w:szCs w:val="16"/>
                <w:color w:val="auto"/>
              </w:rPr>
              <w:t>Winters (9)</w:t>
            </w:r>
          </w:p>
        </w:tc>
        <w:tc>
          <w:tcPr>
            <w:tcW w:w="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ind w:left="540"/>
              <w:spacing w:after="0"/>
              <w:rPr>
                <w:sz w:val="20"/>
                <w:szCs w:val="20"/>
                <w:color w:val="auto"/>
              </w:rPr>
            </w:pPr>
            <w:r>
              <w:rPr>
                <w:rFonts w:ascii="Arial" w:cs="Arial" w:eastAsia="Arial" w:hAnsi="Arial"/>
                <w:sz w:val="16"/>
                <w:szCs w:val="16"/>
                <w:color w:val="auto"/>
              </w:rPr>
              <w:t>—</w:t>
            </w:r>
          </w:p>
        </w:tc>
        <w:tc>
          <w:tcPr>
            <w:tcW w:w="460" w:type="dxa"/>
            <w:vAlign w:val="bottom"/>
            <w:shd w:val="clear" w:color="auto" w:fill="CCEEFF"/>
          </w:tcPr>
          <w:p>
            <w:pPr>
              <w:spacing w:after="0"/>
              <w:rPr>
                <w:sz w:val="18"/>
                <w:szCs w:val="18"/>
                <w:color w:val="auto"/>
              </w:rPr>
            </w:pPr>
          </w:p>
        </w:tc>
        <w:tc>
          <w:tcPr>
            <w:tcW w:w="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92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97"/>
        </w:trPr>
        <w:tc>
          <w:tcPr>
            <w:tcW w:w="1300" w:type="dxa"/>
            <w:vAlign w:val="bottom"/>
            <w:gridSpan w:val="6"/>
          </w:tcPr>
          <w:p>
            <w:pPr>
              <w:spacing w:after="0"/>
              <w:rPr>
                <w:sz w:val="20"/>
                <w:szCs w:val="20"/>
                <w:color w:val="auto"/>
              </w:rPr>
            </w:pPr>
            <w:r>
              <w:rPr>
                <w:rFonts w:ascii="Arial" w:cs="Arial" w:eastAsia="Arial" w:hAnsi="Arial"/>
                <w:sz w:val="16"/>
                <w:szCs w:val="16"/>
                <w:b w:val="1"/>
                <w:bCs w:val="1"/>
                <w:color w:val="auto"/>
              </w:rPr>
              <w:t>All directors and</w:t>
            </w:r>
          </w:p>
        </w:tc>
        <w:tc>
          <w:tcPr>
            <w:tcW w:w="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160" w:type="dxa"/>
            <w:vAlign w:val="bottom"/>
          </w:tcPr>
          <w:p>
            <w:pPr>
              <w:spacing w:after="0"/>
              <w:rPr>
                <w:sz w:val="17"/>
                <w:szCs w:val="17"/>
                <w:color w:val="auto"/>
              </w:rPr>
            </w:pPr>
          </w:p>
        </w:tc>
        <w:tc>
          <w:tcPr>
            <w:tcW w:w="1140" w:type="dxa"/>
            <w:vAlign w:val="bottom"/>
            <w:gridSpan w:val="5"/>
          </w:tcPr>
          <w:p>
            <w:pPr>
              <w:spacing w:after="0"/>
              <w:rPr>
                <w:sz w:val="20"/>
                <w:szCs w:val="20"/>
                <w:color w:val="auto"/>
              </w:rPr>
            </w:pPr>
            <w:r>
              <w:rPr>
                <w:rFonts w:ascii="Arial" w:cs="Arial" w:eastAsia="Arial" w:hAnsi="Arial"/>
                <w:sz w:val="16"/>
                <w:szCs w:val="16"/>
                <w:b w:val="1"/>
                <w:bCs w:val="1"/>
                <w:color w:val="auto"/>
              </w:rPr>
              <w:t>executive</w:t>
            </w:r>
          </w:p>
        </w:tc>
        <w:tc>
          <w:tcPr>
            <w:tcW w:w="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60" w:type="dxa"/>
            <w:vAlign w:val="bottom"/>
          </w:tcPr>
          <w:p>
            <w:pPr>
              <w:spacing w:after="0"/>
              <w:rPr>
                <w:sz w:val="17"/>
                <w:szCs w:val="17"/>
                <w:color w:val="auto"/>
              </w:rPr>
            </w:pPr>
          </w:p>
        </w:tc>
        <w:tc>
          <w:tcPr>
            <w:tcW w:w="1140" w:type="dxa"/>
            <w:vAlign w:val="bottom"/>
            <w:gridSpan w:val="5"/>
          </w:tcPr>
          <w:p>
            <w:pPr>
              <w:spacing w:after="0"/>
              <w:rPr>
                <w:sz w:val="20"/>
                <w:szCs w:val="20"/>
                <w:color w:val="auto"/>
              </w:rPr>
            </w:pPr>
            <w:r>
              <w:rPr>
                <w:rFonts w:ascii="Arial" w:cs="Arial" w:eastAsia="Arial" w:hAnsi="Arial"/>
                <w:sz w:val="16"/>
                <w:szCs w:val="16"/>
                <w:b w:val="1"/>
                <w:bCs w:val="1"/>
                <w:color w:val="auto"/>
              </w:rPr>
              <w:t>officers as a</w:t>
            </w:r>
          </w:p>
        </w:tc>
        <w:tc>
          <w:tcPr>
            <w:tcW w:w="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60" w:type="dxa"/>
            <w:vAlign w:val="bottom"/>
          </w:tcPr>
          <w:p>
            <w:pPr>
              <w:spacing w:after="0"/>
              <w:rPr>
                <w:sz w:val="17"/>
                <w:szCs w:val="17"/>
                <w:color w:val="auto"/>
              </w:rPr>
            </w:pPr>
          </w:p>
        </w:tc>
        <w:tc>
          <w:tcPr>
            <w:tcW w:w="1140" w:type="dxa"/>
            <w:vAlign w:val="bottom"/>
            <w:gridSpan w:val="5"/>
          </w:tcPr>
          <w:p>
            <w:pPr>
              <w:spacing w:after="0"/>
              <w:rPr>
                <w:sz w:val="20"/>
                <w:szCs w:val="20"/>
                <w:color w:val="auto"/>
              </w:rPr>
            </w:pPr>
            <w:r>
              <w:rPr>
                <w:rFonts w:ascii="Arial" w:cs="Arial" w:eastAsia="Arial" w:hAnsi="Arial"/>
                <w:sz w:val="16"/>
                <w:szCs w:val="16"/>
                <w:b w:val="1"/>
                <w:bCs w:val="1"/>
                <w:color w:val="auto"/>
              </w:rPr>
              <w:t>group (14</w:t>
            </w:r>
          </w:p>
        </w:tc>
        <w:tc>
          <w:tcPr>
            <w:tcW w:w="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160" w:type="dxa"/>
            <w:vAlign w:val="bottom"/>
          </w:tcPr>
          <w:p>
            <w:pPr>
              <w:spacing w:after="0"/>
              <w:rPr>
                <w:sz w:val="18"/>
                <w:szCs w:val="18"/>
                <w:color w:val="auto"/>
              </w:rPr>
            </w:pPr>
          </w:p>
        </w:tc>
        <w:tc>
          <w:tcPr>
            <w:tcW w:w="1140" w:type="dxa"/>
            <w:vAlign w:val="bottom"/>
            <w:gridSpan w:val="5"/>
          </w:tcPr>
          <w:p>
            <w:pPr>
              <w:spacing w:after="0"/>
              <w:rPr>
                <w:sz w:val="20"/>
                <w:szCs w:val="20"/>
                <w:color w:val="auto"/>
              </w:rPr>
            </w:pPr>
            <w:r>
              <w:rPr>
                <w:rFonts w:ascii="Arial" w:cs="Arial" w:eastAsia="Arial" w:hAnsi="Arial"/>
                <w:sz w:val="16"/>
                <w:szCs w:val="16"/>
                <w:b w:val="1"/>
                <w:bCs w:val="1"/>
                <w:color w:val="auto"/>
              </w:rPr>
              <w:t>persons)</w:t>
            </w:r>
          </w:p>
        </w:tc>
        <w:tc>
          <w:tcPr>
            <w:tcW w:w="820" w:type="dxa"/>
            <w:vAlign w:val="bottom"/>
            <w:gridSpan w:val="2"/>
          </w:tcPr>
          <w:p>
            <w:pPr>
              <w:jc w:val="right"/>
              <w:spacing w:after="0"/>
              <w:rPr>
                <w:sz w:val="20"/>
                <w:szCs w:val="20"/>
                <w:color w:val="auto"/>
              </w:rPr>
            </w:pPr>
            <w:r>
              <w:rPr>
                <w:rFonts w:ascii="Arial" w:cs="Arial" w:eastAsia="Arial" w:hAnsi="Arial"/>
                <w:sz w:val="16"/>
                <w:szCs w:val="16"/>
                <w:color w:val="auto"/>
              </w:rPr>
              <w:t>538,456</w:t>
            </w:r>
          </w:p>
        </w:tc>
        <w:tc>
          <w:tcPr>
            <w:tcW w:w="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40" w:type="dxa"/>
            <w:vAlign w:val="bottom"/>
          </w:tcPr>
          <w:p>
            <w:pPr>
              <w:jc w:val="right"/>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6"/>
                <w:szCs w:val="16"/>
                <w:color w:val="auto"/>
                <w:w w:val="92"/>
              </w:rPr>
              <w:t>28,739,220</w:t>
            </w:r>
          </w:p>
        </w:tc>
        <w:tc>
          <w:tcPr>
            <w:tcW w:w="920" w:type="dxa"/>
            <w:vAlign w:val="bottom"/>
            <w:gridSpan w:val="2"/>
          </w:tcPr>
          <w:p>
            <w:pPr>
              <w:jc w:val="right"/>
              <w:ind w:right="100"/>
              <w:spacing w:after="0"/>
              <w:rPr>
                <w:sz w:val="20"/>
                <w:szCs w:val="20"/>
                <w:color w:val="auto"/>
              </w:rPr>
            </w:pPr>
            <w:r>
              <w:rPr>
                <w:rFonts w:ascii="Arial" w:cs="Arial" w:eastAsia="Arial" w:hAnsi="Arial"/>
                <w:sz w:val="16"/>
                <w:szCs w:val="16"/>
                <w:color w:val="auto"/>
              </w:rPr>
              <w:t>47.8%</w:t>
            </w: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89535</wp:posOffset>
            </wp:positionV>
            <wp:extent cx="771525" cy="8890"/>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771525" cy="8890"/>
                    </a:xfrm>
                    <a:prstGeom prst="rect">
                      <a:avLst/>
                    </a:prstGeom>
                    <a:noFill/>
                  </pic:spPr>
                </pic:pic>
              </a:graphicData>
            </a:graphic>
          </wp:anchor>
        </w:drawing>
      </w:r>
    </w:p>
    <w:p>
      <w:pPr>
        <w:spacing w:after="0" w:line="156" w:lineRule="exact"/>
        <w:rPr>
          <w:sz w:val="20"/>
          <w:szCs w:val="20"/>
          <w:color w:val="auto"/>
        </w:rPr>
      </w:pPr>
    </w:p>
    <w:p>
      <w:pPr>
        <w:ind w:left="540" w:hanging="424"/>
        <w:spacing w:after="0"/>
        <w:tabs>
          <w:tab w:leader="none" w:pos="540" w:val="left"/>
        </w:tabs>
        <w:numPr>
          <w:ilvl w:val="0"/>
          <w:numId w:val="141"/>
        </w:numPr>
        <w:rPr>
          <w:rFonts w:ascii="Arial" w:cs="Arial" w:eastAsia="Arial" w:hAnsi="Arial"/>
          <w:sz w:val="14"/>
          <w:szCs w:val="14"/>
          <w:color w:val="auto"/>
        </w:rPr>
      </w:pPr>
      <w:r>
        <w:rPr>
          <w:rFonts w:ascii="Arial" w:cs="Arial" w:eastAsia="Arial" w:hAnsi="Arial"/>
          <w:sz w:val="14"/>
          <w:szCs w:val="14"/>
          <w:color w:val="auto"/>
        </w:rPr>
        <w:t>Represents beneficial ownership of less than 1%.</w:t>
      </w:r>
    </w:p>
    <w:p>
      <w:pPr>
        <w:spacing w:after="0" w:line="109" w:lineRule="exact"/>
        <w:rPr>
          <w:sz w:val="20"/>
          <w:szCs w:val="20"/>
          <w:color w:val="auto"/>
        </w:rPr>
      </w:pPr>
    </w:p>
    <w:p>
      <w:pPr>
        <w:ind w:left="540" w:right="140" w:hanging="424"/>
        <w:spacing w:after="0" w:line="231" w:lineRule="auto"/>
        <w:tabs>
          <w:tab w:leader="none" w:pos="540" w:val="left"/>
        </w:tabs>
        <w:numPr>
          <w:ilvl w:val="0"/>
          <w:numId w:val="142"/>
        </w:numPr>
        <w:rPr>
          <w:rFonts w:ascii="Arial" w:cs="Arial" w:eastAsia="Arial" w:hAnsi="Arial"/>
          <w:sz w:val="14"/>
          <w:szCs w:val="14"/>
          <w:color w:val="auto"/>
        </w:rPr>
      </w:pPr>
      <w:r>
        <w:rPr>
          <w:rFonts w:ascii="Arial" w:cs="Arial" w:eastAsia="Arial" w:hAnsi="Arial"/>
          <w:sz w:val="14"/>
          <w:szCs w:val="14"/>
          <w:color w:val="auto"/>
        </w:rPr>
        <w:t>Includes: (i) 17,526,053 shares of Class A common stock assuming held by Advent International GPE IX Limited Partnership (“GPE-IX LP”); (ii) 3,473,864 shares of Class A common stock held by Advent International GPE IX-B Limited Partnership (“GPE IX-B LP”); (iii) 1,441,699 shares of Class A common stock held by Advent International GPE IX-C Limited Partnership (“GPE IX-C LP”); (iv) 1,512,622 shares of Class A common stock held by Advent International GPE IX-F Limited Partnership (“GPE IX-F LP”); (v) 4,977,255 shares of Class A common stock held by Advent International GPE IX-G Limited Partnership (“GPE IX-G LP”); (vi) 5,611,595 shares of Class A common stock held by Advent International GPE</w:t>
      </w:r>
    </w:p>
    <w:p>
      <w:pPr>
        <w:spacing w:after="0" w:line="121"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158</w:t>
      </w:r>
    </w:p>
    <w:p>
      <w:pPr>
        <w:sectPr>
          <w:pgSz w:w="11900" w:h="16838" w:orient="portrait"/>
          <w:cols w:equalWidth="0" w:num="1">
            <w:col w:w="11260"/>
          </w:cols>
          <w:pgMar w:left="320" w:top="459" w:right="319" w:bottom="1440" w:gutter="0" w:footer="0" w:header="0"/>
        </w:sectPr>
      </w:pPr>
    </w:p>
    <w:bookmarkStart w:id="165" w:name="page166"/>
    <w:bookmarkEnd w:id="16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Confidential Treatment Requested by Definitive Healthcare Corp.</w:t>
      </w:r>
    </w:p>
    <w:p>
      <w:pPr>
        <w:spacing w:after="0" w:line="27"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Pursuant to 17 C.F.R. Section 200.83</w:t>
      </w:r>
    </w:p>
    <w:p>
      <w:pPr>
        <w:spacing w:after="0" w:line="138" w:lineRule="exact"/>
        <w:rPr>
          <w:sz w:val="20"/>
          <w:szCs w:val="20"/>
          <w:color w:val="auto"/>
        </w:rPr>
      </w:pPr>
    </w:p>
    <w:p>
      <w:pPr>
        <w:ind w:left="540"/>
        <w:spacing w:after="0"/>
        <w:rPr>
          <w:sz w:val="20"/>
          <w:szCs w:val="20"/>
          <w:color w:val="auto"/>
        </w:rPr>
      </w:pPr>
      <w:r>
        <w:rPr>
          <w:rFonts w:ascii="Arial" w:cs="Arial" w:eastAsia="Arial" w:hAnsi="Arial"/>
          <w:sz w:val="14"/>
          <w:szCs w:val="14"/>
          <w:color w:val="auto"/>
        </w:rPr>
        <w:t>IX-H Limited Partnership (“GPE IX-H LP”); (vii) 3,178,527 shares of Class A common stock held by Advent International GPE IX-I Limited Partnership (“GPE IX-I LP”);</w:t>
      </w:r>
    </w:p>
    <w:p>
      <w:pPr>
        <w:ind w:left="540" w:right="100" w:firstLine="8"/>
        <w:spacing w:after="0" w:line="238" w:lineRule="auto"/>
        <w:tabs>
          <w:tab w:leader="none" w:pos="864" w:val="left"/>
        </w:tabs>
        <w:numPr>
          <w:ilvl w:val="1"/>
          <w:numId w:val="143"/>
        </w:numPr>
        <w:rPr>
          <w:rFonts w:ascii="Arial" w:cs="Arial" w:eastAsia="Arial" w:hAnsi="Arial"/>
          <w:sz w:val="13"/>
          <w:szCs w:val="13"/>
          <w:color w:val="auto"/>
        </w:rPr>
      </w:pPr>
      <w:r>
        <w:rPr>
          <w:rFonts w:ascii="Arial" w:cs="Arial" w:eastAsia="Arial" w:hAnsi="Arial"/>
          <w:sz w:val="13"/>
          <w:szCs w:val="13"/>
          <w:color w:val="auto"/>
        </w:rPr>
        <w:t>5,153,621 shares of Class A common stock held by Advent International GPE IX-A SCSP (“GPE IX-A SCSP”); (ix) 1,096,951 shares of Class A common stock held by Advent International GPE IX-D SCSP (“GPE IX-D SCSP”); (x) 2,229,295 shares of Class A common stock held by Advent International GPE IX-E SCSP (“GPE IX-E SCSP”); (xi) 100,705 shares of Class A common stock held by Advent Partners GPE IX Strategic Investors SCSP (“GPE IX Strategic Investors SCSP”); (xii) 57,514 shares of Class A common stock held by Advent Partners GPE IX Limited Partnership (“AP GPE IX LP”); (xiii) 132,999 shares of Class A common stock held by Advent Partners GPE IX-A Limited Partnership (“AP GPE IX-A LP”); (xiv) 331,874 shares of Class A common stock held by Advent Partners GPE IX Cayman Limited Partnership (“AP GPE IX Cayman LP”); (xv) 55,942 shares of Class A common stock held by Advent Partners GPE IX Cayman Limited Partnership (“AP GPE IX-A Cayman LP”); (xvi) 928,741 shares of Class A common stock held by Advent Partners GPE IX-B Cayman Limited Partnership (“AP GPE IX-B Cayman LP”); (xvii) 3,947,269 shares of Class A common stock held by Advent Global Technology Limited Partnership (“Global Technology LP”); (xviii) 3,071,881 shares of Class A common stock held by Advent Global Technology-B Limited Partnership (“Global Technology-B LP”);</w:t>
      </w:r>
    </w:p>
    <w:p>
      <w:pPr>
        <w:spacing w:after="0" w:line="2" w:lineRule="exact"/>
        <w:rPr>
          <w:rFonts w:ascii="Arial" w:cs="Arial" w:eastAsia="Arial" w:hAnsi="Arial"/>
          <w:sz w:val="13"/>
          <w:szCs w:val="13"/>
          <w:color w:val="auto"/>
        </w:rPr>
      </w:pPr>
    </w:p>
    <w:p>
      <w:pPr>
        <w:ind w:left="540" w:right="20" w:firstLine="8"/>
        <w:spacing w:after="0" w:line="239" w:lineRule="auto"/>
        <w:tabs>
          <w:tab w:leader="none" w:pos="856" w:val="left"/>
        </w:tabs>
        <w:numPr>
          <w:ilvl w:val="1"/>
          <w:numId w:val="144"/>
        </w:numPr>
        <w:rPr>
          <w:rFonts w:ascii="Arial" w:cs="Arial" w:eastAsia="Arial" w:hAnsi="Arial"/>
          <w:sz w:val="13"/>
          <w:szCs w:val="13"/>
          <w:color w:val="auto"/>
        </w:rPr>
      </w:pPr>
      <w:r>
        <w:rPr>
          <w:rFonts w:ascii="Arial" w:cs="Arial" w:eastAsia="Arial" w:hAnsi="Arial"/>
          <w:sz w:val="13"/>
          <w:szCs w:val="13"/>
          <w:color w:val="auto"/>
        </w:rPr>
        <w:t>1,663,214 shares of Class A common stock held by Advent Global Technology-C Limited Partnership (“Global Technology-C LP”); (xx) 1,991,209 shares of Class A common stock held by Advent Global Technology-D Limited Partnership (“Global Technology-D LP”); (xxi) 1,948,500 shares of Class A common stock held by Advent Global Technology-A SCSP (“Global Technology-A SCSP”); (xxii) 6,192 shares of Class A common stock held by Advent Partners AGT Limited Partnership (“AGT LP”); (xxiii) 28,294 shares of Class A common stock held by Advent Partners AGT-A Limited Partnership (“AGT-A LP”); (xxiv) 354,438 shares of Class A common stock held by Advent Partners AGT Cayman Limited Partnership (“AGT Cayman LP”); (xxv) 31,570 shares of Class A common stock held by Advent Global Technology Strategic Investors Limited Partnership (“AGT Strategic Investors LP”); and (xxvi) 3,745,725 shares of Class A common stock held by Sunley House Capital Master Limited Partnership (“Sunley House Master Fund”). GPE IX GP Limited Partnership is the general partner of GPE-IX LP, GPE IX-B LP, GPE IX-C LP, GPE IX-F LP, GPE IX-G LP, GPE IX-H LP and GPE IX-I LP. AP GPE IX GP Limited Partnership is the general partner of AP GPE IX LP, AP GPE IX-A LP, AP GPE IX Cayman LP, AP GPE IX-A Cayman LP and AP GPE IX-B Cayman LP. GPE IX GP S.a` r.l. is the general partner of GPE IX-A SCSP, GPE IX-D SCSP, GPE IX-E SCSP and GPE IX Strategic Investors SCSP. Advent Global Technology GP Limited Partnership is the general partner of Global Technology LP, Global Technology-B LP, Global Technology-C LP and Global Technology-D LP. Advent Global Technology GP S.a` r.l. is the general partner of Technology-A SCSP. AP AGT GP Limited Partnership is the general partner of AGT LP, AGT-A LP, AGT Cayman LP and AGT Strategic Investors LP. Advent International GPE IX, LLC is the general partner of GPE IX GP Limited Partnership, AP GPE IX GP Limited Partnership and GPE IX GP S.a` r.l. Advent Global Technology LLC is the general partner of Advent Global Technology GP Limited Partnership, Advent Global Technology GP S.a` r.l. and AP AGT GP Limited Partnership. Sunley House Capital GP LP (“Sunley House GP LP”), as general partner of Sunley House Master Fund, Sunley House Capital GP LLC (“Sunley House GP LLC”), as general partner of Sunley House GP LP, and Sunley House Capital Management LLC (“Sunley House Manager”), as investment manager to Sunley House Master Fund, may be deemed to beneficially own the shares held directly by Sunley House Master Fund. Advent International Corporation is the manager of Advent International GPE IX, LLC and Advent Global Technology LLC and is the sole member of both Sunley House GP LLC and Sunley House Manager. Investors in the Sunley House Master Fund invest in one or more of the following feeder funds: Sunley House Capital Fund LP, Sunley House Capital Limited Partnership, Sunley House Capital Fund Ltd. and Sunley House Capital Ltd. (collectively, the “Sunley House Feeder Funds”), which are the limited partners of the Sunley House Master Fund. The Sunley House Feeder Funds have ownership interests in the Sunley House Master Fund, but none of the Sunley House Feeder Funds owns shares directly and none has voting or dispositive power over the shares held directly by the Sunley House Master Fund. Voting and investment decisions by Advent International Corporation are made by a number of individuals currently comprised of John L. Maldonado, David M. McKenna and David M. Mussafer. The address of each of the entities and individuals named in this footnote is c/o Advent International Corporation, Prudential Tower, 800 Boylston St., Suite 3300, Boston, MA 02199.</w:t>
      </w:r>
    </w:p>
    <w:p>
      <w:pPr>
        <w:spacing w:after="0" w:line="101" w:lineRule="exact"/>
        <w:rPr>
          <w:rFonts w:ascii="Arial" w:cs="Arial" w:eastAsia="Arial" w:hAnsi="Arial"/>
          <w:sz w:val="13"/>
          <w:szCs w:val="13"/>
          <w:color w:val="auto"/>
        </w:rPr>
      </w:pPr>
    </w:p>
    <w:p>
      <w:pPr>
        <w:ind w:left="540" w:right="140" w:hanging="424"/>
        <w:spacing w:after="0" w:line="248" w:lineRule="auto"/>
        <w:tabs>
          <w:tab w:leader="none" w:pos="540" w:val="left"/>
        </w:tabs>
        <w:numPr>
          <w:ilvl w:val="0"/>
          <w:numId w:val="145"/>
        </w:numPr>
        <w:rPr>
          <w:rFonts w:ascii="Arial" w:cs="Arial" w:eastAsia="Arial" w:hAnsi="Arial"/>
          <w:sz w:val="13"/>
          <w:szCs w:val="13"/>
          <w:color w:val="auto"/>
        </w:rPr>
      </w:pPr>
      <w:r>
        <w:rPr>
          <w:rFonts w:ascii="Arial" w:cs="Arial" w:eastAsia="Arial" w:hAnsi="Arial"/>
          <w:sz w:val="13"/>
          <w:szCs w:val="13"/>
          <w:color w:val="auto"/>
        </w:rPr>
        <w:t>Amount beneficially owned following this offering includes: (i) 27,647,349 shares of Class B common stock held directly by SE VII DHC AIV, L.P.; (ii) 2,885,876 shares of Class A common stock held directly by SE VII DHC AIV Feeder, L.P.; (iii) 40,173 shares of Class B common stock held directly by Spectrum VII Investment Managers’ Fund, L.P.; and</w:t>
      </w:r>
    </w:p>
    <w:p>
      <w:pPr>
        <w:ind w:left="540" w:right="20" w:firstLine="8"/>
        <w:spacing w:after="0" w:line="246" w:lineRule="auto"/>
        <w:tabs>
          <w:tab w:leader="none" w:pos="784" w:val="left"/>
        </w:tabs>
        <w:numPr>
          <w:ilvl w:val="1"/>
          <w:numId w:val="145"/>
        </w:numPr>
        <w:rPr>
          <w:rFonts w:ascii="Arial" w:cs="Arial" w:eastAsia="Arial" w:hAnsi="Arial"/>
          <w:sz w:val="13"/>
          <w:szCs w:val="13"/>
          <w:color w:val="auto"/>
        </w:rPr>
      </w:pPr>
      <w:r>
        <w:rPr>
          <w:rFonts w:ascii="Arial" w:cs="Arial" w:eastAsia="Arial" w:hAnsi="Arial"/>
          <w:sz w:val="13"/>
          <w:szCs w:val="13"/>
          <w:color w:val="auto"/>
        </w:rPr>
        <w:t>23,467 shares of Class B common stock assuming full exercise of the underwriters’ option) held directly by Spectrum VII Co-Investment Fund, L.P. collectively the “Spectrum Funds”. SEA VII Management, LLC is the general partner of Spectrum Equity Associates VII, L.P., which in turn is the general partner of the Spectrum Funds. Chris Mitchell, a member of our board of directors, is one of nine managing directors of SEA VII, Management, LLC. Mr. Mitchell and the other managing directors may be deemed to share voting and dispositive over the shares held by the Spectrum Entities. Mr. Mitchell and these other individuals disclaims beneficial ownership of any of the shares held by the Spectrum Entities, except to the extent of their pecuniary interest. The address for each of these entities is 140 New Montgomery Street, 20th Floor, San Francisco, CA 94105.</w:t>
      </w:r>
    </w:p>
    <w:p>
      <w:pPr>
        <w:spacing w:after="0" w:line="85" w:lineRule="exact"/>
        <w:rPr>
          <w:rFonts w:ascii="Arial" w:cs="Arial" w:eastAsia="Arial" w:hAnsi="Arial"/>
          <w:sz w:val="13"/>
          <w:szCs w:val="13"/>
          <w:color w:val="auto"/>
        </w:rPr>
      </w:pPr>
    </w:p>
    <w:p>
      <w:pPr>
        <w:ind w:left="540" w:right="80" w:hanging="424"/>
        <w:spacing w:after="0" w:line="253" w:lineRule="auto"/>
        <w:tabs>
          <w:tab w:leader="none" w:pos="540" w:val="left"/>
        </w:tabs>
        <w:numPr>
          <w:ilvl w:val="0"/>
          <w:numId w:val="145"/>
        </w:numPr>
        <w:rPr>
          <w:rFonts w:ascii="Arial" w:cs="Arial" w:eastAsia="Arial" w:hAnsi="Arial"/>
          <w:sz w:val="14"/>
          <w:szCs w:val="14"/>
          <w:color w:val="auto"/>
        </w:rPr>
      </w:pPr>
      <w:r>
        <w:rPr>
          <w:rFonts w:ascii="Arial" w:cs="Arial" w:eastAsia="Arial" w:hAnsi="Arial"/>
          <w:sz w:val="14"/>
          <w:szCs w:val="14"/>
          <w:color w:val="auto"/>
        </w:rPr>
        <w:t>Amount beneficially owned following this offering includes 756,479 shares of Class B common stock owned by Jason Krantz and 21,134,491 shares of Class B common stock owned in trust by DH Holdings, of which Jason Krantz is the beneficiary.</w:t>
      </w:r>
    </w:p>
    <w:p>
      <w:pPr>
        <w:spacing w:after="0" w:line="79" w:lineRule="exact"/>
        <w:rPr>
          <w:rFonts w:ascii="Arial" w:cs="Arial" w:eastAsia="Arial" w:hAnsi="Arial"/>
          <w:sz w:val="14"/>
          <w:szCs w:val="14"/>
          <w:color w:val="auto"/>
        </w:rPr>
      </w:pPr>
    </w:p>
    <w:p>
      <w:pPr>
        <w:jc w:val="both"/>
        <w:ind w:left="540" w:right="40" w:hanging="424"/>
        <w:spacing w:after="0" w:line="244" w:lineRule="auto"/>
        <w:tabs>
          <w:tab w:leader="none" w:pos="540" w:val="left"/>
        </w:tabs>
        <w:numPr>
          <w:ilvl w:val="0"/>
          <w:numId w:val="145"/>
        </w:numPr>
        <w:rPr>
          <w:rFonts w:ascii="Arial" w:cs="Arial" w:eastAsia="Arial" w:hAnsi="Arial"/>
          <w:sz w:val="13"/>
          <w:szCs w:val="13"/>
          <w:color w:val="auto"/>
        </w:rPr>
      </w:pPr>
      <w:r>
        <w:rPr>
          <w:rFonts w:ascii="Arial" w:cs="Arial" w:eastAsia="Arial" w:hAnsi="Arial"/>
          <w:sz w:val="13"/>
          <w:szCs w:val="13"/>
          <w:color w:val="auto"/>
        </w:rPr>
        <w:t>Amount beneficially owned following this offering includes: (i) 4,278,551 shares of Class B common stock held directly by 22C Capital I, L.P.; (ii) 538,456 shares of Class A common stock held directly by 22C Capital I-A, L.P.; and (iii) 12,651 shares of Class B common stock directly by 22C AIDH AIV LLC. 22C Capital GP I, L.L.C. is the general partner of each of 22C Capital I, L.P. and 22C Capital I-A, L.P., and is the sole member of 22C AIDH AIV LLC. 22C Capital GP I MM LLC is the managing member of 22C Capital GP I, L.L.C.</w:t>
      </w:r>
    </w:p>
    <w:p>
      <w:pPr>
        <w:spacing w:after="0" w:line="1" w:lineRule="exact"/>
        <w:rPr>
          <w:rFonts w:ascii="Arial" w:cs="Arial" w:eastAsia="Arial" w:hAnsi="Arial"/>
          <w:sz w:val="13"/>
          <w:szCs w:val="13"/>
          <w:color w:val="auto"/>
        </w:rPr>
      </w:pPr>
    </w:p>
    <w:p>
      <w:pPr>
        <w:ind w:left="540" w:right="100"/>
        <w:spacing w:after="0" w:line="232" w:lineRule="auto"/>
        <w:rPr>
          <w:rFonts w:ascii="Arial" w:cs="Arial" w:eastAsia="Arial" w:hAnsi="Arial"/>
          <w:sz w:val="13"/>
          <w:szCs w:val="13"/>
          <w:color w:val="auto"/>
        </w:rPr>
      </w:pPr>
      <w:r>
        <w:rPr>
          <w:rFonts w:ascii="Arial" w:cs="Arial" w:eastAsia="Arial" w:hAnsi="Arial"/>
          <w:sz w:val="14"/>
          <w:szCs w:val="14"/>
          <w:color w:val="auto"/>
        </w:rPr>
        <w:t>Eric Edell and D. Randall Winn are co-members of 22C Capital GP I MM LLC and, in such capacities, exercise voting or investment power over the shares of Class A common stock and Class B common stock held directly by 22C Capital I, L.P., 22C Capital I-A, L.P. and 22C AIDH AIV LLC. The address of all entities referred to above is c/o 22C Capital LLC, 7900 Glades Road, Suite 540, Boca Raton, FL 33434.</w:t>
      </w:r>
    </w:p>
    <w:p>
      <w:pPr>
        <w:spacing w:after="0" w:line="88" w:lineRule="exact"/>
        <w:rPr>
          <w:rFonts w:ascii="Arial" w:cs="Arial" w:eastAsia="Arial" w:hAnsi="Arial"/>
          <w:sz w:val="13"/>
          <w:szCs w:val="13"/>
          <w:color w:val="auto"/>
        </w:rPr>
      </w:pPr>
    </w:p>
    <w:p>
      <w:pPr>
        <w:ind w:left="540" w:hanging="424"/>
        <w:spacing w:after="0" w:line="253" w:lineRule="auto"/>
        <w:tabs>
          <w:tab w:leader="none" w:pos="540" w:val="left"/>
        </w:tabs>
        <w:numPr>
          <w:ilvl w:val="0"/>
          <w:numId w:val="145"/>
        </w:numPr>
        <w:rPr>
          <w:rFonts w:ascii="Arial" w:cs="Arial" w:eastAsia="Arial" w:hAnsi="Arial"/>
          <w:sz w:val="14"/>
          <w:szCs w:val="14"/>
          <w:color w:val="auto"/>
        </w:rPr>
      </w:pPr>
      <w:r>
        <w:rPr>
          <w:rFonts w:ascii="Arial" w:cs="Arial" w:eastAsia="Arial" w:hAnsi="Arial"/>
          <w:sz w:val="14"/>
          <w:szCs w:val="14"/>
          <w:color w:val="auto"/>
        </w:rPr>
        <w:t>Excludes shares of Class A common stock and Class B common Stock held by the Spectrum Entities, as disclosed in footnote (2) above. Mr. Mitchell disclaims beneficial ownership of the shares of Class A common stock and Class B common stock held by the Advent Funds except to the extent of his pecuniary interest therein.</w:t>
      </w:r>
    </w:p>
    <w:p>
      <w:pPr>
        <w:spacing w:after="0" w:line="110"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159</w:t>
      </w:r>
    </w:p>
    <w:p>
      <w:pPr>
        <w:sectPr>
          <w:pgSz w:w="11900" w:h="16838" w:orient="portrait"/>
          <w:cols w:equalWidth="0" w:num="1">
            <w:col w:w="11140"/>
          </w:cols>
          <w:pgMar w:left="320" w:top="459" w:right="439" w:bottom="1440" w:gutter="0" w:footer="0" w:header="0"/>
        </w:sectPr>
      </w:pPr>
    </w:p>
    <w:bookmarkStart w:id="166" w:name="page167"/>
    <w:bookmarkEnd w:id="16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Confidential Treatment Requested by Definitive Healthcare Corp.</w:t>
      </w:r>
    </w:p>
    <w:p>
      <w:pPr>
        <w:spacing w:after="0" w:line="27"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Pursuant to 17 C.F.R. Section 200.83</w:t>
      </w:r>
    </w:p>
    <w:p>
      <w:pPr>
        <w:spacing w:after="0" w:line="139" w:lineRule="exact"/>
        <w:rPr>
          <w:sz w:val="20"/>
          <w:szCs w:val="20"/>
          <w:color w:val="auto"/>
        </w:rPr>
      </w:pPr>
    </w:p>
    <w:p>
      <w:pPr>
        <w:ind w:left="540" w:right="20" w:hanging="424"/>
        <w:spacing w:after="0" w:line="253" w:lineRule="auto"/>
        <w:tabs>
          <w:tab w:leader="none" w:pos="540" w:val="left"/>
        </w:tabs>
        <w:numPr>
          <w:ilvl w:val="0"/>
          <w:numId w:val="146"/>
        </w:numPr>
        <w:rPr>
          <w:rFonts w:ascii="Arial" w:cs="Arial" w:eastAsia="Arial" w:hAnsi="Arial"/>
          <w:sz w:val="14"/>
          <w:szCs w:val="14"/>
          <w:color w:val="auto"/>
        </w:rPr>
      </w:pPr>
      <w:r>
        <w:rPr>
          <w:rFonts w:ascii="Arial" w:cs="Arial" w:eastAsia="Arial" w:hAnsi="Arial"/>
          <w:sz w:val="14"/>
          <w:szCs w:val="14"/>
          <w:color w:val="auto"/>
        </w:rPr>
        <w:t>Excludes shares of Class A common stock held by Advent. Each of Mr. Egan and Ms. Young disclaim beneficial ownership of the shares of Class A common stock held by the Advent Funds except to the extent of their respective pecuniary interest therein.</w:t>
      </w:r>
    </w:p>
    <w:p>
      <w:pPr>
        <w:spacing w:after="0" w:line="79" w:lineRule="exact"/>
        <w:rPr>
          <w:rFonts w:ascii="Arial" w:cs="Arial" w:eastAsia="Arial" w:hAnsi="Arial"/>
          <w:sz w:val="14"/>
          <w:szCs w:val="14"/>
          <w:color w:val="auto"/>
        </w:rPr>
      </w:pPr>
    </w:p>
    <w:p>
      <w:pPr>
        <w:ind w:left="540" w:right="120" w:hanging="424"/>
        <w:spacing w:after="0" w:line="238" w:lineRule="auto"/>
        <w:tabs>
          <w:tab w:leader="none" w:pos="540" w:val="left"/>
        </w:tabs>
        <w:numPr>
          <w:ilvl w:val="0"/>
          <w:numId w:val="146"/>
        </w:numPr>
        <w:rPr>
          <w:rFonts w:ascii="Arial" w:cs="Arial" w:eastAsia="Arial" w:hAnsi="Arial"/>
          <w:sz w:val="14"/>
          <w:szCs w:val="14"/>
          <w:color w:val="auto"/>
        </w:rPr>
      </w:pPr>
      <w:r>
        <w:rPr>
          <w:rFonts w:ascii="Arial" w:cs="Arial" w:eastAsia="Arial" w:hAnsi="Arial"/>
          <w:sz w:val="14"/>
          <w:szCs w:val="14"/>
          <w:color w:val="auto"/>
        </w:rPr>
        <w:t>Amount beneficially owned following this offering includes the 538,456 shares of Class A common stock and 4,291,202 shares of Class B common stock beneficially owned by 22C Capital, as disclosed in footnote 4 above. Mr. Winn may be deemed to exercise voting and investment power over the shares of Class A common stock and Class B common stock beneficially owned by 22C Capital.</w:t>
      </w:r>
    </w:p>
    <w:p>
      <w:pPr>
        <w:spacing w:after="0" w:line="88" w:lineRule="exact"/>
        <w:rPr>
          <w:rFonts w:ascii="Arial" w:cs="Arial" w:eastAsia="Arial" w:hAnsi="Arial"/>
          <w:sz w:val="14"/>
          <w:szCs w:val="14"/>
          <w:color w:val="auto"/>
        </w:rPr>
      </w:pPr>
    </w:p>
    <w:p>
      <w:pPr>
        <w:ind w:left="540" w:hanging="424"/>
        <w:spacing w:after="0" w:line="233" w:lineRule="auto"/>
        <w:tabs>
          <w:tab w:leader="none" w:pos="540" w:val="left"/>
        </w:tabs>
        <w:numPr>
          <w:ilvl w:val="0"/>
          <w:numId w:val="146"/>
        </w:numPr>
        <w:rPr>
          <w:rFonts w:ascii="Arial" w:cs="Arial" w:eastAsia="Arial" w:hAnsi="Arial"/>
          <w:sz w:val="14"/>
          <w:szCs w:val="14"/>
          <w:color w:val="auto"/>
        </w:rPr>
      </w:pPr>
      <w:r>
        <w:rPr>
          <w:rFonts w:ascii="Arial" w:cs="Arial" w:eastAsia="Arial" w:hAnsi="Arial"/>
          <w:sz w:val="14"/>
          <w:szCs w:val="14"/>
          <w:color w:val="auto"/>
        </w:rPr>
        <w:t>Represents shares owned by Robert Musslewhite 2014 Family Trust. Excludes 433,550 shares of Class A common stock in the form of restricted stock units which will vest 25% on the one year anniversary of the grant, followed by quarterly vesting of 6.25% until fully vested over the subsequent three years and 216,450 shares of Class A common stock in the form of restricted stock units, 33% of which will vest on the one-year anniversary of the grant followed by quarterly vesting of 8.33% per quarter until fully vested over the subsequent two years.</w:t>
      </w:r>
    </w:p>
    <w:p>
      <w:pPr>
        <w:spacing w:after="0" w:line="90" w:lineRule="exact"/>
        <w:rPr>
          <w:rFonts w:ascii="Arial" w:cs="Arial" w:eastAsia="Arial" w:hAnsi="Arial"/>
          <w:sz w:val="14"/>
          <w:szCs w:val="14"/>
          <w:color w:val="auto"/>
        </w:rPr>
      </w:pPr>
    </w:p>
    <w:p>
      <w:pPr>
        <w:ind w:left="540" w:right="20" w:hanging="424"/>
        <w:spacing w:after="0" w:line="238" w:lineRule="auto"/>
        <w:tabs>
          <w:tab w:leader="none" w:pos="540" w:val="left"/>
        </w:tabs>
        <w:numPr>
          <w:ilvl w:val="0"/>
          <w:numId w:val="146"/>
        </w:numPr>
        <w:rPr>
          <w:rFonts w:ascii="Arial" w:cs="Arial" w:eastAsia="Arial" w:hAnsi="Arial"/>
          <w:sz w:val="14"/>
          <w:szCs w:val="14"/>
          <w:color w:val="auto"/>
        </w:rPr>
      </w:pPr>
      <w:r>
        <w:rPr>
          <w:rFonts w:ascii="Arial" w:cs="Arial" w:eastAsia="Arial" w:hAnsi="Arial"/>
          <w:sz w:val="14"/>
          <w:szCs w:val="14"/>
          <w:color w:val="auto"/>
        </w:rPr>
        <w:t>Excludes (i) 6,737 shares of Class A common stock in the form of restricted stock units of which 33% will vest on each anniversary of Ms. Winters’ service as a member of the Board, starting on the first anniversary and (ii) an annual equity award of $175,000 ($122,776 for the initial annual grant) in shares of Class A common stock in the form of restricted stock units.</w:t>
      </w:r>
    </w:p>
    <w:p>
      <w:pPr>
        <w:spacing w:after="0" w:line="119" w:lineRule="exact"/>
        <w:rPr>
          <w:sz w:val="20"/>
          <w:szCs w:val="20"/>
          <w:color w:val="auto"/>
        </w:rPr>
      </w:pPr>
    </w:p>
    <w:p>
      <w:pPr>
        <w:jc w:val="center"/>
        <w:ind w:right="-379"/>
        <w:spacing w:after="0"/>
        <w:rPr>
          <w:sz w:val="20"/>
          <w:szCs w:val="20"/>
          <w:color w:val="auto"/>
        </w:rPr>
      </w:pPr>
      <w:r>
        <w:rPr>
          <w:rFonts w:ascii="Arial" w:cs="Arial" w:eastAsia="Arial" w:hAnsi="Arial"/>
          <w:sz w:val="18"/>
          <w:szCs w:val="18"/>
          <w:color w:val="auto"/>
        </w:rPr>
        <w:t>160</w:t>
      </w:r>
    </w:p>
    <w:p>
      <w:pPr>
        <w:sectPr>
          <w:pgSz w:w="11900" w:h="16838" w:orient="portrait"/>
          <w:cols w:equalWidth="0" w:num="1">
            <w:col w:w="11100"/>
          </w:cols>
          <w:pgMar w:left="320" w:top="459" w:right="479" w:bottom="1440" w:gutter="0" w:footer="0" w:header="0"/>
        </w:sectPr>
      </w:pPr>
    </w:p>
    <w:bookmarkStart w:id="167" w:name="page168"/>
    <w:bookmarkEnd w:id="16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Confidential Treatment Requested by Definitive Healthcare Corp.</w:t>
      </w:r>
    </w:p>
    <w:p>
      <w:pPr>
        <w:spacing w:after="0" w:line="27"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Pursuant to 17 C.F.R. Section 200.83</w:t>
      </w:r>
    </w:p>
    <w:p>
      <w:pPr>
        <w:spacing w:after="0" w:line="139"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CERTAIN RELATIONSHIPS AND RELATED PARTY TRANSACTIONS</w:t>
      </w:r>
    </w:p>
    <w:p>
      <w:pPr>
        <w:spacing w:after="0" w:line="229" w:lineRule="exact"/>
        <w:rPr>
          <w:sz w:val="20"/>
          <w:szCs w:val="20"/>
          <w:color w:val="auto"/>
        </w:rPr>
      </w:pPr>
    </w:p>
    <w:p>
      <w:pPr>
        <w:ind w:left="120" w:firstLine="440"/>
        <w:spacing w:after="0" w:line="277" w:lineRule="auto"/>
        <w:rPr>
          <w:sz w:val="20"/>
          <w:szCs w:val="20"/>
          <w:color w:val="auto"/>
        </w:rPr>
      </w:pPr>
      <w:r>
        <w:rPr>
          <w:rFonts w:ascii="Arial" w:cs="Arial" w:eastAsia="Arial" w:hAnsi="Arial"/>
          <w:sz w:val="18"/>
          <w:szCs w:val="18"/>
          <w:color w:val="auto"/>
        </w:rPr>
        <w:t>We describe below transactions and series of similar transactions, during our last three fiscal years or currently proposed, to which we were a party or will be a party, in which:</w:t>
      </w:r>
    </w:p>
    <w:p>
      <w:pPr>
        <w:spacing w:after="0" w:line="76" w:lineRule="exact"/>
        <w:rPr>
          <w:sz w:val="20"/>
          <w:szCs w:val="20"/>
          <w:color w:val="auto"/>
        </w:rPr>
      </w:pPr>
    </w:p>
    <w:p>
      <w:pPr>
        <w:ind w:left="1080" w:hanging="532"/>
        <w:spacing w:after="0"/>
        <w:tabs>
          <w:tab w:leader="none" w:pos="1080" w:val="left"/>
        </w:tabs>
        <w:numPr>
          <w:ilvl w:val="0"/>
          <w:numId w:val="147"/>
        </w:numPr>
        <w:rPr>
          <w:rFonts w:ascii="Arial" w:cs="Arial" w:eastAsia="Arial" w:hAnsi="Arial"/>
          <w:sz w:val="18"/>
          <w:szCs w:val="18"/>
          <w:color w:val="auto"/>
        </w:rPr>
      </w:pPr>
      <w:r>
        <w:rPr>
          <w:rFonts w:ascii="Arial" w:cs="Arial" w:eastAsia="Arial" w:hAnsi="Arial"/>
          <w:sz w:val="18"/>
          <w:szCs w:val="18"/>
          <w:color w:val="auto"/>
        </w:rPr>
        <w:t>the amounts involved exceeded or will exceed $120,000; and</w:t>
      </w:r>
    </w:p>
    <w:p>
      <w:pPr>
        <w:spacing w:after="0" w:line="130" w:lineRule="exact"/>
        <w:rPr>
          <w:rFonts w:ascii="Arial" w:cs="Arial" w:eastAsia="Arial" w:hAnsi="Arial"/>
          <w:sz w:val="18"/>
          <w:szCs w:val="18"/>
          <w:color w:val="auto"/>
        </w:rPr>
      </w:pPr>
    </w:p>
    <w:p>
      <w:pPr>
        <w:ind w:left="1080" w:right="160" w:hanging="532"/>
        <w:spacing w:after="0" w:line="277" w:lineRule="auto"/>
        <w:tabs>
          <w:tab w:leader="none" w:pos="1080" w:val="left"/>
        </w:tabs>
        <w:numPr>
          <w:ilvl w:val="0"/>
          <w:numId w:val="147"/>
        </w:numPr>
        <w:rPr>
          <w:rFonts w:ascii="Arial" w:cs="Arial" w:eastAsia="Arial" w:hAnsi="Arial"/>
          <w:sz w:val="18"/>
          <w:szCs w:val="18"/>
          <w:color w:val="auto"/>
        </w:rPr>
      </w:pPr>
      <w:r>
        <w:rPr>
          <w:rFonts w:ascii="Arial" w:cs="Arial" w:eastAsia="Arial" w:hAnsi="Arial"/>
          <w:sz w:val="18"/>
          <w:szCs w:val="18"/>
          <w:color w:val="auto"/>
        </w:rPr>
        <w:t>any of our directors, executive officers or beneficial holders of more than 5% of any class of our capital stock had or will have a direct or indirect material interest.</w:t>
      </w:r>
    </w:p>
    <w:p>
      <w:pPr>
        <w:spacing w:after="0" w:line="170" w:lineRule="exact"/>
        <w:rPr>
          <w:sz w:val="20"/>
          <w:szCs w:val="20"/>
          <w:color w:val="auto"/>
        </w:rPr>
      </w:pPr>
    </w:p>
    <w:p>
      <w:pPr>
        <w:ind w:left="120" w:right="20" w:firstLine="440"/>
        <w:spacing w:after="0" w:line="263" w:lineRule="auto"/>
        <w:rPr>
          <w:sz w:val="20"/>
          <w:szCs w:val="20"/>
          <w:color w:val="auto"/>
        </w:rPr>
      </w:pPr>
      <w:r>
        <w:rPr>
          <w:rFonts w:ascii="Arial" w:cs="Arial" w:eastAsia="Arial" w:hAnsi="Arial"/>
          <w:sz w:val="18"/>
          <w:szCs w:val="18"/>
          <w:color w:val="auto"/>
        </w:rPr>
        <w:t>Other than as described below, there have not been, nor are there any currently proposed, transactions or series of similar transactions meeting this criteria to which we have been or will be a party other than compensation arrangements, which are described where required under “Management— Board Structure” and “Executive and Director Compensation.”</w:t>
      </w:r>
    </w:p>
    <w:p>
      <w:pPr>
        <w:spacing w:after="0" w:line="28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Reorganization Agreement</w:t>
      </w:r>
    </w:p>
    <w:p>
      <w:pPr>
        <w:spacing w:after="0" w:line="121" w:lineRule="exact"/>
        <w:rPr>
          <w:sz w:val="20"/>
          <w:szCs w:val="20"/>
          <w:color w:val="auto"/>
        </w:rPr>
      </w:pPr>
    </w:p>
    <w:p>
      <w:pPr>
        <w:ind w:left="120" w:right="20" w:firstLine="440"/>
        <w:spacing w:after="0" w:line="277" w:lineRule="auto"/>
        <w:rPr>
          <w:sz w:val="20"/>
          <w:szCs w:val="20"/>
          <w:color w:val="auto"/>
        </w:rPr>
      </w:pPr>
      <w:r>
        <w:rPr>
          <w:rFonts w:ascii="Arial" w:cs="Arial" w:eastAsia="Arial" w:hAnsi="Arial"/>
          <w:sz w:val="18"/>
          <w:szCs w:val="18"/>
          <w:color w:val="auto"/>
        </w:rPr>
        <w:t>In connection with the Reorganization Transactions, we entered into a reorganization agreement and related agreements with Definitive OpCo and certain Unitholders, in order to effect the Reorganization Transactions.</w:t>
      </w:r>
    </w:p>
    <w:p>
      <w:pPr>
        <w:spacing w:after="0" w:line="170" w:lineRule="exact"/>
        <w:rPr>
          <w:sz w:val="20"/>
          <w:szCs w:val="20"/>
          <w:color w:val="auto"/>
        </w:rPr>
      </w:pPr>
    </w:p>
    <w:p>
      <w:pPr>
        <w:ind w:left="560"/>
        <w:spacing w:after="0"/>
        <w:rPr>
          <w:sz w:val="20"/>
          <w:szCs w:val="20"/>
          <w:color w:val="auto"/>
        </w:rPr>
      </w:pPr>
      <w:r>
        <w:rPr>
          <w:rFonts w:ascii="Arial" w:cs="Arial" w:eastAsia="Arial" w:hAnsi="Arial"/>
          <w:sz w:val="18"/>
          <w:szCs w:val="18"/>
          <w:color w:val="auto"/>
        </w:rPr>
        <w:t>We reimbursed $1.05 million in aggregate expenses incurred by our Sponsors in connection with the Reorganization Transactions.</w:t>
      </w:r>
    </w:p>
    <w:p>
      <w:pPr>
        <w:spacing w:after="0" w:line="225" w:lineRule="exact"/>
        <w:rPr>
          <w:sz w:val="20"/>
          <w:szCs w:val="20"/>
          <w:color w:val="auto"/>
        </w:rPr>
      </w:pPr>
    </w:p>
    <w:p>
      <w:pPr>
        <w:ind w:left="120" w:right="3240" w:firstLine="440"/>
        <w:spacing w:after="0" w:line="277" w:lineRule="auto"/>
        <w:rPr>
          <w:sz w:val="20"/>
          <w:szCs w:val="20"/>
          <w:color w:val="auto"/>
        </w:rPr>
      </w:pPr>
      <w:r>
        <w:rPr>
          <w:rFonts w:ascii="Arial" w:cs="Arial" w:eastAsia="Arial" w:hAnsi="Arial"/>
          <w:sz w:val="18"/>
          <w:szCs w:val="18"/>
          <w:color w:val="auto"/>
        </w:rPr>
        <w:t>The table below sets forth the consideration in LLC Units and Class B common stock received by our directors, officers and 5% equity holders in the Reorganization Transactions:</w:t>
      </w:r>
    </w:p>
    <w:p>
      <w:pPr>
        <w:spacing w:after="0" w:line="176" w:lineRule="exact"/>
        <w:rPr>
          <w:sz w:val="20"/>
          <w:szCs w:val="20"/>
          <w:color w:val="auto"/>
        </w:rPr>
      </w:pPr>
    </w:p>
    <w:tbl>
      <w:tblPr>
        <w:tblLayout w:type="fixed"/>
        <w:tblInd w:w="1000" w:type="dxa"/>
        <w:tblCellMar>
          <w:top w:w="0" w:type="dxa"/>
          <w:left w:w="0" w:type="dxa"/>
          <w:bottom w:w="0" w:type="dxa"/>
          <w:right w:w="0" w:type="dxa"/>
        </w:tblCellMar>
      </w:tblPr>
      <w:tr>
        <w:trPr>
          <w:trHeight w:val="161"/>
        </w:trPr>
        <w:tc>
          <w:tcPr>
            <w:tcW w:w="380" w:type="dxa"/>
            <w:vAlign w:val="bottom"/>
          </w:tcPr>
          <w:p>
            <w:pPr>
              <w:spacing w:after="0"/>
              <w:rPr>
                <w:sz w:val="13"/>
                <w:szCs w:val="13"/>
                <w:color w:val="auto"/>
              </w:rPr>
            </w:pPr>
          </w:p>
        </w:tc>
        <w:tc>
          <w:tcPr>
            <w:tcW w:w="5720" w:type="dxa"/>
            <w:vAlign w:val="bottom"/>
          </w:tcPr>
          <w:p>
            <w:pPr>
              <w:spacing w:after="0"/>
              <w:rPr>
                <w:sz w:val="13"/>
                <w:szCs w:val="13"/>
                <w:color w:val="auto"/>
              </w:rPr>
            </w:pPr>
          </w:p>
        </w:tc>
        <w:tc>
          <w:tcPr>
            <w:tcW w:w="3160" w:type="dxa"/>
            <w:vAlign w:val="bottom"/>
            <w:gridSpan w:val="3"/>
          </w:tcPr>
          <w:p>
            <w:pPr>
              <w:jc w:val="center"/>
              <w:ind w:left="1514"/>
              <w:spacing w:after="0"/>
              <w:rPr>
                <w:sz w:val="20"/>
                <w:szCs w:val="20"/>
                <w:color w:val="auto"/>
              </w:rPr>
            </w:pPr>
            <w:r>
              <w:rPr>
                <w:rFonts w:ascii="Arial" w:cs="Arial" w:eastAsia="Arial" w:hAnsi="Arial"/>
                <w:sz w:val="14"/>
                <w:szCs w:val="14"/>
                <w:b w:val="1"/>
                <w:bCs w:val="1"/>
                <w:color w:val="auto"/>
                <w:w w:val="91"/>
              </w:rPr>
              <w:t>Class B Common Stock</w:t>
            </w:r>
          </w:p>
        </w:tc>
        <w:tc>
          <w:tcPr>
            <w:tcW w:w="0" w:type="dxa"/>
            <w:vAlign w:val="bottom"/>
          </w:tcPr>
          <w:p>
            <w:pPr>
              <w:spacing w:after="0"/>
              <w:rPr>
                <w:sz w:val="1"/>
                <w:szCs w:val="1"/>
                <w:color w:val="auto"/>
              </w:rPr>
            </w:pPr>
          </w:p>
        </w:tc>
      </w:tr>
      <w:tr>
        <w:trPr>
          <w:trHeight w:val="148"/>
        </w:trPr>
        <w:tc>
          <w:tcPr>
            <w:tcW w:w="380" w:type="dxa"/>
            <w:vAlign w:val="bottom"/>
          </w:tcPr>
          <w:p>
            <w:pPr>
              <w:spacing w:after="0"/>
              <w:rPr>
                <w:sz w:val="12"/>
                <w:szCs w:val="12"/>
                <w:color w:val="auto"/>
              </w:rPr>
            </w:pPr>
          </w:p>
        </w:tc>
        <w:tc>
          <w:tcPr>
            <w:tcW w:w="5720" w:type="dxa"/>
            <w:vAlign w:val="bottom"/>
          </w:tcPr>
          <w:p>
            <w:pPr>
              <w:spacing w:after="0"/>
              <w:rPr>
                <w:sz w:val="12"/>
                <w:szCs w:val="12"/>
                <w:color w:val="auto"/>
              </w:rPr>
            </w:pPr>
          </w:p>
        </w:tc>
        <w:tc>
          <w:tcPr>
            <w:tcW w:w="1660" w:type="dxa"/>
            <w:vAlign w:val="bottom"/>
          </w:tcPr>
          <w:p>
            <w:pPr>
              <w:spacing w:after="0"/>
              <w:rPr>
                <w:sz w:val="12"/>
                <w:szCs w:val="12"/>
                <w:color w:val="auto"/>
              </w:rPr>
            </w:pPr>
          </w:p>
        </w:tc>
        <w:tc>
          <w:tcPr>
            <w:tcW w:w="150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93"/>
              </w:rPr>
              <w:t>and LLC Units Issued</w:t>
            </w:r>
          </w:p>
        </w:tc>
        <w:tc>
          <w:tcPr>
            <w:tcW w:w="0" w:type="dxa"/>
            <w:vAlign w:val="bottom"/>
          </w:tcPr>
          <w:p>
            <w:pPr>
              <w:spacing w:after="0"/>
              <w:rPr>
                <w:sz w:val="1"/>
                <w:szCs w:val="1"/>
                <w:color w:val="auto"/>
              </w:rPr>
            </w:pPr>
          </w:p>
        </w:tc>
      </w:tr>
      <w:tr>
        <w:trPr>
          <w:trHeight w:val="149"/>
        </w:trPr>
        <w:tc>
          <w:tcPr>
            <w:tcW w:w="380" w:type="dxa"/>
            <w:vAlign w:val="bottom"/>
          </w:tcPr>
          <w:p>
            <w:pPr>
              <w:spacing w:after="0"/>
              <w:rPr>
                <w:sz w:val="12"/>
                <w:szCs w:val="12"/>
                <w:color w:val="auto"/>
              </w:rPr>
            </w:pPr>
          </w:p>
        </w:tc>
        <w:tc>
          <w:tcPr>
            <w:tcW w:w="5720" w:type="dxa"/>
            <w:vAlign w:val="bottom"/>
          </w:tcPr>
          <w:p>
            <w:pPr>
              <w:spacing w:after="0"/>
              <w:rPr>
                <w:sz w:val="12"/>
                <w:szCs w:val="12"/>
                <w:color w:val="auto"/>
              </w:rPr>
            </w:pPr>
          </w:p>
        </w:tc>
        <w:tc>
          <w:tcPr>
            <w:tcW w:w="1660" w:type="dxa"/>
            <w:vAlign w:val="bottom"/>
          </w:tcPr>
          <w:p>
            <w:pPr>
              <w:spacing w:after="0"/>
              <w:rPr>
                <w:sz w:val="12"/>
                <w:szCs w:val="12"/>
                <w:color w:val="auto"/>
              </w:rPr>
            </w:pPr>
          </w:p>
        </w:tc>
        <w:tc>
          <w:tcPr>
            <w:tcW w:w="150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94"/>
              </w:rPr>
              <w:t>in the Reorganization</w:t>
            </w:r>
          </w:p>
        </w:tc>
        <w:tc>
          <w:tcPr>
            <w:tcW w:w="0" w:type="dxa"/>
            <w:vAlign w:val="bottom"/>
          </w:tcPr>
          <w:p>
            <w:pPr>
              <w:spacing w:after="0"/>
              <w:rPr>
                <w:sz w:val="1"/>
                <w:szCs w:val="1"/>
                <w:color w:val="auto"/>
              </w:rPr>
            </w:pPr>
          </w:p>
        </w:tc>
      </w:tr>
      <w:tr>
        <w:trPr>
          <w:trHeight w:val="171"/>
        </w:trPr>
        <w:tc>
          <w:tcPr>
            <w:tcW w:w="380" w:type="dxa"/>
            <w:vAlign w:val="bottom"/>
            <w:vMerge w:val="restart"/>
          </w:tcPr>
          <w:p>
            <w:pPr>
              <w:spacing w:after="0"/>
              <w:rPr>
                <w:sz w:val="20"/>
                <w:szCs w:val="20"/>
                <w:color w:val="auto"/>
              </w:rPr>
            </w:pPr>
            <w:r>
              <w:rPr>
                <w:rFonts w:ascii="Arial" w:cs="Arial" w:eastAsia="Arial" w:hAnsi="Arial"/>
                <w:sz w:val="14"/>
                <w:szCs w:val="14"/>
                <w:b w:val="1"/>
                <w:bCs w:val="1"/>
                <w:color w:val="auto"/>
                <w:w w:val="94"/>
              </w:rPr>
              <w:t>Name</w:t>
            </w:r>
          </w:p>
        </w:tc>
        <w:tc>
          <w:tcPr>
            <w:tcW w:w="5720" w:type="dxa"/>
            <w:vAlign w:val="bottom"/>
            <w:vMerge w:val="restart"/>
          </w:tcPr>
          <w:p>
            <w:pPr>
              <w:spacing w:after="0"/>
              <w:rPr>
                <w:sz w:val="14"/>
                <w:szCs w:val="14"/>
                <w:color w:val="auto"/>
              </w:rPr>
            </w:pPr>
          </w:p>
        </w:tc>
        <w:tc>
          <w:tcPr>
            <w:tcW w:w="1660" w:type="dxa"/>
            <w:vAlign w:val="bottom"/>
          </w:tcPr>
          <w:p>
            <w:pPr>
              <w:spacing w:after="0"/>
              <w:rPr>
                <w:sz w:val="14"/>
                <w:szCs w:val="14"/>
                <w:color w:val="auto"/>
              </w:rPr>
            </w:pPr>
          </w:p>
        </w:tc>
        <w:tc>
          <w:tcPr>
            <w:tcW w:w="150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89"/>
              </w:rPr>
              <w:t>Transactions</w:t>
            </w:r>
          </w:p>
        </w:tc>
        <w:tc>
          <w:tcPr>
            <w:tcW w:w="0" w:type="dxa"/>
            <w:vAlign w:val="bottom"/>
          </w:tcPr>
          <w:p>
            <w:pPr>
              <w:spacing w:after="0"/>
              <w:rPr>
                <w:sz w:val="1"/>
                <w:szCs w:val="1"/>
                <w:color w:val="auto"/>
              </w:rPr>
            </w:pPr>
          </w:p>
        </w:tc>
      </w:tr>
      <w:tr>
        <w:trPr>
          <w:trHeight w:val="149"/>
        </w:trPr>
        <w:tc>
          <w:tcPr>
            <w:tcW w:w="380" w:type="dxa"/>
            <w:vAlign w:val="bottom"/>
            <w:tcBorders>
              <w:bottom w:val="single" w:sz="8" w:color="auto"/>
            </w:tcBorders>
            <w:vMerge w:val="continue"/>
          </w:tcPr>
          <w:p>
            <w:pPr>
              <w:spacing w:after="0"/>
              <w:rPr>
                <w:sz w:val="12"/>
                <w:szCs w:val="12"/>
                <w:color w:val="auto"/>
              </w:rPr>
            </w:pPr>
          </w:p>
        </w:tc>
        <w:tc>
          <w:tcPr>
            <w:tcW w:w="5720" w:type="dxa"/>
            <w:vAlign w:val="bottom"/>
            <w:vMerge w:val="continue"/>
          </w:tcPr>
          <w:p>
            <w:pPr>
              <w:spacing w:after="0"/>
              <w:rPr>
                <w:sz w:val="12"/>
                <w:szCs w:val="12"/>
                <w:color w:val="auto"/>
              </w:rPr>
            </w:pPr>
          </w:p>
        </w:tc>
        <w:tc>
          <w:tcPr>
            <w:tcW w:w="1660" w:type="dxa"/>
            <w:vAlign w:val="bottom"/>
          </w:tcPr>
          <w:p>
            <w:pPr>
              <w:spacing w:after="0"/>
              <w:rPr>
                <w:sz w:val="12"/>
                <w:szCs w:val="12"/>
                <w:color w:val="auto"/>
              </w:rPr>
            </w:pPr>
          </w:p>
        </w:tc>
        <w:tc>
          <w:tcPr>
            <w:tcW w:w="1440" w:type="dxa"/>
            <w:vAlign w:val="bottom"/>
            <w:tcBorders>
              <w:top w:val="single" w:sz="8" w:color="auto"/>
            </w:tcBorders>
          </w:tcPr>
          <w:p>
            <w:pPr>
              <w:jc w:val="center"/>
              <w:spacing w:after="0" w:line="129" w:lineRule="exact"/>
              <w:rPr>
                <w:sz w:val="20"/>
                <w:szCs w:val="20"/>
                <w:color w:val="auto"/>
              </w:rPr>
            </w:pPr>
            <w:r>
              <w:rPr>
                <w:rFonts w:ascii="Arial" w:cs="Arial" w:eastAsia="Arial" w:hAnsi="Arial"/>
                <w:sz w:val="14"/>
                <w:szCs w:val="14"/>
                <w:b w:val="1"/>
                <w:bCs w:val="1"/>
                <w:color w:val="auto"/>
                <w:w w:val="94"/>
              </w:rPr>
              <w:t>Number</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3"/>
        </w:trPr>
        <w:tc>
          <w:tcPr>
            <w:tcW w:w="6100" w:type="dxa"/>
            <w:vAlign w:val="bottom"/>
            <w:tcBorders>
              <w:top w:val="single" w:sz="8" w:color="CCEEFF"/>
            </w:tcBorders>
            <w:gridSpan w:val="2"/>
            <w:shd w:val="clear" w:color="auto" w:fill="CCEEFF"/>
          </w:tcPr>
          <w:p>
            <w:pPr>
              <w:spacing w:after="0" w:line="203" w:lineRule="exact"/>
              <w:rPr>
                <w:sz w:val="20"/>
                <w:szCs w:val="20"/>
                <w:color w:val="auto"/>
              </w:rPr>
            </w:pPr>
            <w:r>
              <w:rPr>
                <w:rFonts w:ascii="Arial" w:cs="Arial" w:eastAsia="Arial" w:hAnsi="Arial"/>
                <w:sz w:val="18"/>
                <w:szCs w:val="18"/>
                <w:color w:val="auto"/>
              </w:rPr>
              <w:t>Affiliates of Advent and certain other minority equity holders</w:t>
            </w:r>
          </w:p>
        </w:tc>
        <w:tc>
          <w:tcPr>
            <w:tcW w:w="1660" w:type="dxa"/>
            <w:vAlign w:val="bottom"/>
            <w:tcBorders>
              <w:top w:val="single" w:sz="8" w:color="CCEEFF"/>
            </w:tcBorders>
            <w:shd w:val="clear" w:color="auto" w:fill="CCEEFF"/>
          </w:tcPr>
          <w:p>
            <w:pPr>
              <w:spacing w:after="0"/>
              <w:rPr>
                <w:sz w:val="17"/>
                <w:szCs w:val="17"/>
                <w:color w:val="auto"/>
              </w:rPr>
            </w:pPr>
          </w:p>
        </w:tc>
        <w:tc>
          <w:tcPr>
            <w:tcW w:w="144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0</w:t>
            </w:r>
          </w:p>
        </w:tc>
        <w:tc>
          <w:tcPr>
            <w:tcW w:w="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100" w:type="dxa"/>
            <w:vAlign w:val="bottom"/>
            <w:gridSpan w:val="2"/>
          </w:tcPr>
          <w:p>
            <w:pPr>
              <w:spacing w:after="0"/>
              <w:rPr>
                <w:sz w:val="20"/>
                <w:szCs w:val="20"/>
                <w:color w:val="auto"/>
              </w:rPr>
            </w:pPr>
            <w:r>
              <w:rPr>
                <w:rFonts w:ascii="Arial" w:cs="Arial" w:eastAsia="Arial" w:hAnsi="Arial"/>
                <w:sz w:val="18"/>
                <w:szCs w:val="18"/>
                <w:color w:val="auto"/>
              </w:rPr>
              <w:t>Affiliates of Spectrum Equity</w:t>
            </w:r>
          </w:p>
        </w:tc>
        <w:tc>
          <w:tcPr>
            <w:tcW w:w="3100" w:type="dxa"/>
            <w:vAlign w:val="bottom"/>
            <w:gridSpan w:val="2"/>
          </w:tcPr>
          <w:p>
            <w:pPr>
              <w:jc w:val="right"/>
              <w:spacing w:after="0"/>
              <w:rPr>
                <w:sz w:val="20"/>
                <w:szCs w:val="20"/>
                <w:color w:val="auto"/>
              </w:rPr>
            </w:pPr>
            <w:r>
              <w:rPr>
                <w:rFonts w:ascii="Arial" w:cs="Arial" w:eastAsia="Arial" w:hAnsi="Arial"/>
                <w:sz w:val="18"/>
                <w:szCs w:val="18"/>
                <w:color w:val="auto"/>
              </w:rPr>
              <w:t>28,352,972</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1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Jason Krantz</w:t>
            </w:r>
          </w:p>
        </w:tc>
        <w:tc>
          <w:tcPr>
            <w:tcW w:w="3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21,994,281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100" w:type="dxa"/>
            <w:vAlign w:val="bottom"/>
            <w:gridSpan w:val="2"/>
          </w:tcPr>
          <w:p>
            <w:pPr>
              <w:spacing w:after="0"/>
              <w:rPr>
                <w:sz w:val="20"/>
                <w:szCs w:val="20"/>
                <w:color w:val="auto"/>
              </w:rPr>
            </w:pPr>
            <w:r>
              <w:rPr>
                <w:rFonts w:ascii="Arial" w:cs="Arial" w:eastAsia="Arial" w:hAnsi="Arial"/>
                <w:sz w:val="18"/>
                <w:szCs w:val="18"/>
                <w:color w:val="auto"/>
              </w:rPr>
              <w:t>AIDH Management Holdings, LLC</w:t>
            </w:r>
          </w:p>
        </w:tc>
        <w:tc>
          <w:tcPr>
            <w:tcW w:w="3100" w:type="dxa"/>
            <w:vAlign w:val="bottom"/>
            <w:gridSpan w:val="2"/>
          </w:tcPr>
          <w:p>
            <w:pPr>
              <w:jc w:val="right"/>
              <w:spacing w:after="0"/>
              <w:rPr>
                <w:sz w:val="20"/>
                <w:szCs w:val="20"/>
                <w:color w:val="auto"/>
              </w:rPr>
            </w:pPr>
            <w:r>
              <w:rPr>
                <w:rFonts w:ascii="Arial" w:cs="Arial" w:eastAsia="Arial" w:hAnsi="Arial"/>
                <w:sz w:val="18"/>
                <w:szCs w:val="18"/>
                <w:color w:val="auto"/>
              </w:rPr>
              <w:t>6,098,909</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1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Affiliates of 22C Capital</w:t>
            </w:r>
          </w:p>
        </w:tc>
        <w:tc>
          <w:tcPr>
            <w:tcW w:w="3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4,390,661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306"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Amended Definitive OpCo Agreement</w:t>
      </w:r>
    </w:p>
    <w:p>
      <w:pPr>
        <w:spacing w:after="0" w:line="121" w:lineRule="exact"/>
        <w:rPr>
          <w:sz w:val="20"/>
          <w:szCs w:val="20"/>
          <w:color w:val="auto"/>
        </w:rPr>
      </w:pPr>
    </w:p>
    <w:p>
      <w:pPr>
        <w:ind w:left="120" w:right="200" w:firstLine="440"/>
        <w:spacing w:after="0" w:line="255" w:lineRule="auto"/>
        <w:rPr>
          <w:sz w:val="20"/>
          <w:szCs w:val="20"/>
          <w:color w:val="auto"/>
        </w:rPr>
      </w:pPr>
      <w:r>
        <w:rPr>
          <w:rFonts w:ascii="Arial" w:cs="Arial" w:eastAsia="Arial" w:hAnsi="Arial"/>
          <w:sz w:val="18"/>
          <w:szCs w:val="18"/>
          <w:color w:val="auto"/>
        </w:rPr>
        <w:t>In accordance with the terms of the Amended LLC Agreement, we operate our business through Definitive OpCo. Pursuant to the terms of the Amended LLC Agreement we entered into in connection with our IPO, so long as the Unitholders continue to own any LLC Units or securities exchangeable into shares of our Class A common stock, we will not, without the prior written consent of such holders, engage in any business activity other than the management and ownership of Definitive OpCo or own any assets other than securities of Definitive OpCo and/or any cash or other property or assets distributed by or otherwise received from Definitive OpCo, unless we determine in good faith that such actions or ownership are in the best interest of Definitive OpCo.</w:t>
      </w:r>
    </w:p>
    <w:p>
      <w:pPr>
        <w:spacing w:after="0" w:line="192" w:lineRule="exact"/>
        <w:rPr>
          <w:sz w:val="20"/>
          <w:szCs w:val="20"/>
          <w:color w:val="auto"/>
        </w:rPr>
      </w:pPr>
    </w:p>
    <w:p>
      <w:pPr>
        <w:ind w:left="120" w:right="280" w:firstLine="440"/>
        <w:spacing w:after="0" w:line="259" w:lineRule="auto"/>
        <w:rPr>
          <w:sz w:val="20"/>
          <w:szCs w:val="20"/>
          <w:color w:val="auto"/>
        </w:rPr>
      </w:pPr>
      <w:r>
        <w:rPr>
          <w:rFonts w:ascii="Arial" w:cs="Arial" w:eastAsia="Arial" w:hAnsi="Arial"/>
          <w:sz w:val="18"/>
          <w:szCs w:val="18"/>
          <w:color w:val="auto"/>
        </w:rPr>
        <w:t>As the sole managing member of Definitive OpCo, we have control over all of the affairs and decision making of Definitive OpCo. As such, through our officers and directors, we are responsible for all operational and administrative decisions of Definitive OpCo and the day-to-day management of Definitive OpCo’s business. We will fund any dividends to our stockholders by causing Definitive OpCo to make distributions to the Unitholders and us, subject to the limitations imposed by our debt agreements. See “Dividend Policy.”</w:t>
      </w:r>
    </w:p>
    <w:p>
      <w:pPr>
        <w:spacing w:after="0" w:line="119"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161</w:t>
      </w:r>
    </w:p>
    <w:p>
      <w:pPr>
        <w:sectPr>
          <w:pgSz w:w="11900" w:h="16838" w:orient="portrait"/>
          <w:cols w:equalWidth="0" w:num="1">
            <w:col w:w="11120"/>
          </w:cols>
          <w:pgMar w:left="320" w:top="459" w:right="459" w:bottom="1440" w:gutter="0" w:footer="0" w:header="0"/>
        </w:sectPr>
      </w:pPr>
    </w:p>
    <w:bookmarkStart w:id="168" w:name="page169"/>
    <w:bookmarkEnd w:id="16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Confidential Treatment Requested by Definitive Healthcare Corp.</w:t>
      </w:r>
    </w:p>
    <w:p>
      <w:pPr>
        <w:spacing w:after="0" w:line="27"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Pursuant to 17 C.F.R. Section 200.83</w:t>
      </w:r>
    </w:p>
    <w:p>
      <w:pPr>
        <w:spacing w:after="0" w:line="143" w:lineRule="exact"/>
        <w:rPr>
          <w:sz w:val="20"/>
          <w:szCs w:val="20"/>
          <w:color w:val="auto"/>
        </w:rPr>
      </w:pPr>
    </w:p>
    <w:p>
      <w:pPr>
        <w:ind w:left="120" w:firstLine="440"/>
        <w:spacing w:after="0" w:line="269" w:lineRule="auto"/>
        <w:rPr>
          <w:sz w:val="20"/>
          <w:szCs w:val="20"/>
          <w:color w:val="auto"/>
        </w:rPr>
      </w:pPr>
      <w:r>
        <w:rPr>
          <w:rFonts w:ascii="Arial" w:cs="Arial" w:eastAsia="Arial" w:hAnsi="Arial"/>
          <w:sz w:val="17"/>
          <w:szCs w:val="17"/>
          <w:color w:val="auto"/>
        </w:rPr>
        <w:t>The holders of LLC Units generally incur U.S. federal, state and local income taxes on their proportionate share of any taxable income of Definitive OpCo. Net profits and net losses of Definitive OpCo are generally allocated to its members pro rata in accordance with the percentages of their respective ownership of LLC Units, except as otherwise required by law. The Amended LLC Agreement provides for pro rata cash distributions to the holders of LLC Units for purposes of funding their tax obligations in respect of the taxable income of Definitive OpCo that is allocated to them. Generally, these tax distributions are computed based on our estimate of the taxable income of Definitive OpCo allocable to the holder of LLC Units that receives the greatest proportionate allocation of income multiplied by an assumed tax rate equal to the highest effective marginal combined U.S. federal, state and local income tax rate prescribed for an individual or corporate resident of New York, NY (taking into account the non-deductibility of certain expenses and the character of our income). As a result of (i) potential differences in the amount of taxable income allocable to us and the other LLC Unit holders, (ii) the lower tax rate applicable to corporations than individuals and (iii) the use of an assumed tax rate in calculating Definitive OpCo’s distribution obligations, we may receive tax distributions significantly in excess of our tax liabilities and obligations to make payments under the Tax Receivable Agreement.</w:t>
      </w:r>
    </w:p>
    <w:p>
      <w:pPr>
        <w:spacing w:after="0" w:line="182" w:lineRule="exact"/>
        <w:rPr>
          <w:sz w:val="20"/>
          <w:szCs w:val="20"/>
          <w:color w:val="auto"/>
        </w:rPr>
      </w:pPr>
    </w:p>
    <w:p>
      <w:pPr>
        <w:ind w:left="120" w:right="140" w:firstLine="440"/>
        <w:spacing w:after="0" w:line="268" w:lineRule="auto"/>
        <w:rPr>
          <w:sz w:val="20"/>
          <w:szCs w:val="20"/>
          <w:color w:val="auto"/>
        </w:rPr>
      </w:pPr>
      <w:r>
        <w:rPr>
          <w:rFonts w:ascii="Arial" w:cs="Arial" w:eastAsia="Arial" w:hAnsi="Arial"/>
          <w:sz w:val="17"/>
          <w:szCs w:val="17"/>
          <w:color w:val="auto"/>
        </w:rPr>
        <w:t>Except as otherwise determined by us, if at any time we issue a share of our Class A common stock, the net proceeds received by us with respect to such share, if any, shall be concurrently invested in Definitive OpCo and Definitive OpCo shall issue to us one LLC Unit, unless such share was issued by us solely to fund the purchase of an LLC Unit from a holder of LLC Units, in which case such net proceeds shall instead be transferred to the selling holder of LLC Units as consideration for such purchase, and Definitive OpCo will not issue an additional LLC Unit to us. Similarly, except as otherwise determined by us, (i) Definitive OpCo will not issue any additional LLC Units to us unless we issue or sell an equal number of shares of our Class A common stock and (ii) should Definitive OpCo issue any additional LLC Units to the Unitholders or any other person, we will issue an equal number of shares of our Class B common stock to such Unitholders or any other person. Conversely, if at any time any shares of our Class A common stock are purchased or otherwise acquired by us, Definitive OpCo will purchase or otherwise acquire an equal number of LLC Units held by us, upon the same terms and for the same price per security, as the shares of our Class A common stock are purchased or otherwise acquired. In addition, except as otherwise determined by us, Definitive OpCo will not effect any subdivision (by any unit split, unit distribution, reclassification, reorganization, recapitalization or otherwise) or combination (by reverse unit split, reclassification, reorganization, recapitalization or otherwise) of the LLC Units unless it is accompanied by a substantively identical subdivision or combination, as applicable, of each class of our common stock, and we will not effect any subdivision or combination of any class of our common stock unless it is accompanied by a substantively identical subdivision or combination, as applicable, of the LLC Units.</w:t>
      </w:r>
    </w:p>
    <w:p>
      <w:pPr>
        <w:spacing w:after="0" w:line="184" w:lineRule="exact"/>
        <w:rPr>
          <w:sz w:val="20"/>
          <w:szCs w:val="20"/>
          <w:color w:val="auto"/>
        </w:rPr>
      </w:pPr>
    </w:p>
    <w:p>
      <w:pPr>
        <w:ind w:left="120" w:right="20" w:firstLine="440"/>
        <w:spacing w:after="0" w:line="268" w:lineRule="auto"/>
        <w:rPr>
          <w:sz w:val="20"/>
          <w:szCs w:val="20"/>
          <w:color w:val="auto"/>
        </w:rPr>
      </w:pPr>
      <w:r>
        <w:rPr>
          <w:rFonts w:ascii="Arial" w:cs="Arial" w:eastAsia="Arial" w:hAnsi="Arial"/>
          <w:sz w:val="17"/>
          <w:szCs w:val="17"/>
          <w:color w:val="auto"/>
        </w:rPr>
        <w:t>Under our Amended LLC Agreement, the holders of LLC Units (other than us) have the right to require Definitive OpCo to redeem or exchange all or a portion of their LLC Units for newly-issued shares of Class A common stock, which may consist of unregistered shares, on a one-for-one basis (subject to customary adjustments, including for stock splits, stock dividends and reclassifications). Upon the exercise of the redemption right, the exchanging member will surrender its LLC Units to Definitive OpCo for cancellation. The Amended LLC Agreement requires that we contribute shares of our Class A common stock to Definitive OpCo in exchange for an amount of newly-issued LLC Units in Definitive OpCo equal to the number of LLC Units exchanged from the holders of LLC Units. Definitive OpCo will then distribute the shares of our Class A common stock to such holder of an LLC Unit to complete the exchange. In the event of an exchange request by a holder of an LLC Unit, we may at our option effect a direct exchange of Class A common stock for LLC Units in lieu of such exchange. Furthermore, in the event of an exchange request, we are obligated to ensure that at all times the number of LLC Units that we own equals the number of shares of Class A common stock issued by us (subject to certain exceptions for treasury shares and shares underlying certain convertible or exchangeable securities). Shares of Class B common stock will be canceled on a one-for-one basis if we, following an exchange request of a holder of an LLC Unit, exchange LLC Units of such holder pursuant to the terms of the Amended LLC Agreement. The holders of vested equity in AIDH Management Holdings, LLC will have the right, pursuant to the terms of the amended and restated limited liability company agreement of AIDH Management Holdings, LLC, to cause Definitive OpCo to redeem or exchange their vested equity for newly</w:t>
      </w:r>
    </w:p>
    <w:p>
      <w:pPr>
        <w:spacing w:after="0" w:line="117"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162</w:t>
      </w:r>
    </w:p>
    <w:p>
      <w:pPr>
        <w:sectPr>
          <w:pgSz w:w="11900" w:h="16838" w:orient="portrait"/>
          <w:cols w:equalWidth="0" w:num="1">
            <w:col w:w="11140"/>
          </w:cols>
          <w:pgMar w:left="320" w:top="459" w:right="439" w:bottom="1440" w:gutter="0" w:footer="0" w:header="0"/>
        </w:sectPr>
      </w:pPr>
    </w:p>
    <w:bookmarkStart w:id="169" w:name="page170"/>
    <w:bookmarkEnd w:id="16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Confidential Treatment Requested by Definitive Healthcare Corp.</w:t>
      </w:r>
    </w:p>
    <w:p>
      <w:pPr>
        <w:spacing w:after="0" w:line="27"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Pursuant to 17 C.F.R. Section 200.83</w:t>
      </w:r>
    </w:p>
    <w:p>
      <w:pPr>
        <w:spacing w:after="0" w:line="143" w:lineRule="exact"/>
        <w:rPr>
          <w:sz w:val="20"/>
          <w:szCs w:val="20"/>
          <w:color w:val="auto"/>
        </w:rPr>
      </w:pPr>
    </w:p>
    <w:p>
      <w:pPr>
        <w:ind w:left="120"/>
        <w:spacing w:after="0"/>
        <w:rPr>
          <w:sz w:val="20"/>
          <w:szCs w:val="20"/>
          <w:color w:val="auto"/>
        </w:rPr>
      </w:pPr>
      <w:r>
        <w:rPr>
          <w:rFonts w:ascii="Arial" w:cs="Arial" w:eastAsia="Arial" w:hAnsi="Arial"/>
          <w:sz w:val="18"/>
          <w:szCs w:val="18"/>
          <w:color w:val="auto"/>
        </w:rPr>
        <w:t>issued shares of Class A common stock on a one-for-one basis pursuant to the terms of the Amended LLC Agreement.</w:t>
      </w:r>
    </w:p>
    <w:p>
      <w:pPr>
        <w:spacing w:after="0" w:line="225" w:lineRule="exact"/>
        <w:rPr>
          <w:sz w:val="20"/>
          <w:szCs w:val="20"/>
          <w:color w:val="auto"/>
        </w:rPr>
      </w:pPr>
    </w:p>
    <w:p>
      <w:pPr>
        <w:ind w:left="120" w:right="60" w:firstLine="440"/>
        <w:spacing w:after="0" w:line="291" w:lineRule="auto"/>
        <w:rPr>
          <w:sz w:val="20"/>
          <w:szCs w:val="20"/>
          <w:color w:val="auto"/>
        </w:rPr>
      </w:pPr>
      <w:r>
        <w:rPr>
          <w:rFonts w:ascii="Arial" w:cs="Arial" w:eastAsia="Arial" w:hAnsi="Arial"/>
          <w:sz w:val="16"/>
          <w:szCs w:val="16"/>
          <w:color w:val="auto"/>
        </w:rPr>
        <w:t>The Amended LLC Agreement provides that, in the event that a tender offer, share exchange offer, issuer bid, take-over bid, recapitalization or similar transaction with respect to our Class A common stock is proposed by us or our stockholders and approved by our board of directors or is otherwise consented to or approved by our board of directors, the holders of LLC Units will be permitted to participate in such offer by delivery of a notice of exchange that is effective immediately prior to the consummation of such offer. In the case of any such offer proposed by us, we are obligated to use our reasonable best efforts to enable and permit the holders of LLC Units to participate in such offer to the same extent or on an economically equivalent basis as the holders of shares of our Class A common stock without discrimination. In addition, we are obligated to use our reasonable best efforts to ensure that the holders of LLC Units may participate in each such offer without being required to exchange LLC Units.</w:t>
      </w:r>
    </w:p>
    <w:p>
      <w:pPr>
        <w:spacing w:after="0" w:line="166" w:lineRule="exact"/>
        <w:rPr>
          <w:sz w:val="20"/>
          <w:szCs w:val="20"/>
          <w:color w:val="auto"/>
        </w:rPr>
      </w:pPr>
    </w:p>
    <w:p>
      <w:pPr>
        <w:ind w:left="120" w:right="140" w:firstLine="440"/>
        <w:spacing w:after="0" w:line="277" w:lineRule="auto"/>
        <w:rPr>
          <w:sz w:val="20"/>
          <w:szCs w:val="20"/>
          <w:color w:val="auto"/>
        </w:rPr>
      </w:pPr>
      <w:r>
        <w:rPr>
          <w:rFonts w:ascii="Arial" w:cs="Arial" w:eastAsia="Arial" w:hAnsi="Arial"/>
          <w:sz w:val="18"/>
          <w:szCs w:val="18"/>
          <w:color w:val="auto"/>
        </w:rPr>
        <w:t>The Amended LLC Agreement provides that, except for transfers to us as provided above or to certain permitted transferees, the LLC Units and shares of Class B common stock may not be sold, transferred or otherwise disposed of.</w:t>
      </w:r>
    </w:p>
    <w:p>
      <w:pPr>
        <w:spacing w:after="0" w:line="170" w:lineRule="exact"/>
        <w:rPr>
          <w:sz w:val="20"/>
          <w:szCs w:val="20"/>
          <w:color w:val="auto"/>
        </w:rPr>
      </w:pPr>
    </w:p>
    <w:p>
      <w:pPr>
        <w:ind w:left="120" w:right="140" w:firstLine="440"/>
        <w:spacing w:after="0" w:line="263" w:lineRule="auto"/>
        <w:rPr>
          <w:sz w:val="20"/>
          <w:szCs w:val="20"/>
          <w:color w:val="auto"/>
        </w:rPr>
      </w:pPr>
      <w:r>
        <w:rPr>
          <w:rFonts w:ascii="Arial" w:cs="Arial" w:eastAsia="Arial" w:hAnsi="Arial"/>
          <w:sz w:val="18"/>
          <w:szCs w:val="18"/>
          <w:color w:val="auto"/>
        </w:rPr>
        <w:t>Subject to certain exceptions, Definitive OpCo will indemnify all of its members and their officers and other related parties, against all losses or expenses arising from claims or other legal proceedings in which such person (in its capacity as such) may be involved or become subject to in connection with Definitive OpCo’s business or affairs or the Amended LLC Agreement or any related document.</w:t>
      </w:r>
    </w:p>
    <w:p>
      <w:pPr>
        <w:spacing w:after="0" w:line="184" w:lineRule="exact"/>
        <w:rPr>
          <w:sz w:val="20"/>
          <w:szCs w:val="20"/>
          <w:color w:val="auto"/>
        </w:rPr>
      </w:pPr>
    </w:p>
    <w:p>
      <w:pPr>
        <w:ind w:left="120" w:right="120" w:firstLine="440"/>
        <w:spacing w:after="0" w:line="273" w:lineRule="auto"/>
        <w:rPr>
          <w:sz w:val="20"/>
          <w:szCs w:val="20"/>
          <w:color w:val="auto"/>
        </w:rPr>
      </w:pPr>
      <w:r>
        <w:rPr>
          <w:rFonts w:ascii="Arial" w:cs="Arial" w:eastAsia="Arial" w:hAnsi="Arial"/>
          <w:sz w:val="17"/>
          <w:szCs w:val="17"/>
          <w:color w:val="auto"/>
        </w:rPr>
        <w:t>Definitive OpCo may be dissolved upon (i) the determination by us to dissolve Definitive OpCo or (ii) any other event which would cause the dissolution of Definitive OpCo under the Delaware Limited Liability Company Act, unless Definitive OpCo is continued in accordance with the Delaware Limited Liability Company Act. Upon dissolution, Definitive OpCo will be liquidated and the proceeds from any liquidation will be applied and distributed in the following manner: (a) first, to creditors (including creditors who are members or affiliates of members) in satisfaction of all of Definitive OpCo’s liabilities (whether by payment or by making reasonable provision for payment of such liabilities, including the setting up of any reasonably necessary reserves) and (b) second, to the members in proportion to their vested LLC Units.</w:t>
      </w:r>
    </w:p>
    <w:p>
      <w:pPr>
        <w:spacing w:after="0" w:line="28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Tax Receivable Agreement</w:t>
      </w:r>
    </w:p>
    <w:p>
      <w:pPr>
        <w:spacing w:after="0" w:line="121" w:lineRule="exact"/>
        <w:rPr>
          <w:sz w:val="20"/>
          <w:szCs w:val="20"/>
          <w:color w:val="auto"/>
        </w:rPr>
      </w:pPr>
    </w:p>
    <w:p>
      <w:pPr>
        <w:ind w:left="120" w:right="20" w:firstLine="440"/>
        <w:spacing w:after="0" w:line="255" w:lineRule="auto"/>
        <w:rPr>
          <w:sz w:val="20"/>
          <w:szCs w:val="20"/>
          <w:color w:val="auto"/>
        </w:rPr>
      </w:pPr>
      <w:r>
        <w:rPr>
          <w:rFonts w:ascii="Arial" w:cs="Arial" w:eastAsia="Arial" w:hAnsi="Arial"/>
          <w:sz w:val="18"/>
          <w:szCs w:val="18"/>
          <w:color w:val="auto"/>
        </w:rPr>
        <w:t>As described under “Prospectus Summary—Organizational Structure,” we acquired certain favorable tax attributes from the Blocker Companies in the Reorganization Transactions and certain tax basis adjustments resulting from the acquisition of LLC Units from Unitholders in connection with the IPO. In addition, the acquisition of LLC Units from Unitholders in connection with this offering and future exchanges by Unitholders of LLC Units for shares of our Class A common stock or other consideration are expected to result in favorable tax attributes for us. These tax attributes would not be available to us in the absence of those transactions and are expected to reduce the amount of tax that we would otherwise be required to pay in the future.</w:t>
      </w:r>
    </w:p>
    <w:p>
      <w:pPr>
        <w:spacing w:after="0" w:line="192" w:lineRule="exact"/>
        <w:rPr>
          <w:sz w:val="20"/>
          <w:szCs w:val="20"/>
          <w:color w:val="auto"/>
        </w:rPr>
      </w:pPr>
    </w:p>
    <w:p>
      <w:pPr>
        <w:ind w:left="120" w:firstLine="440"/>
        <w:spacing w:after="0" w:line="271" w:lineRule="auto"/>
        <w:rPr>
          <w:sz w:val="20"/>
          <w:szCs w:val="20"/>
          <w:color w:val="auto"/>
        </w:rPr>
      </w:pPr>
      <w:r>
        <w:rPr>
          <w:rFonts w:ascii="Arial" w:cs="Arial" w:eastAsia="Arial" w:hAnsi="Arial"/>
          <w:sz w:val="17"/>
          <w:szCs w:val="17"/>
          <w:color w:val="auto"/>
        </w:rPr>
        <w:t>In connection with the IPO, we entered into a Tax Receivable Agreement with the TRA Parties. Under the Tax Receivable Agreement, we generally will be required to pay to the TRA Parties, in the aggregate, 85% of the amount of cash savings, if any, in U.S. federal, state and local income tax that we actually realize, or in certain circumstances are deemed to realize, as a result of (i) certain favorable tax attributes we acquired from the Blocker Companies, (ii) tax basis adjustments resulting from (a) acquisitions by us of LLC Units from certain Unitholders, including in connection with this offering and (b) future exchanges of LLC Units by Unitholders for Class A common stock or other consideration and (iii) certain payments made under the Tax Receivable Agreement. Definitive OpCo intends to have in effect an election under Section 754 of the Code effective for each taxable year in which an exchange (including deemed exchange) of LLC Units for Class A common stock occurs. The payment obligations under the Tax Receivable Agreement are our obligations and not the obligations of Definitive OpCo.</w:t>
      </w:r>
    </w:p>
    <w:p>
      <w:pPr>
        <w:spacing w:after="0" w:line="111" w:lineRule="exact"/>
        <w:rPr>
          <w:sz w:val="20"/>
          <w:szCs w:val="20"/>
          <w:color w:val="auto"/>
        </w:rPr>
      </w:pPr>
    </w:p>
    <w:p>
      <w:pPr>
        <w:jc w:val="center"/>
        <w:ind w:right="-419"/>
        <w:spacing w:after="0"/>
        <w:rPr>
          <w:sz w:val="20"/>
          <w:szCs w:val="20"/>
          <w:color w:val="auto"/>
        </w:rPr>
      </w:pPr>
      <w:r>
        <w:rPr>
          <w:rFonts w:ascii="Arial" w:cs="Arial" w:eastAsia="Arial" w:hAnsi="Arial"/>
          <w:sz w:val="18"/>
          <w:szCs w:val="18"/>
          <w:color w:val="auto"/>
        </w:rPr>
        <w:t>163</w:t>
      </w:r>
    </w:p>
    <w:p>
      <w:pPr>
        <w:sectPr>
          <w:pgSz w:w="11900" w:h="16838" w:orient="portrait"/>
          <w:cols w:equalWidth="0" w:num="1">
            <w:col w:w="11060"/>
          </w:cols>
          <w:pgMar w:left="320" w:top="459" w:right="519" w:bottom="1440" w:gutter="0" w:footer="0" w:header="0"/>
        </w:sectPr>
      </w:pPr>
    </w:p>
    <w:bookmarkStart w:id="170" w:name="page171"/>
    <w:bookmarkEnd w:id="17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Confidential Treatment Requested by Definitive Healthcare Corp.</w:t>
      </w:r>
    </w:p>
    <w:p>
      <w:pPr>
        <w:spacing w:after="0" w:line="27"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Pursuant to 17 C.F.R. Section 200.83</w:t>
      </w:r>
    </w:p>
    <w:p>
      <w:pPr>
        <w:spacing w:after="0" w:line="143" w:lineRule="exact"/>
        <w:rPr>
          <w:sz w:val="20"/>
          <w:szCs w:val="20"/>
          <w:color w:val="auto"/>
        </w:rPr>
      </w:pPr>
    </w:p>
    <w:p>
      <w:pPr>
        <w:ind w:left="120" w:right="20" w:firstLine="440"/>
        <w:spacing w:after="0" w:line="291" w:lineRule="auto"/>
        <w:rPr>
          <w:sz w:val="20"/>
          <w:szCs w:val="20"/>
          <w:color w:val="auto"/>
        </w:rPr>
      </w:pPr>
      <w:r>
        <w:rPr>
          <w:rFonts w:ascii="Arial" w:cs="Arial" w:eastAsia="Arial" w:hAnsi="Arial"/>
          <w:sz w:val="16"/>
          <w:szCs w:val="16"/>
          <w:color w:val="auto"/>
        </w:rPr>
        <w:t>We expect that the payments we will be required to make under the Tax Receivable Agreement will be substantial. Assuming no material changes in relevant tax law and that we earn sufficient taxable income to realize all tax benefits that are subject to the Tax Receivable Agreement, the tax savings</w:t>
      </w:r>
    </w:p>
    <w:p>
      <w:pPr>
        <w:ind w:left="120" w:right="20"/>
        <w:spacing w:after="0" w:line="265" w:lineRule="auto"/>
        <w:rPr>
          <w:sz w:val="20"/>
          <w:szCs w:val="20"/>
          <w:color w:val="auto"/>
        </w:rPr>
      </w:pPr>
      <w:r>
        <w:rPr>
          <w:rFonts w:ascii="Arial" w:cs="Arial" w:eastAsia="Arial" w:hAnsi="Arial"/>
          <w:sz w:val="17"/>
          <w:szCs w:val="17"/>
          <w:color w:val="auto"/>
        </w:rPr>
        <w:t>associated with all tax attributes described above would aggregate to approximately $ million over 15 years from the date of the completion of this offering, based on a public offering price of $ per share of Class A common stock, which is the last reported sale price of our Class A common stock on the Nasdaq on , 2021 and assuming all future exchanges would occur on the date of this offering. Under this scenario, we would be required to pay the TRA Parties approximately 85% of such amount, or $ million, over the 15-year period from the date of the completion of this</w:t>
      </w:r>
    </w:p>
    <w:p>
      <w:pPr>
        <w:spacing w:after="0" w:line="1" w:lineRule="exact"/>
        <w:rPr>
          <w:sz w:val="20"/>
          <w:szCs w:val="20"/>
          <w:color w:val="auto"/>
        </w:rPr>
      </w:pPr>
    </w:p>
    <w:p>
      <w:pPr>
        <w:ind w:left="120"/>
        <w:spacing w:after="0" w:line="290" w:lineRule="auto"/>
        <w:rPr>
          <w:sz w:val="20"/>
          <w:szCs w:val="20"/>
          <w:color w:val="auto"/>
        </w:rPr>
      </w:pPr>
      <w:r>
        <w:rPr>
          <w:rFonts w:ascii="Arial" w:cs="Arial" w:eastAsia="Arial" w:hAnsi="Arial"/>
          <w:sz w:val="16"/>
          <w:szCs w:val="16"/>
          <w:color w:val="auto"/>
        </w:rPr>
        <w:t>offering. The actual amounts we will be required to pay may materially differ from these hypothetical amounts, because potential future tax savings that we will actually realize or be deemed to realize, and the Tax Receivable Agreement payments made by us, will be calculated based in part on the market value of our Class A common stock at the time of each exchange of an LLC Unit for a share of Class A common stock and the prevailing applicable federal tax rate (plus the assumed combined state and local tax rate) applicable to us over the life of the Tax Receivable Agreement and will depend on our generating sufficient taxable income to realize the tax benefits that are subject to the Tax Receivable Agreement. Payments under the Tax Receivable Agreement are not conditioned on our existing owners’ continued ownership of us after this offering.</w:t>
      </w:r>
    </w:p>
    <w:p>
      <w:pPr>
        <w:spacing w:after="0" w:line="164" w:lineRule="exact"/>
        <w:rPr>
          <w:sz w:val="20"/>
          <w:szCs w:val="20"/>
          <w:color w:val="auto"/>
        </w:rPr>
      </w:pPr>
    </w:p>
    <w:p>
      <w:pPr>
        <w:ind w:left="120" w:right="60" w:firstLine="440"/>
        <w:spacing w:after="0" w:line="285" w:lineRule="auto"/>
        <w:rPr>
          <w:sz w:val="20"/>
          <w:szCs w:val="20"/>
          <w:color w:val="auto"/>
        </w:rPr>
      </w:pPr>
      <w:r>
        <w:rPr>
          <w:rFonts w:ascii="Arial" w:cs="Arial" w:eastAsia="Arial" w:hAnsi="Arial"/>
          <w:sz w:val="16"/>
          <w:szCs w:val="16"/>
          <w:color w:val="auto"/>
        </w:rPr>
        <w:t>Payments under the Tax Receivable Agreement will be based on the tax reporting positions we determine, and the IRS or another taxing authority may challenge all or a part of the deductions, tax basis increases, net operating losses or other tax attributes subject to the Tax Receivable Agreement, and a court could sustain such challenge. Payments we will be required to make under the Tax Receivable Agreement generally will not be reduced as a result of any taxes imposed on us, Definitive OpCo or any direct or indirect subsidiary thereof that are attributable to a tax period (or portion thereof) ending on or before the Mergers or the date of the completion of this offering. Further, the TRA Parties will not reimburse us for any payments previously made if such tax benefits are subsequently disallowed, except that any excess payments made to a TRA Party will be netted against future payments otherwise to be made to such TRA Party under the Tax Receivable Agreement, if any, after our determination of such excess. In addition, the actual state or local tax savings we may realize may be different than the amount of such tax savings we are deemed to realize under the Tax Receivable Agreement, which will be based on an assumed combined state and local tax rate applied to our reduction in taxable income as determined for U.S. federal income tax purposes as a result of the tax attributes subject to the Tax Receivable Agreement. In both such circumstances, we could make payments to the TRA Parties that are greater than our actual cash tax savings and we may not be able to recoup those payments, which could negatively impact our liquidity. The Tax Receivable Agreement provides that (1) in the event that we breach any of our material obligations under the Tax Receivable Agreement, (2) upon certain changes of control or (3) if, at any time, we elect an early termination of the Tax Receivable Agreement, our obligations under the Tax Receivable Agreement (with respect to all LLC Units, whether or not LLC Units have been exchanged or acquired before or after such transaction) would accelerate and become payable in a lump sum amount equal to the present value of the anticipated future tax benefits calculated based on certain assumptions, including that we would have sufficient taxable income to fully utilize the deductions arising from the tax deductions, tax basis and other tax attributes subject to the Tax Receivable Agreement. The change of control provisions in the Tax Receivable Agreement may result in situations where the TRA Parties have interests that differ from or are in addition to those of our other stockholders.</w:t>
      </w:r>
    </w:p>
    <w:p>
      <w:pPr>
        <w:spacing w:after="0" w:line="171" w:lineRule="exact"/>
        <w:rPr>
          <w:sz w:val="20"/>
          <w:szCs w:val="20"/>
          <w:color w:val="auto"/>
        </w:rPr>
      </w:pPr>
    </w:p>
    <w:p>
      <w:pPr>
        <w:ind w:left="120" w:right="40" w:firstLine="440"/>
        <w:spacing w:after="0" w:line="296" w:lineRule="auto"/>
        <w:rPr>
          <w:sz w:val="20"/>
          <w:szCs w:val="20"/>
          <w:color w:val="auto"/>
        </w:rPr>
      </w:pPr>
      <w:r>
        <w:rPr>
          <w:rFonts w:ascii="Arial" w:cs="Arial" w:eastAsia="Arial" w:hAnsi="Arial"/>
          <w:sz w:val="16"/>
          <w:szCs w:val="16"/>
          <w:color w:val="auto"/>
        </w:rPr>
        <w:t>Finally, because we are a holding company with no operations of our own, our ability to make payments under the Tax Receivable Agreement depends on the ability of Definitive OpCo to make distributions to us. To the extent that we are unable to make payments under the Tax Receivable Agreement for any reason, such payments will be deferred and will accrue interest until paid; provided, however, that nonpayment for a specified period may constitute a breach of a material obligation under the Tax Receivable Agreement and therefore accelerate payments due under the Tax Receivable Agreement, which could negatively impact our results of operations and could also affect our liquidity in periods in which such payments are made.</w:t>
      </w:r>
    </w:p>
    <w:p>
      <w:pPr>
        <w:spacing w:after="0" w:line="94" w:lineRule="exact"/>
        <w:rPr>
          <w:sz w:val="20"/>
          <w:szCs w:val="20"/>
          <w:color w:val="auto"/>
        </w:rPr>
      </w:pPr>
    </w:p>
    <w:p>
      <w:pPr>
        <w:jc w:val="center"/>
        <w:ind w:right="-359"/>
        <w:spacing w:after="0"/>
        <w:rPr>
          <w:sz w:val="20"/>
          <w:szCs w:val="20"/>
          <w:color w:val="auto"/>
        </w:rPr>
      </w:pPr>
      <w:r>
        <w:rPr>
          <w:rFonts w:ascii="Arial" w:cs="Arial" w:eastAsia="Arial" w:hAnsi="Arial"/>
          <w:sz w:val="18"/>
          <w:szCs w:val="18"/>
          <w:color w:val="auto"/>
        </w:rPr>
        <w:t>164</w:t>
      </w:r>
    </w:p>
    <w:p>
      <w:pPr>
        <w:sectPr>
          <w:pgSz w:w="11900" w:h="16838" w:orient="portrait"/>
          <w:cols w:equalWidth="0" w:num="1">
            <w:col w:w="11120"/>
          </w:cols>
          <w:pgMar w:left="320" w:top="459" w:right="459" w:bottom="1440" w:gutter="0" w:footer="0" w:header="0"/>
        </w:sectPr>
      </w:pPr>
    </w:p>
    <w:bookmarkStart w:id="171" w:name="page172"/>
    <w:bookmarkEnd w:id="17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Confidential Treatment Requested by Definitive Healthcare Corp.</w:t>
      </w:r>
    </w:p>
    <w:p>
      <w:pPr>
        <w:spacing w:after="0" w:line="27"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Pursuant to 17 C.F.R. Section 200.83</w:t>
      </w:r>
    </w:p>
    <w:p>
      <w:pPr>
        <w:spacing w:after="0" w:line="13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Nominating Agreement</w:t>
      </w:r>
      <w:r>
        <w:rPr>
          <w:rFonts w:ascii="Arial" w:cs="Arial" w:eastAsia="Arial" w:hAnsi="Arial"/>
          <w:sz w:val="18"/>
          <w:szCs w:val="18"/>
          <w:color w:val="auto"/>
        </w:rPr>
        <w:t>s</w:t>
      </w:r>
    </w:p>
    <w:p>
      <w:pPr>
        <w:spacing w:after="0" w:line="121" w:lineRule="exact"/>
        <w:rPr>
          <w:sz w:val="20"/>
          <w:szCs w:val="20"/>
          <w:color w:val="auto"/>
        </w:rPr>
      </w:pPr>
    </w:p>
    <w:p>
      <w:pPr>
        <w:ind w:left="120" w:firstLine="440"/>
        <w:spacing w:after="0" w:line="270" w:lineRule="auto"/>
        <w:rPr>
          <w:sz w:val="20"/>
          <w:szCs w:val="20"/>
          <w:color w:val="auto"/>
        </w:rPr>
      </w:pPr>
      <w:r>
        <w:rPr>
          <w:rFonts w:ascii="Arial" w:cs="Arial" w:eastAsia="Arial" w:hAnsi="Arial"/>
          <w:sz w:val="17"/>
          <w:szCs w:val="17"/>
          <w:color w:val="auto"/>
        </w:rPr>
        <w:t>We entered into nominating agreements, pursuant to which (a) Advent and its affiliates have the right, at any time until Advent no longer beneficially owns at least 21.5% of our outstanding common stock, to nominate two designees to our Board; and (b) so long as each of Spectrum Equity and Jason Krantz together with each of their respective affiliates, owns at least 5% of our outstanding common stock, respectively, Spectrum Equity and Jason Krantz, and their respective affiliates, each have the right to nominate one designee to our Board. After such time as Advent and its affiliates no longer beneficially own at least 21.5% of our outstanding common stock but so long as Advent and its affiliates are the beneficial owners of at least 5% of our common stock, Advent and its affiliates have the right to nominate one designee to our Board. So long as Advent, Spectrum Equity and Jason Krantz together with their respective affiliates beneficially own at least 5% of our outstanding common stock, Advent, Spectrum Equity and Jason Krantz each have the right to nominate a designee to our Board to fill any vacancy of a director nominated by Advent, Spectrum Equity or Jason Krantz, respectively, due to death, resignation or removal. See “Management—Nominating Agreements”.</w:t>
      </w:r>
    </w:p>
    <w:p>
      <w:pPr>
        <w:spacing w:after="0" w:line="28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Registration Rights Agreement</w:t>
      </w:r>
    </w:p>
    <w:p>
      <w:pPr>
        <w:spacing w:after="0" w:line="121" w:lineRule="exact"/>
        <w:rPr>
          <w:sz w:val="20"/>
          <w:szCs w:val="20"/>
          <w:color w:val="auto"/>
        </w:rPr>
      </w:pPr>
    </w:p>
    <w:p>
      <w:pPr>
        <w:ind w:left="120" w:right="240" w:firstLine="440"/>
        <w:spacing w:after="0" w:line="277" w:lineRule="auto"/>
        <w:rPr>
          <w:sz w:val="20"/>
          <w:szCs w:val="20"/>
          <w:color w:val="auto"/>
        </w:rPr>
      </w:pPr>
      <w:r>
        <w:rPr>
          <w:rFonts w:ascii="Arial" w:cs="Arial" w:eastAsia="Arial" w:hAnsi="Arial"/>
          <w:sz w:val="18"/>
          <w:szCs w:val="18"/>
          <w:color w:val="auto"/>
        </w:rPr>
        <w:t>In connection with the IPO, we entered into a registration rights agreement with certain of the Unitholders and affiliates of Advent, affiliates of Spectrum Equity, Jason Krantz, AIDH Management Holdings, LLC and affiliates of 22C Capital.</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Samuel Allen Hamood Trust U/A 8/27/2010</w:t>
      </w:r>
    </w:p>
    <w:p>
      <w:pPr>
        <w:spacing w:after="0" w:line="121" w:lineRule="exact"/>
        <w:rPr>
          <w:sz w:val="20"/>
          <w:szCs w:val="20"/>
          <w:color w:val="auto"/>
        </w:rPr>
      </w:pPr>
    </w:p>
    <w:p>
      <w:pPr>
        <w:ind w:left="120" w:right="40" w:firstLine="440"/>
        <w:spacing w:after="0" w:line="342" w:lineRule="auto"/>
        <w:rPr>
          <w:sz w:val="20"/>
          <w:szCs w:val="20"/>
          <w:color w:val="auto"/>
        </w:rPr>
      </w:pPr>
      <w:r>
        <w:rPr>
          <w:rFonts w:ascii="Arial" w:cs="Arial" w:eastAsia="Arial" w:hAnsi="Arial"/>
          <w:sz w:val="16"/>
          <w:szCs w:val="16"/>
          <w:color w:val="auto"/>
        </w:rPr>
        <w:t>On October 12, 2020, the Samuel Allen Hamood Trust U/A 8/27/2010 purchased 294,117 Class A Common Units of OpCo through the subscription for and purchase of 294,117 Class A Common Units of AIDH Management Holdings, LLC, for an aggregate purchase price of $3,000,000.</w:t>
      </w:r>
    </w:p>
    <w:p>
      <w:pPr>
        <w:spacing w:after="0" w:line="22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Mr. Musslewhite</w:t>
      </w:r>
    </w:p>
    <w:p>
      <w:pPr>
        <w:spacing w:after="0" w:line="121" w:lineRule="exact"/>
        <w:rPr>
          <w:sz w:val="20"/>
          <w:szCs w:val="20"/>
          <w:color w:val="auto"/>
        </w:rPr>
      </w:pPr>
    </w:p>
    <w:p>
      <w:pPr>
        <w:ind w:left="120" w:right="240" w:firstLine="440"/>
        <w:spacing w:after="0" w:line="308" w:lineRule="auto"/>
        <w:rPr>
          <w:sz w:val="20"/>
          <w:szCs w:val="20"/>
          <w:color w:val="auto"/>
        </w:rPr>
      </w:pPr>
      <w:r>
        <w:rPr>
          <w:rFonts w:ascii="Arial" w:cs="Arial" w:eastAsia="Arial" w:hAnsi="Arial"/>
          <w:sz w:val="17"/>
          <w:szCs w:val="17"/>
          <w:color w:val="auto"/>
        </w:rPr>
        <w:t>In June 2021, the Robert Musslewhite 2014 Family Trust purchased 330,469 Class A Common Units of OpCo through the subscription for and purchase of 330,469 Class A Common Units of AIDH Management Holdings, LLC, for an aggregate purchase price of $5,000,000.</w:t>
      </w:r>
    </w:p>
    <w:p>
      <w:pPr>
        <w:spacing w:after="0" w:line="250"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Ms. Larsen</w:t>
      </w:r>
    </w:p>
    <w:p>
      <w:pPr>
        <w:spacing w:after="0" w:line="121" w:lineRule="exact"/>
        <w:rPr>
          <w:sz w:val="20"/>
          <w:szCs w:val="20"/>
          <w:color w:val="auto"/>
        </w:rPr>
      </w:pPr>
    </w:p>
    <w:p>
      <w:pPr>
        <w:ind w:left="120" w:right="300" w:firstLine="440"/>
        <w:spacing w:after="0" w:line="277" w:lineRule="auto"/>
        <w:rPr>
          <w:sz w:val="20"/>
          <w:szCs w:val="20"/>
          <w:color w:val="auto"/>
        </w:rPr>
      </w:pPr>
      <w:r>
        <w:rPr>
          <w:rFonts w:ascii="Arial" w:cs="Arial" w:eastAsia="Arial" w:hAnsi="Arial"/>
          <w:sz w:val="18"/>
          <w:szCs w:val="18"/>
          <w:color w:val="auto"/>
        </w:rPr>
        <w:t>On May 20, 2021 Ms. Larsen purchased 33,047 Class A Common Units of OpCo through her subscription for and purchase of 33,047 Class A Common Units of AIDH Management Holdings, LLC for an aggregate purchase price of $500,000.</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Related Party Transactions Policies and Procedures</w:t>
      </w:r>
    </w:p>
    <w:p>
      <w:pPr>
        <w:spacing w:after="0" w:line="121" w:lineRule="exact"/>
        <w:rPr>
          <w:sz w:val="20"/>
          <w:szCs w:val="20"/>
          <w:color w:val="auto"/>
        </w:rPr>
      </w:pPr>
    </w:p>
    <w:p>
      <w:pPr>
        <w:ind w:left="120" w:right="120" w:firstLine="440"/>
        <w:spacing w:after="0" w:line="263" w:lineRule="auto"/>
        <w:rPr>
          <w:sz w:val="20"/>
          <w:szCs w:val="20"/>
          <w:color w:val="auto"/>
        </w:rPr>
      </w:pPr>
      <w:r>
        <w:rPr>
          <w:rFonts w:ascii="Arial" w:cs="Arial" w:eastAsia="Arial" w:hAnsi="Arial"/>
          <w:sz w:val="18"/>
          <w:szCs w:val="18"/>
          <w:color w:val="auto"/>
        </w:rPr>
        <w:t>We have a Related Person Transaction Policy (the “Policy”), which sets forth our policy with respect to the review, approval, ratification and disclosure of all related person transactions by our Audit Committee. In accordance with the policy, our Audit Committee has overall responsibility for implementation of and compliance with the policy.</w:t>
      </w:r>
    </w:p>
    <w:p>
      <w:pPr>
        <w:spacing w:after="0" w:line="184" w:lineRule="exact"/>
        <w:rPr>
          <w:sz w:val="20"/>
          <w:szCs w:val="20"/>
          <w:color w:val="auto"/>
        </w:rPr>
      </w:pPr>
    </w:p>
    <w:p>
      <w:pPr>
        <w:ind w:left="120" w:right="20" w:firstLine="440"/>
        <w:spacing w:after="0" w:line="257" w:lineRule="auto"/>
        <w:rPr>
          <w:sz w:val="20"/>
          <w:szCs w:val="20"/>
          <w:color w:val="auto"/>
        </w:rPr>
      </w:pPr>
      <w:r>
        <w:rPr>
          <w:rFonts w:ascii="Arial" w:cs="Arial" w:eastAsia="Arial" w:hAnsi="Arial"/>
          <w:sz w:val="18"/>
          <w:szCs w:val="18"/>
          <w:color w:val="auto"/>
        </w:rPr>
        <w:t>For purposes of the Policy, subject to certain exceptions, a “related person transaction” is a transaction, arrangement or relationship (or any series of similar transactions, arrangements or relationships) in which we were, are or will be a participant and in which any related person (as defined in the Policy) had, has or will have a direct or indirect material interest. A “related person transaction” does not include, for example, any employment relationship or transaction involving an executive officer and any related compensation resulting solely from that employment relationship that has been reviewed and approved by our board of directors.</w:t>
      </w:r>
    </w:p>
    <w:p>
      <w:pPr>
        <w:spacing w:after="0" w:line="120" w:lineRule="exact"/>
        <w:rPr>
          <w:sz w:val="20"/>
          <w:szCs w:val="20"/>
          <w:color w:val="auto"/>
        </w:rPr>
      </w:pPr>
    </w:p>
    <w:p>
      <w:pPr>
        <w:jc w:val="center"/>
        <w:ind w:right="-379"/>
        <w:spacing w:after="0"/>
        <w:rPr>
          <w:sz w:val="20"/>
          <w:szCs w:val="20"/>
          <w:color w:val="auto"/>
        </w:rPr>
      </w:pPr>
      <w:r>
        <w:rPr>
          <w:rFonts w:ascii="Arial" w:cs="Arial" w:eastAsia="Arial" w:hAnsi="Arial"/>
          <w:sz w:val="18"/>
          <w:szCs w:val="18"/>
          <w:color w:val="auto"/>
        </w:rPr>
        <w:t>165</w:t>
      </w:r>
    </w:p>
    <w:p>
      <w:pPr>
        <w:sectPr>
          <w:pgSz w:w="11900" w:h="16838" w:orient="portrait"/>
          <w:cols w:equalWidth="0" w:num="1">
            <w:col w:w="11100"/>
          </w:cols>
          <w:pgMar w:left="320" w:top="459" w:right="479" w:bottom="1440" w:gutter="0" w:footer="0" w:header="0"/>
        </w:sectPr>
      </w:pPr>
    </w:p>
    <w:bookmarkStart w:id="172" w:name="page173"/>
    <w:bookmarkEnd w:id="17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Confidential Treatment Requested by Definitive Healthcare Corp.</w:t>
      </w:r>
    </w:p>
    <w:p>
      <w:pPr>
        <w:spacing w:after="0" w:line="27"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Pursuant to 17 C.F.R. Section 200.83</w:t>
      </w:r>
    </w:p>
    <w:p>
      <w:pPr>
        <w:spacing w:after="0" w:line="143" w:lineRule="exact"/>
        <w:rPr>
          <w:sz w:val="20"/>
          <w:szCs w:val="20"/>
          <w:color w:val="auto"/>
        </w:rPr>
      </w:pPr>
    </w:p>
    <w:p>
      <w:pPr>
        <w:ind w:left="120" w:firstLine="440"/>
        <w:spacing w:after="0" w:line="254" w:lineRule="auto"/>
        <w:rPr>
          <w:sz w:val="20"/>
          <w:szCs w:val="20"/>
          <w:color w:val="auto"/>
        </w:rPr>
      </w:pPr>
      <w:r>
        <w:rPr>
          <w:rFonts w:ascii="Arial" w:cs="Arial" w:eastAsia="Arial" w:hAnsi="Arial"/>
          <w:sz w:val="18"/>
          <w:szCs w:val="18"/>
          <w:color w:val="auto"/>
        </w:rPr>
        <w:t>The Policy requires that notice of a proposed transaction or arrangement that could be a related person transaction be provided to our legal department, the chair of the Board or the chair of the Audit Committee prior to entry into such transaction. If our legal department determines that such transaction could be a related person transaction, the proposed transaction will be submitted to our Audit Committee for consideration at its next meeting or sooner if determined to be necessary. Under the Policy, our Audit Committee may approve only those related person transactions that are in, or not inconsistent with, our best interests. In the event that we become aware of a related person transaction that has not been previously reviewed, approved or ratified under the Policy and that is ongoing or is completed, the transaction will be submitted to the Audit Committee so that it may determine whether to ratify, rescind or modify the related person transaction and whether to make changes to our controls and procedures in connection with the transaction.</w:t>
      </w:r>
    </w:p>
    <w:p>
      <w:pPr>
        <w:spacing w:after="0" w:line="192" w:lineRule="exact"/>
        <w:rPr>
          <w:sz w:val="20"/>
          <w:szCs w:val="20"/>
          <w:color w:val="auto"/>
        </w:rPr>
      </w:pPr>
    </w:p>
    <w:p>
      <w:pPr>
        <w:ind w:left="120" w:right="100" w:firstLine="440"/>
        <w:spacing w:after="0" w:line="259" w:lineRule="auto"/>
        <w:rPr>
          <w:sz w:val="20"/>
          <w:szCs w:val="20"/>
          <w:color w:val="auto"/>
        </w:rPr>
      </w:pPr>
      <w:r>
        <w:rPr>
          <w:rFonts w:ascii="Arial" w:cs="Arial" w:eastAsia="Arial" w:hAnsi="Arial"/>
          <w:sz w:val="18"/>
          <w:szCs w:val="18"/>
          <w:color w:val="auto"/>
        </w:rPr>
        <w:t>The Policy also provides that the Audit Committee review certain previously approved or ratified related person transactions that are ongoing to determine whether the related person transaction remains in our best interests and the best interests of our stockholders. Additionally, we will make periodic inquiries of directors and executive officers with respect to any potential related person transaction of which they may be a party or of which they may be aware.</w:t>
      </w:r>
    </w:p>
    <w:p>
      <w:pPr>
        <w:spacing w:after="0" w:line="119" w:lineRule="exact"/>
        <w:rPr>
          <w:sz w:val="20"/>
          <w:szCs w:val="20"/>
          <w:color w:val="auto"/>
        </w:rPr>
      </w:pPr>
    </w:p>
    <w:p>
      <w:pPr>
        <w:jc w:val="center"/>
        <w:ind w:right="-459"/>
        <w:spacing w:after="0"/>
        <w:rPr>
          <w:sz w:val="20"/>
          <w:szCs w:val="20"/>
          <w:color w:val="auto"/>
        </w:rPr>
      </w:pPr>
      <w:r>
        <w:rPr>
          <w:rFonts w:ascii="Arial" w:cs="Arial" w:eastAsia="Arial" w:hAnsi="Arial"/>
          <w:sz w:val="18"/>
          <w:szCs w:val="18"/>
          <w:color w:val="auto"/>
        </w:rPr>
        <w:t>166</w:t>
      </w:r>
    </w:p>
    <w:p>
      <w:pPr>
        <w:sectPr>
          <w:pgSz w:w="11900" w:h="16838" w:orient="portrait"/>
          <w:cols w:equalWidth="0" w:num="1">
            <w:col w:w="11020"/>
          </w:cols>
          <w:pgMar w:left="320" w:top="459" w:right="559" w:bottom="1440" w:gutter="0" w:footer="0" w:header="0"/>
        </w:sectPr>
      </w:pPr>
    </w:p>
    <w:bookmarkStart w:id="173" w:name="page174"/>
    <w:bookmarkEnd w:id="17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Confidential Treatment Requested by Definitive Healthcare Corp.</w:t>
      </w:r>
    </w:p>
    <w:p>
      <w:pPr>
        <w:spacing w:after="0" w:line="27"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Pursuant to 17 C.F.R. Section 200.83</w:t>
      </w:r>
    </w:p>
    <w:p>
      <w:pPr>
        <w:spacing w:after="0" w:line="139"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DESCRIPTION OF MATERIAL INDEBTEDNESS</w:t>
      </w:r>
    </w:p>
    <w:p>
      <w:pPr>
        <w:spacing w:after="0" w:line="22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Senior Credit Facilities</w:t>
      </w:r>
    </w:p>
    <w:p>
      <w:pPr>
        <w:spacing w:after="0" w:line="121" w:lineRule="exact"/>
        <w:rPr>
          <w:sz w:val="20"/>
          <w:szCs w:val="20"/>
          <w:color w:val="auto"/>
        </w:rPr>
      </w:pPr>
    </w:p>
    <w:p>
      <w:pPr>
        <w:ind w:left="120" w:right="60" w:firstLine="440"/>
        <w:spacing w:after="0" w:line="293" w:lineRule="auto"/>
        <w:rPr>
          <w:sz w:val="20"/>
          <w:szCs w:val="20"/>
          <w:color w:val="auto"/>
        </w:rPr>
      </w:pPr>
      <w:r>
        <w:rPr>
          <w:rFonts w:ascii="Arial" w:cs="Arial" w:eastAsia="Arial" w:hAnsi="Arial"/>
          <w:sz w:val="16"/>
          <w:szCs w:val="16"/>
          <w:color w:val="auto"/>
        </w:rPr>
        <w:t>On September 17, 2021 (the “Closing Date”), DH Holdings (as the “Borrower”) entered into the Credit Agreement with the administrative agent, the issuing banks and the lenders from time to time party thereto (the “Lenders”), pursuant to which the Lenders agreed to provide the Senior Credit Facilities, consisting of (i) the Term Facility in an original principal amount equal to $275.0 million (the Term Facility and the loans thereunder, the “Initial Term Loans”), (ii) the Revolving Credit Facility in an original principal amount equal to $75.0 million (the Revolving Credit Facility and the loans thereunder, the “Initial Revolving Loans”), the proceeds of which were used to repay the remaining portion of the indebtedness outstanding under the 2019 Credit Agreement and to pay related fees and expenses. See “Prospectus Summary—Debt Refinancing.”</w:t>
      </w:r>
    </w:p>
    <w:p>
      <w:pPr>
        <w:spacing w:after="0" w:line="272"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Interest Rate and Fees</w:t>
      </w:r>
    </w:p>
    <w:p>
      <w:pPr>
        <w:spacing w:after="0" w:line="117" w:lineRule="exact"/>
        <w:rPr>
          <w:sz w:val="20"/>
          <w:szCs w:val="20"/>
          <w:color w:val="auto"/>
        </w:rPr>
      </w:pPr>
    </w:p>
    <w:p>
      <w:pPr>
        <w:ind w:left="120" w:right="20" w:firstLine="440"/>
        <w:spacing w:after="0" w:line="277" w:lineRule="auto"/>
        <w:rPr>
          <w:sz w:val="20"/>
          <w:szCs w:val="20"/>
          <w:color w:val="auto"/>
        </w:rPr>
      </w:pPr>
      <w:r>
        <w:rPr>
          <w:rFonts w:ascii="Arial" w:cs="Arial" w:eastAsia="Arial" w:hAnsi="Arial"/>
          <w:sz w:val="18"/>
          <w:szCs w:val="18"/>
          <w:color w:val="auto"/>
        </w:rPr>
        <w:t>Borrowings under the Senior Credit Facilities bear interest, at the Borrower’s option, at a rate per annum equal to either (a) LIBO Rate (as defined in the Credit Agreement) plus the applicable LIBO Rate spread or (b) ABR plus the applicable ABR spread.</w:t>
      </w:r>
    </w:p>
    <w:p>
      <w:pPr>
        <w:spacing w:after="0" w:line="170" w:lineRule="exact"/>
        <w:rPr>
          <w:sz w:val="20"/>
          <w:szCs w:val="20"/>
          <w:color w:val="auto"/>
        </w:rPr>
      </w:pPr>
    </w:p>
    <w:p>
      <w:pPr>
        <w:ind w:left="120" w:firstLine="440"/>
        <w:spacing w:after="0" w:line="259" w:lineRule="auto"/>
        <w:rPr>
          <w:sz w:val="20"/>
          <w:szCs w:val="20"/>
          <w:color w:val="auto"/>
        </w:rPr>
      </w:pPr>
      <w:r>
        <w:rPr>
          <w:rFonts w:ascii="Arial" w:cs="Arial" w:eastAsia="Arial" w:hAnsi="Arial"/>
          <w:sz w:val="18"/>
          <w:szCs w:val="18"/>
          <w:color w:val="auto"/>
        </w:rPr>
        <w:t>The applicable LIBO Rate and ABR spreads are calculated based upon the total leverage ratio of the Borrower and its restricted subsidiaries on a consolidated basis, as set forth below (until the first Adjustment Date (as defined in the Credit Agreement) following the completion of at least three full fiscal quarters after the Closing Date, the applicable rates for any Initial Term Loans and/or any Initial Revolving Loans are as set forth in Category 1 below).</w:t>
      </w:r>
    </w:p>
    <w:p>
      <w:pPr>
        <w:spacing w:after="0" w:line="193" w:lineRule="exact"/>
        <w:rPr>
          <w:sz w:val="20"/>
          <w:szCs w:val="20"/>
          <w:color w:val="auto"/>
        </w:rPr>
      </w:pPr>
    </w:p>
    <w:tbl>
      <w:tblPr>
        <w:tblLayout w:type="fixed"/>
        <w:tblInd w:w="5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7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960" w:type="dxa"/>
            <w:vAlign w:val="bottom"/>
            <w:gridSpan w:val="2"/>
          </w:tcPr>
          <w:p>
            <w:pPr>
              <w:jc w:val="center"/>
              <w:ind w:right="720"/>
              <w:spacing w:after="0"/>
              <w:rPr>
                <w:sz w:val="20"/>
                <w:szCs w:val="20"/>
                <w:color w:val="auto"/>
              </w:rPr>
            </w:pPr>
            <w:r>
              <w:rPr>
                <w:rFonts w:ascii="Arial" w:cs="Arial" w:eastAsia="Arial" w:hAnsi="Arial"/>
                <w:sz w:val="14"/>
                <w:szCs w:val="14"/>
                <w:b w:val="1"/>
                <w:bCs w:val="1"/>
                <w:color w:val="auto"/>
                <w:w w:val="95"/>
              </w:rPr>
              <w:t>ABR Spread for</w:t>
            </w:r>
          </w:p>
        </w:tc>
        <w:tc>
          <w:tcPr>
            <w:tcW w:w="10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76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960" w:type="dxa"/>
            <w:vAlign w:val="bottom"/>
            <w:gridSpan w:val="2"/>
          </w:tcPr>
          <w:p>
            <w:pPr>
              <w:jc w:val="center"/>
              <w:ind w:right="740"/>
              <w:spacing w:after="0" w:line="149" w:lineRule="exact"/>
              <w:rPr>
                <w:sz w:val="20"/>
                <w:szCs w:val="20"/>
                <w:color w:val="auto"/>
              </w:rPr>
            </w:pPr>
            <w:r>
              <w:rPr>
                <w:rFonts w:ascii="Arial" w:cs="Arial" w:eastAsia="Arial" w:hAnsi="Arial"/>
                <w:sz w:val="14"/>
                <w:szCs w:val="14"/>
                <w:b w:val="1"/>
                <w:bCs w:val="1"/>
                <w:color w:val="auto"/>
                <w:w w:val="95"/>
              </w:rPr>
              <w:t>Initial revolving</w:t>
            </w:r>
          </w:p>
        </w:tc>
        <w:tc>
          <w:tcPr>
            <w:tcW w:w="10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760" w:type="dxa"/>
            <w:vAlign w:val="bottom"/>
          </w:tcPr>
          <w:p>
            <w:pPr>
              <w:spacing w:after="0"/>
              <w:rPr>
                <w:sz w:val="12"/>
                <w:szCs w:val="12"/>
                <w:color w:val="auto"/>
              </w:rPr>
            </w:pPr>
          </w:p>
        </w:tc>
        <w:tc>
          <w:tcPr>
            <w:tcW w:w="1680" w:type="dxa"/>
            <w:vAlign w:val="bottom"/>
            <w:gridSpan w:val="2"/>
            <w:vMerge w:val="restart"/>
          </w:tcPr>
          <w:p>
            <w:pPr>
              <w:jc w:val="center"/>
              <w:ind w:right="700"/>
              <w:spacing w:after="0"/>
              <w:rPr>
                <w:sz w:val="20"/>
                <w:szCs w:val="20"/>
                <w:color w:val="auto"/>
              </w:rPr>
            </w:pPr>
            <w:r>
              <w:rPr>
                <w:rFonts w:ascii="Arial" w:cs="Arial" w:eastAsia="Arial" w:hAnsi="Arial"/>
                <w:sz w:val="14"/>
                <w:szCs w:val="14"/>
                <w:b w:val="1"/>
                <w:bCs w:val="1"/>
                <w:color w:val="auto"/>
                <w:w w:val="95"/>
              </w:rPr>
              <w:t>ABR Spread</w:t>
            </w:r>
          </w:p>
        </w:tc>
        <w:tc>
          <w:tcPr>
            <w:tcW w:w="1900" w:type="dxa"/>
            <w:vAlign w:val="bottom"/>
            <w:gridSpan w:val="2"/>
            <w:vMerge w:val="restart"/>
          </w:tcPr>
          <w:p>
            <w:pPr>
              <w:jc w:val="center"/>
              <w:ind w:right="720"/>
              <w:spacing w:after="0"/>
              <w:rPr>
                <w:sz w:val="20"/>
                <w:szCs w:val="20"/>
                <w:color w:val="auto"/>
              </w:rPr>
            </w:pPr>
            <w:r>
              <w:rPr>
                <w:rFonts w:ascii="Arial" w:cs="Arial" w:eastAsia="Arial" w:hAnsi="Arial"/>
                <w:sz w:val="14"/>
                <w:szCs w:val="14"/>
                <w:b w:val="1"/>
                <w:bCs w:val="1"/>
                <w:color w:val="auto"/>
                <w:w w:val="95"/>
              </w:rPr>
              <w:t>LIBO Rate Spread</w:t>
            </w:r>
          </w:p>
        </w:tc>
        <w:tc>
          <w:tcPr>
            <w:tcW w:w="1960" w:type="dxa"/>
            <w:vAlign w:val="bottom"/>
            <w:gridSpan w:val="2"/>
          </w:tcPr>
          <w:p>
            <w:pPr>
              <w:jc w:val="center"/>
              <w:ind w:right="720"/>
              <w:spacing w:after="0" w:line="149" w:lineRule="exact"/>
              <w:rPr>
                <w:sz w:val="20"/>
                <w:szCs w:val="20"/>
                <w:color w:val="auto"/>
              </w:rPr>
            </w:pPr>
            <w:r>
              <w:rPr>
                <w:rFonts w:ascii="Arial" w:cs="Arial" w:eastAsia="Arial" w:hAnsi="Arial"/>
                <w:sz w:val="14"/>
                <w:szCs w:val="14"/>
                <w:b w:val="1"/>
                <w:bCs w:val="1"/>
                <w:color w:val="auto"/>
                <w:w w:val="92"/>
              </w:rPr>
              <w:t>Loans (including</w:t>
            </w:r>
          </w:p>
        </w:tc>
        <w:tc>
          <w:tcPr>
            <w:tcW w:w="1260" w:type="dxa"/>
            <w:vAlign w:val="bottom"/>
            <w:gridSpan w:val="2"/>
            <w:vMerge w:val="restart"/>
          </w:tcPr>
          <w:p>
            <w:pPr>
              <w:jc w:val="center"/>
              <w:ind w:right="200"/>
              <w:spacing w:after="0"/>
              <w:rPr>
                <w:sz w:val="20"/>
                <w:szCs w:val="20"/>
                <w:color w:val="auto"/>
              </w:rPr>
            </w:pPr>
            <w:r>
              <w:rPr>
                <w:rFonts w:ascii="Arial" w:cs="Arial" w:eastAsia="Arial" w:hAnsi="Arial"/>
                <w:sz w:val="14"/>
                <w:szCs w:val="14"/>
                <w:b w:val="1"/>
                <w:bCs w:val="1"/>
                <w:color w:val="auto"/>
              </w:rPr>
              <w:t>LIBO Rate</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760" w:type="dxa"/>
            <w:vAlign w:val="bottom"/>
          </w:tcPr>
          <w:p>
            <w:pPr>
              <w:spacing w:after="0"/>
              <w:rPr>
                <w:sz w:val="12"/>
                <w:szCs w:val="12"/>
                <w:color w:val="auto"/>
              </w:rPr>
            </w:pPr>
          </w:p>
        </w:tc>
        <w:tc>
          <w:tcPr>
            <w:tcW w:w="1680" w:type="dxa"/>
            <w:vAlign w:val="bottom"/>
            <w:gridSpan w:val="2"/>
            <w:vMerge w:val="continue"/>
          </w:tcPr>
          <w:p>
            <w:pPr>
              <w:spacing w:after="0"/>
              <w:rPr>
                <w:sz w:val="12"/>
                <w:szCs w:val="12"/>
                <w:color w:val="auto"/>
              </w:rPr>
            </w:pPr>
          </w:p>
        </w:tc>
        <w:tc>
          <w:tcPr>
            <w:tcW w:w="1900" w:type="dxa"/>
            <w:vAlign w:val="bottom"/>
            <w:gridSpan w:val="2"/>
            <w:vMerge w:val="continue"/>
          </w:tcPr>
          <w:p>
            <w:pPr>
              <w:spacing w:after="0"/>
              <w:rPr>
                <w:sz w:val="12"/>
                <w:szCs w:val="12"/>
                <w:color w:val="auto"/>
              </w:rPr>
            </w:pPr>
          </w:p>
        </w:tc>
        <w:tc>
          <w:tcPr>
            <w:tcW w:w="1960" w:type="dxa"/>
            <w:vAlign w:val="bottom"/>
            <w:gridSpan w:val="2"/>
          </w:tcPr>
          <w:p>
            <w:pPr>
              <w:jc w:val="center"/>
              <w:ind w:right="740"/>
              <w:spacing w:after="0" w:line="149" w:lineRule="exact"/>
              <w:rPr>
                <w:sz w:val="20"/>
                <w:szCs w:val="20"/>
                <w:color w:val="auto"/>
              </w:rPr>
            </w:pPr>
            <w:r>
              <w:rPr>
                <w:rFonts w:ascii="Arial" w:cs="Arial" w:eastAsia="Arial" w:hAnsi="Arial"/>
                <w:sz w:val="14"/>
                <w:szCs w:val="14"/>
                <w:b w:val="1"/>
                <w:bCs w:val="1"/>
                <w:color w:val="auto"/>
                <w:w w:val="90"/>
              </w:rPr>
              <w:t>Swingline Loans (as</w:t>
            </w:r>
          </w:p>
        </w:tc>
        <w:tc>
          <w:tcPr>
            <w:tcW w:w="126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320" w:type="dxa"/>
            <w:vAlign w:val="bottom"/>
            <w:gridSpan w:val="4"/>
            <w:vMerge w:val="restart"/>
          </w:tcPr>
          <w:p>
            <w:pPr>
              <w:spacing w:after="0"/>
              <w:rPr>
                <w:sz w:val="20"/>
                <w:szCs w:val="20"/>
                <w:color w:val="auto"/>
              </w:rPr>
            </w:pPr>
            <w:r>
              <w:rPr>
                <w:rFonts w:ascii="Arial" w:cs="Arial" w:eastAsia="Arial" w:hAnsi="Arial"/>
                <w:sz w:val="14"/>
                <w:szCs w:val="14"/>
                <w:b w:val="1"/>
                <w:bCs w:val="1"/>
                <w:color w:val="auto"/>
              </w:rPr>
              <w:t>Total Net Leverage Ratio</w:t>
            </w:r>
          </w:p>
        </w:tc>
        <w:tc>
          <w:tcPr>
            <w:tcW w:w="1680" w:type="dxa"/>
            <w:vAlign w:val="bottom"/>
            <w:gridSpan w:val="2"/>
          </w:tcPr>
          <w:p>
            <w:pPr>
              <w:jc w:val="center"/>
              <w:ind w:right="720"/>
              <w:spacing w:after="0" w:line="149" w:lineRule="exact"/>
              <w:rPr>
                <w:sz w:val="20"/>
                <w:szCs w:val="20"/>
                <w:color w:val="auto"/>
              </w:rPr>
            </w:pPr>
            <w:r>
              <w:rPr>
                <w:rFonts w:ascii="Arial" w:cs="Arial" w:eastAsia="Arial" w:hAnsi="Arial"/>
                <w:sz w:val="14"/>
                <w:szCs w:val="14"/>
                <w:b w:val="1"/>
                <w:bCs w:val="1"/>
                <w:color w:val="auto"/>
                <w:w w:val="98"/>
              </w:rPr>
              <w:t>for Initial Term</w:t>
            </w:r>
          </w:p>
        </w:tc>
        <w:tc>
          <w:tcPr>
            <w:tcW w:w="1900" w:type="dxa"/>
            <w:vAlign w:val="bottom"/>
            <w:gridSpan w:val="2"/>
          </w:tcPr>
          <w:p>
            <w:pPr>
              <w:jc w:val="center"/>
              <w:ind w:right="720"/>
              <w:spacing w:after="0" w:line="149" w:lineRule="exact"/>
              <w:rPr>
                <w:sz w:val="20"/>
                <w:szCs w:val="20"/>
                <w:color w:val="auto"/>
              </w:rPr>
            </w:pPr>
            <w:r>
              <w:rPr>
                <w:rFonts w:ascii="Arial" w:cs="Arial" w:eastAsia="Arial" w:hAnsi="Arial"/>
                <w:sz w:val="14"/>
                <w:szCs w:val="14"/>
                <w:b w:val="1"/>
                <w:bCs w:val="1"/>
                <w:color w:val="auto"/>
                <w:w w:val="96"/>
              </w:rPr>
              <w:t>for Initial Term</w:t>
            </w:r>
          </w:p>
        </w:tc>
        <w:tc>
          <w:tcPr>
            <w:tcW w:w="1960" w:type="dxa"/>
            <w:vAlign w:val="bottom"/>
            <w:gridSpan w:val="2"/>
          </w:tcPr>
          <w:p>
            <w:pPr>
              <w:jc w:val="center"/>
              <w:ind w:right="720"/>
              <w:spacing w:after="0" w:line="149" w:lineRule="exact"/>
              <w:rPr>
                <w:sz w:val="20"/>
                <w:szCs w:val="20"/>
                <w:color w:val="auto"/>
              </w:rPr>
            </w:pPr>
            <w:r>
              <w:rPr>
                <w:rFonts w:ascii="Arial" w:cs="Arial" w:eastAsia="Arial" w:hAnsi="Arial"/>
                <w:sz w:val="14"/>
                <w:szCs w:val="14"/>
                <w:b w:val="1"/>
                <w:bCs w:val="1"/>
                <w:color w:val="auto"/>
                <w:w w:val="92"/>
              </w:rPr>
              <w:t>defined in the</w:t>
            </w:r>
          </w:p>
        </w:tc>
        <w:tc>
          <w:tcPr>
            <w:tcW w:w="126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95"/>
              </w:rPr>
              <w:t>Spread for Initial</w:t>
            </w:r>
          </w:p>
        </w:tc>
        <w:tc>
          <w:tcPr>
            <w:tcW w:w="0" w:type="dxa"/>
            <w:vAlign w:val="bottom"/>
          </w:tcPr>
          <w:p>
            <w:pPr>
              <w:spacing w:after="0"/>
              <w:rPr>
                <w:sz w:val="1"/>
                <w:szCs w:val="1"/>
                <w:color w:val="auto"/>
              </w:rPr>
            </w:pPr>
          </w:p>
        </w:tc>
      </w:tr>
      <w:tr>
        <w:trPr>
          <w:trHeight w:val="178"/>
        </w:trPr>
        <w:tc>
          <w:tcPr>
            <w:tcW w:w="3320" w:type="dxa"/>
            <w:vAlign w:val="bottom"/>
            <w:gridSpan w:val="4"/>
            <w:vMerge w:val="continue"/>
          </w:tcPr>
          <w:p>
            <w:pPr>
              <w:spacing w:after="0"/>
              <w:rPr>
                <w:sz w:val="15"/>
                <w:szCs w:val="15"/>
                <w:color w:val="auto"/>
              </w:rPr>
            </w:pPr>
          </w:p>
        </w:tc>
        <w:tc>
          <w:tcPr>
            <w:tcW w:w="1680" w:type="dxa"/>
            <w:vAlign w:val="bottom"/>
            <w:gridSpan w:val="2"/>
          </w:tcPr>
          <w:p>
            <w:pPr>
              <w:jc w:val="center"/>
              <w:ind w:right="720"/>
              <w:spacing w:after="0" w:line="158" w:lineRule="exact"/>
              <w:rPr>
                <w:sz w:val="20"/>
                <w:szCs w:val="20"/>
                <w:color w:val="auto"/>
              </w:rPr>
            </w:pPr>
            <w:r>
              <w:rPr>
                <w:rFonts w:ascii="Arial" w:cs="Arial" w:eastAsia="Arial" w:hAnsi="Arial"/>
                <w:sz w:val="14"/>
                <w:szCs w:val="14"/>
                <w:b w:val="1"/>
                <w:bCs w:val="1"/>
                <w:color w:val="auto"/>
                <w:w w:val="87"/>
              </w:rPr>
              <w:t>Loans</w:t>
            </w:r>
          </w:p>
        </w:tc>
        <w:tc>
          <w:tcPr>
            <w:tcW w:w="1900" w:type="dxa"/>
            <w:vAlign w:val="bottom"/>
            <w:gridSpan w:val="2"/>
          </w:tcPr>
          <w:p>
            <w:pPr>
              <w:jc w:val="center"/>
              <w:ind w:right="720"/>
              <w:spacing w:after="0" w:line="158" w:lineRule="exact"/>
              <w:rPr>
                <w:sz w:val="20"/>
                <w:szCs w:val="20"/>
                <w:color w:val="auto"/>
              </w:rPr>
            </w:pPr>
            <w:r>
              <w:rPr>
                <w:rFonts w:ascii="Arial" w:cs="Arial" w:eastAsia="Arial" w:hAnsi="Arial"/>
                <w:sz w:val="14"/>
                <w:szCs w:val="14"/>
                <w:b w:val="1"/>
                <w:bCs w:val="1"/>
                <w:color w:val="auto"/>
                <w:w w:val="92"/>
              </w:rPr>
              <w:t>Loans</w:t>
            </w:r>
          </w:p>
        </w:tc>
        <w:tc>
          <w:tcPr>
            <w:tcW w:w="1960" w:type="dxa"/>
            <w:vAlign w:val="bottom"/>
            <w:gridSpan w:val="2"/>
          </w:tcPr>
          <w:p>
            <w:pPr>
              <w:jc w:val="center"/>
              <w:ind w:right="720"/>
              <w:spacing w:after="0" w:line="158" w:lineRule="exact"/>
              <w:rPr>
                <w:sz w:val="20"/>
                <w:szCs w:val="20"/>
                <w:color w:val="auto"/>
              </w:rPr>
            </w:pPr>
            <w:r>
              <w:rPr>
                <w:rFonts w:ascii="Arial" w:cs="Arial" w:eastAsia="Arial" w:hAnsi="Arial"/>
                <w:sz w:val="14"/>
                <w:szCs w:val="14"/>
                <w:b w:val="1"/>
                <w:bCs w:val="1"/>
                <w:color w:val="auto"/>
                <w:w w:val="94"/>
              </w:rPr>
              <w:t>Credit Agreement))</w:t>
            </w:r>
          </w:p>
        </w:tc>
        <w:tc>
          <w:tcPr>
            <w:tcW w:w="1260" w:type="dxa"/>
            <w:vAlign w:val="bottom"/>
            <w:gridSpan w:val="2"/>
          </w:tcPr>
          <w:p>
            <w:pPr>
              <w:jc w:val="center"/>
              <w:ind w:right="200"/>
              <w:spacing w:after="0" w:line="158" w:lineRule="exact"/>
              <w:rPr>
                <w:sz w:val="20"/>
                <w:szCs w:val="20"/>
                <w:color w:val="auto"/>
              </w:rPr>
            </w:pPr>
            <w:r>
              <w:rPr>
                <w:rFonts w:ascii="Arial" w:cs="Arial" w:eastAsia="Arial" w:hAnsi="Arial"/>
                <w:sz w:val="14"/>
                <w:szCs w:val="14"/>
                <w:b w:val="1"/>
                <w:bCs w:val="1"/>
                <w:color w:val="auto"/>
                <w:w w:val="91"/>
              </w:rPr>
              <w:t>Revolving Loans</w:t>
            </w: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780" w:type="dxa"/>
            <w:vAlign w:val="bottom"/>
            <w:tcBorders>
              <w:top w:val="single" w:sz="8" w:color="auto"/>
              <w:bottom w:val="single" w:sz="8" w:color="auto"/>
            </w:tcBorders>
            <w:shd w:val="clear" w:color="auto" w:fill="CCEEFF"/>
          </w:tcPr>
          <w:p>
            <w:pPr>
              <w:spacing w:after="0" w:line="149" w:lineRule="exact"/>
              <w:rPr>
                <w:sz w:val="20"/>
                <w:szCs w:val="20"/>
                <w:color w:val="auto"/>
              </w:rPr>
            </w:pPr>
            <w:r>
              <w:rPr>
                <w:rFonts w:ascii="Arial" w:cs="Arial" w:eastAsia="Arial" w:hAnsi="Arial"/>
                <w:sz w:val="17"/>
                <w:szCs w:val="17"/>
                <w:color w:val="auto"/>
                <w:w w:val="91"/>
              </w:rPr>
              <w:t>Category 1</w:t>
            </w:r>
          </w:p>
        </w:tc>
        <w:tc>
          <w:tcPr>
            <w:tcW w:w="760" w:type="dxa"/>
            <w:vAlign w:val="bottom"/>
            <w:tcBorders>
              <w:top w:val="single" w:sz="8" w:color="auto"/>
              <w:bottom w:val="single" w:sz="8" w:color="CCEEFF"/>
            </w:tcBorders>
            <w:shd w:val="clear" w:color="auto" w:fill="CCEEFF"/>
          </w:tcPr>
          <w:p>
            <w:pPr>
              <w:spacing w:after="0"/>
              <w:rPr>
                <w:sz w:val="14"/>
                <w:szCs w:val="14"/>
                <w:color w:val="auto"/>
              </w:rPr>
            </w:pPr>
          </w:p>
        </w:tc>
        <w:tc>
          <w:tcPr>
            <w:tcW w:w="1760" w:type="dxa"/>
            <w:vAlign w:val="bottom"/>
            <w:tcBorders>
              <w:top w:val="single" w:sz="8" w:color="CCEEFF"/>
              <w:bottom w:val="single" w:sz="8" w:color="CCEEFF"/>
            </w:tcBorders>
            <w:shd w:val="clear" w:color="auto" w:fill="CCEEFF"/>
          </w:tcPr>
          <w:p>
            <w:pPr>
              <w:spacing w:after="0"/>
              <w:rPr>
                <w:sz w:val="14"/>
                <w:szCs w:val="14"/>
                <w:color w:val="auto"/>
              </w:rPr>
            </w:pPr>
          </w:p>
        </w:tc>
        <w:tc>
          <w:tcPr>
            <w:tcW w:w="960" w:type="dxa"/>
            <w:vAlign w:val="bottom"/>
            <w:tcBorders>
              <w:top w:val="single" w:sz="8" w:color="auto"/>
              <w:bottom w:val="single" w:sz="8" w:color="CCEEFF"/>
            </w:tcBorders>
            <w:shd w:val="clear" w:color="auto" w:fill="CCEEFF"/>
          </w:tcPr>
          <w:p>
            <w:pPr>
              <w:spacing w:after="0"/>
              <w:rPr>
                <w:sz w:val="14"/>
                <w:szCs w:val="14"/>
                <w:color w:val="auto"/>
              </w:rPr>
            </w:pPr>
          </w:p>
        </w:tc>
        <w:tc>
          <w:tcPr>
            <w:tcW w:w="720" w:type="dxa"/>
            <w:vAlign w:val="bottom"/>
            <w:tcBorders>
              <w:top w:val="single" w:sz="8" w:color="CCEEFF"/>
              <w:bottom w:val="single" w:sz="8" w:color="CCEEFF"/>
            </w:tcBorders>
            <w:shd w:val="clear" w:color="auto" w:fill="CCEEFF"/>
          </w:tcPr>
          <w:p>
            <w:pPr>
              <w:spacing w:after="0"/>
              <w:rPr>
                <w:sz w:val="14"/>
                <w:szCs w:val="14"/>
                <w:color w:val="auto"/>
              </w:rPr>
            </w:pPr>
          </w:p>
        </w:tc>
        <w:tc>
          <w:tcPr>
            <w:tcW w:w="1180" w:type="dxa"/>
            <w:vAlign w:val="bottom"/>
            <w:tcBorders>
              <w:top w:val="single" w:sz="8" w:color="auto"/>
              <w:bottom w:val="single" w:sz="8" w:color="CCEEFF"/>
            </w:tcBorders>
            <w:shd w:val="clear" w:color="auto" w:fill="CCEEFF"/>
          </w:tcPr>
          <w:p>
            <w:pPr>
              <w:spacing w:after="0"/>
              <w:rPr>
                <w:sz w:val="14"/>
                <w:szCs w:val="14"/>
                <w:color w:val="auto"/>
              </w:rPr>
            </w:pPr>
          </w:p>
        </w:tc>
        <w:tc>
          <w:tcPr>
            <w:tcW w:w="720" w:type="dxa"/>
            <w:vAlign w:val="bottom"/>
            <w:tcBorders>
              <w:top w:val="single" w:sz="8" w:color="CCEEFF"/>
              <w:bottom w:val="single" w:sz="8" w:color="CCEEFF"/>
            </w:tcBorders>
            <w:shd w:val="clear" w:color="auto" w:fill="CCEEFF"/>
          </w:tcPr>
          <w:p>
            <w:pPr>
              <w:spacing w:after="0"/>
              <w:rPr>
                <w:sz w:val="14"/>
                <w:szCs w:val="14"/>
                <w:color w:val="auto"/>
              </w:rPr>
            </w:pPr>
          </w:p>
        </w:tc>
        <w:tc>
          <w:tcPr>
            <w:tcW w:w="1220" w:type="dxa"/>
            <w:vAlign w:val="bottom"/>
            <w:tcBorders>
              <w:top w:val="single" w:sz="8" w:color="auto"/>
              <w:bottom w:val="single" w:sz="8" w:color="CCEEFF"/>
            </w:tcBorders>
            <w:shd w:val="clear" w:color="auto" w:fill="CCEEFF"/>
          </w:tcPr>
          <w:p>
            <w:pPr>
              <w:spacing w:after="0"/>
              <w:rPr>
                <w:sz w:val="14"/>
                <w:szCs w:val="14"/>
                <w:color w:val="auto"/>
              </w:rPr>
            </w:pPr>
          </w:p>
        </w:tc>
        <w:tc>
          <w:tcPr>
            <w:tcW w:w="740" w:type="dxa"/>
            <w:vAlign w:val="bottom"/>
            <w:tcBorders>
              <w:top w:val="single" w:sz="8" w:color="CCEEFF"/>
              <w:bottom w:val="single" w:sz="8" w:color="CCEEFF"/>
            </w:tcBorders>
            <w:shd w:val="clear" w:color="auto" w:fill="CCEEFF"/>
          </w:tcPr>
          <w:p>
            <w:pPr>
              <w:spacing w:after="0"/>
              <w:rPr>
                <w:sz w:val="14"/>
                <w:szCs w:val="14"/>
                <w:color w:val="auto"/>
              </w:rPr>
            </w:pPr>
          </w:p>
        </w:tc>
        <w:tc>
          <w:tcPr>
            <w:tcW w:w="1060" w:type="dxa"/>
            <w:vAlign w:val="bottom"/>
            <w:tcBorders>
              <w:top w:val="single" w:sz="8" w:color="auto"/>
              <w:bottom w:val="single" w:sz="8" w:color="CCEEFF"/>
            </w:tcBorders>
            <w:shd w:val="clear" w:color="auto" w:fill="CCEEFF"/>
          </w:tcPr>
          <w:p>
            <w:pPr>
              <w:spacing w:after="0"/>
              <w:rPr>
                <w:sz w:val="14"/>
                <w:szCs w:val="14"/>
                <w:color w:val="auto"/>
              </w:rPr>
            </w:pPr>
          </w:p>
        </w:tc>
        <w:tc>
          <w:tcPr>
            <w:tcW w:w="200" w:type="dxa"/>
            <w:vAlign w:val="bottom"/>
            <w:tcBorders>
              <w:top w:val="single" w:sz="8" w:color="CCEEFF"/>
              <w:bottom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00" w:type="dxa"/>
            <w:vAlign w:val="bottom"/>
            <w:gridSpan w:val="3"/>
          </w:tcPr>
          <w:p>
            <w:pPr>
              <w:spacing w:after="0"/>
              <w:rPr>
                <w:sz w:val="20"/>
                <w:szCs w:val="20"/>
                <w:color w:val="auto"/>
              </w:rPr>
            </w:pPr>
            <w:r>
              <w:rPr>
                <w:rFonts w:ascii="Arial" w:cs="Arial" w:eastAsia="Arial" w:hAnsi="Arial"/>
                <w:sz w:val="18"/>
                <w:szCs w:val="18"/>
                <w:color w:val="auto"/>
              </w:rPr>
              <w:t>Greater than 2.75 to 1.00</w:t>
            </w:r>
          </w:p>
        </w:tc>
        <w:tc>
          <w:tcPr>
            <w:tcW w:w="1680" w:type="dxa"/>
            <w:vAlign w:val="bottom"/>
            <w:gridSpan w:val="2"/>
          </w:tcPr>
          <w:p>
            <w:pPr>
              <w:jc w:val="right"/>
              <w:ind w:right="560"/>
              <w:spacing w:after="0"/>
              <w:rPr>
                <w:sz w:val="20"/>
                <w:szCs w:val="20"/>
                <w:color w:val="auto"/>
              </w:rPr>
            </w:pPr>
            <w:r>
              <w:rPr>
                <w:rFonts w:ascii="Arial" w:cs="Arial" w:eastAsia="Arial" w:hAnsi="Arial"/>
                <w:sz w:val="18"/>
                <w:szCs w:val="18"/>
                <w:color w:val="auto"/>
              </w:rPr>
              <w:t>1.25%</w:t>
            </w:r>
          </w:p>
        </w:tc>
        <w:tc>
          <w:tcPr>
            <w:tcW w:w="1900" w:type="dxa"/>
            <w:vAlign w:val="bottom"/>
            <w:gridSpan w:val="2"/>
          </w:tcPr>
          <w:p>
            <w:pPr>
              <w:jc w:val="right"/>
              <w:ind w:right="580"/>
              <w:spacing w:after="0"/>
              <w:rPr>
                <w:sz w:val="20"/>
                <w:szCs w:val="20"/>
                <w:color w:val="auto"/>
              </w:rPr>
            </w:pPr>
            <w:r>
              <w:rPr>
                <w:rFonts w:ascii="Arial" w:cs="Arial" w:eastAsia="Arial" w:hAnsi="Arial"/>
                <w:sz w:val="18"/>
                <w:szCs w:val="18"/>
                <w:color w:val="auto"/>
              </w:rPr>
              <w:t>2.25%</w:t>
            </w:r>
          </w:p>
        </w:tc>
        <w:tc>
          <w:tcPr>
            <w:tcW w:w="1960" w:type="dxa"/>
            <w:vAlign w:val="bottom"/>
            <w:gridSpan w:val="2"/>
          </w:tcPr>
          <w:p>
            <w:pPr>
              <w:jc w:val="right"/>
              <w:ind w:right="580"/>
              <w:spacing w:after="0"/>
              <w:rPr>
                <w:sz w:val="20"/>
                <w:szCs w:val="20"/>
                <w:color w:val="auto"/>
              </w:rPr>
            </w:pPr>
            <w:r>
              <w:rPr>
                <w:rFonts w:ascii="Arial" w:cs="Arial" w:eastAsia="Arial" w:hAnsi="Arial"/>
                <w:sz w:val="18"/>
                <w:szCs w:val="18"/>
                <w:color w:val="auto"/>
              </w:rPr>
              <w:t>1.25%</w:t>
            </w:r>
          </w:p>
        </w:tc>
        <w:tc>
          <w:tcPr>
            <w:tcW w:w="1260" w:type="dxa"/>
            <w:vAlign w:val="bottom"/>
            <w:gridSpan w:val="2"/>
          </w:tcPr>
          <w:p>
            <w:pPr>
              <w:jc w:val="right"/>
              <w:ind w:right="40"/>
              <w:spacing w:after="0"/>
              <w:rPr>
                <w:sz w:val="20"/>
                <w:szCs w:val="20"/>
                <w:color w:val="auto"/>
              </w:rPr>
            </w:pPr>
            <w:r>
              <w:rPr>
                <w:rFonts w:ascii="Arial" w:cs="Arial" w:eastAsia="Arial" w:hAnsi="Arial"/>
                <w:sz w:val="18"/>
                <w:szCs w:val="18"/>
                <w:color w:val="auto"/>
              </w:rPr>
              <w:t>2.25%</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80" w:type="dxa"/>
            <w:vAlign w:val="bottom"/>
            <w:tcBorders>
              <w:bottom w:val="single" w:sz="8" w:color="auto"/>
            </w:tcBorders>
            <w:shd w:val="clear" w:color="auto" w:fill="CCEEFF"/>
          </w:tcPr>
          <w:p>
            <w:pPr>
              <w:spacing w:after="0" w:line="176" w:lineRule="exact"/>
              <w:rPr>
                <w:sz w:val="20"/>
                <w:szCs w:val="20"/>
                <w:color w:val="auto"/>
              </w:rPr>
            </w:pPr>
            <w:r>
              <w:rPr>
                <w:rFonts w:ascii="Arial" w:cs="Arial" w:eastAsia="Arial" w:hAnsi="Arial"/>
                <w:sz w:val="18"/>
                <w:szCs w:val="18"/>
                <w:color w:val="auto"/>
                <w:w w:val="86"/>
              </w:rPr>
              <w:t>Category 2</w:t>
            </w:r>
          </w:p>
        </w:tc>
        <w:tc>
          <w:tcPr>
            <w:tcW w:w="2520" w:type="dxa"/>
            <w:vAlign w:val="bottom"/>
            <w:tcBorders>
              <w:bottom w:val="single" w:sz="8" w:color="CCEEFF"/>
            </w:tcBorders>
            <w:gridSpan w:val="2"/>
            <w:shd w:val="clear" w:color="auto" w:fill="CCEEFF"/>
          </w:tcPr>
          <w:p>
            <w:pPr>
              <w:spacing w:after="0"/>
              <w:rPr>
                <w:sz w:val="17"/>
                <w:szCs w:val="17"/>
                <w:color w:val="auto"/>
              </w:rPr>
            </w:pPr>
          </w:p>
        </w:tc>
        <w:tc>
          <w:tcPr>
            <w:tcW w:w="960" w:type="dxa"/>
            <w:vAlign w:val="bottom"/>
            <w:tcBorders>
              <w:bottom w:val="single" w:sz="8" w:color="CCEEFF"/>
            </w:tcBorders>
            <w:shd w:val="clear" w:color="auto" w:fill="CCEEFF"/>
          </w:tcPr>
          <w:p>
            <w:pPr>
              <w:spacing w:after="0"/>
              <w:rPr>
                <w:sz w:val="17"/>
                <w:szCs w:val="17"/>
                <w:color w:val="auto"/>
              </w:rPr>
            </w:pPr>
          </w:p>
        </w:tc>
        <w:tc>
          <w:tcPr>
            <w:tcW w:w="720" w:type="dxa"/>
            <w:vAlign w:val="bottom"/>
            <w:tcBorders>
              <w:bottom w:val="single" w:sz="8" w:color="CCEEFF"/>
            </w:tcBorders>
            <w:shd w:val="clear" w:color="auto" w:fill="CCEEFF"/>
          </w:tcPr>
          <w:p>
            <w:pPr>
              <w:spacing w:after="0"/>
              <w:rPr>
                <w:sz w:val="17"/>
                <w:szCs w:val="17"/>
                <w:color w:val="auto"/>
              </w:rPr>
            </w:pPr>
          </w:p>
        </w:tc>
        <w:tc>
          <w:tcPr>
            <w:tcW w:w="1180" w:type="dxa"/>
            <w:vAlign w:val="bottom"/>
            <w:tcBorders>
              <w:bottom w:val="single" w:sz="8" w:color="CCEEFF"/>
            </w:tcBorders>
            <w:shd w:val="clear" w:color="auto" w:fill="CCEEFF"/>
          </w:tcPr>
          <w:p>
            <w:pPr>
              <w:spacing w:after="0"/>
              <w:rPr>
                <w:sz w:val="17"/>
                <w:szCs w:val="17"/>
                <w:color w:val="auto"/>
              </w:rPr>
            </w:pPr>
          </w:p>
        </w:tc>
        <w:tc>
          <w:tcPr>
            <w:tcW w:w="720" w:type="dxa"/>
            <w:vAlign w:val="bottom"/>
            <w:tcBorders>
              <w:bottom w:val="single" w:sz="8" w:color="CCEEFF"/>
            </w:tcBorders>
            <w:shd w:val="clear" w:color="auto" w:fill="CCEEFF"/>
          </w:tcPr>
          <w:p>
            <w:pPr>
              <w:spacing w:after="0"/>
              <w:rPr>
                <w:sz w:val="17"/>
                <w:szCs w:val="17"/>
                <w:color w:val="auto"/>
              </w:rPr>
            </w:pPr>
          </w:p>
        </w:tc>
        <w:tc>
          <w:tcPr>
            <w:tcW w:w="1220" w:type="dxa"/>
            <w:vAlign w:val="bottom"/>
            <w:tcBorders>
              <w:bottom w:val="single" w:sz="8" w:color="CCEEFF"/>
            </w:tcBorders>
            <w:shd w:val="clear" w:color="auto" w:fill="CCEEFF"/>
          </w:tcPr>
          <w:p>
            <w:pPr>
              <w:spacing w:after="0"/>
              <w:rPr>
                <w:sz w:val="17"/>
                <w:szCs w:val="17"/>
                <w:color w:val="auto"/>
              </w:rPr>
            </w:pPr>
          </w:p>
        </w:tc>
        <w:tc>
          <w:tcPr>
            <w:tcW w:w="740" w:type="dxa"/>
            <w:vAlign w:val="bottom"/>
            <w:tcBorders>
              <w:bottom w:val="single" w:sz="8" w:color="CCEEFF"/>
            </w:tcBorders>
            <w:shd w:val="clear" w:color="auto" w:fill="CCEEFF"/>
          </w:tcPr>
          <w:p>
            <w:pPr>
              <w:spacing w:after="0"/>
              <w:rPr>
                <w:sz w:val="17"/>
                <w:szCs w:val="17"/>
                <w:color w:val="auto"/>
              </w:rPr>
            </w:pPr>
          </w:p>
        </w:tc>
        <w:tc>
          <w:tcPr>
            <w:tcW w:w="106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300" w:type="dxa"/>
            <w:vAlign w:val="bottom"/>
            <w:gridSpan w:val="3"/>
          </w:tcPr>
          <w:p>
            <w:pPr>
              <w:spacing w:after="0" w:line="201" w:lineRule="exact"/>
              <w:rPr>
                <w:sz w:val="20"/>
                <w:szCs w:val="20"/>
                <w:color w:val="auto"/>
              </w:rPr>
            </w:pPr>
            <w:r>
              <w:rPr>
                <w:rFonts w:ascii="Arial" w:cs="Arial" w:eastAsia="Arial" w:hAnsi="Arial"/>
                <w:sz w:val="18"/>
                <w:szCs w:val="18"/>
                <w:color w:val="auto"/>
              </w:rPr>
              <w:t>Greater than 2.25 top 1.00 but less</w:t>
            </w:r>
          </w:p>
        </w:tc>
        <w:tc>
          <w:tcPr>
            <w:tcW w:w="9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300" w:type="dxa"/>
            <w:vAlign w:val="bottom"/>
            <w:gridSpan w:val="3"/>
          </w:tcPr>
          <w:p>
            <w:pPr>
              <w:ind w:left="160"/>
              <w:spacing w:after="0"/>
              <w:rPr>
                <w:sz w:val="20"/>
                <w:szCs w:val="20"/>
                <w:color w:val="auto"/>
              </w:rPr>
            </w:pPr>
            <w:r>
              <w:rPr>
                <w:rFonts w:ascii="Arial" w:cs="Arial" w:eastAsia="Arial" w:hAnsi="Arial"/>
                <w:sz w:val="18"/>
                <w:szCs w:val="18"/>
                <w:color w:val="auto"/>
              </w:rPr>
              <w:t>than or equal to 2.75 to 1.00</w:t>
            </w:r>
          </w:p>
        </w:tc>
        <w:tc>
          <w:tcPr>
            <w:tcW w:w="1680" w:type="dxa"/>
            <w:vAlign w:val="bottom"/>
            <w:gridSpan w:val="2"/>
          </w:tcPr>
          <w:p>
            <w:pPr>
              <w:jc w:val="right"/>
              <w:ind w:right="560"/>
              <w:spacing w:after="0"/>
              <w:rPr>
                <w:sz w:val="20"/>
                <w:szCs w:val="20"/>
                <w:color w:val="auto"/>
              </w:rPr>
            </w:pPr>
            <w:r>
              <w:rPr>
                <w:rFonts w:ascii="Arial" w:cs="Arial" w:eastAsia="Arial" w:hAnsi="Arial"/>
                <w:sz w:val="18"/>
                <w:szCs w:val="18"/>
                <w:color w:val="auto"/>
              </w:rPr>
              <w:t>1.00%</w:t>
            </w:r>
          </w:p>
        </w:tc>
        <w:tc>
          <w:tcPr>
            <w:tcW w:w="1900" w:type="dxa"/>
            <w:vAlign w:val="bottom"/>
            <w:gridSpan w:val="2"/>
          </w:tcPr>
          <w:p>
            <w:pPr>
              <w:jc w:val="right"/>
              <w:ind w:right="580"/>
              <w:spacing w:after="0"/>
              <w:rPr>
                <w:sz w:val="20"/>
                <w:szCs w:val="20"/>
                <w:color w:val="auto"/>
              </w:rPr>
            </w:pPr>
            <w:r>
              <w:rPr>
                <w:rFonts w:ascii="Arial" w:cs="Arial" w:eastAsia="Arial" w:hAnsi="Arial"/>
                <w:sz w:val="18"/>
                <w:szCs w:val="18"/>
                <w:color w:val="auto"/>
              </w:rPr>
              <w:t>2.00%</w:t>
            </w:r>
          </w:p>
        </w:tc>
        <w:tc>
          <w:tcPr>
            <w:tcW w:w="1960" w:type="dxa"/>
            <w:vAlign w:val="bottom"/>
            <w:gridSpan w:val="2"/>
          </w:tcPr>
          <w:p>
            <w:pPr>
              <w:jc w:val="right"/>
              <w:ind w:right="580"/>
              <w:spacing w:after="0"/>
              <w:rPr>
                <w:sz w:val="20"/>
                <w:szCs w:val="20"/>
                <w:color w:val="auto"/>
              </w:rPr>
            </w:pPr>
            <w:r>
              <w:rPr>
                <w:rFonts w:ascii="Arial" w:cs="Arial" w:eastAsia="Arial" w:hAnsi="Arial"/>
                <w:sz w:val="18"/>
                <w:szCs w:val="18"/>
                <w:color w:val="auto"/>
              </w:rPr>
              <w:t>1.00%</w:t>
            </w:r>
          </w:p>
        </w:tc>
        <w:tc>
          <w:tcPr>
            <w:tcW w:w="1260" w:type="dxa"/>
            <w:vAlign w:val="bottom"/>
            <w:gridSpan w:val="2"/>
          </w:tcPr>
          <w:p>
            <w:pPr>
              <w:jc w:val="right"/>
              <w:ind w:right="40"/>
              <w:spacing w:after="0"/>
              <w:rPr>
                <w:sz w:val="20"/>
                <w:szCs w:val="20"/>
                <w:color w:val="auto"/>
              </w:rPr>
            </w:pPr>
            <w:r>
              <w:rPr>
                <w:rFonts w:ascii="Arial" w:cs="Arial" w:eastAsia="Arial" w:hAnsi="Arial"/>
                <w:sz w:val="18"/>
                <w:szCs w:val="18"/>
                <w:color w:val="auto"/>
              </w:rPr>
              <w:t>2.00%</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80" w:type="dxa"/>
            <w:vAlign w:val="bottom"/>
            <w:tcBorders>
              <w:bottom w:val="single" w:sz="8" w:color="auto"/>
            </w:tcBorders>
            <w:shd w:val="clear" w:color="auto" w:fill="CCEEFF"/>
          </w:tcPr>
          <w:p>
            <w:pPr>
              <w:spacing w:after="0" w:line="176" w:lineRule="exact"/>
              <w:rPr>
                <w:sz w:val="20"/>
                <w:szCs w:val="20"/>
                <w:color w:val="auto"/>
              </w:rPr>
            </w:pPr>
            <w:r>
              <w:rPr>
                <w:rFonts w:ascii="Arial" w:cs="Arial" w:eastAsia="Arial" w:hAnsi="Arial"/>
                <w:sz w:val="18"/>
                <w:szCs w:val="18"/>
                <w:color w:val="auto"/>
                <w:w w:val="86"/>
              </w:rPr>
              <w:t>Category 3</w:t>
            </w:r>
          </w:p>
        </w:tc>
        <w:tc>
          <w:tcPr>
            <w:tcW w:w="2520" w:type="dxa"/>
            <w:vAlign w:val="bottom"/>
            <w:tcBorders>
              <w:bottom w:val="single" w:sz="8" w:color="CCEEFF"/>
            </w:tcBorders>
            <w:gridSpan w:val="2"/>
            <w:shd w:val="clear" w:color="auto" w:fill="CCEEFF"/>
          </w:tcPr>
          <w:p>
            <w:pPr>
              <w:spacing w:after="0"/>
              <w:rPr>
                <w:sz w:val="17"/>
                <w:szCs w:val="17"/>
                <w:color w:val="auto"/>
              </w:rPr>
            </w:pPr>
          </w:p>
        </w:tc>
        <w:tc>
          <w:tcPr>
            <w:tcW w:w="960" w:type="dxa"/>
            <w:vAlign w:val="bottom"/>
            <w:tcBorders>
              <w:bottom w:val="single" w:sz="8" w:color="CCEEFF"/>
            </w:tcBorders>
            <w:shd w:val="clear" w:color="auto" w:fill="CCEEFF"/>
          </w:tcPr>
          <w:p>
            <w:pPr>
              <w:spacing w:after="0"/>
              <w:rPr>
                <w:sz w:val="17"/>
                <w:szCs w:val="17"/>
                <w:color w:val="auto"/>
              </w:rPr>
            </w:pPr>
          </w:p>
        </w:tc>
        <w:tc>
          <w:tcPr>
            <w:tcW w:w="720" w:type="dxa"/>
            <w:vAlign w:val="bottom"/>
            <w:tcBorders>
              <w:bottom w:val="single" w:sz="8" w:color="CCEEFF"/>
            </w:tcBorders>
            <w:shd w:val="clear" w:color="auto" w:fill="CCEEFF"/>
          </w:tcPr>
          <w:p>
            <w:pPr>
              <w:spacing w:after="0"/>
              <w:rPr>
                <w:sz w:val="17"/>
                <w:szCs w:val="17"/>
                <w:color w:val="auto"/>
              </w:rPr>
            </w:pPr>
          </w:p>
        </w:tc>
        <w:tc>
          <w:tcPr>
            <w:tcW w:w="1180" w:type="dxa"/>
            <w:vAlign w:val="bottom"/>
            <w:tcBorders>
              <w:bottom w:val="single" w:sz="8" w:color="CCEEFF"/>
            </w:tcBorders>
            <w:shd w:val="clear" w:color="auto" w:fill="CCEEFF"/>
          </w:tcPr>
          <w:p>
            <w:pPr>
              <w:spacing w:after="0"/>
              <w:rPr>
                <w:sz w:val="17"/>
                <w:szCs w:val="17"/>
                <w:color w:val="auto"/>
              </w:rPr>
            </w:pPr>
          </w:p>
        </w:tc>
        <w:tc>
          <w:tcPr>
            <w:tcW w:w="720" w:type="dxa"/>
            <w:vAlign w:val="bottom"/>
            <w:tcBorders>
              <w:bottom w:val="single" w:sz="8" w:color="CCEEFF"/>
            </w:tcBorders>
            <w:shd w:val="clear" w:color="auto" w:fill="CCEEFF"/>
          </w:tcPr>
          <w:p>
            <w:pPr>
              <w:spacing w:after="0"/>
              <w:rPr>
                <w:sz w:val="17"/>
                <w:szCs w:val="17"/>
                <w:color w:val="auto"/>
              </w:rPr>
            </w:pPr>
          </w:p>
        </w:tc>
        <w:tc>
          <w:tcPr>
            <w:tcW w:w="1220" w:type="dxa"/>
            <w:vAlign w:val="bottom"/>
            <w:tcBorders>
              <w:bottom w:val="single" w:sz="8" w:color="CCEEFF"/>
            </w:tcBorders>
            <w:shd w:val="clear" w:color="auto" w:fill="CCEEFF"/>
          </w:tcPr>
          <w:p>
            <w:pPr>
              <w:spacing w:after="0"/>
              <w:rPr>
                <w:sz w:val="17"/>
                <w:szCs w:val="17"/>
                <w:color w:val="auto"/>
              </w:rPr>
            </w:pPr>
          </w:p>
        </w:tc>
        <w:tc>
          <w:tcPr>
            <w:tcW w:w="740" w:type="dxa"/>
            <w:vAlign w:val="bottom"/>
            <w:tcBorders>
              <w:bottom w:val="single" w:sz="8" w:color="CCEEFF"/>
            </w:tcBorders>
            <w:shd w:val="clear" w:color="auto" w:fill="CCEEFF"/>
          </w:tcPr>
          <w:p>
            <w:pPr>
              <w:spacing w:after="0"/>
              <w:rPr>
                <w:sz w:val="17"/>
                <w:szCs w:val="17"/>
                <w:color w:val="auto"/>
              </w:rPr>
            </w:pPr>
          </w:p>
        </w:tc>
        <w:tc>
          <w:tcPr>
            <w:tcW w:w="106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300" w:type="dxa"/>
            <w:vAlign w:val="bottom"/>
            <w:gridSpan w:val="3"/>
          </w:tcPr>
          <w:p>
            <w:pPr>
              <w:spacing w:after="0"/>
              <w:rPr>
                <w:sz w:val="20"/>
                <w:szCs w:val="20"/>
                <w:color w:val="auto"/>
              </w:rPr>
            </w:pPr>
            <w:r>
              <w:rPr>
                <w:rFonts w:ascii="Arial" w:cs="Arial" w:eastAsia="Arial" w:hAnsi="Arial"/>
                <w:sz w:val="18"/>
                <w:szCs w:val="18"/>
                <w:color w:val="auto"/>
              </w:rPr>
              <w:t>Less than or equal to 2.25 to 1.00</w:t>
            </w:r>
          </w:p>
        </w:tc>
        <w:tc>
          <w:tcPr>
            <w:tcW w:w="1680" w:type="dxa"/>
            <w:vAlign w:val="bottom"/>
            <w:gridSpan w:val="2"/>
          </w:tcPr>
          <w:p>
            <w:pPr>
              <w:jc w:val="right"/>
              <w:ind w:right="560"/>
              <w:spacing w:after="0"/>
              <w:rPr>
                <w:sz w:val="20"/>
                <w:szCs w:val="20"/>
                <w:color w:val="auto"/>
              </w:rPr>
            </w:pPr>
            <w:r>
              <w:rPr>
                <w:rFonts w:ascii="Arial" w:cs="Arial" w:eastAsia="Arial" w:hAnsi="Arial"/>
                <w:sz w:val="18"/>
                <w:szCs w:val="18"/>
                <w:color w:val="auto"/>
              </w:rPr>
              <w:t>0.75%</w:t>
            </w:r>
          </w:p>
        </w:tc>
        <w:tc>
          <w:tcPr>
            <w:tcW w:w="1900" w:type="dxa"/>
            <w:vAlign w:val="bottom"/>
            <w:gridSpan w:val="2"/>
          </w:tcPr>
          <w:p>
            <w:pPr>
              <w:jc w:val="right"/>
              <w:ind w:right="580"/>
              <w:spacing w:after="0"/>
              <w:rPr>
                <w:sz w:val="20"/>
                <w:szCs w:val="20"/>
                <w:color w:val="auto"/>
              </w:rPr>
            </w:pPr>
            <w:r>
              <w:rPr>
                <w:rFonts w:ascii="Arial" w:cs="Arial" w:eastAsia="Arial" w:hAnsi="Arial"/>
                <w:sz w:val="18"/>
                <w:szCs w:val="18"/>
                <w:color w:val="auto"/>
              </w:rPr>
              <w:t>1.75%</w:t>
            </w:r>
          </w:p>
        </w:tc>
        <w:tc>
          <w:tcPr>
            <w:tcW w:w="1960" w:type="dxa"/>
            <w:vAlign w:val="bottom"/>
            <w:gridSpan w:val="2"/>
          </w:tcPr>
          <w:p>
            <w:pPr>
              <w:jc w:val="right"/>
              <w:ind w:right="580"/>
              <w:spacing w:after="0"/>
              <w:rPr>
                <w:sz w:val="20"/>
                <w:szCs w:val="20"/>
                <w:color w:val="auto"/>
              </w:rPr>
            </w:pPr>
            <w:r>
              <w:rPr>
                <w:rFonts w:ascii="Arial" w:cs="Arial" w:eastAsia="Arial" w:hAnsi="Arial"/>
                <w:sz w:val="18"/>
                <w:szCs w:val="18"/>
                <w:color w:val="auto"/>
              </w:rPr>
              <w:t>0.75%</w:t>
            </w:r>
          </w:p>
        </w:tc>
        <w:tc>
          <w:tcPr>
            <w:tcW w:w="1260" w:type="dxa"/>
            <w:vAlign w:val="bottom"/>
            <w:gridSpan w:val="2"/>
          </w:tcPr>
          <w:p>
            <w:pPr>
              <w:jc w:val="right"/>
              <w:ind w:right="40"/>
              <w:spacing w:after="0"/>
              <w:rPr>
                <w:sz w:val="20"/>
                <w:szCs w:val="20"/>
                <w:color w:val="auto"/>
              </w:rPr>
            </w:pPr>
            <w:r>
              <w:rPr>
                <w:rFonts w:ascii="Arial" w:cs="Arial" w:eastAsia="Arial" w:hAnsi="Arial"/>
                <w:sz w:val="18"/>
                <w:szCs w:val="18"/>
                <w:color w:val="auto"/>
              </w:rPr>
              <w:t>1.75%</w:t>
            </w:r>
          </w:p>
        </w:tc>
        <w:tc>
          <w:tcPr>
            <w:tcW w:w="0" w:type="dxa"/>
            <w:vAlign w:val="bottom"/>
          </w:tcPr>
          <w:p>
            <w:pPr>
              <w:spacing w:after="0"/>
              <w:rPr>
                <w:sz w:val="1"/>
                <w:szCs w:val="1"/>
                <w:color w:val="auto"/>
              </w:rPr>
            </w:pPr>
          </w:p>
        </w:tc>
      </w:tr>
    </w:tbl>
    <w:p>
      <w:pPr>
        <w:spacing w:after="0" w:line="187"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following fees are required to be paid under the Senior Credit Facilities:</w:t>
      </w:r>
    </w:p>
    <w:p>
      <w:pPr>
        <w:spacing w:after="0" w:line="131" w:lineRule="exact"/>
        <w:rPr>
          <w:sz w:val="20"/>
          <w:szCs w:val="20"/>
          <w:color w:val="auto"/>
        </w:rPr>
      </w:pPr>
    </w:p>
    <w:p>
      <w:pPr>
        <w:ind w:left="1080" w:right="40" w:hanging="532"/>
        <w:spacing w:after="0" w:line="259" w:lineRule="auto"/>
        <w:tabs>
          <w:tab w:leader="none" w:pos="1080" w:val="left"/>
        </w:tabs>
        <w:numPr>
          <w:ilvl w:val="0"/>
          <w:numId w:val="148"/>
        </w:numPr>
        <w:rPr>
          <w:rFonts w:ascii="Arial" w:cs="Arial" w:eastAsia="Arial" w:hAnsi="Arial"/>
          <w:sz w:val="18"/>
          <w:szCs w:val="18"/>
          <w:color w:val="auto"/>
        </w:rPr>
      </w:pPr>
      <w:r>
        <w:rPr>
          <w:rFonts w:ascii="Arial" w:cs="Arial" w:eastAsia="Arial" w:hAnsi="Arial"/>
          <w:sz w:val="18"/>
          <w:szCs w:val="18"/>
          <w:color w:val="auto"/>
        </w:rPr>
        <w:t xml:space="preserve">a commitment fee to each revolving lender payable quarterly in arrears at a rate calculated based upon the total net leverage ratio of the Borrower and its restricted subsidiaries on a consolidated basis, as set forth below (until the first Adjustment Date (as defined in the Credit Agreement) following the completion of at least three full fiscal quarters after the Closing Date, the commitment fee rate is as set forth in </w:t>
      </w:r>
      <w:r>
        <w:rPr>
          <w:rFonts w:ascii="Arial" w:cs="Arial" w:eastAsia="Arial" w:hAnsi="Arial"/>
          <w:sz w:val="18"/>
          <w:szCs w:val="18"/>
          <w:u w:val="single" w:color="auto"/>
          <w:color w:val="auto"/>
        </w:rPr>
        <w:t>Category 1</w:t>
      </w:r>
      <w:r>
        <w:rPr>
          <w:rFonts w:ascii="Arial" w:cs="Arial" w:eastAsia="Arial" w:hAnsi="Arial"/>
          <w:sz w:val="18"/>
          <w:szCs w:val="18"/>
          <w:color w:val="auto"/>
        </w:rPr>
        <w:t xml:space="preserve"> below):</w:t>
      </w:r>
    </w:p>
    <w:p>
      <w:pPr>
        <w:spacing w:after="0" w:line="205" w:lineRule="exact"/>
        <w:rPr>
          <w:sz w:val="20"/>
          <w:szCs w:val="20"/>
          <w:color w:val="auto"/>
        </w:rPr>
      </w:pPr>
    </w:p>
    <w:tbl>
      <w:tblPr>
        <w:tblLayout w:type="fixed"/>
        <w:tblInd w:w="1880" w:type="dxa"/>
        <w:tblCellMar>
          <w:top w:w="0" w:type="dxa"/>
          <w:left w:w="0" w:type="dxa"/>
          <w:bottom w:w="0" w:type="dxa"/>
          <w:right w:w="0" w:type="dxa"/>
        </w:tblCellMar>
      </w:tblPr>
      <w:tr>
        <w:trPr>
          <w:trHeight w:val="191"/>
        </w:trPr>
        <w:tc>
          <w:tcPr>
            <w:tcW w:w="5900" w:type="dxa"/>
            <w:vAlign w:val="bottom"/>
            <w:gridSpan w:val="4"/>
          </w:tcPr>
          <w:p>
            <w:pPr>
              <w:spacing w:after="0"/>
              <w:rPr>
                <w:sz w:val="20"/>
                <w:szCs w:val="20"/>
                <w:color w:val="auto"/>
              </w:rPr>
            </w:pPr>
            <w:r>
              <w:rPr>
                <w:rFonts w:ascii="Arial" w:cs="Arial" w:eastAsia="Arial" w:hAnsi="Arial"/>
                <w:sz w:val="14"/>
                <w:szCs w:val="14"/>
                <w:b w:val="1"/>
                <w:bCs w:val="1"/>
                <w:color w:val="auto"/>
              </w:rPr>
              <w:t>Total Net Leverage Ratio</w:t>
            </w:r>
          </w:p>
        </w:tc>
        <w:tc>
          <w:tcPr>
            <w:tcW w:w="158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w w:val="91"/>
              </w:rPr>
              <w:t>Commitment Fee Rate</w:t>
            </w:r>
          </w:p>
        </w:tc>
      </w:tr>
      <w:tr>
        <w:trPr>
          <w:trHeight w:val="169"/>
        </w:trPr>
        <w:tc>
          <w:tcPr>
            <w:tcW w:w="20" w:type="dxa"/>
            <w:vAlign w:val="bottom"/>
          </w:tcPr>
          <w:p>
            <w:pPr>
              <w:spacing w:after="0"/>
              <w:rPr>
                <w:sz w:val="14"/>
                <w:szCs w:val="14"/>
                <w:color w:val="auto"/>
              </w:rPr>
            </w:pPr>
          </w:p>
        </w:tc>
        <w:tc>
          <w:tcPr>
            <w:tcW w:w="780" w:type="dxa"/>
            <w:vAlign w:val="bottom"/>
            <w:tcBorders>
              <w:top w:val="single" w:sz="8" w:color="auto"/>
              <w:bottom w:val="single" w:sz="8" w:color="auto"/>
            </w:tcBorders>
            <w:shd w:val="clear" w:color="auto" w:fill="CCEEFF"/>
          </w:tcPr>
          <w:p>
            <w:pPr>
              <w:spacing w:after="0" w:line="149" w:lineRule="exact"/>
              <w:rPr>
                <w:sz w:val="20"/>
                <w:szCs w:val="20"/>
                <w:color w:val="auto"/>
              </w:rPr>
            </w:pPr>
            <w:r>
              <w:rPr>
                <w:rFonts w:ascii="Arial" w:cs="Arial" w:eastAsia="Arial" w:hAnsi="Arial"/>
                <w:sz w:val="17"/>
                <w:szCs w:val="17"/>
                <w:color w:val="auto"/>
                <w:w w:val="91"/>
              </w:rPr>
              <w:t>Category 1</w:t>
            </w:r>
          </w:p>
        </w:tc>
        <w:tc>
          <w:tcPr>
            <w:tcW w:w="760" w:type="dxa"/>
            <w:vAlign w:val="bottom"/>
            <w:tcBorders>
              <w:top w:val="single" w:sz="8" w:color="auto"/>
              <w:bottom w:val="single" w:sz="8" w:color="CCEEFF"/>
            </w:tcBorders>
            <w:shd w:val="clear" w:color="auto" w:fill="CCEEFF"/>
          </w:tcPr>
          <w:p>
            <w:pPr>
              <w:spacing w:after="0"/>
              <w:rPr>
                <w:sz w:val="14"/>
                <w:szCs w:val="14"/>
                <w:color w:val="auto"/>
              </w:rPr>
            </w:pPr>
          </w:p>
        </w:tc>
        <w:tc>
          <w:tcPr>
            <w:tcW w:w="4340" w:type="dxa"/>
            <w:vAlign w:val="bottom"/>
            <w:tcBorders>
              <w:top w:val="single" w:sz="8" w:color="CCEEFF"/>
              <w:bottom w:val="single" w:sz="8" w:color="CCEEFF"/>
            </w:tcBorders>
            <w:shd w:val="clear" w:color="auto" w:fill="CCEEFF"/>
          </w:tcPr>
          <w:p>
            <w:pPr>
              <w:spacing w:after="0"/>
              <w:rPr>
                <w:sz w:val="14"/>
                <w:szCs w:val="14"/>
                <w:color w:val="auto"/>
              </w:rPr>
            </w:pPr>
          </w:p>
        </w:tc>
        <w:tc>
          <w:tcPr>
            <w:tcW w:w="1380" w:type="dxa"/>
            <w:vAlign w:val="bottom"/>
            <w:tcBorders>
              <w:top w:val="single" w:sz="8" w:color="auto"/>
              <w:bottom w:val="single" w:sz="8" w:color="CCEEFF"/>
            </w:tcBorders>
            <w:shd w:val="clear" w:color="auto" w:fill="CCEEFF"/>
          </w:tcPr>
          <w:p>
            <w:pPr>
              <w:spacing w:after="0"/>
              <w:rPr>
                <w:sz w:val="14"/>
                <w:szCs w:val="14"/>
                <w:color w:val="auto"/>
              </w:rPr>
            </w:pPr>
          </w:p>
        </w:tc>
        <w:tc>
          <w:tcPr>
            <w:tcW w:w="200" w:type="dxa"/>
            <w:vAlign w:val="bottom"/>
            <w:tcBorders>
              <w:top w:val="single" w:sz="8" w:color="CCEEFF"/>
              <w:bottom w:val="single" w:sz="8" w:color="CCEEFF"/>
            </w:tcBorders>
            <w:shd w:val="clear" w:color="auto" w:fill="CCEEFF"/>
          </w:tcPr>
          <w:p>
            <w:pPr>
              <w:spacing w:after="0"/>
              <w:rPr>
                <w:sz w:val="14"/>
                <w:szCs w:val="14"/>
                <w:color w:val="auto"/>
              </w:rPr>
            </w:pPr>
          </w:p>
        </w:tc>
      </w:tr>
      <w:tr>
        <w:trPr>
          <w:trHeight w:val="216"/>
        </w:trPr>
        <w:tc>
          <w:tcPr>
            <w:tcW w:w="20" w:type="dxa"/>
            <w:vAlign w:val="bottom"/>
          </w:tcPr>
          <w:p>
            <w:pPr>
              <w:spacing w:after="0"/>
              <w:rPr>
                <w:sz w:val="18"/>
                <w:szCs w:val="18"/>
                <w:color w:val="auto"/>
              </w:rPr>
            </w:pPr>
          </w:p>
        </w:tc>
        <w:tc>
          <w:tcPr>
            <w:tcW w:w="5880" w:type="dxa"/>
            <w:vAlign w:val="bottom"/>
            <w:gridSpan w:val="3"/>
          </w:tcPr>
          <w:p>
            <w:pPr>
              <w:spacing w:after="0"/>
              <w:rPr>
                <w:sz w:val="20"/>
                <w:szCs w:val="20"/>
                <w:color w:val="auto"/>
              </w:rPr>
            </w:pPr>
            <w:r>
              <w:rPr>
                <w:rFonts w:ascii="Arial" w:cs="Arial" w:eastAsia="Arial" w:hAnsi="Arial"/>
                <w:sz w:val="18"/>
                <w:szCs w:val="18"/>
                <w:color w:val="auto"/>
              </w:rPr>
              <w:t>Greater than 2.75 to 1.00</w:t>
            </w:r>
          </w:p>
        </w:tc>
        <w:tc>
          <w:tcPr>
            <w:tcW w:w="1580" w:type="dxa"/>
            <w:vAlign w:val="bottom"/>
            <w:gridSpan w:val="2"/>
          </w:tcPr>
          <w:p>
            <w:pPr>
              <w:jc w:val="right"/>
              <w:ind w:right="40"/>
              <w:spacing w:after="0"/>
              <w:rPr>
                <w:sz w:val="20"/>
                <w:szCs w:val="20"/>
                <w:color w:val="auto"/>
              </w:rPr>
            </w:pPr>
            <w:r>
              <w:rPr>
                <w:rFonts w:ascii="Arial" w:cs="Arial" w:eastAsia="Arial" w:hAnsi="Arial"/>
                <w:sz w:val="18"/>
                <w:szCs w:val="18"/>
                <w:color w:val="auto"/>
              </w:rPr>
              <w:t>0.30%</w:t>
            </w:r>
          </w:p>
        </w:tc>
      </w:tr>
      <w:tr>
        <w:trPr>
          <w:trHeight w:val="196"/>
        </w:trPr>
        <w:tc>
          <w:tcPr>
            <w:tcW w:w="20" w:type="dxa"/>
            <w:vAlign w:val="bottom"/>
          </w:tcPr>
          <w:p>
            <w:pPr>
              <w:spacing w:after="0"/>
              <w:rPr>
                <w:sz w:val="17"/>
                <w:szCs w:val="17"/>
                <w:color w:val="auto"/>
              </w:rPr>
            </w:pPr>
          </w:p>
        </w:tc>
        <w:tc>
          <w:tcPr>
            <w:tcW w:w="780" w:type="dxa"/>
            <w:vAlign w:val="bottom"/>
            <w:tcBorders>
              <w:bottom w:val="single" w:sz="8" w:color="auto"/>
            </w:tcBorders>
            <w:shd w:val="clear" w:color="auto" w:fill="CCEEFF"/>
          </w:tcPr>
          <w:p>
            <w:pPr>
              <w:spacing w:after="0" w:line="176" w:lineRule="exact"/>
              <w:rPr>
                <w:sz w:val="20"/>
                <w:szCs w:val="20"/>
                <w:color w:val="auto"/>
              </w:rPr>
            </w:pPr>
            <w:r>
              <w:rPr>
                <w:rFonts w:ascii="Arial" w:cs="Arial" w:eastAsia="Arial" w:hAnsi="Arial"/>
                <w:sz w:val="18"/>
                <w:szCs w:val="18"/>
                <w:color w:val="auto"/>
                <w:w w:val="86"/>
              </w:rPr>
              <w:t>Category 2</w:t>
            </w:r>
          </w:p>
        </w:tc>
        <w:tc>
          <w:tcPr>
            <w:tcW w:w="5100" w:type="dxa"/>
            <w:vAlign w:val="bottom"/>
            <w:tcBorders>
              <w:bottom w:val="single" w:sz="8" w:color="CCEEFF"/>
            </w:tcBorders>
            <w:gridSpan w:val="2"/>
            <w:shd w:val="clear" w:color="auto" w:fill="CCEEFF"/>
          </w:tcPr>
          <w:p>
            <w:pPr>
              <w:spacing w:after="0"/>
              <w:rPr>
                <w:sz w:val="17"/>
                <w:szCs w:val="17"/>
                <w:color w:val="auto"/>
              </w:rPr>
            </w:pPr>
          </w:p>
        </w:tc>
        <w:tc>
          <w:tcPr>
            <w:tcW w:w="138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spacing w:after="0"/>
              <w:rPr>
                <w:sz w:val="17"/>
                <w:szCs w:val="17"/>
                <w:color w:val="auto"/>
              </w:rPr>
            </w:pPr>
          </w:p>
        </w:tc>
      </w:tr>
      <w:tr>
        <w:trPr>
          <w:trHeight w:val="230"/>
        </w:trPr>
        <w:tc>
          <w:tcPr>
            <w:tcW w:w="20" w:type="dxa"/>
            <w:vAlign w:val="bottom"/>
          </w:tcPr>
          <w:p>
            <w:pPr>
              <w:spacing w:after="0"/>
              <w:rPr>
                <w:sz w:val="20"/>
                <w:szCs w:val="20"/>
                <w:color w:val="auto"/>
              </w:rPr>
            </w:pPr>
          </w:p>
        </w:tc>
        <w:tc>
          <w:tcPr>
            <w:tcW w:w="5880" w:type="dxa"/>
            <w:vAlign w:val="bottom"/>
            <w:gridSpan w:val="3"/>
          </w:tcPr>
          <w:p>
            <w:pPr>
              <w:spacing w:after="0"/>
              <w:rPr>
                <w:sz w:val="20"/>
                <w:szCs w:val="20"/>
                <w:color w:val="auto"/>
              </w:rPr>
            </w:pPr>
            <w:r>
              <w:rPr>
                <w:rFonts w:ascii="Arial" w:cs="Arial" w:eastAsia="Arial" w:hAnsi="Arial"/>
                <w:sz w:val="18"/>
                <w:szCs w:val="18"/>
                <w:color w:val="auto"/>
              </w:rPr>
              <w:t>Equal to or less than 2.75 to 1.00</w:t>
            </w:r>
          </w:p>
        </w:tc>
        <w:tc>
          <w:tcPr>
            <w:tcW w:w="1580" w:type="dxa"/>
            <w:vAlign w:val="bottom"/>
            <w:gridSpan w:val="2"/>
          </w:tcPr>
          <w:p>
            <w:pPr>
              <w:jc w:val="right"/>
              <w:ind w:right="40"/>
              <w:spacing w:after="0"/>
              <w:rPr>
                <w:sz w:val="20"/>
                <w:szCs w:val="20"/>
                <w:color w:val="auto"/>
              </w:rPr>
            </w:pPr>
            <w:r>
              <w:rPr>
                <w:rFonts w:ascii="Arial" w:cs="Arial" w:eastAsia="Arial" w:hAnsi="Arial"/>
                <w:sz w:val="18"/>
                <w:szCs w:val="18"/>
                <w:color w:val="auto"/>
              </w:rPr>
              <w:t>0.25%</w:t>
            </w:r>
          </w:p>
        </w:tc>
      </w:tr>
    </w:tbl>
    <w:p>
      <w:pPr>
        <w:spacing w:after="0" w:line="93" w:lineRule="exact"/>
        <w:rPr>
          <w:sz w:val="20"/>
          <w:szCs w:val="20"/>
          <w:color w:val="auto"/>
        </w:rPr>
      </w:pPr>
    </w:p>
    <w:p>
      <w:pPr>
        <w:ind w:left="5600" w:right="4720" w:hanging="5052"/>
        <w:spacing w:after="0" w:line="535" w:lineRule="auto"/>
        <w:tabs>
          <w:tab w:leader="none" w:pos="1084" w:val="left"/>
        </w:tabs>
        <w:numPr>
          <w:ilvl w:val="0"/>
          <w:numId w:val="149"/>
        </w:numPr>
        <w:rPr>
          <w:rFonts w:ascii="Arial" w:cs="Arial" w:eastAsia="Arial" w:hAnsi="Arial"/>
          <w:sz w:val="16"/>
          <w:szCs w:val="16"/>
          <w:color w:val="auto"/>
        </w:rPr>
      </w:pPr>
      <w:r>
        <w:rPr>
          <w:rFonts w:ascii="Arial" w:cs="Arial" w:eastAsia="Arial" w:hAnsi="Arial"/>
          <w:sz w:val="16"/>
          <w:szCs w:val="16"/>
          <w:color w:val="auto"/>
        </w:rPr>
        <w:t>an annual administrative agency fee payable to the Administrative Agent; 167</w:t>
      </w:r>
    </w:p>
    <w:p>
      <w:pPr>
        <w:sectPr>
          <w:pgSz w:w="11900" w:h="16838" w:orient="portrait"/>
          <w:cols w:equalWidth="0" w:num="1">
            <w:col w:w="11100"/>
          </w:cols>
          <w:pgMar w:left="320" w:top="459" w:right="479" w:bottom="1440" w:gutter="0" w:footer="0" w:header="0"/>
        </w:sectPr>
      </w:pPr>
    </w:p>
    <w:bookmarkStart w:id="174" w:name="page175"/>
    <w:bookmarkEnd w:id="17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Confidential Treatment Requested by Definitive Healthcare Corp.</w:t>
      </w:r>
    </w:p>
    <w:p>
      <w:pPr>
        <w:spacing w:after="0" w:line="27"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Pursuant to 17 C.F.R. Section 200.83</w:t>
      </w:r>
    </w:p>
    <w:p>
      <w:pPr>
        <w:spacing w:after="0" w:line="143" w:lineRule="exact"/>
        <w:rPr>
          <w:sz w:val="20"/>
          <w:szCs w:val="20"/>
          <w:color w:val="auto"/>
        </w:rPr>
      </w:pPr>
    </w:p>
    <w:p>
      <w:pPr>
        <w:ind w:left="1080" w:right="500" w:hanging="532"/>
        <w:spacing w:after="0" w:line="277" w:lineRule="auto"/>
        <w:tabs>
          <w:tab w:leader="none" w:pos="1080" w:val="left"/>
        </w:tabs>
        <w:numPr>
          <w:ilvl w:val="0"/>
          <w:numId w:val="150"/>
        </w:numPr>
        <w:rPr>
          <w:rFonts w:ascii="Arial" w:cs="Arial" w:eastAsia="Arial" w:hAnsi="Arial"/>
          <w:sz w:val="18"/>
          <w:szCs w:val="18"/>
          <w:color w:val="auto"/>
        </w:rPr>
      </w:pPr>
      <w:r>
        <w:rPr>
          <w:rFonts w:ascii="Arial" w:cs="Arial" w:eastAsia="Arial" w:hAnsi="Arial"/>
          <w:sz w:val="18"/>
          <w:szCs w:val="18"/>
          <w:color w:val="auto"/>
        </w:rPr>
        <w:t>a participation fee to each revolving lender payable quarterly in arrears at a rate equal to the applicable LIBO Rate margin for Initial Revolving Loans on the daily face amount of such revolving lender’s letter of credit exposure; and</w:t>
      </w:r>
    </w:p>
    <w:p>
      <w:pPr>
        <w:spacing w:after="0" w:line="75" w:lineRule="exact"/>
        <w:rPr>
          <w:rFonts w:ascii="Arial" w:cs="Arial" w:eastAsia="Arial" w:hAnsi="Arial"/>
          <w:sz w:val="18"/>
          <w:szCs w:val="18"/>
          <w:color w:val="auto"/>
        </w:rPr>
      </w:pPr>
    </w:p>
    <w:p>
      <w:pPr>
        <w:jc w:val="both"/>
        <w:ind w:left="1080" w:right="80" w:hanging="532"/>
        <w:spacing w:after="0" w:line="311" w:lineRule="auto"/>
        <w:tabs>
          <w:tab w:leader="none" w:pos="1080" w:val="left"/>
        </w:tabs>
        <w:numPr>
          <w:ilvl w:val="0"/>
          <w:numId w:val="150"/>
        </w:numPr>
        <w:rPr>
          <w:rFonts w:ascii="Arial" w:cs="Arial" w:eastAsia="Arial" w:hAnsi="Arial"/>
          <w:sz w:val="16"/>
          <w:szCs w:val="16"/>
          <w:color w:val="auto"/>
        </w:rPr>
      </w:pPr>
      <w:r>
        <w:rPr>
          <w:rFonts w:ascii="Arial" w:cs="Arial" w:eastAsia="Arial" w:hAnsi="Arial"/>
          <w:sz w:val="16"/>
          <w:szCs w:val="16"/>
          <w:color w:val="auto"/>
        </w:rPr>
        <w:t>a fronting fee to each issuing bank payable quarterly in arrears at a rate agreed to by the applicable issuing bank and the Borrower (not to exceed 0.125% per annum) on the daily face amount of such issuing bank’s letter of credit exposure and such issuing bank’s standard fees with respect to the issuance, amendment, renewal or extension of letters of credit or processing of drawings thereunder.</w:t>
      </w:r>
    </w:p>
    <w:p>
      <w:pPr>
        <w:spacing w:after="0" w:line="257"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Voluntary Prepayments</w:t>
      </w:r>
    </w:p>
    <w:p>
      <w:pPr>
        <w:spacing w:after="0" w:line="117" w:lineRule="exact"/>
        <w:rPr>
          <w:sz w:val="20"/>
          <w:szCs w:val="20"/>
          <w:color w:val="auto"/>
        </w:rPr>
      </w:pPr>
    </w:p>
    <w:p>
      <w:pPr>
        <w:ind w:left="120" w:right="300" w:firstLine="440"/>
        <w:spacing w:after="0" w:line="277" w:lineRule="auto"/>
        <w:rPr>
          <w:sz w:val="20"/>
          <w:szCs w:val="20"/>
          <w:color w:val="auto"/>
        </w:rPr>
      </w:pPr>
      <w:r>
        <w:rPr>
          <w:rFonts w:ascii="Arial" w:cs="Arial" w:eastAsia="Arial" w:hAnsi="Arial"/>
          <w:sz w:val="18"/>
          <w:szCs w:val="18"/>
          <w:color w:val="auto"/>
        </w:rPr>
        <w:t>Subject to certain notice requirements, the Borrower may voluntarily prepay outstanding loans under the Credit Agreement in whole or in part without premium or penalty other than customary “breakage” costs with respect to LIBO Rate loans.</w:t>
      </w:r>
    </w:p>
    <w:p>
      <w:pPr>
        <w:spacing w:after="0" w:line="27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Amortization; Mandatory Prepayments; Final Maturity</w:t>
      </w:r>
    </w:p>
    <w:p>
      <w:pPr>
        <w:spacing w:after="0" w:line="117" w:lineRule="exact"/>
        <w:rPr>
          <w:sz w:val="20"/>
          <w:szCs w:val="20"/>
          <w:color w:val="auto"/>
        </w:rPr>
      </w:pPr>
    </w:p>
    <w:p>
      <w:pPr>
        <w:ind w:left="120" w:right="60" w:firstLine="440"/>
        <w:spacing w:after="0" w:line="287" w:lineRule="auto"/>
        <w:rPr>
          <w:sz w:val="20"/>
          <w:szCs w:val="20"/>
          <w:color w:val="auto"/>
        </w:rPr>
      </w:pPr>
      <w:r>
        <w:rPr>
          <w:rFonts w:ascii="Arial" w:cs="Arial" w:eastAsia="Arial" w:hAnsi="Arial"/>
          <w:sz w:val="16"/>
          <w:szCs w:val="16"/>
          <w:color w:val="auto"/>
        </w:rPr>
        <w:t>The Term Facility is subject to amortization of principal, payable in quarterly installments on the last day of each fiscal quarter, commencing on December 31, 2021 (the “Initial Amortization Date”), equal to approximately 2.5% per annum of the principal amount of the term loans in the first year after the Initial Amortization Date, 2.5% per annum of the principal amount of the term loans in the second year after the Initial Amortization Date,</w:t>
      </w:r>
    </w:p>
    <w:p>
      <w:pPr>
        <w:spacing w:after="0" w:line="2" w:lineRule="exact"/>
        <w:rPr>
          <w:sz w:val="20"/>
          <w:szCs w:val="20"/>
          <w:color w:val="auto"/>
        </w:rPr>
      </w:pPr>
    </w:p>
    <w:p>
      <w:pPr>
        <w:ind w:left="120" w:right="120"/>
        <w:spacing w:after="0" w:line="302" w:lineRule="auto"/>
        <w:rPr>
          <w:sz w:val="20"/>
          <w:szCs w:val="20"/>
          <w:color w:val="auto"/>
        </w:rPr>
      </w:pPr>
      <w:r>
        <w:rPr>
          <w:rFonts w:ascii="Arial" w:cs="Arial" w:eastAsia="Arial" w:hAnsi="Arial"/>
          <w:sz w:val="16"/>
          <w:szCs w:val="16"/>
          <w:color w:val="auto"/>
        </w:rPr>
        <w:t>5.0% per annum of the principal amount of the term loans in the third year after the Initial Amortization Date, 5.0% per annum of the principal amount of the term loans in the fourth year after the Initial Amortization Date and 5.0% per annum of the principal amount of the term loans in the fifth year after the Initial Amortization Date. The remaining initial aggregate advances under the Term Facility are payable at the maturity of the Term Facility.</w:t>
      </w:r>
    </w:p>
    <w:p>
      <w:pPr>
        <w:spacing w:after="0" w:line="155" w:lineRule="exact"/>
        <w:rPr>
          <w:sz w:val="20"/>
          <w:szCs w:val="20"/>
          <w:color w:val="auto"/>
        </w:rPr>
      </w:pPr>
    </w:p>
    <w:p>
      <w:pPr>
        <w:ind w:left="560"/>
        <w:spacing w:after="0"/>
        <w:rPr>
          <w:sz w:val="20"/>
          <w:szCs w:val="20"/>
          <w:color w:val="auto"/>
        </w:rPr>
      </w:pPr>
      <w:r>
        <w:rPr>
          <w:rFonts w:ascii="Arial" w:cs="Arial" w:eastAsia="Arial" w:hAnsi="Arial"/>
          <w:sz w:val="18"/>
          <w:szCs w:val="18"/>
          <w:color w:val="auto"/>
        </w:rPr>
        <w:t>In addition, the Credit Agreement requires mandatory prepayments of the Term Loans with:</w:t>
      </w:r>
    </w:p>
    <w:p>
      <w:pPr>
        <w:spacing w:after="0" w:line="131" w:lineRule="exact"/>
        <w:rPr>
          <w:sz w:val="20"/>
          <w:szCs w:val="20"/>
          <w:color w:val="auto"/>
        </w:rPr>
      </w:pPr>
    </w:p>
    <w:p>
      <w:pPr>
        <w:ind w:left="1080" w:right="800" w:hanging="532"/>
        <w:spacing w:after="0" w:line="277" w:lineRule="auto"/>
        <w:tabs>
          <w:tab w:leader="none" w:pos="1080" w:val="left"/>
        </w:tabs>
        <w:numPr>
          <w:ilvl w:val="0"/>
          <w:numId w:val="151"/>
        </w:numPr>
        <w:rPr>
          <w:rFonts w:ascii="Arial" w:cs="Arial" w:eastAsia="Arial" w:hAnsi="Arial"/>
          <w:sz w:val="18"/>
          <w:szCs w:val="18"/>
          <w:color w:val="auto"/>
        </w:rPr>
      </w:pPr>
      <w:r>
        <w:rPr>
          <w:rFonts w:ascii="Arial" w:cs="Arial" w:eastAsia="Arial" w:hAnsi="Arial"/>
          <w:sz w:val="18"/>
          <w:szCs w:val="18"/>
          <w:color w:val="auto"/>
        </w:rPr>
        <w:t>100% of the net cash proceeds of certain asset sales and/or insurance/condemnation events above a threshold amount, subject to reinvestment rights and other exceptions set forth in the Credit Agreement; and</w:t>
      </w:r>
    </w:p>
    <w:p>
      <w:pPr>
        <w:spacing w:after="0" w:line="75" w:lineRule="exact"/>
        <w:rPr>
          <w:rFonts w:ascii="Arial" w:cs="Arial" w:eastAsia="Arial" w:hAnsi="Arial"/>
          <w:sz w:val="18"/>
          <w:szCs w:val="18"/>
          <w:color w:val="auto"/>
        </w:rPr>
      </w:pPr>
    </w:p>
    <w:p>
      <w:pPr>
        <w:ind w:left="1080" w:right="480" w:hanging="532"/>
        <w:spacing w:after="0" w:line="277" w:lineRule="auto"/>
        <w:tabs>
          <w:tab w:leader="none" w:pos="1080" w:val="left"/>
        </w:tabs>
        <w:numPr>
          <w:ilvl w:val="0"/>
          <w:numId w:val="151"/>
        </w:numPr>
        <w:rPr>
          <w:rFonts w:ascii="Arial" w:cs="Arial" w:eastAsia="Arial" w:hAnsi="Arial"/>
          <w:sz w:val="18"/>
          <w:szCs w:val="18"/>
          <w:color w:val="auto"/>
        </w:rPr>
      </w:pPr>
      <w:r>
        <w:rPr>
          <w:rFonts w:ascii="Arial" w:cs="Arial" w:eastAsia="Arial" w:hAnsi="Arial"/>
          <w:sz w:val="18"/>
          <w:szCs w:val="18"/>
          <w:color w:val="auto"/>
        </w:rPr>
        <w:t>100% of the net cash proceeds of any issuance or incurrence of debt that is not permitted by the Credit Agreement, subject to certain exceptions set forth in the Credit Agreement.</w:t>
      </w:r>
    </w:p>
    <w:p>
      <w:pPr>
        <w:spacing w:after="0" w:line="170"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Term Facility and the Revolving Credit Facility mature on September 17, 2026.</w:t>
      </w:r>
    </w:p>
    <w:p>
      <w:pPr>
        <w:spacing w:after="0" w:line="333"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Guarantors</w:t>
      </w:r>
    </w:p>
    <w:p>
      <w:pPr>
        <w:spacing w:after="0" w:line="117" w:lineRule="exact"/>
        <w:rPr>
          <w:sz w:val="20"/>
          <w:szCs w:val="20"/>
          <w:color w:val="auto"/>
        </w:rPr>
      </w:pPr>
    </w:p>
    <w:p>
      <w:pPr>
        <w:ind w:left="120" w:right="280" w:firstLine="440"/>
        <w:spacing w:after="0" w:line="277" w:lineRule="auto"/>
        <w:rPr>
          <w:sz w:val="20"/>
          <w:szCs w:val="20"/>
          <w:color w:val="auto"/>
        </w:rPr>
      </w:pPr>
      <w:r>
        <w:rPr>
          <w:rFonts w:ascii="Arial" w:cs="Arial" w:eastAsia="Arial" w:hAnsi="Arial"/>
          <w:sz w:val="18"/>
          <w:szCs w:val="18"/>
          <w:color w:val="auto"/>
        </w:rPr>
        <w:t>The obligations of the Borrower under the Credit Agreement are guaranteed by Holdings and each existing and future wholly-owned domestic restricted subsidiary of the Borrower, in each case, subject to certain exceptions.</w:t>
      </w:r>
    </w:p>
    <w:p>
      <w:pPr>
        <w:spacing w:after="0" w:line="27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Security</w:t>
      </w:r>
    </w:p>
    <w:p>
      <w:pPr>
        <w:spacing w:after="0" w:line="117" w:lineRule="exact"/>
        <w:rPr>
          <w:sz w:val="20"/>
          <w:szCs w:val="20"/>
          <w:color w:val="auto"/>
        </w:rPr>
      </w:pPr>
    </w:p>
    <w:p>
      <w:pPr>
        <w:ind w:left="120" w:firstLine="440"/>
        <w:spacing w:after="0" w:line="277" w:lineRule="auto"/>
        <w:rPr>
          <w:sz w:val="20"/>
          <w:szCs w:val="20"/>
          <w:color w:val="auto"/>
        </w:rPr>
      </w:pPr>
      <w:r>
        <w:rPr>
          <w:rFonts w:ascii="Arial" w:cs="Arial" w:eastAsia="Arial" w:hAnsi="Arial"/>
          <w:sz w:val="18"/>
          <w:szCs w:val="18"/>
          <w:color w:val="auto"/>
        </w:rPr>
        <w:t>The obligations of the Borrower under the Credit Agreement are secured by first-priority lien on substantially all of the assets of the Borrower and the guarantors, including a pledge of the equity of the Borrower by Holdings, in each case, subject to customary exceptions.</w:t>
      </w:r>
    </w:p>
    <w:p>
      <w:pPr>
        <w:spacing w:after="0" w:line="103" w:lineRule="exact"/>
        <w:rPr>
          <w:sz w:val="20"/>
          <w:szCs w:val="20"/>
          <w:color w:val="auto"/>
        </w:rPr>
      </w:pPr>
    </w:p>
    <w:p>
      <w:pPr>
        <w:jc w:val="center"/>
        <w:ind w:right="-379"/>
        <w:spacing w:after="0"/>
        <w:rPr>
          <w:sz w:val="20"/>
          <w:szCs w:val="20"/>
          <w:color w:val="auto"/>
        </w:rPr>
      </w:pPr>
      <w:r>
        <w:rPr>
          <w:rFonts w:ascii="Arial" w:cs="Arial" w:eastAsia="Arial" w:hAnsi="Arial"/>
          <w:sz w:val="18"/>
          <w:szCs w:val="18"/>
          <w:color w:val="auto"/>
        </w:rPr>
        <w:t>168</w:t>
      </w:r>
    </w:p>
    <w:p>
      <w:pPr>
        <w:sectPr>
          <w:pgSz w:w="11900" w:h="16838" w:orient="portrait"/>
          <w:cols w:equalWidth="0" w:num="1">
            <w:col w:w="11100"/>
          </w:cols>
          <w:pgMar w:left="320" w:top="459" w:right="479" w:bottom="1440" w:gutter="0" w:footer="0" w:header="0"/>
        </w:sectPr>
      </w:pPr>
    </w:p>
    <w:bookmarkStart w:id="175" w:name="page176"/>
    <w:bookmarkEnd w:id="17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Confidential Treatment Requested by Definitive Healthcare Corp.</w:t>
      </w:r>
    </w:p>
    <w:p>
      <w:pPr>
        <w:spacing w:after="0" w:line="27"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Pursuant to 17 C.F.R. Section 200.83</w:t>
      </w:r>
    </w:p>
    <w:p>
      <w:pPr>
        <w:spacing w:after="0" w:line="143"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Certain Covenants; Representations and Warranties</w:t>
      </w:r>
    </w:p>
    <w:p>
      <w:pPr>
        <w:spacing w:after="0" w:line="117" w:lineRule="exact"/>
        <w:rPr>
          <w:sz w:val="20"/>
          <w:szCs w:val="20"/>
          <w:color w:val="auto"/>
        </w:rPr>
      </w:pPr>
    </w:p>
    <w:p>
      <w:pPr>
        <w:ind w:left="120" w:right="320" w:firstLine="440"/>
        <w:spacing w:after="0" w:line="263" w:lineRule="auto"/>
        <w:rPr>
          <w:sz w:val="20"/>
          <w:szCs w:val="20"/>
          <w:color w:val="auto"/>
        </w:rPr>
      </w:pPr>
      <w:r>
        <w:rPr>
          <w:rFonts w:ascii="Arial" w:cs="Arial" w:eastAsia="Arial" w:hAnsi="Arial"/>
          <w:sz w:val="18"/>
          <w:szCs w:val="18"/>
          <w:color w:val="auto"/>
        </w:rPr>
        <w:t>The Credit Agreement contains customary affirmative covenants (including reporting obligations) and negative covenants and requires the Borrower to make customary representations and warranties. The negative covenants, among other things and subject to certain exceptions, limit the ability of the Borrower and its restricted subsidiaries (and in certain limited circumstances, Holdings) to:</w:t>
      </w:r>
    </w:p>
    <w:p>
      <w:pPr>
        <w:spacing w:after="0" w:line="89" w:lineRule="exact"/>
        <w:rPr>
          <w:sz w:val="20"/>
          <w:szCs w:val="20"/>
          <w:color w:val="auto"/>
        </w:rPr>
      </w:pPr>
    </w:p>
    <w:p>
      <w:pPr>
        <w:ind w:left="1080" w:hanging="532"/>
        <w:spacing w:after="0"/>
        <w:tabs>
          <w:tab w:leader="none" w:pos="1080" w:val="left"/>
        </w:tabs>
        <w:numPr>
          <w:ilvl w:val="0"/>
          <w:numId w:val="152"/>
        </w:numPr>
        <w:rPr>
          <w:rFonts w:ascii="Arial" w:cs="Arial" w:eastAsia="Arial" w:hAnsi="Arial"/>
          <w:sz w:val="18"/>
          <w:szCs w:val="18"/>
          <w:color w:val="auto"/>
        </w:rPr>
      </w:pPr>
      <w:r>
        <w:rPr>
          <w:rFonts w:ascii="Arial" w:cs="Arial" w:eastAsia="Arial" w:hAnsi="Arial"/>
          <w:sz w:val="18"/>
          <w:szCs w:val="18"/>
          <w:color w:val="auto"/>
        </w:rPr>
        <w:t>incur or guarantee additional indebtedness;</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152"/>
        </w:numPr>
        <w:rPr>
          <w:rFonts w:ascii="Arial" w:cs="Arial" w:eastAsia="Arial" w:hAnsi="Arial"/>
          <w:sz w:val="18"/>
          <w:szCs w:val="18"/>
          <w:color w:val="auto"/>
        </w:rPr>
      </w:pPr>
      <w:r>
        <w:rPr>
          <w:rFonts w:ascii="Arial" w:cs="Arial" w:eastAsia="Arial" w:hAnsi="Arial"/>
          <w:sz w:val="18"/>
          <w:szCs w:val="18"/>
          <w:color w:val="auto"/>
        </w:rPr>
        <w:t>create liens;</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152"/>
        </w:numPr>
        <w:rPr>
          <w:rFonts w:ascii="Arial" w:cs="Arial" w:eastAsia="Arial" w:hAnsi="Arial"/>
          <w:sz w:val="18"/>
          <w:szCs w:val="18"/>
          <w:color w:val="auto"/>
        </w:rPr>
      </w:pPr>
      <w:r>
        <w:rPr>
          <w:rFonts w:ascii="Arial" w:cs="Arial" w:eastAsia="Arial" w:hAnsi="Arial"/>
          <w:sz w:val="18"/>
          <w:szCs w:val="18"/>
          <w:color w:val="auto"/>
        </w:rPr>
        <w:t>pay dividends or make other distributions in respect of equity;</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152"/>
        </w:numPr>
        <w:rPr>
          <w:rFonts w:ascii="Arial" w:cs="Arial" w:eastAsia="Arial" w:hAnsi="Arial"/>
          <w:sz w:val="18"/>
          <w:szCs w:val="18"/>
          <w:color w:val="auto"/>
        </w:rPr>
      </w:pPr>
      <w:r>
        <w:rPr>
          <w:rFonts w:ascii="Arial" w:cs="Arial" w:eastAsia="Arial" w:hAnsi="Arial"/>
          <w:sz w:val="18"/>
          <w:szCs w:val="18"/>
          <w:color w:val="auto"/>
        </w:rPr>
        <w:t>make payments in respect of certain debt;</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152"/>
        </w:numPr>
        <w:rPr>
          <w:rFonts w:ascii="Arial" w:cs="Arial" w:eastAsia="Arial" w:hAnsi="Arial"/>
          <w:sz w:val="18"/>
          <w:szCs w:val="18"/>
          <w:color w:val="auto"/>
        </w:rPr>
      </w:pPr>
      <w:r>
        <w:rPr>
          <w:rFonts w:ascii="Arial" w:cs="Arial" w:eastAsia="Arial" w:hAnsi="Arial"/>
          <w:sz w:val="18"/>
          <w:szCs w:val="18"/>
          <w:color w:val="auto"/>
        </w:rPr>
        <w:t>enter into burdensome agreements;</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152"/>
        </w:numPr>
        <w:rPr>
          <w:rFonts w:ascii="Arial" w:cs="Arial" w:eastAsia="Arial" w:hAnsi="Arial"/>
          <w:sz w:val="18"/>
          <w:szCs w:val="18"/>
          <w:color w:val="auto"/>
        </w:rPr>
      </w:pPr>
      <w:r>
        <w:rPr>
          <w:rFonts w:ascii="Arial" w:cs="Arial" w:eastAsia="Arial" w:hAnsi="Arial"/>
          <w:sz w:val="18"/>
          <w:szCs w:val="18"/>
          <w:color w:val="auto"/>
        </w:rPr>
        <w:t>make investments, including acquisitions, loans and advances;</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152"/>
        </w:numPr>
        <w:rPr>
          <w:rFonts w:ascii="Arial" w:cs="Arial" w:eastAsia="Arial" w:hAnsi="Arial"/>
          <w:sz w:val="18"/>
          <w:szCs w:val="18"/>
          <w:color w:val="auto"/>
        </w:rPr>
      </w:pPr>
      <w:r>
        <w:rPr>
          <w:rFonts w:ascii="Arial" w:cs="Arial" w:eastAsia="Arial" w:hAnsi="Arial"/>
          <w:sz w:val="18"/>
          <w:szCs w:val="18"/>
          <w:color w:val="auto"/>
        </w:rPr>
        <w:t>consolidate, merge, liquidate, wind up or dissolve;</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152"/>
        </w:numPr>
        <w:rPr>
          <w:rFonts w:ascii="Arial" w:cs="Arial" w:eastAsia="Arial" w:hAnsi="Arial"/>
          <w:sz w:val="18"/>
          <w:szCs w:val="18"/>
          <w:color w:val="auto"/>
        </w:rPr>
      </w:pPr>
      <w:r>
        <w:rPr>
          <w:rFonts w:ascii="Arial" w:cs="Arial" w:eastAsia="Arial" w:hAnsi="Arial"/>
          <w:sz w:val="18"/>
          <w:szCs w:val="18"/>
          <w:color w:val="auto"/>
        </w:rPr>
        <w:t>sell, transfer or otherwise dispose of assets;</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152"/>
        </w:numPr>
        <w:rPr>
          <w:rFonts w:ascii="Arial" w:cs="Arial" w:eastAsia="Arial" w:hAnsi="Arial"/>
          <w:sz w:val="18"/>
          <w:szCs w:val="18"/>
          <w:color w:val="auto"/>
        </w:rPr>
      </w:pPr>
      <w:r>
        <w:rPr>
          <w:rFonts w:ascii="Arial" w:cs="Arial" w:eastAsia="Arial" w:hAnsi="Arial"/>
          <w:sz w:val="18"/>
          <w:szCs w:val="18"/>
          <w:color w:val="auto"/>
        </w:rPr>
        <w:t>engage in transactions with affiliates;</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152"/>
        </w:numPr>
        <w:rPr>
          <w:rFonts w:ascii="Arial" w:cs="Arial" w:eastAsia="Arial" w:hAnsi="Arial"/>
          <w:sz w:val="18"/>
          <w:szCs w:val="18"/>
          <w:color w:val="auto"/>
        </w:rPr>
      </w:pPr>
      <w:r>
        <w:rPr>
          <w:rFonts w:ascii="Arial" w:cs="Arial" w:eastAsia="Arial" w:hAnsi="Arial"/>
          <w:sz w:val="18"/>
          <w:szCs w:val="18"/>
          <w:color w:val="auto"/>
        </w:rPr>
        <w:t>materially alter the business conducted by the Borrower and certain of its subsidiaries; and</w:t>
      </w:r>
    </w:p>
    <w:p>
      <w:pPr>
        <w:spacing w:after="0" w:line="130" w:lineRule="exact"/>
        <w:rPr>
          <w:rFonts w:ascii="Arial" w:cs="Arial" w:eastAsia="Arial" w:hAnsi="Arial"/>
          <w:sz w:val="18"/>
          <w:szCs w:val="18"/>
          <w:color w:val="auto"/>
        </w:rPr>
      </w:pPr>
    </w:p>
    <w:p>
      <w:pPr>
        <w:ind w:left="1080" w:right="200" w:hanging="532"/>
        <w:spacing w:after="0" w:line="277" w:lineRule="auto"/>
        <w:tabs>
          <w:tab w:leader="none" w:pos="1080" w:val="left"/>
        </w:tabs>
        <w:numPr>
          <w:ilvl w:val="0"/>
          <w:numId w:val="152"/>
        </w:numPr>
        <w:rPr>
          <w:rFonts w:ascii="Arial" w:cs="Arial" w:eastAsia="Arial" w:hAnsi="Arial"/>
          <w:sz w:val="18"/>
          <w:szCs w:val="18"/>
          <w:color w:val="auto"/>
        </w:rPr>
      </w:pPr>
      <w:r>
        <w:rPr>
          <w:rFonts w:ascii="Arial" w:cs="Arial" w:eastAsia="Arial" w:hAnsi="Arial"/>
          <w:sz w:val="18"/>
          <w:szCs w:val="18"/>
          <w:color w:val="auto"/>
        </w:rPr>
        <w:t>amend or otherwise modify the subordination terms of the documentation governing certain restricted debt in a manner that is materially adverse to the Lenders.</w:t>
      </w:r>
    </w:p>
    <w:p>
      <w:pPr>
        <w:spacing w:after="0" w:line="27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Financial Covenant</w:t>
      </w:r>
    </w:p>
    <w:p>
      <w:pPr>
        <w:spacing w:after="0" w:line="117" w:lineRule="exact"/>
        <w:rPr>
          <w:sz w:val="20"/>
          <w:szCs w:val="20"/>
          <w:color w:val="auto"/>
        </w:rPr>
      </w:pPr>
    </w:p>
    <w:p>
      <w:pPr>
        <w:ind w:left="120" w:right="20" w:firstLine="440"/>
        <w:spacing w:after="0" w:line="253" w:lineRule="auto"/>
        <w:rPr>
          <w:sz w:val="20"/>
          <w:szCs w:val="20"/>
          <w:color w:val="auto"/>
        </w:rPr>
      </w:pPr>
      <w:r>
        <w:rPr>
          <w:rFonts w:ascii="Arial" w:cs="Arial" w:eastAsia="Arial" w:hAnsi="Arial"/>
          <w:sz w:val="18"/>
          <w:szCs w:val="18"/>
          <w:color w:val="auto"/>
        </w:rPr>
        <w:t>The Credit Agreement contains a financial covenant, which requires the Borrower to, commencing the last day of the fiscal quarter ending December 31, 2021, maintain a total net leverage ratio of Consolidated Total Debt (as defined in the Credit Agreement) to Consolidated Adjusted EBITDA (as defined in the Credit Agreement) no greater than 5.25:1.00 (or 4.50:1.00 commencing on the last day of the fiscal quarter ending December 31, 2022) and subject to temporary increase by 0.50:1.00 upon a consummation of a Material Acquisition (as defined in the Credit Agreement) pursuant to the terms set forth therein. The financial covenant is subject to customary “equity cure” rights: upon the occurrence of an event of default as a result of the Borrower’s failure to comply with the financial covenant, the Borrower has the right to, at any time no later than the date that is fifteen business days after such occurrence of such event of default, issue qualified capital stock or other equity for cash or otherwise receive cash contributions for its qualified capital stock, which amount will increase Consolidated Adjusted EBITDA on a pro forma basis solely for the purpose of determining the Borrower’s compliance with the financial covenant. The Borrower may not exercise its equity cure right for more than two fiscal quarters in each four consecutive fiscal quarters. During the term of the Credit Agreement, the Borrower may exercise its equity cure right up to five times.</w:t>
      </w:r>
    </w:p>
    <w:p>
      <w:pPr>
        <w:spacing w:after="0" w:line="300"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Events of Default</w:t>
      </w:r>
    </w:p>
    <w:p>
      <w:pPr>
        <w:spacing w:after="0" w:line="117" w:lineRule="exact"/>
        <w:rPr>
          <w:sz w:val="20"/>
          <w:szCs w:val="20"/>
          <w:color w:val="auto"/>
        </w:rPr>
      </w:pPr>
    </w:p>
    <w:p>
      <w:pPr>
        <w:ind w:left="120" w:firstLine="440"/>
        <w:spacing w:after="0" w:line="272" w:lineRule="auto"/>
        <w:rPr>
          <w:sz w:val="20"/>
          <w:szCs w:val="20"/>
          <w:color w:val="auto"/>
        </w:rPr>
      </w:pPr>
      <w:r>
        <w:rPr>
          <w:rFonts w:ascii="Arial" w:cs="Arial" w:eastAsia="Arial" w:hAnsi="Arial"/>
          <w:sz w:val="17"/>
          <w:szCs w:val="17"/>
          <w:color w:val="auto"/>
        </w:rPr>
        <w:t>The Credit Agreement contains customary events of default, subject in certain circumstances to specified grace periods, thresholds and exceptions, including, among others, payment defaults, cross-defaults to certain material indebtedness, covenant defaults, material inaccuracy of representations and warranties, bankruptcy events, material judgments, material Employee Retirement Income Security Act events, change of control and material defects with respect to guarantees and collateral. If an event of default occurs, the specified threshold of lenders would be entitled to take various actions, including acceleration of the loans and termination of the commitments under the Credit Agreement, foreclosure on collateral and all other remedial actions available to a secured creditor. The failure to pay certain amounts owing under the Credit Agreement may result in an increased interest rate equal to 2.00% per annum plus, in the case of overdue principal or interest of any loan or</w:t>
      </w:r>
    </w:p>
    <w:p>
      <w:pPr>
        <w:spacing w:after="0" w:line="110" w:lineRule="exact"/>
        <w:rPr>
          <w:sz w:val="20"/>
          <w:szCs w:val="20"/>
          <w:color w:val="auto"/>
        </w:rPr>
      </w:pPr>
    </w:p>
    <w:p>
      <w:pPr>
        <w:jc w:val="center"/>
        <w:ind w:right="-359"/>
        <w:spacing w:after="0"/>
        <w:rPr>
          <w:sz w:val="20"/>
          <w:szCs w:val="20"/>
          <w:color w:val="auto"/>
        </w:rPr>
      </w:pPr>
      <w:r>
        <w:rPr>
          <w:rFonts w:ascii="Arial" w:cs="Arial" w:eastAsia="Arial" w:hAnsi="Arial"/>
          <w:sz w:val="18"/>
          <w:szCs w:val="18"/>
          <w:color w:val="auto"/>
        </w:rPr>
        <w:t>169</w:t>
      </w:r>
    </w:p>
    <w:p>
      <w:pPr>
        <w:sectPr>
          <w:pgSz w:w="11900" w:h="16838" w:orient="portrait"/>
          <w:cols w:equalWidth="0" w:num="1">
            <w:col w:w="11120"/>
          </w:cols>
          <w:pgMar w:left="320" w:top="459" w:right="459" w:bottom="1440" w:gutter="0" w:footer="0" w:header="0"/>
        </w:sectPr>
      </w:pPr>
    </w:p>
    <w:bookmarkStart w:id="176" w:name="page177"/>
    <w:bookmarkEnd w:id="17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Confidential Treatment Requested by Definitive Healthcare Corp.</w:t>
      </w:r>
    </w:p>
    <w:p>
      <w:pPr>
        <w:spacing w:after="0" w:line="27"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Pursuant to 17 C.F.R. Section 200.83</w:t>
      </w:r>
    </w:p>
    <w:p>
      <w:pPr>
        <w:spacing w:after="0" w:line="143" w:lineRule="exact"/>
        <w:rPr>
          <w:sz w:val="20"/>
          <w:szCs w:val="20"/>
          <w:color w:val="auto"/>
        </w:rPr>
      </w:pPr>
    </w:p>
    <w:p>
      <w:pPr>
        <w:ind w:left="120"/>
        <w:spacing w:after="0" w:line="277" w:lineRule="auto"/>
        <w:rPr>
          <w:sz w:val="20"/>
          <w:szCs w:val="20"/>
          <w:color w:val="auto"/>
        </w:rPr>
      </w:pPr>
      <w:r>
        <w:rPr>
          <w:rFonts w:ascii="Arial" w:cs="Arial" w:eastAsia="Arial" w:hAnsi="Arial"/>
          <w:sz w:val="18"/>
          <w:szCs w:val="18"/>
          <w:color w:val="auto"/>
        </w:rPr>
        <w:t>unreimbursed letter of credit disbursement, the rate of interest otherwise applicable to the relevant loan or letter of credit disbursement or, in the case of any other amount, the rate applicable to Initial Revolving Loans that bear interest by reference to the ABR.</w:t>
      </w:r>
    </w:p>
    <w:p>
      <w:pPr>
        <w:spacing w:after="0" w:line="103" w:lineRule="exact"/>
        <w:rPr>
          <w:sz w:val="20"/>
          <w:szCs w:val="20"/>
          <w:color w:val="auto"/>
        </w:rPr>
      </w:pPr>
    </w:p>
    <w:p>
      <w:pPr>
        <w:jc w:val="center"/>
        <w:ind w:right="-459"/>
        <w:spacing w:after="0"/>
        <w:rPr>
          <w:sz w:val="20"/>
          <w:szCs w:val="20"/>
          <w:color w:val="auto"/>
        </w:rPr>
      </w:pPr>
      <w:r>
        <w:rPr>
          <w:rFonts w:ascii="Arial" w:cs="Arial" w:eastAsia="Arial" w:hAnsi="Arial"/>
          <w:sz w:val="18"/>
          <w:szCs w:val="18"/>
          <w:color w:val="auto"/>
        </w:rPr>
        <w:t>170</w:t>
      </w:r>
    </w:p>
    <w:p>
      <w:pPr>
        <w:sectPr>
          <w:pgSz w:w="11900" w:h="16838" w:orient="portrait"/>
          <w:cols w:equalWidth="0" w:num="1">
            <w:col w:w="11020"/>
          </w:cols>
          <w:pgMar w:left="320" w:top="459" w:right="559" w:bottom="1440" w:gutter="0" w:footer="0" w:header="0"/>
        </w:sectPr>
      </w:pPr>
    </w:p>
    <w:bookmarkStart w:id="177" w:name="page178"/>
    <w:bookmarkEnd w:id="17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Confidential Treatment Requested by Definitive Healthcare Corp.</w:t>
      </w:r>
    </w:p>
    <w:p>
      <w:pPr>
        <w:spacing w:after="0" w:line="27"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Pursuant to 17 C.F.R. Section 200.83</w:t>
      </w:r>
    </w:p>
    <w:p>
      <w:pPr>
        <w:spacing w:after="0" w:line="139"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DESCRIPTION OF CAPITAL STOCK</w:t>
      </w:r>
    </w:p>
    <w:p>
      <w:pPr>
        <w:spacing w:after="0" w:line="229" w:lineRule="exact"/>
        <w:rPr>
          <w:sz w:val="20"/>
          <w:szCs w:val="20"/>
          <w:color w:val="auto"/>
        </w:rPr>
      </w:pPr>
    </w:p>
    <w:p>
      <w:pPr>
        <w:ind w:left="120" w:right="60" w:firstLine="440"/>
        <w:spacing w:after="0" w:line="263" w:lineRule="auto"/>
        <w:rPr>
          <w:sz w:val="20"/>
          <w:szCs w:val="20"/>
          <w:color w:val="auto"/>
        </w:rPr>
      </w:pPr>
      <w:r>
        <w:rPr>
          <w:rFonts w:ascii="Arial" w:cs="Arial" w:eastAsia="Arial" w:hAnsi="Arial"/>
          <w:sz w:val="18"/>
          <w:szCs w:val="18"/>
          <w:color w:val="auto"/>
        </w:rPr>
        <w:t>The following is a description of the material terms of, and is qualified in its entirety by, our amended and restated certificate of incorporation and amended and restated bylaws, the forms of which are filed as exhibits to the registration statement of which this prospectus forms a part. Under “Description of Capital Stock,” “we,” “us,” “our” and “our company” refer to Definitive Healthcare Corp.</w:t>
      </w:r>
    </w:p>
    <w:p>
      <w:pPr>
        <w:spacing w:after="0" w:line="28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General</w:t>
      </w:r>
    </w:p>
    <w:p>
      <w:pPr>
        <w:spacing w:after="0" w:line="121" w:lineRule="exact"/>
        <w:rPr>
          <w:sz w:val="20"/>
          <w:szCs w:val="20"/>
          <w:color w:val="auto"/>
        </w:rPr>
      </w:pPr>
    </w:p>
    <w:p>
      <w:pPr>
        <w:jc w:val="both"/>
        <w:ind w:left="120" w:right="300" w:firstLine="440"/>
        <w:spacing w:after="0" w:line="263" w:lineRule="auto"/>
        <w:rPr>
          <w:sz w:val="20"/>
          <w:szCs w:val="20"/>
          <w:color w:val="auto"/>
        </w:rPr>
      </w:pPr>
      <w:r>
        <w:rPr>
          <w:rFonts w:ascii="Arial" w:cs="Arial" w:eastAsia="Arial" w:hAnsi="Arial"/>
          <w:sz w:val="18"/>
          <w:szCs w:val="18"/>
          <w:color w:val="auto"/>
        </w:rPr>
        <w:t>Our authorized capital stock consists of 600 million shares of Class A common stock, par value $0.001 per share, 65 million shares of Class B common stock, no par value per share, and 10 million shares of preferred stock, par value $0.001 per share. Unless our board of directors determines otherwise, we will issue all shares of our capital stock in uncertificated form.</w:t>
      </w:r>
    </w:p>
    <w:p>
      <w:pPr>
        <w:spacing w:after="0" w:line="28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Common stock</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Class A Common Stock</w:t>
      </w:r>
    </w:p>
    <w:p>
      <w:pPr>
        <w:spacing w:after="0" w:line="117" w:lineRule="exact"/>
        <w:rPr>
          <w:sz w:val="20"/>
          <w:szCs w:val="20"/>
          <w:color w:val="auto"/>
        </w:rPr>
      </w:pPr>
    </w:p>
    <w:p>
      <w:pPr>
        <w:ind w:left="120" w:right="60" w:firstLine="440"/>
        <w:spacing w:after="0" w:line="263" w:lineRule="auto"/>
        <w:rPr>
          <w:sz w:val="20"/>
          <w:szCs w:val="20"/>
          <w:color w:val="auto"/>
        </w:rPr>
      </w:pPr>
      <w:r>
        <w:rPr>
          <w:rFonts w:ascii="Arial" w:cs="Arial" w:eastAsia="Arial" w:hAnsi="Arial"/>
          <w:sz w:val="18"/>
          <w:szCs w:val="18"/>
          <w:color w:val="auto"/>
        </w:rPr>
        <w:t>Holders of shares of our Class A common stock are entitled to one vote for each share held of record on all matters on which stockholders are entitled to vote generally, including the election or removal of directors. The holders of our Class A common stock do not have cumulative voting rights in the election of directors.</w:t>
      </w:r>
    </w:p>
    <w:p>
      <w:pPr>
        <w:spacing w:after="0" w:line="184" w:lineRule="exact"/>
        <w:rPr>
          <w:sz w:val="20"/>
          <w:szCs w:val="20"/>
          <w:color w:val="auto"/>
        </w:rPr>
      </w:pPr>
    </w:p>
    <w:p>
      <w:pPr>
        <w:jc w:val="both"/>
        <w:ind w:left="120" w:right="480" w:firstLine="440"/>
        <w:spacing w:after="0" w:line="263" w:lineRule="auto"/>
        <w:rPr>
          <w:sz w:val="20"/>
          <w:szCs w:val="20"/>
          <w:color w:val="auto"/>
        </w:rPr>
      </w:pPr>
      <w:r>
        <w:rPr>
          <w:rFonts w:ascii="Arial" w:cs="Arial" w:eastAsia="Arial" w:hAnsi="Arial"/>
          <w:sz w:val="18"/>
          <w:szCs w:val="18"/>
          <w:color w:val="auto"/>
        </w:rPr>
        <w:t>Holders of shares of our Class A common stock are entitled to receive dividends when and if declared by our board of directors out of funds legally available therefor, subject to any statutory or contractual restrictions on the payment of dividends and to any restrictions on the payment of dividends imposed by the terms of any outstanding preferred stock.</w:t>
      </w:r>
    </w:p>
    <w:p>
      <w:pPr>
        <w:spacing w:after="0" w:line="184" w:lineRule="exact"/>
        <w:rPr>
          <w:sz w:val="20"/>
          <w:szCs w:val="20"/>
          <w:color w:val="auto"/>
        </w:rPr>
      </w:pPr>
    </w:p>
    <w:p>
      <w:pPr>
        <w:ind w:left="120" w:right="440" w:firstLine="440"/>
        <w:spacing w:after="0" w:line="263" w:lineRule="auto"/>
        <w:rPr>
          <w:sz w:val="20"/>
          <w:szCs w:val="20"/>
          <w:color w:val="auto"/>
        </w:rPr>
      </w:pPr>
      <w:r>
        <w:rPr>
          <w:rFonts w:ascii="Arial" w:cs="Arial" w:eastAsia="Arial" w:hAnsi="Arial"/>
          <w:sz w:val="18"/>
          <w:szCs w:val="18"/>
          <w:color w:val="auto"/>
        </w:rPr>
        <w:t>Upon our liquidation, dissolution or winding up and after payment in full of all amounts required to be paid to creditors and to the holders of preferred stock having liquidation preferences, if any, the holders of shares of our Class A common stock will be entitled to receive pro rata our remaining assets available for distribution.</w:t>
      </w:r>
    </w:p>
    <w:p>
      <w:pPr>
        <w:spacing w:after="0" w:line="184" w:lineRule="exact"/>
        <w:rPr>
          <w:sz w:val="20"/>
          <w:szCs w:val="20"/>
          <w:color w:val="auto"/>
        </w:rPr>
      </w:pPr>
    </w:p>
    <w:p>
      <w:pPr>
        <w:ind w:left="120" w:firstLine="440"/>
        <w:spacing w:after="0" w:line="259" w:lineRule="auto"/>
        <w:rPr>
          <w:sz w:val="20"/>
          <w:szCs w:val="20"/>
          <w:color w:val="auto"/>
        </w:rPr>
      </w:pPr>
      <w:r>
        <w:rPr>
          <w:rFonts w:ascii="Arial" w:cs="Arial" w:eastAsia="Arial" w:hAnsi="Arial"/>
          <w:sz w:val="18"/>
          <w:szCs w:val="18"/>
          <w:color w:val="auto"/>
        </w:rPr>
        <w:t>All shares of our Class A common stock that will be outstanding at the time of the completion of the offering will be fully paid and non-assessable. The Class A common stock will not be subject to further calls or assessments by us. The rights, powers and privileges of our Class A common stock will be subject to those of the holders of any shares of our preferred stock or any other series or class of stock we may authorize and issue in the future.</w:t>
      </w:r>
    </w:p>
    <w:p>
      <w:pPr>
        <w:spacing w:after="0" w:line="295"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Class B Common Stock</w:t>
      </w:r>
    </w:p>
    <w:p>
      <w:pPr>
        <w:spacing w:after="0" w:line="117" w:lineRule="exact"/>
        <w:rPr>
          <w:sz w:val="20"/>
          <w:szCs w:val="20"/>
          <w:color w:val="auto"/>
        </w:rPr>
      </w:pPr>
    </w:p>
    <w:p>
      <w:pPr>
        <w:ind w:left="120" w:firstLine="440"/>
        <w:spacing w:after="0" w:line="257" w:lineRule="auto"/>
        <w:rPr>
          <w:sz w:val="20"/>
          <w:szCs w:val="20"/>
          <w:color w:val="auto"/>
        </w:rPr>
      </w:pPr>
      <w:r>
        <w:rPr>
          <w:rFonts w:ascii="Arial" w:cs="Arial" w:eastAsia="Arial" w:hAnsi="Arial"/>
          <w:sz w:val="18"/>
          <w:szCs w:val="18"/>
          <w:color w:val="auto"/>
        </w:rPr>
        <w:t>Each share of Class B common stock entitles its holder to one vote per share on all matters submitted to a vote of our stockholders, including the election or removal of directors. The holders of our Class B common stock do not have cumulative voting rights in the election of directors. If at any time the ratio at which LLC Units are exchangeable for shares of our Class A common stock changes from one-for-one as described under “Certain Relationships and Related Party Transactions—Amended Definitive OpCo Agreement,” the number of votes to which Class B common stockholders are entitled will be adjusted accordingly.</w:t>
      </w:r>
    </w:p>
    <w:p>
      <w:pPr>
        <w:spacing w:after="0" w:line="188" w:lineRule="exact"/>
        <w:rPr>
          <w:sz w:val="20"/>
          <w:szCs w:val="20"/>
          <w:color w:val="auto"/>
        </w:rPr>
      </w:pPr>
    </w:p>
    <w:p>
      <w:pPr>
        <w:ind w:left="120" w:firstLine="440"/>
        <w:spacing w:after="0" w:line="311" w:lineRule="auto"/>
        <w:rPr>
          <w:sz w:val="20"/>
          <w:szCs w:val="20"/>
          <w:color w:val="auto"/>
        </w:rPr>
      </w:pPr>
      <w:r>
        <w:rPr>
          <w:rFonts w:ascii="Arial" w:cs="Arial" w:eastAsia="Arial" w:hAnsi="Arial"/>
          <w:sz w:val="16"/>
          <w:szCs w:val="16"/>
          <w:color w:val="auto"/>
        </w:rPr>
        <w:t>Except for transfers to us pursuant to the Amended LLC Agreement or to certain permitted transferees, the LLC Units and corresponding shares of Class B common stock may not be sold, transferred or otherwise disposed of. Holders of shares of our Class B common stock will vote together with holders of our Class A common stock as a single class on all matters on which stockholders are entitled to vote, except as otherwise required by law.</w:t>
      </w:r>
    </w:p>
    <w:p>
      <w:pPr>
        <w:spacing w:after="0" w:line="149" w:lineRule="exact"/>
        <w:rPr>
          <w:sz w:val="20"/>
          <w:szCs w:val="20"/>
          <w:color w:val="auto"/>
        </w:rPr>
      </w:pPr>
    </w:p>
    <w:p>
      <w:pPr>
        <w:ind w:left="120" w:right="80" w:firstLine="440"/>
        <w:spacing w:after="0" w:line="277" w:lineRule="auto"/>
        <w:rPr>
          <w:sz w:val="20"/>
          <w:szCs w:val="20"/>
          <w:color w:val="auto"/>
        </w:rPr>
      </w:pPr>
      <w:r>
        <w:rPr>
          <w:rFonts w:ascii="Arial" w:cs="Arial" w:eastAsia="Arial" w:hAnsi="Arial"/>
          <w:sz w:val="18"/>
          <w:szCs w:val="18"/>
          <w:color w:val="auto"/>
        </w:rPr>
        <w:t>The Class B common stock is not entitled to economic interests in Definitive Healthcare Corp. Holders of our Class B common stock do not have any right to receive dividends or to receive a distribution upon a</w:t>
      </w:r>
    </w:p>
    <w:p>
      <w:pPr>
        <w:spacing w:after="0" w:line="103" w:lineRule="exact"/>
        <w:rPr>
          <w:sz w:val="20"/>
          <w:szCs w:val="20"/>
          <w:color w:val="auto"/>
        </w:rPr>
      </w:pPr>
    </w:p>
    <w:p>
      <w:pPr>
        <w:jc w:val="center"/>
        <w:ind w:right="-359"/>
        <w:spacing w:after="0"/>
        <w:rPr>
          <w:sz w:val="20"/>
          <w:szCs w:val="20"/>
          <w:color w:val="auto"/>
        </w:rPr>
      </w:pPr>
      <w:r>
        <w:rPr>
          <w:rFonts w:ascii="Arial" w:cs="Arial" w:eastAsia="Arial" w:hAnsi="Arial"/>
          <w:sz w:val="18"/>
          <w:szCs w:val="18"/>
          <w:color w:val="auto"/>
        </w:rPr>
        <w:t>171</w:t>
      </w:r>
    </w:p>
    <w:p>
      <w:pPr>
        <w:sectPr>
          <w:pgSz w:w="11900" w:h="16838" w:orient="portrait"/>
          <w:cols w:equalWidth="0" w:num="1">
            <w:col w:w="11120"/>
          </w:cols>
          <w:pgMar w:left="320" w:top="459" w:right="459" w:bottom="1440" w:gutter="0" w:footer="0" w:header="0"/>
        </w:sectPr>
      </w:pPr>
    </w:p>
    <w:bookmarkStart w:id="178" w:name="page179"/>
    <w:bookmarkEnd w:id="17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Confidential Treatment Requested by Definitive Healthcare Corp.</w:t>
      </w:r>
    </w:p>
    <w:p>
      <w:pPr>
        <w:spacing w:after="0" w:line="27"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Pursuant to 17 C.F.R. Section 200.83</w:t>
      </w:r>
    </w:p>
    <w:p>
      <w:pPr>
        <w:spacing w:after="0" w:line="143" w:lineRule="exact"/>
        <w:rPr>
          <w:sz w:val="20"/>
          <w:szCs w:val="20"/>
          <w:color w:val="auto"/>
        </w:rPr>
      </w:pPr>
    </w:p>
    <w:p>
      <w:pPr>
        <w:ind w:left="120" w:right="160"/>
        <w:spacing w:after="0" w:line="263" w:lineRule="auto"/>
        <w:rPr>
          <w:sz w:val="20"/>
          <w:szCs w:val="20"/>
          <w:color w:val="auto"/>
        </w:rPr>
      </w:pPr>
      <w:r>
        <w:rPr>
          <w:rFonts w:ascii="Arial" w:cs="Arial" w:eastAsia="Arial" w:hAnsi="Arial"/>
          <w:sz w:val="18"/>
          <w:szCs w:val="18"/>
          <w:color w:val="auto"/>
        </w:rPr>
        <w:t>liquidation or winding up of Definitive Healthcare Corp. However, if Definitive OpCo makes distributions to Definitive Healthcare Corp., the other holders of LLC Units, including the Unitholders, will be entitled to receive distributions pro rata in accordance with the percentages of their respective LLC Units. The Class B common stock will not be subject to further calls or assessment by us.</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Voting Rights</w:t>
      </w:r>
    </w:p>
    <w:p>
      <w:pPr>
        <w:spacing w:after="0" w:line="117" w:lineRule="exact"/>
        <w:rPr>
          <w:sz w:val="20"/>
          <w:szCs w:val="20"/>
          <w:color w:val="auto"/>
        </w:rPr>
      </w:pPr>
    </w:p>
    <w:p>
      <w:pPr>
        <w:ind w:left="120" w:right="40" w:firstLine="440"/>
        <w:spacing w:after="0" w:line="255" w:lineRule="auto"/>
        <w:rPr>
          <w:sz w:val="20"/>
          <w:szCs w:val="20"/>
          <w:color w:val="auto"/>
        </w:rPr>
      </w:pPr>
      <w:r>
        <w:rPr>
          <w:rFonts w:ascii="Arial" w:cs="Arial" w:eastAsia="Arial" w:hAnsi="Arial"/>
          <w:sz w:val="18"/>
          <w:szCs w:val="18"/>
          <w:color w:val="auto"/>
        </w:rPr>
        <w:t>Directors are elected by a plurality of the votes cast by the holders of shares present in person or represented by proxy at the meeting and entitled to vote thereon. We have also adopted a majority voting policy in our corporate governance guidelines that requires that a director who fails to achieve a majority of votes cast in an uncontested election will be required to tender his or her resignation from the Board. The Nominating and Corporate Governance Committee will assess the appropriateness of such director’s continuing service on the Board and shall recommend to the Board the action to be taken with respect to the resignation. Vacancies created by resignations or otherwise may be filled by vote of the remaining directors. Our stockholders will not have cumulative voting rights.</w:t>
      </w:r>
    </w:p>
    <w:p>
      <w:pPr>
        <w:spacing w:after="0" w:line="192" w:lineRule="exact"/>
        <w:rPr>
          <w:sz w:val="20"/>
          <w:szCs w:val="20"/>
          <w:color w:val="auto"/>
        </w:rPr>
      </w:pPr>
    </w:p>
    <w:p>
      <w:pPr>
        <w:ind w:left="120" w:firstLine="440"/>
        <w:spacing w:after="0" w:line="257" w:lineRule="auto"/>
        <w:rPr>
          <w:sz w:val="20"/>
          <w:szCs w:val="20"/>
          <w:color w:val="auto"/>
        </w:rPr>
      </w:pPr>
      <w:r>
        <w:rPr>
          <w:rFonts w:ascii="Arial" w:cs="Arial" w:eastAsia="Arial" w:hAnsi="Arial"/>
          <w:sz w:val="18"/>
          <w:szCs w:val="18"/>
          <w:color w:val="auto"/>
        </w:rPr>
        <w:t>Except as otherwise provided in our amended and restated certificate of incorporation or as required by law, all matters to be voted on by our stockholders other than matters relating to the election and removal of directors must be approved by the affirmative vote of the holders of a majority in voting power of the shares of stock of the Company which are present in person or by proxy and entitled to vote thereon or, for so long as Advent and its affiliates collectively own 30% or more of the voting power of our then-outstanding common stock, by a written resolution of the stockholders representing the number of affirmative votes required for such matter at a meeting.</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Preferred Stock</w:t>
      </w:r>
    </w:p>
    <w:p>
      <w:pPr>
        <w:spacing w:after="0" w:line="121" w:lineRule="exact"/>
        <w:rPr>
          <w:sz w:val="20"/>
          <w:szCs w:val="20"/>
          <w:color w:val="auto"/>
        </w:rPr>
      </w:pPr>
    </w:p>
    <w:p>
      <w:pPr>
        <w:ind w:left="120" w:right="40" w:firstLine="440"/>
        <w:spacing w:after="0" w:line="296" w:lineRule="auto"/>
        <w:rPr>
          <w:sz w:val="20"/>
          <w:szCs w:val="20"/>
          <w:color w:val="auto"/>
        </w:rPr>
      </w:pPr>
      <w:r>
        <w:rPr>
          <w:rFonts w:ascii="Arial" w:cs="Arial" w:eastAsia="Arial" w:hAnsi="Arial"/>
          <w:sz w:val="16"/>
          <w:szCs w:val="16"/>
          <w:color w:val="auto"/>
        </w:rPr>
        <w:t>No shares of preferred stock will be issued or outstanding immediately after the offering contemplated by this prospectus. Our certificate of incorporation authorizes our board of directors to establish one or more series of preferred stock (including convertible preferred stock). Unless required by law or any stock exchange, the authorized shares of preferred stock will be available for issuance without further action by holders of our common stock. Our board of directors is able to determine, with respect to any series of preferred stock, the powers (including voting powers), preferences and relative, participating, optional or other special rights, and the qualifications, limitations or restrictions thereof, including, without limitation:</w:t>
      </w:r>
    </w:p>
    <w:p>
      <w:pPr>
        <w:spacing w:after="0" w:line="67" w:lineRule="exact"/>
        <w:rPr>
          <w:sz w:val="20"/>
          <w:szCs w:val="20"/>
          <w:color w:val="auto"/>
        </w:rPr>
      </w:pPr>
    </w:p>
    <w:p>
      <w:pPr>
        <w:ind w:left="1080" w:hanging="532"/>
        <w:spacing w:after="0"/>
        <w:tabs>
          <w:tab w:leader="none" w:pos="1080" w:val="left"/>
        </w:tabs>
        <w:numPr>
          <w:ilvl w:val="0"/>
          <w:numId w:val="153"/>
        </w:numPr>
        <w:rPr>
          <w:rFonts w:ascii="Arial" w:cs="Arial" w:eastAsia="Arial" w:hAnsi="Arial"/>
          <w:sz w:val="18"/>
          <w:szCs w:val="18"/>
          <w:color w:val="auto"/>
        </w:rPr>
      </w:pPr>
      <w:r>
        <w:rPr>
          <w:rFonts w:ascii="Arial" w:cs="Arial" w:eastAsia="Arial" w:hAnsi="Arial"/>
          <w:sz w:val="18"/>
          <w:szCs w:val="18"/>
          <w:color w:val="auto"/>
        </w:rPr>
        <w:t>the designation of the series;</w:t>
      </w:r>
    </w:p>
    <w:p>
      <w:pPr>
        <w:spacing w:after="0" w:line="130" w:lineRule="exact"/>
        <w:rPr>
          <w:rFonts w:ascii="Arial" w:cs="Arial" w:eastAsia="Arial" w:hAnsi="Arial"/>
          <w:sz w:val="18"/>
          <w:szCs w:val="18"/>
          <w:color w:val="auto"/>
        </w:rPr>
      </w:pPr>
    </w:p>
    <w:p>
      <w:pPr>
        <w:ind w:left="1080" w:right="160" w:hanging="532"/>
        <w:spacing w:after="0" w:line="263" w:lineRule="auto"/>
        <w:tabs>
          <w:tab w:leader="none" w:pos="1080" w:val="left"/>
        </w:tabs>
        <w:numPr>
          <w:ilvl w:val="0"/>
          <w:numId w:val="153"/>
        </w:numPr>
        <w:rPr>
          <w:rFonts w:ascii="Arial" w:cs="Arial" w:eastAsia="Arial" w:hAnsi="Arial"/>
          <w:sz w:val="18"/>
          <w:szCs w:val="18"/>
          <w:color w:val="auto"/>
        </w:rPr>
      </w:pPr>
      <w:r>
        <w:rPr>
          <w:rFonts w:ascii="Arial" w:cs="Arial" w:eastAsia="Arial" w:hAnsi="Arial"/>
          <w:sz w:val="18"/>
          <w:szCs w:val="18"/>
          <w:color w:val="auto"/>
        </w:rPr>
        <w:t>the number of shares of the series, which our board of directors may, except where otherwise provided in the preferred stock designation, increase (but not above the total number of authorized share of the class) or decrease (but not below the number of shares then outstanding);</w:t>
      </w:r>
    </w:p>
    <w:p>
      <w:pPr>
        <w:spacing w:after="0" w:line="89" w:lineRule="exact"/>
        <w:rPr>
          <w:rFonts w:ascii="Arial" w:cs="Arial" w:eastAsia="Arial" w:hAnsi="Arial"/>
          <w:sz w:val="18"/>
          <w:szCs w:val="18"/>
          <w:color w:val="auto"/>
        </w:rPr>
      </w:pPr>
    </w:p>
    <w:p>
      <w:pPr>
        <w:ind w:left="1080" w:hanging="532"/>
        <w:spacing w:after="0"/>
        <w:tabs>
          <w:tab w:leader="none" w:pos="1080" w:val="left"/>
        </w:tabs>
        <w:numPr>
          <w:ilvl w:val="0"/>
          <w:numId w:val="153"/>
        </w:numPr>
        <w:rPr>
          <w:rFonts w:ascii="Arial" w:cs="Arial" w:eastAsia="Arial" w:hAnsi="Arial"/>
          <w:sz w:val="18"/>
          <w:szCs w:val="18"/>
          <w:color w:val="auto"/>
        </w:rPr>
      </w:pPr>
      <w:r>
        <w:rPr>
          <w:rFonts w:ascii="Arial" w:cs="Arial" w:eastAsia="Arial" w:hAnsi="Arial"/>
          <w:sz w:val="18"/>
          <w:szCs w:val="18"/>
          <w:color w:val="auto"/>
        </w:rPr>
        <w:t>whether dividends, if any, will be cumulative or non-cumulative and the dividend rate of the series;</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153"/>
        </w:numPr>
        <w:rPr>
          <w:rFonts w:ascii="Arial" w:cs="Arial" w:eastAsia="Arial" w:hAnsi="Arial"/>
          <w:sz w:val="18"/>
          <w:szCs w:val="18"/>
          <w:color w:val="auto"/>
        </w:rPr>
      </w:pPr>
      <w:r>
        <w:rPr>
          <w:rFonts w:ascii="Arial" w:cs="Arial" w:eastAsia="Arial" w:hAnsi="Arial"/>
          <w:sz w:val="18"/>
          <w:szCs w:val="18"/>
          <w:color w:val="auto"/>
        </w:rPr>
        <w:t>the dates at which dividends, if any, will be payable;</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153"/>
        </w:numPr>
        <w:rPr>
          <w:rFonts w:ascii="Arial" w:cs="Arial" w:eastAsia="Arial" w:hAnsi="Arial"/>
          <w:sz w:val="18"/>
          <w:szCs w:val="18"/>
          <w:color w:val="auto"/>
        </w:rPr>
      </w:pPr>
      <w:r>
        <w:rPr>
          <w:rFonts w:ascii="Arial" w:cs="Arial" w:eastAsia="Arial" w:hAnsi="Arial"/>
          <w:sz w:val="18"/>
          <w:szCs w:val="18"/>
          <w:color w:val="auto"/>
        </w:rPr>
        <w:t>the exchange rights and price or prices, if any, for shares of the series;</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153"/>
        </w:numPr>
        <w:rPr>
          <w:rFonts w:ascii="Arial" w:cs="Arial" w:eastAsia="Arial" w:hAnsi="Arial"/>
          <w:sz w:val="18"/>
          <w:szCs w:val="18"/>
          <w:color w:val="auto"/>
        </w:rPr>
      </w:pPr>
      <w:r>
        <w:rPr>
          <w:rFonts w:ascii="Arial" w:cs="Arial" w:eastAsia="Arial" w:hAnsi="Arial"/>
          <w:sz w:val="18"/>
          <w:szCs w:val="18"/>
          <w:color w:val="auto"/>
        </w:rPr>
        <w:t>the terms and amounts of any sinking fund provided for the purchase or exchange of shares of the series;</w:t>
      </w:r>
    </w:p>
    <w:p>
      <w:pPr>
        <w:spacing w:after="0" w:line="130" w:lineRule="exact"/>
        <w:rPr>
          <w:rFonts w:ascii="Arial" w:cs="Arial" w:eastAsia="Arial" w:hAnsi="Arial"/>
          <w:sz w:val="18"/>
          <w:szCs w:val="18"/>
          <w:color w:val="auto"/>
        </w:rPr>
      </w:pPr>
    </w:p>
    <w:p>
      <w:pPr>
        <w:ind w:left="1080" w:right="20" w:hanging="532"/>
        <w:spacing w:after="0" w:line="277" w:lineRule="auto"/>
        <w:tabs>
          <w:tab w:leader="none" w:pos="1080" w:val="left"/>
        </w:tabs>
        <w:numPr>
          <w:ilvl w:val="0"/>
          <w:numId w:val="153"/>
        </w:numPr>
        <w:rPr>
          <w:rFonts w:ascii="Arial" w:cs="Arial" w:eastAsia="Arial" w:hAnsi="Arial"/>
          <w:sz w:val="18"/>
          <w:szCs w:val="18"/>
          <w:color w:val="auto"/>
        </w:rPr>
      </w:pPr>
      <w:r>
        <w:rPr>
          <w:rFonts w:ascii="Arial" w:cs="Arial" w:eastAsia="Arial" w:hAnsi="Arial"/>
          <w:sz w:val="18"/>
          <w:szCs w:val="18"/>
          <w:color w:val="auto"/>
        </w:rPr>
        <w:t>the amounts payable on shares of the series in the event of any voluntary or involuntary liquidation, dissolution or winding up of the affairs of our company;</w:t>
      </w:r>
    </w:p>
    <w:p>
      <w:pPr>
        <w:spacing w:after="0" w:line="75" w:lineRule="exact"/>
        <w:rPr>
          <w:rFonts w:ascii="Arial" w:cs="Arial" w:eastAsia="Arial" w:hAnsi="Arial"/>
          <w:sz w:val="18"/>
          <w:szCs w:val="18"/>
          <w:color w:val="auto"/>
        </w:rPr>
      </w:pPr>
    </w:p>
    <w:p>
      <w:pPr>
        <w:ind w:left="1080" w:right="40" w:hanging="532"/>
        <w:spacing w:after="0" w:line="259" w:lineRule="auto"/>
        <w:tabs>
          <w:tab w:leader="none" w:pos="1080" w:val="left"/>
        </w:tabs>
        <w:numPr>
          <w:ilvl w:val="0"/>
          <w:numId w:val="153"/>
        </w:numPr>
        <w:rPr>
          <w:rFonts w:ascii="Arial" w:cs="Arial" w:eastAsia="Arial" w:hAnsi="Arial"/>
          <w:sz w:val="18"/>
          <w:szCs w:val="18"/>
          <w:color w:val="auto"/>
        </w:rPr>
      </w:pPr>
      <w:r>
        <w:rPr>
          <w:rFonts w:ascii="Arial" w:cs="Arial" w:eastAsia="Arial" w:hAnsi="Arial"/>
          <w:sz w:val="18"/>
          <w:szCs w:val="18"/>
          <w:color w:val="auto"/>
        </w:rPr>
        <w:t>whether the shares of the series will be convertible into shares of any other class or series, or any other security, of our company or any other entity, and, if so, the specification of the other class or series or other security, the conversion price or prices or rate or rates, any rate adjustments, the date or dates as of which the shares will be convertible and all other terms and conditions upon which the conversion may be made;</w:t>
      </w:r>
    </w:p>
    <w:p>
      <w:pPr>
        <w:spacing w:after="0" w:line="119" w:lineRule="exact"/>
        <w:rPr>
          <w:sz w:val="20"/>
          <w:szCs w:val="20"/>
          <w:color w:val="auto"/>
        </w:rPr>
      </w:pPr>
    </w:p>
    <w:p>
      <w:pPr>
        <w:jc w:val="center"/>
        <w:ind w:right="-359"/>
        <w:spacing w:after="0"/>
        <w:rPr>
          <w:sz w:val="20"/>
          <w:szCs w:val="20"/>
          <w:color w:val="auto"/>
        </w:rPr>
      </w:pPr>
      <w:r>
        <w:rPr>
          <w:rFonts w:ascii="Arial" w:cs="Arial" w:eastAsia="Arial" w:hAnsi="Arial"/>
          <w:sz w:val="18"/>
          <w:szCs w:val="18"/>
          <w:color w:val="auto"/>
        </w:rPr>
        <w:t>172</w:t>
      </w:r>
    </w:p>
    <w:p>
      <w:pPr>
        <w:sectPr>
          <w:pgSz w:w="11900" w:h="16838" w:orient="portrait"/>
          <w:cols w:equalWidth="0" w:num="1">
            <w:col w:w="11120"/>
          </w:cols>
          <w:pgMar w:left="320" w:top="459" w:right="459" w:bottom="1440" w:gutter="0" w:footer="0" w:header="0"/>
        </w:sectPr>
      </w:pPr>
    </w:p>
    <w:bookmarkStart w:id="179" w:name="page180"/>
    <w:bookmarkEnd w:id="17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Confidential Treatment Requested by Definitive Healthcare Corp.</w:t>
      </w:r>
    </w:p>
    <w:p>
      <w:pPr>
        <w:spacing w:after="0" w:line="27"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Pursuant to 17 C.F.R. Section 200.83</w:t>
      </w:r>
    </w:p>
    <w:p>
      <w:pPr>
        <w:spacing w:after="0" w:line="143" w:lineRule="exact"/>
        <w:rPr>
          <w:sz w:val="20"/>
          <w:szCs w:val="20"/>
          <w:color w:val="auto"/>
        </w:rPr>
      </w:pPr>
    </w:p>
    <w:p>
      <w:pPr>
        <w:ind w:left="1080" w:hanging="532"/>
        <w:spacing w:after="0"/>
        <w:tabs>
          <w:tab w:leader="none" w:pos="1080" w:val="left"/>
        </w:tabs>
        <w:numPr>
          <w:ilvl w:val="0"/>
          <w:numId w:val="154"/>
        </w:numPr>
        <w:rPr>
          <w:rFonts w:ascii="Arial" w:cs="Arial" w:eastAsia="Arial" w:hAnsi="Arial"/>
          <w:sz w:val="18"/>
          <w:szCs w:val="18"/>
          <w:color w:val="auto"/>
        </w:rPr>
      </w:pPr>
      <w:r>
        <w:rPr>
          <w:rFonts w:ascii="Arial" w:cs="Arial" w:eastAsia="Arial" w:hAnsi="Arial"/>
          <w:sz w:val="18"/>
          <w:szCs w:val="18"/>
          <w:color w:val="auto"/>
        </w:rPr>
        <w:t>restrictions on the issuance of shares of the same series or of any other class or series; and</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154"/>
        </w:numPr>
        <w:rPr>
          <w:rFonts w:ascii="Arial" w:cs="Arial" w:eastAsia="Arial" w:hAnsi="Arial"/>
          <w:sz w:val="18"/>
          <w:szCs w:val="18"/>
          <w:color w:val="auto"/>
        </w:rPr>
      </w:pPr>
      <w:r>
        <w:rPr>
          <w:rFonts w:ascii="Arial" w:cs="Arial" w:eastAsia="Arial" w:hAnsi="Arial"/>
          <w:sz w:val="18"/>
          <w:szCs w:val="18"/>
          <w:color w:val="auto"/>
        </w:rPr>
        <w:t>the voting rights, if any, of the holders of the series.</w:t>
      </w:r>
    </w:p>
    <w:p>
      <w:pPr>
        <w:spacing w:after="0" w:line="225" w:lineRule="exact"/>
        <w:rPr>
          <w:sz w:val="20"/>
          <w:szCs w:val="20"/>
          <w:color w:val="auto"/>
        </w:rPr>
      </w:pPr>
    </w:p>
    <w:p>
      <w:pPr>
        <w:ind w:left="120" w:right="220" w:firstLine="440"/>
        <w:spacing w:after="0" w:line="255" w:lineRule="auto"/>
        <w:rPr>
          <w:sz w:val="20"/>
          <w:szCs w:val="20"/>
          <w:color w:val="auto"/>
        </w:rPr>
      </w:pPr>
      <w:r>
        <w:rPr>
          <w:rFonts w:ascii="Arial" w:cs="Arial" w:eastAsia="Arial" w:hAnsi="Arial"/>
          <w:sz w:val="18"/>
          <w:szCs w:val="18"/>
          <w:color w:val="auto"/>
        </w:rPr>
        <w:t>We could issue a series of preferred stock that could, depending on the terms of the series, impede or discourage an acquisition attempt or other transaction that some, or a majority, of the holders of our common stock might believe to be in their best interests or in which the holders of our common stock might receive a premium over the market price of the shares of common stock. Additionally, the issuance of preferred stock may adversely affect the holders of our common stock by restricting dividends on the common stock, diluting the voting power of the common stock or subordinating the liquidation rights of the common stock. As a result of these or other factors, the issuance of preferred stock could have an adverse impact on the market price of our common stock.</w:t>
      </w:r>
    </w:p>
    <w:p>
      <w:pPr>
        <w:spacing w:after="0" w:line="296"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Authorized but Unissued Capital Stock</w:t>
      </w:r>
    </w:p>
    <w:p>
      <w:pPr>
        <w:spacing w:after="0" w:line="121" w:lineRule="exact"/>
        <w:rPr>
          <w:sz w:val="20"/>
          <w:szCs w:val="20"/>
          <w:color w:val="auto"/>
        </w:rPr>
      </w:pPr>
    </w:p>
    <w:p>
      <w:pPr>
        <w:ind w:left="120" w:right="60" w:firstLine="440"/>
        <w:spacing w:after="0" w:line="273" w:lineRule="auto"/>
        <w:rPr>
          <w:sz w:val="20"/>
          <w:szCs w:val="20"/>
          <w:color w:val="auto"/>
        </w:rPr>
      </w:pPr>
      <w:r>
        <w:rPr>
          <w:rFonts w:ascii="Arial" w:cs="Arial" w:eastAsia="Arial" w:hAnsi="Arial"/>
          <w:sz w:val="17"/>
          <w:szCs w:val="17"/>
          <w:color w:val="auto"/>
        </w:rPr>
        <w:t>Delaware law does not require stockholder approval for any issuance of authorized shares. However, the listing requirements of Nasdaq, which would apply so long as the shares of Class A common stock remain listed on Nasdaq, require stockholder approval of certain issuances equal to or exceeding 20% of the then outstanding voting power or the then outstanding number of shares of Class A common stock (we believe the position of Nasdaq is that the calculation in this latter case treats as outstanding shares of Class A common stock issuable upon exchange of outstanding LLC Units not held by Definitive Healthcare Corp.). These additional shares of Class A common stock may be used for a variety of corporate purposes, including future public offerings, to raise additional capital or to facilitate acquisitions.</w:t>
      </w:r>
    </w:p>
    <w:p>
      <w:pPr>
        <w:spacing w:after="0" w:line="178" w:lineRule="exact"/>
        <w:rPr>
          <w:sz w:val="20"/>
          <w:szCs w:val="20"/>
          <w:color w:val="auto"/>
        </w:rPr>
      </w:pPr>
    </w:p>
    <w:p>
      <w:pPr>
        <w:ind w:left="120" w:right="20" w:firstLine="440"/>
        <w:spacing w:after="0" w:line="259" w:lineRule="auto"/>
        <w:rPr>
          <w:sz w:val="20"/>
          <w:szCs w:val="20"/>
          <w:color w:val="auto"/>
        </w:rPr>
      </w:pPr>
      <w:r>
        <w:rPr>
          <w:rFonts w:ascii="Arial" w:cs="Arial" w:eastAsia="Arial" w:hAnsi="Arial"/>
          <w:sz w:val="18"/>
          <w:szCs w:val="18"/>
          <w:color w:val="auto"/>
        </w:rPr>
        <w:t>One of the effects of the existence of unissued and unreserved common stock or preferred stock may be to enable our board of directors to issue shares to persons friendly to current management, which issuance could render more difficult or discourage an attempt to obtain control of our company by means of a merger, tender offer, proxy contest or otherwise, and thereby protect the continuity of our management and possibly deprive the stockholders of opportunities to sell their shares at prices higher than prevailing market prices.</w:t>
      </w:r>
    </w:p>
    <w:p>
      <w:pPr>
        <w:spacing w:after="0" w:line="29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Dividends</w:t>
      </w:r>
    </w:p>
    <w:p>
      <w:pPr>
        <w:spacing w:after="0" w:line="121" w:lineRule="exact"/>
        <w:rPr>
          <w:sz w:val="20"/>
          <w:szCs w:val="20"/>
          <w:color w:val="auto"/>
        </w:rPr>
      </w:pPr>
    </w:p>
    <w:p>
      <w:pPr>
        <w:ind w:left="120" w:firstLine="440"/>
        <w:spacing w:after="0" w:line="272" w:lineRule="auto"/>
        <w:rPr>
          <w:sz w:val="20"/>
          <w:szCs w:val="20"/>
          <w:color w:val="auto"/>
        </w:rPr>
      </w:pPr>
      <w:r>
        <w:rPr>
          <w:rFonts w:ascii="Arial" w:cs="Arial" w:eastAsia="Arial" w:hAnsi="Arial"/>
          <w:sz w:val="17"/>
          <w:szCs w:val="17"/>
          <w:color w:val="auto"/>
        </w:rPr>
        <w:t>The DGCL permits a corporation to declare and pay dividends out of “surplus” or, if there is no “surplus,” out of its net profits for the fiscal year in which the dividend is declared and/or the preceding fiscal year. “Surplus” is defined as the excess of the net assets of the corporation over the amount determined to be the capital of the corporation by its board of directors. The capital of the corporation is typically calculated to be (and cannot be less than) the aggregate par value of all issued shares of capital stock. Net assets equal the fair value of the total assets minus total liabilities. The DGCL also provides that dividends may not be paid out of net profits if, after the payment of the dividend, remaining capital would be less than the capital represented by the outstanding stock of all classes having a preference upon the distribution of assets. Declaration and payment of any dividend will be subject to the discretion of our board of directors. See also “Dividend Policy.”</w:t>
      </w:r>
    </w:p>
    <w:p>
      <w:pPr>
        <w:spacing w:after="0" w:line="28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Transferability Exchange</w:t>
      </w:r>
    </w:p>
    <w:p>
      <w:pPr>
        <w:spacing w:after="0" w:line="121" w:lineRule="exact"/>
        <w:rPr>
          <w:sz w:val="20"/>
          <w:szCs w:val="20"/>
          <w:color w:val="auto"/>
        </w:rPr>
      </w:pPr>
    </w:p>
    <w:p>
      <w:pPr>
        <w:ind w:left="120" w:right="120" w:firstLine="440"/>
        <w:spacing w:after="0" w:line="293" w:lineRule="auto"/>
        <w:rPr>
          <w:sz w:val="20"/>
          <w:szCs w:val="20"/>
          <w:color w:val="auto"/>
        </w:rPr>
      </w:pPr>
      <w:r>
        <w:rPr>
          <w:rFonts w:ascii="Arial" w:cs="Arial" w:eastAsia="Arial" w:hAnsi="Arial"/>
          <w:sz w:val="16"/>
          <w:szCs w:val="16"/>
          <w:color w:val="auto"/>
        </w:rPr>
        <w:t>Under the Amended LLC Agreement, the holders of LLC Units will have the right, from and after the completion of this offering (subject to the terms of the Amended LLC Agreement), to require Definitive OpCo to exchange all or a portion of their LLC Units for newly issued shares of Class A common stock, which may consist of unregistered shares, on a one-for-one basis (subject to customary adjustments, including for stock splits, stock dividends and reclassifications) in accordance with the terms of the Amended LLC Agreement. Shares of Class B common stock will be canceled on a one-for-one basis if we, following an exchange request of a holder of LLC Units, exchange LLC Units of such holder of LLC Units pursuant to the terms of the Amended LLC Agreement. See “Certain Relationships and Related Party Transactions—Amended Definitive OpCo Agreement.”</w:t>
      </w:r>
    </w:p>
    <w:p>
      <w:pPr>
        <w:spacing w:after="0" w:line="97" w:lineRule="exact"/>
        <w:rPr>
          <w:sz w:val="20"/>
          <w:szCs w:val="20"/>
          <w:color w:val="auto"/>
        </w:rPr>
      </w:pPr>
    </w:p>
    <w:p>
      <w:pPr>
        <w:jc w:val="center"/>
        <w:ind w:right="-379"/>
        <w:spacing w:after="0"/>
        <w:rPr>
          <w:sz w:val="20"/>
          <w:szCs w:val="20"/>
          <w:color w:val="auto"/>
        </w:rPr>
      </w:pPr>
      <w:r>
        <w:rPr>
          <w:rFonts w:ascii="Arial" w:cs="Arial" w:eastAsia="Arial" w:hAnsi="Arial"/>
          <w:sz w:val="18"/>
          <w:szCs w:val="18"/>
          <w:color w:val="auto"/>
        </w:rPr>
        <w:t>173</w:t>
      </w:r>
    </w:p>
    <w:p>
      <w:pPr>
        <w:sectPr>
          <w:pgSz w:w="11900" w:h="16838" w:orient="portrait"/>
          <w:cols w:equalWidth="0" w:num="1">
            <w:col w:w="11100"/>
          </w:cols>
          <w:pgMar w:left="320" w:top="459" w:right="479" w:bottom="1440" w:gutter="0" w:footer="0" w:header="0"/>
        </w:sectPr>
      </w:pPr>
    </w:p>
    <w:bookmarkStart w:id="180" w:name="page181"/>
    <w:bookmarkEnd w:id="18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Confidential Treatment Requested by Definitive Healthcare Corp.</w:t>
      </w:r>
    </w:p>
    <w:p>
      <w:pPr>
        <w:spacing w:after="0" w:line="27"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Pursuant to 17 C.F.R. Section 200.83</w:t>
      </w:r>
    </w:p>
    <w:p>
      <w:pPr>
        <w:spacing w:after="0" w:line="143" w:lineRule="exact"/>
        <w:rPr>
          <w:sz w:val="20"/>
          <w:szCs w:val="20"/>
          <w:color w:val="auto"/>
        </w:rPr>
      </w:pPr>
    </w:p>
    <w:p>
      <w:pPr>
        <w:ind w:left="120" w:firstLine="440"/>
        <w:spacing w:after="0" w:line="277" w:lineRule="auto"/>
        <w:rPr>
          <w:sz w:val="20"/>
          <w:szCs w:val="20"/>
          <w:color w:val="auto"/>
        </w:rPr>
      </w:pPr>
      <w:r>
        <w:rPr>
          <w:rFonts w:ascii="Arial" w:cs="Arial" w:eastAsia="Arial" w:hAnsi="Arial"/>
          <w:sz w:val="18"/>
          <w:szCs w:val="18"/>
          <w:color w:val="auto"/>
        </w:rPr>
        <w:t>Except for transfers to us pursuant to the Amended LLC Agreement or to certain permitted transferees, the LLC Units and corresponding shares of Class B common stock may not be sold, transferred or otherwise disposed of.</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Other Provisions</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Neither the Class A common stock nor the Class B common stock has any preemptive or other subscription rights.</w:t>
      </w:r>
    </w:p>
    <w:p>
      <w:pPr>
        <w:spacing w:after="0" w:line="225"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There are no redemption, conversion or sinking fund provisions applicable to the Class A common stock or Class B common stock.</w:t>
      </w:r>
    </w:p>
    <w:p>
      <w:pPr>
        <w:spacing w:after="0" w:line="225" w:lineRule="exact"/>
        <w:rPr>
          <w:sz w:val="20"/>
          <w:szCs w:val="20"/>
          <w:color w:val="auto"/>
        </w:rPr>
      </w:pPr>
    </w:p>
    <w:p>
      <w:pPr>
        <w:ind w:left="560"/>
        <w:spacing w:after="0"/>
        <w:rPr>
          <w:sz w:val="20"/>
          <w:szCs w:val="20"/>
          <w:color w:val="auto"/>
        </w:rPr>
      </w:pPr>
      <w:r>
        <w:rPr>
          <w:rFonts w:ascii="Arial" w:cs="Arial" w:eastAsia="Arial" w:hAnsi="Arial"/>
          <w:sz w:val="16"/>
          <w:szCs w:val="16"/>
          <w:color w:val="auto"/>
        </w:rPr>
        <w:t>At such time when no LLC Units remain exchangeable for shares of our Class A common stock, our Class B common stock will be canceled.</w:t>
      </w:r>
    </w:p>
    <w:p>
      <w:pPr>
        <w:spacing w:after="0" w:line="35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Anti-takeover Provisions</w:t>
      </w:r>
    </w:p>
    <w:p>
      <w:pPr>
        <w:spacing w:after="0" w:line="121" w:lineRule="exact"/>
        <w:rPr>
          <w:sz w:val="20"/>
          <w:szCs w:val="20"/>
          <w:color w:val="auto"/>
        </w:rPr>
      </w:pPr>
    </w:p>
    <w:p>
      <w:pPr>
        <w:ind w:left="120" w:firstLine="440"/>
        <w:spacing w:after="0" w:line="272" w:lineRule="auto"/>
        <w:rPr>
          <w:sz w:val="20"/>
          <w:szCs w:val="20"/>
          <w:color w:val="auto"/>
        </w:rPr>
      </w:pPr>
      <w:r>
        <w:rPr>
          <w:rFonts w:ascii="Arial" w:cs="Arial" w:eastAsia="Arial" w:hAnsi="Arial"/>
          <w:sz w:val="17"/>
          <w:szCs w:val="17"/>
          <w:color w:val="auto"/>
        </w:rPr>
        <w:t>Our amended and restated certificate of incorporation and amended and restated bylaws contain provisions that delay, defer or discourage transactions involving an actual or potential change in control of us or change in our management. We expect that these provisions, which are summarized below, will discourage coercive takeover practices or inadequate takeover bids. These provisions are designed to encourage persons seeking to acquire control of us to first negotiate with our Board, which we believe may result in an improvement of the terms of any such acquisition in favor of our stockholders. However, they also give our Board the power to discourage transactions that some stockholders may favor, including transactions in which stockholders might otherwise receive a premium for their shares or transactions that our stockholders might otherwise deem to be in their best interests. Accordingly, these provisions could adversely affect the price of our common stock.</w:t>
      </w:r>
    </w:p>
    <w:p>
      <w:pPr>
        <w:spacing w:after="0" w:line="28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Nominating Agreements</w:t>
      </w:r>
    </w:p>
    <w:p>
      <w:pPr>
        <w:spacing w:after="0" w:line="121" w:lineRule="exact"/>
        <w:rPr>
          <w:sz w:val="20"/>
          <w:szCs w:val="20"/>
          <w:color w:val="auto"/>
        </w:rPr>
      </w:pPr>
    </w:p>
    <w:p>
      <w:pPr>
        <w:ind w:left="120" w:right="20" w:firstLine="440"/>
        <w:spacing w:after="0" w:line="290" w:lineRule="auto"/>
        <w:rPr>
          <w:sz w:val="20"/>
          <w:szCs w:val="20"/>
          <w:color w:val="auto"/>
        </w:rPr>
      </w:pPr>
      <w:r>
        <w:rPr>
          <w:rFonts w:ascii="Arial" w:cs="Arial" w:eastAsia="Arial" w:hAnsi="Arial"/>
          <w:sz w:val="16"/>
          <w:szCs w:val="16"/>
          <w:color w:val="auto"/>
        </w:rPr>
        <w:t>So long as Advent and its affiliates own at least 21.5% of our outstanding common stock, (a) Advent and its affiliates have the right to nominate two designees to our Board; and (b) so long as each of Spectrum Equity and Jason Krantz together with their affiliates, own at least 5% of our outstanding common stock, respectively, Spectrum Equity and Jason Krantz, and their respective affiliates, each have the right to nominate one designee to our Board. After such time as Advent and its affiliates no longer beneficially own at least 21.5% of our outstanding common stock but so long as Advent and its affiliates are the beneficial owners of at least 5% of our common stock, Advent and its affiliates have the right to nominate one designee to our Board. So long as Advent, Spectrum Equity and Jason Krantz together with their respective affiliates beneficially own at least 5% of our outstanding common stock, Advent and its affiliates have the right to nominate a designee to our board to fill any vacancy of a director nominated by Advent and its affiliates due to death, resignation or removal. See “Certain Relationships and Related Party Transactions—Nominating Agreement.”</w:t>
      </w:r>
    </w:p>
    <w:p>
      <w:pPr>
        <w:spacing w:after="0" w:line="273"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Special Meetings of Stockholders</w:t>
      </w:r>
    </w:p>
    <w:p>
      <w:pPr>
        <w:spacing w:after="0" w:line="117" w:lineRule="exact"/>
        <w:rPr>
          <w:sz w:val="20"/>
          <w:szCs w:val="20"/>
          <w:color w:val="auto"/>
        </w:rPr>
      </w:pPr>
    </w:p>
    <w:p>
      <w:pPr>
        <w:jc w:val="both"/>
        <w:ind w:left="120" w:right="80" w:firstLine="440"/>
        <w:spacing w:after="0" w:line="279" w:lineRule="auto"/>
        <w:rPr>
          <w:sz w:val="20"/>
          <w:szCs w:val="20"/>
          <w:color w:val="auto"/>
        </w:rPr>
      </w:pPr>
      <w:r>
        <w:rPr>
          <w:rFonts w:ascii="Arial" w:cs="Arial" w:eastAsia="Arial" w:hAnsi="Arial"/>
          <w:sz w:val="17"/>
          <w:szCs w:val="17"/>
          <w:color w:val="auto"/>
        </w:rPr>
        <w:t>Our amended and restated certificate of incorporation and amended and restated bylaws provide that special meetings of the stockholders may be called only upon the request of a majority of our Board, our Chair or upon the request of the Chief Executive Officer. Our amended and restated bylaws prohibit the conduct of any business at a special meeting other than as specified in the notice for such meeting. These provisions may have the effect of deferring, delaying or discouraging hostile takeovers or changes in control or management of our company.</w:t>
      </w:r>
    </w:p>
    <w:p>
      <w:pPr>
        <w:spacing w:after="0" w:line="27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Advance Notice of Nominations and Other Business</w:t>
      </w:r>
    </w:p>
    <w:p>
      <w:pPr>
        <w:spacing w:after="0" w:line="117" w:lineRule="exact"/>
        <w:rPr>
          <w:sz w:val="20"/>
          <w:szCs w:val="20"/>
          <w:color w:val="auto"/>
        </w:rPr>
      </w:pPr>
    </w:p>
    <w:p>
      <w:pPr>
        <w:jc w:val="both"/>
        <w:ind w:left="120" w:right="80" w:firstLine="440"/>
        <w:spacing w:after="0" w:line="277" w:lineRule="auto"/>
        <w:rPr>
          <w:sz w:val="20"/>
          <w:szCs w:val="20"/>
          <w:color w:val="auto"/>
        </w:rPr>
      </w:pPr>
      <w:r>
        <w:rPr>
          <w:rFonts w:ascii="Arial" w:cs="Arial" w:eastAsia="Arial" w:hAnsi="Arial"/>
          <w:sz w:val="18"/>
          <w:szCs w:val="18"/>
          <w:color w:val="auto"/>
        </w:rPr>
        <w:t>Our amended and restated bylaws establish advance notice procedures with respect to stockholder proposals and the nomination of candidates for election as directors, other than nominations made by or at the direction of</w:t>
      </w:r>
    </w:p>
    <w:p>
      <w:pPr>
        <w:spacing w:after="0" w:line="103" w:lineRule="exact"/>
        <w:rPr>
          <w:sz w:val="20"/>
          <w:szCs w:val="20"/>
          <w:color w:val="auto"/>
        </w:rPr>
      </w:pPr>
    </w:p>
    <w:p>
      <w:pPr>
        <w:jc w:val="center"/>
        <w:ind w:right="-359"/>
        <w:spacing w:after="0"/>
        <w:rPr>
          <w:sz w:val="20"/>
          <w:szCs w:val="20"/>
          <w:color w:val="auto"/>
        </w:rPr>
      </w:pPr>
      <w:r>
        <w:rPr>
          <w:rFonts w:ascii="Arial" w:cs="Arial" w:eastAsia="Arial" w:hAnsi="Arial"/>
          <w:sz w:val="18"/>
          <w:szCs w:val="18"/>
          <w:color w:val="auto"/>
        </w:rPr>
        <w:t>174</w:t>
      </w:r>
    </w:p>
    <w:p>
      <w:pPr>
        <w:sectPr>
          <w:pgSz w:w="11900" w:h="16838" w:orient="portrait"/>
          <w:cols w:equalWidth="0" w:num="1">
            <w:col w:w="11120"/>
          </w:cols>
          <w:pgMar w:left="320" w:top="459" w:right="459" w:bottom="1440" w:gutter="0" w:footer="0" w:header="0"/>
        </w:sectPr>
      </w:pPr>
    </w:p>
    <w:bookmarkStart w:id="181" w:name="page182"/>
    <w:bookmarkEnd w:id="18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Confidential Treatment Requested by Definitive Healthcare Corp.</w:t>
      </w:r>
    </w:p>
    <w:p>
      <w:pPr>
        <w:spacing w:after="0" w:line="27"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Pursuant to 17 C.F.R. Section 200.83</w:t>
      </w:r>
    </w:p>
    <w:p>
      <w:pPr>
        <w:spacing w:after="0" w:line="143" w:lineRule="exact"/>
        <w:rPr>
          <w:sz w:val="20"/>
          <w:szCs w:val="20"/>
          <w:color w:val="auto"/>
        </w:rPr>
      </w:pPr>
    </w:p>
    <w:p>
      <w:pPr>
        <w:jc w:val="both"/>
        <w:ind w:left="120" w:right="20"/>
        <w:spacing w:after="0" w:line="286" w:lineRule="auto"/>
        <w:rPr>
          <w:sz w:val="20"/>
          <w:szCs w:val="20"/>
          <w:color w:val="auto"/>
        </w:rPr>
      </w:pPr>
      <w:r>
        <w:rPr>
          <w:rFonts w:ascii="Arial" w:cs="Arial" w:eastAsia="Arial" w:hAnsi="Arial"/>
          <w:sz w:val="16"/>
          <w:szCs w:val="16"/>
          <w:color w:val="auto"/>
        </w:rPr>
        <w:t>our Board or a committee of our Board. In order for any matter to be “properly brought” before a meeting, a stockholder must comply with the advance notice requirements of directors, which may be filled only by a vote of a majority of directors then in office, even though less than a quorum, and not by the stockholders. Our amended and restated bylaws will allow the presiding officer at a meeting of the stockholders to adopt rules and regulations for the conduct of meetings, which may have the effect of precluding the conduct of certain business at a meeting if the rules and regulations are not followed.</w:t>
      </w:r>
    </w:p>
    <w:p>
      <w:pPr>
        <w:spacing w:after="0" w:line="1" w:lineRule="exact"/>
        <w:rPr>
          <w:sz w:val="20"/>
          <w:szCs w:val="20"/>
          <w:color w:val="auto"/>
        </w:rPr>
      </w:pPr>
    </w:p>
    <w:p>
      <w:pPr>
        <w:ind w:left="120" w:right="260"/>
        <w:spacing w:after="0" w:line="260" w:lineRule="auto"/>
        <w:rPr>
          <w:sz w:val="20"/>
          <w:szCs w:val="20"/>
          <w:color w:val="auto"/>
        </w:rPr>
      </w:pPr>
      <w:r>
        <w:rPr>
          <w:rFonts w:ascii="Arial" w:cs="Arial" w:eastAsia="Arial" w:hAnsi="Arial"/>
          <w:sz w:val="18"/>
          <w:szCs w:val="18"/>
          <w:color w:val="auto"/>
        </w:rPr>
        <w:t>These provisions may also defer, delay or discourage a potential acquiror from conducting a solicitation of proxies to elect the acquiror’s own slate of directors or otherwise attempting to obtain control of our company.</w:t>
      </w:r>
    </w:p>
    <w:p>
      <w:pPr>
        <w:spacing w:after="0" w:line="293"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Classified Board of Directors and Related Provisions</w:t>
      </w:r>
    </w:p>
    <w:p>
      <w:pPr>
        <w:spacing w:after="0" w:line="117" w:lineRule="exact"/>
        <w:rPr>
          <w:sz w:val="20"/>
          <w:szCs w:val="20"/>
          <w:color w:val="auto"/>
        </w:rPr>
      </w:pPr>
    </w:p>
    <w:p>
      <w:pPr>
        <w:ind w:left="120" w:right="300" w:firstLine="440"/>
        <w:spacing w:after="0" w:line="263" w:lineRule="auto"/>
        <w:rPr>
          <w:sz w:val="20"/>
          <w:szCs w:val="20"/>
          <w:color w:val="auto"/>
        </w:rPr>
      </w:pPr>
      <w:r>
        <w:rPr>
          <w:rFonts w:ascii="Arial" w:cs="Arial" w:eastAsia="Arial" w:hAnsi="Arial"/>
          <w:sz w:val="18"/>
          <w:szCs w:val="18"/>
          <w:color w:val="auto"/>
        </w:rPr>
        <w:t>Our amended and restated certificate of incorporation provides that our Board will be divided into three classes, with one class being elected at each annual meeting of stockholders with termination staggered according to class. The classified board provision will prevent a third-party who acquires control of a majority of our outstanding voting stock from obtaining control of our Board.</w:t>
      </w:r>
    </w:p>
    <w:p>
      <w:pPr>
        <w:spacing w:after="0" w:line="184" w:lineRule="exact"/>
        <w:rPr>
          <w:sz w:val="20"/>
          <w:szCs w:val="20"/>
          <w:color w:val="auto"/>
        </w:rPr>
      </w:pPr>
    </w:p>
    <w:p>
      <w:pPr>
        <w:ind w:left="120" w:right="40" w:firstLine="440"/>
        <w:spacing w:after="0" w:line="271" w:lineRule="auto"/>
        <w:rPr>
          <w:sz w:val="20"/>
          <w:szCs w:val="20"/>
          <w:color w:val="auto"/>
        </w:rPr>
      </w:pPr>
      <w:r>
        <w:rPr>
          <w:rFonts w:ascii="Arial" w:cs="Arial" w:eastAsia="Arial" w:hAnsi="Arial"/>
          <w:sz w:val="17"/>
          <w:szCs w:val="17"/>
          <w:color w:val="auto"/>
        </w:rPr>
        <w:t>The number of directors constituting our Board is determined from time to time by our Board. Our amended and restated certificate of incorporation also provides that, subject to any rights of any preferred stock then outstanding, any director may be removed from office at any time but only for cause so long as the Board is classified and only by the affirmative vote of the holders of at least a majority of the voting power of the outstanding shares entitled to vote in the election of directors, considered for this purpose as one class. In addition, our amended and restated certificate of incorporation provides that any vacancy on the Board, including a vacancy that results from an increase in the number of directors, may be filled only by a majority of the directors then in office or by an affirmative vote of the sole remaining director. This provision, in conjunction with the provisions of our amended and restated certificate of incorporation authorizing our Board to fill vacancies on the board of directors, will prevent stockholders from removing incumbent directors without cause and filling the resulting vacancies with their own nominees.</w:t>
      </w:r>
    </w:p>
    <w:p>
      <w:pPr>
        <w:spacing w:after="0" w:line="286"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Stockholder Action by Written Consent</w:t>
      </w:r>
    </w:p>
    <w:p>
      <w:pPr>
        <w:spacing w:after="0" w:line="117" w:lineRule="exact"/>
        <w:rPr>
          <w:sz w:val="20"/>
          <w:szCs w:val="20"/>
          <w:color w:val="auto"/>
        </w:rPr>
      </w:pPr>
    </w:p>
    <w:p>
      <w:pPr>
        <w:ind w:left="120" w:firstLine="440"/>
        <w:spacing w:after="0" w:line="301" w:lineRule="auto"/>
        <w:rPr>
          <w:sz w:val="20"/>
          <w:szCs w:val="20"/>
          <w:color w:val="auto"/>
        </w:rPr>
      </w:pPr>
      <w:r>
        <w:rPr>
          <w:rFonts w:ascii="Arial" w:cs="Arial" w:eastAsia="Arial" w:hAnsi="Arial"/>
          <w:sz w:val="16"/>
          <w:szCs w:val="16"/>
          <w:color w:val="auto"/>
        </w:rPr>
        <w:t>Our amended and restated certificate of incorporation provides that, from and after the time that Advent and its affiliates collectively own less than 30% of the voting power of our then-outstanding common stock, subject to the rights of any holders of preferred stock to act by written consent instead of a meeting, stockholder action may be taken only at an annual meeting or special meeting of stockholders and may not be taken by written consent instead of a meeting. Failure to satisfy any of the requirements for a stockholder meeting could delay, prevent or invalidate stockholder action.</w:t>
      </w:r>
    </w:p>
    <w:p>
      <w:pPr>
        <w:spacing w:after="0" w:line="265"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Section 203 of the DGCL</w:t>
      </w:r>
    </w:p>
    <w:p>
      <w:pPr>
        <w:spacing w:after="0" w:line="117" w:lineRule="exact"/>
        <w:rPr>
          <w:sz w:val="20"/>
          <w:szCs w:val="20"/>
          <w:color w:val="auto"/>
        </w:rPr>
      </w:pPr>
    </w:p>
    <w:p>
      <w:pPr>
        <w:ind w:left="120" w:right="20" w:firstLine="440"/>
        <w:spacing w:after="0" w:line="271" w:lineRule="auto"/>
        <w:rPr>
          <w:sz w:val="20"/>
          <w:szCs w:val="20"/>
          <w:color w:val="auto"/>
        </w:rPr>
      </w:pPr>
      <w:r>
        <w:rPr>
          <w:rFonts w:ascii="Arial" w:cs="Arial" w:eastAsia="Arial" w:hAnsi="Arial"/>
          <w:sz w:val="17"/>
          <w:szCs w:val="17"/>
          <w:color w:val="auto"/>
        </w:rPr>
        <w:t>Our amended and restated certificate of incorporation provides that the provisions of Section 203 of the DGCL, which relate to business combinations with interested stockholders, do not apply to us. Section 203 of the DGCL prohibits a publicly held Delaware corporation from engaging in a business combination transaction with an interested stockholder (a stockholder who owns more than 15% of our common stock) for a period of three years after the interested stockholder became such unless the transaction fits within an applicable exemption, such as Board approval of the business combination or the transaction that resulted in such stockholder becoming an interested stockholder. These provisions apply even if the business combination could be considered beneficial by some stockholders. Our amended and restated certificate of incorporation contains provisions that have the same effect as Section 203 of the DGCL, but such provisions do not apply to Advent and Spectrum Equity and their affiliates. Although we have elected to opt out of the statute’s provisions, we could elect to be subject to Section 203 in the future.</w:t>
      </w:r>
    </w:p>
    <w:p>
      <w:pPr>
        <w:spacing w:after="0" w:line="111"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175</w:t>
      </w:r>
    </w:p>
    <w:p>
      <w:pPr>
        <w:sectPr>
          <w:pgSz w:w="11900" w:h="16838" w:orient="portrait"/>
          <w:cols w:equalWidth="0" w:num="1">
            <w:col w:w="11140"/>
          </w:cols>
          <w:pgMar w:left="320" w:top="459" w:right="439" w:bottom="1440" w:gutter="0" w:footer="0" w:header="0"/>
        </w:sectPr>
      </w:pPr>
    </w:p>
    <w:bookmarkStart w:id="182" w:name="page183"/>
    <w:bookmarkEnd w:id="18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Confidential Treatment Requested by Definitive Healthcare Corp.</w:t>
      </w:r>
    </w:p>
    <w:p>
      <w:pPr>
        <w:spacing w:after="0" w:line="27"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Pursuant to 17 C.F.R. Section 200.83</w:t>
      </w:r>
    </w:p>
    <w:p>
      <w:pPr>
        <w:spacing w:after="0" w:line="13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Amendment to Bylaws and Certificate of Incorporation</w:t>
      </w:r>
    </w:p>
    <w:p>
      <w:pPr>
        <w:spacing w:after="0" w:line="121" w:lineRule="exact"/>
        <w:rPr>
          <w:sz w:val="20"/>
          <w:szCs w:val="20"/>
          <w:color w:val="auto"/>
        </w:rPr>
      </w:pPr>
    </w:p>
    <w:p>
      <w:pPr>
        <w:ind w:left="120" w:firstLine="440"/>
        <w:spacing w:after="0" w:line="291" w:lineRule="auto"/>
        <w:rPr>
          <w:sz w:val="20"/>
          <w:szCs w:val="20"/>
          <w:color w:val="auto"/>
        </w:rPr>
      </w:pPr>
      <w:r>
        <w:rPr>
          <w:rFonts w:ascii="Arial" w:cs="Arial" w:eastAsia="Arial" w:hAnsi="Arial"/>
          <w:sz w:val="16"/>
          <w:szCs w:val="16"/>
          <w:color w:val="auto"/>
        </w:rPr>
        <w:t>Any amendment to our amended and restated certificate of incorporation must first be approved by a majority of our Board and if required by law, thereafter be approved by a majority of the outstanding shares entitled to vote on the amendment. Our amended and restated bylaws may be amended by</w:t>
      </w:r>
    </w:p>
    <w:p>
      <w:pPr>
        <w:ind w:left="120" w:right="420" w:hanging="4"/>
        <w:spacing w:after="0" w:line="290" w:lineRule="auto"/>
        <w:tabs>
          <w:tab w:leader="none" w:pos="335" w:val="left"/>
        </w:tabs>
        <w:numPr>
          <w:ilvl w:val="0"/>
          <w:numId w:val="155"/>
        </w:numPr>
        <w:rPr>
          <w:rFonts w:ascii="Arial" w:cs="Arial" w:eastAsia="Arial" w:hAnsi="Arial"/>
          <w:sz w:val="17"/>
          <w:szCs w:val="17"/>
          <w:color w:val="auto"/>
        </w:rPr>
      </w:pPr>
      <w:r>
        <w:rPr>
          <w:rFonts w:ascii="Arial" w:cs="Arial" w:eastAsia="Arial" w:hAnsi="Arial"/>
          <w:sz w:val="17"/>
          <w:szCs w:val="17"/>
          <w:color w:val="auto"/>
        </w:rPr>
        <w:t>the affirmative vote of a majority of the directors, subject to any limitations set forth in the bylaws, without further stockholder action or (ii) the affirmative vote of at least a majority of the outstanding shares entitled to vote on the amendment, without further action by our Board.</w:t>
      </w:r>
    </w:p>
    <w:p>
      <w:pPr>
        <w:spacing w:after="0" w:line="26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Exclusive Forum</w:t>
      </w:r>
    </w:p>
    <w:p>
      <w:pPr>
        <w:spacing w:after="0" w:line="121" w:lineRule="exact"/>
        <w:rPr>
          <w:sz w:val="20"/>
          <w:szCs w:val="20"/>
          <w:color w:val="auto"/>
        </w:rPr>
      </w:pPr>
    </w:p>
    <w:p>
      <w:pPr>
        <w:ind w:left="120" w:firstLine="440"/>
        <w:spacing w:after="0" w:line="273" w:lineRule="auto"/>
        <w:rPr>
          <w:sz w:val="20"/>
          <w:szCs w:val="20"/>
          <w:color w:val="auto"/>
        </w:rPr>
      </w:pPr>
      <w:r>
        <w:rPr>
          <w:rFonts w:ascii="Arial" w:cs="Arial" w:eastAsia="Arial" w:hAnsi="Arial"/>
          <w:sz w:val="17"/>
          <w:szCs w:val="17"/>
          <w:color w:val="auto"/>
        </w:rPr>
        <w:t>Our amended and restated certificate of incorporation provides that, unless we consent in writing to an alternative forum, the Court of Chancery of the State of Delaware shall, to the fullest extent permitted by law, be the sole and exclusive forum for any (i) derivative action or proceeding brought on our behalf, (ii) action asserting a claim of breach of a fiduciary duty or other wrongdoing by any current or former director, officer, employee, agent or stockholder to us or our stockholders, (iii) action asserting a claim arising pursuant to any provision of the DGCL, our amended and restated certificate of incorporation, or our amended and restated bylaws or as to which the DGCL confers jurisdiction on the Court of Chancery of the State of Delaware, or (iv) action asserting a claim governed by the internal affairs doctrine of the law of the State of Delaware.</w:t>
      </w:r>
    </w:p>
    <w:p>
      <w:pPr>
        <w:spacing w:after="0" w:line="178" w:lineRule="exact"/>
        <w:rPr>
          <w:sz w:val="20"/>
          <w:szCs w:val="20"/>
          <w:color w:val="auto"/>
        </w:rPr>
      </w:pPr>
    </w:p>
    <w:p>
      <w:pPr>
        <w:ind w:left="120" w:firstLine="440"/>
        <w:spacing w:after="0" w:line="263" w:lineRule="auto"/>
        <w:rPr>
          <w:sz w:val="20"/>
          <w:szCs w:val="20"/>
          <w:color w:val="auto"/>
        </w:rPr>
      </w:pPr>
      <w:r>
        <w:rPr>
          <w:rFonts w:ascii="Arial" w:cs="Arial" w:eastAsia="Arial" w:hAnsi="Arial"/>
          <w:sz w:val="18"/>
          <w:szCs w:val="18"/>
          <w:color w:val="auto"/>
        </w:rPr>
        <w:t>Our amended and restated certificate of incorporation also provides that the foregoing exclusive forum provision does not apply to actions brought to enforce any liability or duty created by the Securities Act or Exchange Act, or any other claim or cause of action for which the federal courts have exclusive jurisdiction.</w:t>
      </w:r>
    </w:p>
    <w:p>
      <w:pPr>
        <w:spacing w:after="0" w:line="184" w:lineRule="exact"/>
        <w:rPr>
          <w:sz w:val="20"/>
          <w:szCs w:val="20"/>
          <w:color w:val="auto"/>
        </w:rPr>
      </w:pPr>
    </w:p>
    <w:p>
      <w:pPr>
        <w:ind w:left="120" w:right="20" w:firstLine="440"/>
        <w:spacing w:after="0" w:line="279" w:lineRule="auto"/>
        <w:rPr>
          <w:sz w:val="20"/>
          <w:szCs w:val="20"/>
          <w:color w:val="auto"/>
        </w:rPr>
      </w:pPr>
      <w:r>
        <w:rPr>
          <w:rFonts w:ascii="Arial" w:cs="Arial" w:eastAsia="Arial" w:hAnsi="Arial"/>
          <w:sz w:val="17"/>
          <w:szCs w:val="17"/>
          <w:color w:val="auto"/>
        </w:rPr>
        <w:t>Additionally, because the Securities Act provides for concurrent federal and state jurisdiction, our amended and restated certificate of incorporation also provides that, unless we consent in writing to an alternative forum, the federal district courts of the United States shall be the sole and exclusive forum for the resolution of any action asserting a claim arising under the Securities Act, or the rules and regulations promulgated thereunder. Pursuant to the Exchange Act, claims arising thereunder must be brought in federal district courts of the United States.</w:t>
      </w:r>
    </w:p>
    <w:p>
      <w:pPr>
        <w:spacing w:after="0" w:line="171" w:lineRule="exact"/>
        <w:rPr>
          <w:sz w:val="20"/>
          <w:szCs w:val="20"/>
          <w:color w:val="auto"/>
        </w:rPr>
      </w:pPr>
    </w:p>
    <w:p>
      <w:pPr>
        <w:ind w:left="120" w:right="60" w:firstLine="440"/>
        <w:spacing w:after="0" w:line="254" w:lineRule="auto"/>
        <w:rPr>
          <w:sz w:val="20"/>
          <w:szCs w:val="20"/>
          <w:color w:val="auto"/>
        </w:rPr>
      </w:pPr>
      <w:r>
        <w:rPr>
          <w:rFonts w:ascii="Arial" w:cs="Arial" w:eastAsia="Arial" w:hAnsi="Arial"/>
          <w:sz w:val="18"/>
          <w:szCs w:val="18"/>
          <w:color w:val="auto"/>
        </w:rPr>
        <w:t>To the fullest extent permitted by law, any person or entity purchasing or otherwise acquiring or holding any interest in any shares of our capital stock shall be deemed to have notice of and consented to the forum provision in our amended and restated certificate of incorporation. In any case, stockholders will not be deemed to have waived our compliance with the federal securities laws and the rules and regulations thereunder. The enforceability of similar choice of forum provisions in other companies’ certificates of incorporation has been challenged in legal proceedings, and it is possible that a court could find these types of provisions to be inapplicable or unenforceable. Our amended and restated certificate of incorporation also provides that any person or entity purchasing or otherwise acquiring any interest in shares of our capital stock will be deemed to have notice of and consented to this choice of forum provision. These exclusive forum provisions may have the effect of discouraging lawsuits against our directors and officers.</w:t>
      </w:r>
    </w:p>
    <w:p>
      <w:pPr>
        <w:spacing w:after="0" w:line="296"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Corporate Opportunities</w:t>
      </w:r>
    </w:p>
    <w:p>
      <w:pPr>
        <w:spacing w:after="0" w:line="121" w:lineRule="exact"/>
        <w:rPr>
          <w:sz w:val="20"/>
          <w:szCs w:val="20"/>
          <w:color w:val="auto"/>
        </w:rPr>
      </w:pPr>
    </w:p>
    <w:p>
      <w:pPr>
        <w:ind w:left="120" w:right="120" w:firstLine="440"/>
        <w:spacing w:after="0" w:line="279" w:lineRule="auto"/>
        <w:rPr>
          <w:sz w:val="20"/>
          <w:szCs w:val="20"/>
          <w:color w:val="auto"/>
        </w:rPr>
      </w:pPr>
      <w:r>
        <w:rPr>
          <w:rFonts w:ascii="Arial" w:cs="Arial" w:eastAsia="Arial" w:hAnsi="Arial"/>
          <w:sz w:val="17"/>
          <w:szCs w:val="17"/>
          <w:color w:val="auto"/>
        </w:rPr>
        <w:t>Our amended and restated certificate of incorporation provides that neither our Sponsors nor a director affiliated with our Sponsors have any obligation to offer us an opportunity to participate in business opportunities presented to such Sponsor even if the opportunity is one that we might reasonably have pursued (and therefore may be free to compete with us in the same business or similar businesses), and that, to the extent permitted by law, no Sponsor will be liable to us or our stockholders for breach of any duty by reason of any such activities.</w:t>
      </w:r>
    </w:p>
    <w:p>
      <w:pPr>
        <w:spacing w:after="0" w:line="27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Listing</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Our Class A common stock is listed on Nasdaq under the symbol “DH.”</w:t>
      </w:r>
    </w:p>
    <w:p>
      <w:pPr>
        <w:spacing w:after="0" w:line="158" w:lineRule="exact"/>
        <w:rPr>
          <w:sz w:val="20"/>
          <w:szCs w:val="20"/>
          <w:color w:val="auto"/>
        </w:rPr>
      </w:pPr>
    </w:p>
    <w:p>
      <w:pPr>
        <w:jc w:val="center"/>
        <w:ind w:right="-359"/>
        <w:spacing w:after="0"/>
        <w:rPr>
          <w:sz w:val="20"/>
          <w:szCs w:val="20"/>
          <w:color w:val="auto"/>
        </w:rPr>
      </w:pPr>
      <w:r>
        <w:rPr>
          <w:rFonts w:ascii="Arial" w:cs="Arial" w:eastAsia="Arial" w:hAnsi="Arial"/>
          <w:sz w:val="18"/>
          <w:szCs w:val="18"/>
          <w:color w:val="auto"/>
        </w:rPr>
        <w:t>176</w:t>
      </w:r>
    </w:p>
    <w:p>
      <w:pPr>
        <w:sectPr>
          <w:pgSz w:w="11900" w:h="16838" w:orient="portrait"/>
          <w:cols w:equalWidth="0" w:num="1">
            <w:col w:w="11100"/>
          </w:cols>
          <w:pgMar w:left="320" w:top="459" w:right="479" w:bottom="1440" w:gutter="0" w:footer="0" w:header="0"/>
        </w:sectPr>
      </w:pPr>
    </w:p>
    <w:bookmarkStart w:id="183" w:name="page184"/>
    <w:bookmarkEnd w:id="18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20"/>
        <w:spacing w:after="0"/>
        <w:rPr>
          <w:sz w:val="20"/>
          <w:szCs w:val="20"/>
          <w:color w:val="auto"/>
        </w:rPr>
      </w:pPr>
      <w:r>
        <w:rPr>
          <w:rFonts w:ascii="Arial" w:cs="Arial" w:eastAsia="Arial" w:hAnsi="Arial"/>
          <w:sz w:val="16"/>
          <w:szCs w:val="16"/>
          <w:b w:val="1"/>
          <w:bCs w:val="1"/>
          <w:color w:val="auto"/>
        </w:rPr>
        <w:t>Confidential Treatment Requested by Definitive Healthcare Corp.</w:t>
      </w:r>
    </w:p>
    <w:p>
      <w:pPr>
        <w:spacing w:after="0" w:line="50" w:lineRule="exact"/>
        <w:rPr>
          <w:sz w:val="20"/>
          <w:szCs w:val="20"/>
          <w:color w:val="auto"/>
        </w:rPr>
      </w:pPr>
    </w:p>
    <w:p>
      <w:pPr>
        <w:jc w:val="center"/>
        <w:ind w:right="-1120"/>
        <w:spacing w:after="0"/>
        <w:rPr>
          <w:sz w:val="20"/>
          <w:szCs w:val="20"/>
          <w:color w:val="auto"/>
        </w:rPr>
      </w:pPr>
      <w:r>
        <w:rPr>
          <w:rFonts w:ascii="Arial" w:cs="Arial" w:eastAsia="Arial" w:hAnsi="Arial"/>
          <w:sz w:val="18"/>
          <w:szCs w:val="18"/>
          <w:b w:val="1"/>
          <w:bCs w:val="1"/>
          <w:color w:val="auto"/>
        </w:rPr>
        <w:t>Pursuant to 17 C.F.R. Section 200.83</w:t>
      </w:r>
    </w:p>
    <w:p>
      <w:pPr>
        <w:spacing w:after="0" w:line="13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Transfer Agent and Registrar</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transfer agent and registrar for the Class A common stock is AST Financial.</w:t>
      </w:r>
    </w:p>
    <w:p>
      <w:pPr>
        <w:spacing w:after="0" w:line="158" w:lineRule="exact"/>
        <w:rPr>
          <w:sz w:val="20"/>
          <w:szCs w:val="20"/>
          <w:color w:val="auto"/>
        </w:rPr>
      </w:pPr>
    </w:p>
    <w:p>
      <w:pPr>
        <w:ind w:left="5600"/>
        <w:spacing w:after="0"/>
        <w:rPr>
          <w:sz w:val="20"/>
          <w:szCs w:val="20"/>
          <w:color w:val="auto"/>
        </w:rPr>
      </w:pPr>
      <w:r>
        <w:rPr>
          <w:rFonts w:ascii="Arial" w:cs="Arial" w:eastAsia="Arial" w:hAnsi="Arial"/>
          <w:sz w:val="18"/>
          <w:szCs w:val="18"/>
          <w:color w:val="auto"/>
        </w:rPr>
        <w:t>177</w:t>
      </w:r>
    </w:p>
    <w:p>
      <w:pPr>
        <w:sectPr>
          <w:pgSz w:w="11900" w:h="16838" w:orient="portrait"/>
          <w:cols w:equalWidth="0" w:num="1">
            <w:col w:w="10139"/>
          </w:cols>
          <w:pgMar w:left="320" w:top="459" w:right="1440" w:bottom="1440" w:gutter="0" w:footer="0" w:header="0"/>
        </w:sectPr>
      </w:pPr>
    </w:p>
    <w:bookmarkStart w:id="184" w:name="page185"/>
    <w:bookmarkEnd w:id="18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Confidential Treatment Requested by Definitive Healthcare Corp.</w:t>
      </w:r>
    </w:p>
    <w:p>
      <w:pPr>
        <w:spacing w:after="0" w:line="27"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Pursuant to 17 C.F.R. Section 200.83</w:t>
      </w:r>
    </w:p>
    <w:p>
      <w:pPr>
        <w:spacing w:after="0" w:line="139"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SHARES ELIGIBLE FOR FUTURE SALE</w:t>
      </w:r>
    </w:p>
    <w:p>
      <w:pPr>
        <w:spacing w:after="0" w:line="229" w:lineRule="exact"/>
        <w:rPr>
          <w:sz w:val="20"/>
          <w:szCs w:val="20"/>
          <w:color w:val="auto"/>
        </w:rPr>
      </w:pPr>
    </w:p>
    <w:p>
      <w:pPr>
        <w:ind w:left="120" w:right="100" w:firstLine="440"/>
        <w:spacing w:after="0" w:line="296" w:lineRule="auto"/>
        <w:rPr>
          <w:sz w:val="20"/>
          <w:szCs w:val="20"/>
          <w:color w:val="auto"/>
        </w:rPr>
      </w:pPr>
      <w:r>
        <w:rPr>
          <w:rFonts w:ascii="Arial" w:cs="Arial" w:eastAsia="Arial" w:hAnsi="Arial"/>
          <w:sz w:val="16"/>
          <w:szCs w:val="16"/>
          <w:color w:val="auto"/>
        </w:rPr>
        <w:t>We cannot make any prediction as to the effect, if any, that sales of Class A common stock or the availability of Class A common stock for future sales will have on the market price of our Class A common stock. The market price of our Class A common stock could decline because of the sale of a large number of shares of our Class A common stock or the perception that such sales could occur in the future. These factors could also make it more difficult to raise funds through future offerings of Class A common stock. See “Risk Factors—Risks Related to Our Class A common stock and This Offering—Future offerings of debt or equity securities by us may have a material adverse effect on the market price of our Class A common stock.”</w:t>
      </w:r>
    </w:p>
    <w:p>
      <w:pPr>
        <w:spacing w:after="0" w:line="26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Sale of Restricted Shares</w:t>
      </w:r>
    </w:p>
    <w:p>
      <w:pPr>
        <w:spacing w:after="0" w:line="121" w:lineRule="exact"/>
        <w:rPr>
          <w:sz w:val="20"/>
          <w:szCs w:val="20"/>
          <w:color w:val="auto"/>
        </w:rPr>
      </w:pPr>
    </w:p>
    <w:p>
      <w:pPr>
        <w:ind w:left="120" w:right="80" w:firstLine="440"/>
        <w:spacing w:after="0" w:line="258" w:lineRule="auto"/>
        <w:rPr>
          <w:sz w:val="20"/>
          <w:szCs w:val="20"/>
          <w:color w:val="auto"/>
        </w:rPr>
      </w:pPr>
      <w:r>
        <w:rPr>
          <w:rFonts w:ascii="Arial" w:cs="Arial" w:eastAsia="Arial" w:hAnsi="Arial"/>
          <w:sz w:val="18"/>
          <w:szCs w:val="18"/>
          <w:color w:val="auto"/>
        </w:rPr>
        <w:t>Upon the consummation of this offering, we will have shares of Class A common stock (or shares if the underwriters exercise their option to purchase additional shares of Class A common stock in full) outstanding. Of these shares, the shares sold in this offering (or</w:t>
      </w:r>
    </w:p>
    <w:p>
      <w:pPr>
        <w:spacing w:after="0" w:line="1" w:lineRule="exact"/>
        <w:rPr>
          <w:sz w:val="20"/>
          <w:szCs w:val="20"/>
          <w:color w:val="auto"/>
        </w:rPr>
      </w:pPr>
    </w:p>
    <w:p>
      <w:pPr>
        <w:ind w:left="120" w:firstLine="720"/>
        <w:spacing w:after="0" w:line="187" w:lineRule="auto"/>
        <w:rPr>
          <w:sz w:val="20"/>
          <w:szCs w:val="20"/>
          <w:color w:val="auto"/>
        </w:rPr>
      </w:pPr>
      <w:r>
        <w:rPr>
          <w:rFonts w:ascii="Arial" w:cs="Arial" w:eastAsia="Arial" w:hAnsi="Arial"/>
          <w:sz w:val="12"/>
          <w:szCs w:val="12"/>
          <w:color w:val="auto"/>
        </w:rPr>
        <w:t>shares if the underwriters exercise their option to purchase additional shares of Class A common stock in full) will be freely tradable, without further restriction or registration under the Securities Act, except any shares held by our “affiliates,” as that term is defined in Rule 144 under the Securities Act. In the absence of registration under the Securities Act, shares held by affiliates may only be sold in compliance with the limitations of Rule 144 described below or another exemption from the registration requirements of the Securities Act. As defined in Rule 144, an affiliate of an issuer is a person that directly, or indirectly through one or more intermediaries, controls, is controlled by or is under common control with the issuer. Upon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ind w:left="120" w:right="360"/>
        <w:spacing w:after="0" w:line="277" w:lineRule="auto"/>
        <w:rPr>
          <w:sz w:val="20"/>
          <w:szCs w:val="20"/>
          <w:color w:val="auto"/>
        </w:rPr>
      </w:pPr>
      <w:r>
        <w:rPr>
          <w:rFonts w:ascii="Arial" w:cs="Arial" w:eastAsia="Arial" w:hAnsi="Arial"/>
          <w:sz w:val="18"/>
          <w:szCs w:val="18"/>
          <w:color w:val="auto"/>
        </w:rPr>
        <w:t>completion of this offering, approximately of our outstanding shares of Class A common stock will be deemed “restricted securities,” as that term is defined under Rule 144, and would also be subject to the “lock-up” period noted below.</w:t>
      </w:r>
    </w:p>
    <w:p>
      <w:pPr>
        <w:spacing w:after="0" w:line="170" w:lineRule="exact"/>
        <w:rPr>
          <w:sz w:val="20"/>
          <w:szCs w:val="20"/>
          <w:color w:val="auto"/>
        </w:rPr>
      </w:pPr>
    </w:p>
    <w:p>
      <w:pPr>
        <w:ind w:left="560"/>
        <w:spacing w:after="0"/>
        <w:tabs>
          <w:tab w:leader="none" w:pos="7560" w:val="left"/>
        </w:tabs>
        <w:rPr>
          <w:sz w:val="20"/>
          <w:szCs w:val="20"/>
          <w:color w:val="auto"/>
        </w:rPr>
      </w:pPr>
      <w:r>
        <w:rPr>
          <w:rFonts w:ascii="Arial" w:cs="Arial" w:eastAsia="Arial" w:hAnsi="Arial"/>
          <w:sz w:val="18"/>
          <w:szCs w:val="18"/>
          <w:color w:val="auto"/>
        </w:rPr>
        <w:t>In addition, upon the consummation of the offering, the Unitholders will own all of the</w:t>
      </w:r>
      <w:r>
        <w:rPr>
          <w:sz w:val="20"/>
          <w:szCs w:val="20"/>
          <w:color w:val="auto"/>
        </w:rPr>
        <w:tab/>
      </w:r>
      <w:r>
        <w:rPr>
          <w:rFonts w:ascii="Arial" w:cs="Arial" w:eastAsia="Arial" w:hAnsi="Arial"/>
          <w:sz w:val="16"/>
          <w:szCs w:val="16"/>
          <w:color w:val="auto"/>
        </w:rPr>
        <w:t>shares of our Class B common stock. The</w:t>
      </w:r>
    </w:p>
    <w:p>
      <w:pPr>
        <w:spacing w:after="0" w:line="23" w:lineRule="exact"/>
        <w:rPr>
          <w:sz w:val="20"/>
          <w:szCs w:val="20"/>
          <w:color w:val="auto"/>
        </w:rPr>
      </w:pPr>
    </w:p>
    <w:p>
      <w:pPr>
        <w:ind w:left="120"/>
        <w:spacing w:after="0" w:line="253" w:lineRule="auto"/>
        <w:rPr>
          <w:sz w:val="20"/>
          <w:szCs w:val="20"/>
          <w:color w:val="auto"/>
        </w:rPr>
      </w:pPr>
      <w:r>
        <w:rPr>
          <w:rFonts w:ascii="Arial" w:cs="Arial" w:eastAsia="Arial" w:hAnsi="Arial"/>
          <w:sz w:val="18"/>
          <w:szCs w:val="18"/>
          <w:color w:val="auto"/>
        </w:rPr>
        <w:t>Unitholders, from time to time following the offering may require Definitive OpCo to exchange all or a portion of their LLC Units for newly-issued shares of Class A common stock on a one-for-one basis. Shares of our Class B common stock will be canceled on a one-for-one basis if we, following an exchange request of a Unitholder, exchange LLC Units of such Unitholder pursuant to the terms of the Amended LLC Agreement. Shares of our Class A common stock issuable to the Unitholders upon an exchange of LLC Units would be considered “restricted securities,” as that term is defined under Rule 144 and would also be subject to the “lock-up” period noted below.</w:t>
      </w:r>
    </w:p>
    <w:p>
      <w:pPr>
        <w:spacing w:after="0" w:line="191" w:lineRule="exact"/>
        <w:rPr>
          <w:sz w:val="20"/>
          <w:szCs w:val="20"/>
          <w:color w:val="auto"/>
        </w:rPr>
      </w:pPr>
    </w:p>
    <w:p>
      <w:pPr>
        <w:ind w:left="120" w:right="120" w:firstLine="440"/>
        <w:spacing w:after="0" w:line="291" w:lineRule="auto"/>
        <w:rPr>
          <w:sz w:val="20"/>
          <w:szCs w:val="20"/>
          <w:color w:val="auto"/>
        </w:rPr>
      </w:pPr>
      <w:r>
        <w:rPr>
          <w:rFonts w:ascii="Arial" w:cs="Arial" w:eastAsia="Arial" w:hAnsi="Arial"/>
          <w:sz w:val="16"/>
          <w:szCs w:val="16"/>
          <w:color w:val="auto"/>
        </w:rPr>
        <w:t>Restricted securities may be sold in the public market only if they qualify for an exemption from registration under Rule 144 under the Securities Act, which is summarized below, or any other applicable exemption under the Securities Act, or pursuant to a registration statement that is effective</w:t>
      </w:r>
    </w:p>
    <w:p>
      <w:pPr>
        <w:ind w:left="120" w:right="580"/>
        <w:spacing w:after="0" w:line="265" w:lineRule="auto"/>
        <w:rPr>
          <w:sz w:val="20"/>
          <w:szCs w:val="20"/>
          <w:color w:val="auto"/>
        </w:rPr>
      </w:pPr>
      <w:r>
        <w:rPr>
          <w:rFonts w:ascii="Arial" w:cs="Arial" w:eastAsia="Arial" w:hAnsi="Arial"/>
          <w:sz w:val="17"/>
          <w:szCs w:val="17"/>
          <w:color w:val="auto"/>
        </w:rPr>
        <w:t>under the Securities Act. Immediately following the consummation of this offering, the holders of approximately shares of our Class A common stock (on an assumed as-exchanged basis) will be entitled to dispose of their shares following the expiration of an initial -day</w:t>
      </w:r>
    </w:p>
    <w:p>
      <w:pPr>
        <w:ind w:left="120" w:right="300"/>
        <w:spacing w:after="0" w:line="323" w:lineRule="auto"/>
        <w:rPr>
          <w:sz w:val="20"/>
          <w:szCs w:val="20"/>
          <w:color w:val="auto"/>
        </w:rPr>
      </w:pPr>
      <w:r>
        <w:rPr>
          <w:rFonts w:ascii="Arial" w:cs="Arial" w:eastAsia="Arial" w:hAnsi="Arial"/>
          <w:sz w:val="16"/>
          <w:szCs w:val="16"/>
          <w:color w:val="auto"/>
        </w:rPr>
        <w:t>underwriter “lock-up” period pursuant to the holding period, volume and other restrictions of Rule 144. Goldman Sachs &amp; Co. LLC and J.P. Morgan Securities LLC are entitled to waive these lock-up provisions at their discretion prior to the expiration dates of such lock-up agreements.</w:t>
      </w:r>
    </w:p>
    <w:p>
      <w:pPr>
        <w:spacing w:after="0" w:line="24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Lock-up Arrangements and Registration Rights</w:t>
      </w:r>
    </w:p>
    <w:p>
      <w:pPr>
        <w:spacing w:after="0" w:line="121" w:lineRule="exact"/>
        <w:rPr>
          <w:sz w:val="20"/>
          <w:szCs w:val="20"/>
          <w:color w:val="auto"/>
        </w:rPr>
      </w:pPr>
    </w:p>
    <w:p>
      <w:pPr>
        <w:ind w:left="120" w:right="440" w:firstLine="440"/>
        <w:spacing w:after="0" w:line="342" w:lineRule="auto"/>
        <w:rPr>
          <w:sz w:val="20"/>
          <w:szCs w:val="20"/>
          <w:color w:val="auto"/>
        </w:rPr>
      </w:pPr>
      <w:r>
        <w:rPr>
          <w:rFonts w:ascii="Arial" w:cs="Arial" w:eastAsia="Arial" w:hAnsi="Arial"/>
          <w:sz w:val="16"/>
          <w:szCs w:val="16"/>
          <w:color w:val="auto"/>
        </w:rPr>
        <w:t>In connection with the IPO, we, each of our directors, executive officers and certain other stockholders, entered into lock-up agreements that restrict the sale of our securities for 180 days after September 7, 2021, subject to certain exceptions or an extension in certain circumstances.</w:t>
      </w:r>
    </w:p>
    <w:p>
      <w:pPr>
        <w:spacing w:after="0" w:line="124" w:lineRule="exact"/>
        <w:rPr>
          <w:sz w:val="20"/>
          <w:szCs w:val="20"/>
          <w:color w:val="auto"/>
        </w:rPr>
      </w:pPr>
    </w:p>
    <w:p>
      <w:pPr>
        <w:ind w:left="120" w:right="220" w:firstLine="440"/>
        <w:spacing w:after="0" w:line="263" w:lineRule="auto"/>
        <w:rPr>
          <w:sz w:val="20"/>
          <w:szCs w:val="20"/>
          <w:color w:val="auto"/>
        </w:rPr>
      </w:pPr>
      <w:r>
        <w:rPr>
          <w:rFonts w:ascii="Arial" w:cs="Arial" w:eastAsia="Arial" w:hAnsi="Arial"/>
          <w:sz w:val="18"/>
          <w:szCs w:val="18"/>
          <w:color w:val="auto"/>
        </w:rPr>
        <w:t>In addition, following the expiration of the lock-up period, certain stockholders will have the right, subject to certain conditions, to require us to register the sale of their shares of our common stock under federal securities laws. See “Certain Relationships and Related Party Transactions— Registration Rights Agreement.” If these</w:t>
      </w:r>
    </w:p>
    <w:p>
      <w:pPr>
        <w:spacing w:after="0" w:line="116" w:lineRule="exact"/>
        <w:rPr>
          <w:sz w:val="20"/>
          <w:szCs w:val="20"/>
          <w:color w:val="auto"/>
        </w:rPr>
      </w:pPr>
    </w:p>
    <w:p>
      <w:pPr>
        <w:jc w:val="center"/>
        <w:ind w:right="-359"/>
        <w:spacing w:after="0"/>
        <w:rPr>
          <w:sz w:val="20"/>
          <w:szCs w:val="20"/>
          <w:color w:val="auto"/>
        </w:rPr>
      </w:pPr>
      <w:r>
        <w:rPr>
          <w:rFonts w:ascii="Arial" w:cs="Arial" w:eastAsia="Arial" w:hAnsi="Arial"/>
          <w:sz w:val="18"/>
          <w:szCs w:val="18"/>
          <w:color w:val="auto"/>
        </w:rPr>
        <w:t>178</w:t>
      </w:r>
    </w:p>
    <w:p>
      <w:pPr>
        <w:sectPr>
          <w:pgSz w:w="11900" w:h="16838" w:orient="portrait"/>
          <w:cols w:equalWidth="0" w:num="1">
            <w:col w:w="11120"/>
          </w:cols>
          <w:pgMar w:left="320" w:top="459" w:right="459" w:bottom="1440" w:gutter="0" w:footer="0" w:header="0"/>
        </w:sectPr>
      </w:pPr>
    </w:p>
    <w:bookmarkStart w:id="185" w:name="page186"/>
    <w:bookmarkEnd w:id="18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Confidential Treatment Requested by Definitive Healthcare Corp.</w:t>
      </w:r>
    </w:p>
    <w:p>
      <w:pPr>
        <w:spacing w:after="0" w:line="27"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Pursuant to 17 C.F.R. Section 200.83</w:t>
      </w:r>
    </w:p>
    <w:p>
      <w:pPr>
        <w:spacing w:after="0" w:line="143" w:lineRule="exact"/>
        <w:rPr>
          <w:sz w:val="20"/>
          <w:szCs w:val="20"/>
          <w:color w:val="auto"/>
        </w:rPr>
      </w:pPr>
    </w:p>
    <w:p>
      <w:pPr>
        <w:ind w:left="120"/>
        <w:spacing w:after="0"/>
        <w:rPr>
          <w:sz w:val="20"/>
          <w:szCs w:val="20"/>
          <w:color w:val="auto"/>
        </w:rPr>
      </w:pPr>
      <w:r>
        <w:rPr>
          <w:rFonts w:ascii="Arial" w:cs="Arial" w:eastAsia="Arial" w:hAnsi="Arial"/>
          <w:sz w:val="18"/>
          <w:szCs w:val="18"/>
          <w:color w:val="auto"/>
        </w:rPr>
        <w:t>stockholders exercise this right, our other existing stockholders may require us to register their registrable securities.</w:t>
      </w:r>
    </w:p>
    <w:p>
      <w:pPr>
        <w:spacing w:after="0" w:line="225" w:lineRule="exact"/>
        <w:rPr>
          <w:sz w:val="20"/>
          <w:szCs w:val="20"/>
          <w:color w:val="auto"/>
        </w:rPr>
      </w:pPr>
    </w:p>
    <w:p>
      <w:pPr>
        <w:ind w:left="120" w:right="140" w:firstLine="440"/>
        <w:spacing w:after="0" w:line="308" w:lineRule="auto"/>
        <w:rPr>
          <w:sz w:val="20"/>
          <w:szCs w:val="20"/>
          <w:color w:val="auto"/>
        </w:rPr>
      </w:pPr>
      <w:r>
        <w:rPr>
          <w:rFonts w:ascii="Arial" w:cs="Arial" w:eastAsia="Arial" w:hAnsi="Arial"/>
          <w:sz w:val="17"/>
          <w:szCs w:val="17"/>
          <w:color w:val="auto"/>
        </w:rPr>
        <w:t>Following the lock-up periods described above, all of the shares of our common stock that are restricted securities or are held by our affiliates as of the date of this prospectus will be eligible for sale in the public market in compliance with Rule 144 under the Securities Act.</w:t>
      </w:r>
    </w:p>
    <w:p>
      <w:pPr>
        <w:spacing w:after="0" w:line="250"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Rule 144</w:t>
      </w:r>
    </w:p>
    <w:p>
      <w:pPr>
        <w:spacing w:after="0" w:line="121" w:lineRule="exact"/>
        <w:rPr>
          <w:sz w:val="20"/>
          <w:szCs w:val="20"/>
          <w:color w:val="auto"/>
        </w:rPr>
      </w:pPr>
    </w:p>
    <w:p>
      <w:pPr>
        <w:ind w:left="120" w:right="100" w:firstLine="440"/>
        <w:spacing w:after="0" w:line="275" w:lineRule="auto"/>
        <w:rPr>
          <w:sz w:val="20"/>
          <w:szCs w:val="20"/>
          <w:color w:val="auto"/>
        </w:rPr>
      </w:pPr>
      <w:r>
        <w:rPr>
          <w:rFonts w:ascii="Arial" w:cs="Arial" w:eastAsia="Arial" w:hAnsi="Arial"/>
          <w:sz w:val="17"/>
          <w:szCs w:val="17"/>
          <w:color w:val="auto"/>
        </w:rPr>
        <w:t>The shares of our Class A common stock sold in this offering will generally be freely transferable without restriction or further registration under the Securities Act, except that any shares of our Class A common stock held by an “affiliate” of ours may not be resold publicly except in compliance with the registration requirements of the Securities Act or under an exemption under Rule 144 or otherwise. Rule 144 permits our Class A common stock that has been acquired by a person who is an affiliate of ours, or has been an affiliate of ours within the past three months, to be sold into the market in an amount that does not exceed, during any three-month period, the greater of:</w:t>
      </w:r>
    </w:p>
    <w:p>
      <w:pPr>
        <w:spacing w:after="0" w:line="82" w:lineRule="exact"/>
        <w:rPr>
          <w:sz w:val="20"/>
          <w:szCs w:val="20"/>
          <w:color w:val="auto"/>
        </w:rPr>
      </w:pPr>
    </w:p>
    <w:p>
      <w:pPr>
        <w:ind w:left="1080" w:hanging="532"/>
        <w:spacing w:after="0"/>
        <w:tabs>
          <w:tab w:leader="none" w:pos="1080" w:val="left"/>
        </w:tabs>
        <w:numPr>
          <w:ilvl w:val="0"/>
          <w:numId w:val="156"/>
        </w:numPr>
        <w:rPr>
          <w:rFonts w:ascii="Arial" w:cs="Arial" w:eastAsia="Arial" w:hAnsi="Arial"/>
          <w:sz w:val="18"/>
          <w:szCs w:val="18"/>
          <w:color w:val="auto"/>
        </w:rPr>
      </w:pPr>
      <w:r>
        <w:rPr>
          <w:rFonts w:ascii="Arial" w:cs="Arial" w:eastAsia="Arial" w:hAnsi="Arial"/>
          <w:sz w:val="18"/>
          <w:szCs w:val="18"/>
          <w:color w:val="auto"/>
        </w:rPr>
        <w:t>one percent of the total number of shares of our Class A common stock outstanding; or</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156"/>
        </w:numPr>
        <w:rPr>
          <w:rFonts w:ascii="Arial" w:cs="Arial" w:eastAsia="Arial" w:hAnsi="Arial"/>
          <w:sz w:val="18"/>
          <w:szCs w:val="18"/>
          <w:color w:val="auto"/>
        </w:rPr>
      </w:pPr>
      <w:r>
        <w:rPr>
          <w:rFonts w:ascii="Arial" w:cs="Arial" w:eastAsia="Arial" w:hAnsi="Arial"/>
          <w:sz w:val="18"/>
          <w:szCs w:val="18"/>
          <w:color w:val="auto"/>
        </w:rPr>
        <w:t>the average weekly reported trading volume of our Class A common stock for the four calendar weeks prior to the sale.</w:t>
      </w:r>
    </w:p>
    <w:p>
      <w:pPr>
        <w:spacing w:after="0" w:line="225" w:lineRule="exact"/>
        <w:rPr>
          <w:sz w:val="20"/>
          <w:szCs w:val="20"/>
          <w:color w:val="auto"/>
        </w:rPr>
      </w:pPr>
    </w:p>
    <w:p>
      <w:pPr>
        <w:ind w:left="120" w:right="60" w:firstLine="440"/>
        <w:spacing w:after="0" w:line="277" w:lineRule="auto"/>
        <w:rPr>
          <w:sz w:val="20"/>
          <w:szCs w:val="20"/>
          <w:color w:val="auto"/>
        </w:rPr>
      </w:pPr>
      <w:r>
        <w:rPr>
          <w:rFonts w:ascii="Arial" w:cs="Arial" w:eastAsia="Arial" w:hAnsi="Arial"/>
          <w:sz w:val="18"/>
          <w:szCs w:val="18"/>
          <w:color w:val="auto"/>
        </w:rPr>
        <w:t>Such sales are also subject to specific manner of sale provisions, a six-month holding period requirement, notice requirements and the availability of current public information about us.</w:t>
      </w:r>
    </w:p>
    <w:p>
      <w:pPr>
        <w:spacing w:after="0" w:line="170" w:lineRule="exact"/>
        <w:rPr>
          <w:sz w:val="20"/>
          <w:szCs w:val="20"/>
          <w:color w:val="auto"/>
        </w:rPr>
      </w:pPr>
    </w:p>
    <w:p>
      <w:pPr>
        <w:ind w:left="120" w:right="40" w:firstLine="440"/>
        <w:spacing w:after="0" w:line="277" w:lineRule="auto"/>
        <w:rPr>
          <w:sz w:val="20"/>
          <w:szCs w:val="20"/>
          <w:color w:val="auto"/>
        </w:rPr>
      </w:pPr>
      <w:r>
        <w:rPr>
          <w:rFonts w:ascii="Arial" w:cs="Arial" w:eastAsia="Arial" w:hAnsi="Arial"/>
          <w:sz w:val="18"/>
          <w:szCs w:val="18"/>
          <w:color w:val="auto"/>
        </w:rPr>
        <w:t>None of our Class A common stock that are not subject to lock-up arrangements described above will be eligible for sale under Rule 144 upon the closing.</w:t>
      </w:r>
    </w:p>
    <w:p>
      <w:pPr>
        <w:spacing w:after="0" w:line="170" w:lineRule="exact"/>
        <w:rPr>
          <w:sz w:val="20"/>
          <w:szCs w:val="20"/>
          <w:color w:val="auto"/>
        </w:rPr>
      </w:pPr>
    </w:p>
    <w:p>
      <w:pPr>
        <w:ind w:left="120" w:right="20" w:firstLine="440"/>
        <w:spacing w:after="0" w:line="273" w:lineRule="auto"/>
        <w:rPr>
          <w:sz w:val="20"/>
          <w:szCs w:val="20"/>
          <w:color w:val="auto"/>
        </w:rPr>
      </w:pPr>
      <w:r>
        <w:rPr>
          <w:rFonts w:ascii="Arial" w:cs="Arial" w:eastAsia="Arial" w:hAnsi="Arial"/>
          <w:sz w:val="17"/>
          <w:szCs w:val="17"/>
          <w:color w:val="auto"/>
        </w:rPr>
        <w:t>Rule 144 also provides that a person who is not deemed to have been an affiliate of ours at any time during the three months preceding a sale, and who has for at least six months beneficially owned shares of our Class A common stock that are restricted securities, will be entitled to freely sell such shares of our Class A common stock subject only to the availability of current public information regarding us. A person who is not deemed to have been an affiliate of ours at any time during the three months preceding a sale, and who has beneficially owned for at least one year shares of our Class A common stock that are restricted securities, will be entitled to freely sell such shares of our Class A common stock under Rule 144 without regard to the current public information requirements of Rule 144.</w:t>
      </w:r>
    </w:p>
    <w:p>
      <w:pPr>
        <w:spacing w:after="0" w:line="28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Rule 701</w:t>
      </w:r>
    </w:p>
    <w:p>
      <w:pPr>
        <w:spacing w:after="0" w:line="121" w:lineRule="exact"/>
        <w:rPr>
          <w:sz w:val="20"/>
          <w:szCs w:val="20"/>
          <w:color w:val="auto"/>
        </w:rPr>
      </w:pPr>
    </w:p>
    <w:p>
      <w:pPr>
        <w:ind w:left="120" w:firstLine="440"/>
        <w:spacing w:after="0" w:line="296" w:lineRule="auto"/>
        <w:rPr>
          <w:sz w:val="20"/>
          <w:szCs w:val="20"/>
          <w:color w:val="auto"/>
        </w:rPr>
      </w:pPr>
      <w:r>
        <w:rPr>
          <w:rFonts w:ascii="Arial" w:cs="Arial" w:eastAsia="Arial" w:hAnsi="Arial"/>
          <w:sz w:val="16"/>
          <w:szCs w:val="16"/>
          <w:color w:val="auto"/>
        </w:rPr>
        <w:t>Rule 701 generally allows a stockholder who purchased shares of our capital stock pursuant to a written compensatory plan or contract and who is not deemed to have been an affiliate of our company during the immediately preceding 90 days to sell these shares in reliance upon Rule 144, but without being required to comply with the public information, holding period, volume limitation or notice provisions of Rule 144. Rule 701 also permits affiliates of our company to sell their Rule 701 shares under Rule 144 without complying with the holding period requirements of Rule 144. All holders of Rule 701 shares, however, are required to wait until 90 days after the date of this prospectus before selling those shares pursuant to Rule 701.</w:t>
      </w:r>
    </w:p>
    <w:p>
      <w:pPr>
        <w:spacing w:after="0" w:line="26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Stock Issued Under Employee Plans</w:t>
      </w:r>
    </w:p>
    <w:p>
      <w:pPr>
        <w:spacing w:after="0" w:line="121" w:lineRule="exact"/>
        <w:rPr>
          <w:sz w:val="20"/>
          <w:szCs w:val="20"/>
          <w:color w:val="auto"/>
        </w:rPr>
      </w:pPr>
    </w:p>
    <w:p>
      <w:pPr>
        <w:ind w:left="120" w:right="200" w:firstLine="440"/>
        <w:spacing w:after="0" w:line="259" w:lineRule="auto"/>
        <w:rPr>
          <w:sz w:val="20"/>
          <w:szCs w:val="20"/>
          <w:color w:val="auto"/>
        </w:rPr>
      </w:pPr>
      <w:r>
        <w:rPr>
          <w:rFonts w:ascii="Arial" w:cs="Arial" w:eastAsia="Arial" w:hAnsi="Arial"/>
          <w:sz w:val="18"/>
          <w:szCs w:val="18"/>
          <w:color w:val="auto"/>
        </w:rPr>
        <w:t>We filed a registration statement on Form S-8 under the Securities Act on September 14, 2021, which became effective upon filing, to register stock issuable pursuant to awards granted under our 2021 Plan. Accordingly, shares of Class A common stock registered under such registration statement are available for sale in the open market following the effective date, unless such shares are subject to vesting restrictions with us, Rule 144 restrictions applicable to our affiliates or the lock-up restrictions described above.</w:t>
      </w:r>
    </w:p>
    <w:p>
      <w:pPr>
        <w:spacing w:after="0" w:line="119" w:lineRule="exact"/>
        <w:rPr>
          <w:sz w:val="20"/>
          <w:szCs w:val="20"/>
          <w:color w:val="auto"/>
        </w:rPr>
      </w:pPr>
    </w:p>
    <w:p>
      <w:pPr>
        <w:jc w:val="center"/>
        <w:ind w:right="-379"/>
        <w:spacing w:after="0"/>
        <w:rPr>
          <w:sz w:val="20"/>
          <w:szCs w:val="20"/>
          <w:color w:val="auto"/>
        </w:rPr>
      </w:pPr>
      <w:r>
        <w:rPr>
          <w:rFonts w:ascii="Arial" w:cs="Arial" w:eastAsia="Arial" w:hAnsi="Arial"/>
          <w:sz w:val="18"/>
          <w:szCs w:val="18"/>
          <w:color w:val="auto"/>
        </w:rPr>
        <w:t>179</w:t>
      </w:r>
    </w:p>
    <w:p>
      <w:pPr>
        <w:sectPr>
          <w:pgSz w:w="11900" w:h="16838" w:orient="portrait"/>
          <w:cols w:equalWidth="0" w:num="1">
            <w:col w:w="11100"/>
          </w:cols>
          <w:pgMar w:left="320" w:top="459" w:right="479" w:bottom="1440" w:gutter="0" w:footer="0" w:header="0"/>
        </w:sectPr>
      </w:pPr>
    </w:p>
    <w:bookmarkStart w:id="186" w:name="page187"/>
    <w:bookmarkEnd w:id="18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319"/>
        <w:spacing w:after="0"/>
        <w:rPr>
          <w:sz w:val="20"/>
          <w:szCs w:val="20"/>
          <w:color w:val="auto"/>
        </w:rPr>
      </w:pPr>
      <w:r>
        <w:rPr>
          <w:rFonts w:ascii="Arial" w:cs="Arial" w:eastAsia="Arial" w:hAnsi="Arial"/>
          <w:sz w:val="18"/>
          <w:szCs w:val="18"/>
          <w:b w:val="1"/>
          <w:bCs w:val="1"/>
          <w:color w:val="auto"/>
        </w:rPr>
        <w:t>Confidential Treatment Requested by Definitive Healthcare Corp.</w:t>
      </w:r>
    </w:p>
    <w:p>
      <w:pPr>
        <w:spacing w:after="0" w:line="27" w:lineRule="exact"/>
        <w:rPr>
          <w:sz w:val="20"/>
          <w:szCs w:val="20"/>
          <w:color w:val="auto"/>
        </w:rPr>
      </w:pPr>
    </w:p>
    <w:p>
      <w:pPr>
        <w:jc w:val="center"/>
        <w:ind w:right="-319"/>
        <w:spacing w:after="0"/>
        <w:rPr>
          <w:sz w:val="20"/>
          <w:szCs w:val="20"/>
          <w:color w:val="auto"/>
        </w:rPr>
      </w:pPr>
      <w:r>
        <w:rPr>
          <w:rFonts w:ascii="Arial" w:cs="Arial" w:eastAsia="Arial" w:hAnsi="Arial"/>
          <w:sz w:val="18"/>
          <w:szCs w:val="18"/>
          <w:b w:val="1"/>
          <w:bCs w:val="1"/>
          <w:color w:val="auto"/>
        </w:rPr>
        <w:t>Pursuant to 17 C.F.R. Section 200.83</w:t>
      </w:r>
    </w:p>
    <w:p>
      <w:pPr>
        <w:spacing w:after="0" w:line="13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Additional Registration Statements</w:t>
      </w:r>
    </w:p>
    <w:p>
      <w:pPr>
        <w:spacing w:after="0" w:line="121" w:lineRule="exact"/>
        <w:rPr>
          <w:sz w:val="20"/>
          <w:szCs w:val="20"/>
          <w:color w:val="auto"/>
        </w:rPr>
      </w:pPr>
    </w:p>
    <w:p>
      <w:pPr>
        <w:ind w:left="120" w:firstLine="440"/>
        <w:spacing w:after="0" w:line="279" w:lineRule="auto"/>
        <w:rPr>
          <w:sz w:val="20"/>
          <w:szCs w:val="20"/>
          <w:color w:val="auto"/>
        </w:rPr>
      </w:pPr>
      <w:r>
        <w:rPr>
          <w:rFonts w:ascii="Arial" w:cs="Arial" w:eastAsia="Arial" w:hAnsi="Arial"/>
          <w:sz w:val="17"/>
          <w:szCs w:val="17"/>
          <w:color w:val="auto"/>
        </w:rPr>
        <w:t>We filed a registration statement on Form S-8 under the Securities Act to register 8,989,039 shares of our Class A common stock to be issued or reserved for issuance under our equity incentive plans and 1,498,173 shares of Class A common stock to be issued or reserved for issuance under our employee stock purchase plan. Accordingly, shares registered under such registration statement are available for sale in the open market, unless such shares are subject to vesting restrictions with us or the lock-up restrictions described above.</w:t>
      </w:r>
    </w:p>
    <w:p>
      <w:pPr>
        <w:spacing w:after="0" w:line="104" w:lineRule="exact"/>
        <w:rPr>
          <w:sz w:val="20"/>
          <w:szCs w:val="20"/>
          <w:color w:val="auto"/>
        </w:rPr>
      </w:pPr>
    </w:p>
    <w:p>
      <w:pPr>
        <w:jc w:val="center"/>
        <w:ind w:right="-559"/>
        <w:spacing w:after="0"/>
        <w:rPr>
          <w:sz w:val="20"/>
          <w:szCs w:val="20"/>
          <w:color w:val="auto"/>
        </w:rPr>
      </w:pPr>
      <w:r>
        <w:rPr>
          <w:rFonts w:ascii="Arial" w:cs="Arial" w:eastAsia="Arial" w:hAnsi="Arial"/>
          <w:sz w:val="18"/>
          <w:szCs w:val="18"/>
          <w:color w:val="auto"/>
        </w:rPr>
        <w:t>180</w:t>
      </w:r>
    </w:p>
    <w:p>
      <w:pPr>
        <w:sectPr>
          <w:pgSz w:w="11900" w:h="16838" w:orient="portrait"/>
          <w:cols w:equalWidth="0" w:num="1">
            <w:col w:w="10920"/>
          </w:cols>
          <w:pgMar w:left="320" w:top="459" w:right="659" w:bottom="1440" w:gutter="0" w:footer="0" w:header="0"/>
        </w:sectPr>
      </w:pPr>
    </w:p>
    <w:bookmarkStart w:id="187" w:name="page188"/>
    <w:bookmarkEnd w:id="18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Confidential Treatment Requested by Definitive Healthcare Corp.</w:t>
      </w:r>
    </w:p>
    <w:p>
      <w:pPr>
        <w:spacing w:after="0" w:line="27"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Pursuant to 17 C.F.R. Section 200.83</w:t>
      </w:r>
    </w:p>
    <w:p>
      <w:pPr>
        <w:spacing w:after="0" w:line="139"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MATERIAL U.S. FEDERAL INCOME TAX CONSIDERATIONS FOR NON-U.S. HOLDERS</w:t>
      </w:r>
    </w:p>
    <w:p>
      <w:pPr>
        <w:spacing w:after="0" w:line="229" w:lineRule="exact"/>
        <w:rPr>
          <w:sz w:val="20"/>
          <w:szCs w:val="20"/>
          <w:color w:val="auto"/>
        </w:rPr>
      </w:pPr>
    </w:p>
    <w:p>
      <w:pPr>
        <w:ind w:left="120" w:firstLine="440"/>
        <w:spacing w:after="0" w:line="285" w:lineRule="auto"/>
        <w:rPr>
          <w:sz w:val="20"/>
          <w:szCs w:val="20"/>
          <w:color w:val="auto"/>
        </w:rPr>
      </w:pPr>
      <w:r>
        <w:rPr>
          <w:rFonts w:ascii="Arial" w:cs="Arial" w:eastAsia="Arial" w:hAnsi="Arial"/>
          <w:sz w:val="16"/>
          <w:szCs w:val="16"/>
          <w:color w:val="auto"/>
        </w:rPr>
        <w:t>The following is a general discussion of material U.S. federal income tax consequences to non-U.S. holders (as defined herein) of the purchase, ownership and disposition of our Class A common stock issued pursuant to this offering. This discussion does not provide a complete analysis of all potential U.S. federal income tax considerations relating thereto. This description is based on the Code existing and proposed U.S. Treasury regulations promulgated thereunder, administrative pronouncements, judicial decisions, and interpretations of the foregoing, all as of the date hereof and all of which are subject to change, possibly with retroactive effect. This discussion is limited to non-U.S. holders (as defined herein) who hold shares of our Class A common stock as capital assets within the meaning of Section 1221 of the Code (generally for investment). Moreover, this discussion is for general information only and does not address all of the U.S. federal income tax consequences that may be relevant to you in light of your particular circumstances, nor does it discuss special tax provisions, which may apply to you if you are a holder who is subject to special treatment under U.S. federal income tax laws, such as certain financial institutions or financial services entities, insurance companies, tax-exempt entities or governmental organizations, tax-qualified retirement plans, “qualified foreign pension funds” (and entities all of the interests of which are held by qualified foreign pension funds), dealers in securities or currencies, persons who have elected to mark securities to market, entities that are treated as partnerships or other pass-through entities for U.S. federal income tax purposes (and partners or beneficial owners thereof), foreign branches, “controlled foreign corporations,” “passive foreign investment companies,” former U.S. citizens or long-term residents, holders that acquired our ordinary shares in a compensatory transaction, holders subject to special tax accounting rules as a result of any item of gross income with respect to our ordinary shares being taken into account in an applicable financial statement, corporations that accumulate earnings to avoid U.S. federal income tax, persons deemed to sell our Class A common stock under the constructive sale provisions of the Code, and persons that hold our Class A common stock as part of a straddle, hedge, conversion transaction, or other integrated investment. In addition, this discussion does not address estate or gift taxes, the alternative minimum tax, the Medicare contribution tax or any state, local or foreign taxes or any U.S. federal tax laws other than U.S. federal income tax laws.</w:t>
      </w:r>
    </w:p>
    <w:p>
      <w:pPr>
        <w:spacing w:after="0" w:line="171" w:lineRule="exact"/>
        <w:rPr>
          <w:sz w:val="20"/>
          <w:szCs w:val="20"/>
          <w:color w:val="auto"/>
        </w:rPr>
      </w:pPr>
    </w:p>
    <w:p>
      <w:pPr>
        <w:ind w:left="120" w:right="180" w:firstLine="440"/>
        <w:spacing w:after="0" w:line="308" w:lineRule="auto"/>
        <w:rPr>
          <w:sz w:val="20"/>
          <w:szCs w:val="20"/>
          <w:color w:val="auto"/>
        </w:rPr>
      </w:pPr>
      <w:r>
        <w:rPr>
          <w:rFonts w:ascii="Arial" w:cs="Arial" w:eastAsia="Arial" w:hAnsi="Arial"/>
          <w:sz w:val="17"/>
          <w:szCs w:val="17"/>
          <w:color w:val="auto"/>
        </w:rPr>
        <w:t>You are urged to consult with your own tax advisor concerning the U.S. federal income tax consequences of acquiring, owning and disposing of our Class A common stock, as well as the application of any state, local, or foreign income and other tax laws or tax treaties.</w:t>
      </w:r>
    </w:p>
    <w:p>
      <w:pPr>
        <w:spacing w:after="0" w:line="146" w:lineRule="exact"/>
        <w:rPr>
          <w:sz w:val="20"/>
          <w:szCs w:val="20"/>
          <w:color w:val="auto"/>
        </w:rPr>
      </w:pPr>
    </w:p>
    <w:p>
      <w:pPr>
        <w:ind w:left="120" w:right="500" w:firstLine="440"/>
        <w:spacing w:after="0" w:line="308" w:lineRule="auto"/>
        <w:rPr>
          <w:sz w:val="20"/>
          <w:szCs w:val="20"/>
          <w:color w:val="auto"/>
        </w:rPr>
      </w:pPr>
      <w:r>
        <w:rPr>
          <w:rFonts w:ascii="Arial" w:cs="Arial" w:eastAsia="Arial" w:hAnsi="Arial"/>
          <w:sz w:val="17"/>
          <w:szCs w:val="17"/>
          <w:color w:val="auto"/>
        </w:rPr>
        <w:t>As used in this section, a “non-U.S. holder” is a beneficial owner of our Class A common stock (other than a partnership or any other entity treated as a pass-through entity for U.S. federal income tax purposes) that is not, for U.S. federal income tax purposes:</w:t>
      </w:r>
    </w:p>
    <w:p>
      <w:pPr>
        <w:spacing w:after="0" w:line="52" w:lineRule="exact"/>
        <w:rPr>
          <w:sz w:val="20"/>
          <w:szCs w:val="20"/>
          <w:color w:val="auto"/>
        </w:rPr>
      </w:pPr>
    </w:p>
    <w:p>
      <w:pPr>
        <w:ind w:left="1080" w:hanging="532"/>
        <w:spacing w:after="0"/>
        <w:tabs>
          <w:tab w:leader="none" w:pos="1080" w:val="left"/>
        </w:tabs>
        <w:numPr>
          <w:ilvl w:val="0"/>
          <w:numId w:val="157"/>
        </w:numPr>
        <w:rPr>
          <w:rFonts w:ascii="Arial" w:cs="Arial" w:eastAsia="Arial" w:hAnsi="Arial"/>
          <w:sz w:val="18"/>
          <w:szCs w:val="18"/>
          <w:color w:val="auto"/>
        </w:rPr>
      </w:pPr>
      <w:r>
        <w:rPr>
          <w:rFonts w:ascii="Arial" w:cs="Arial" w:eastAsia="Arial" w:hAnsi="Arial"/>
          <w:sz w:val="18"/>
          <w:szCs w:val="18"/>
          <w:color w:val="auto"/>
        </w:rPr>
        <w:t>an individual who is a citizen or resident of the U.S.,</w:t>
      </w:r>
    </w:p>
    <w:p>
      <w:pPr>
        <w:spacing w:after="0" w:line="130" w:lineRule="exact"/>
        <w:rPr>
          <w:rFonts w:ascii="Arial" w:cs="Arial" w:eastAsia="Arial" w:hAnsi="Arial"/>
          <w:sz w:val="18"/>
          <w:szCs w:val="18"/>
          <w:color w:val="auto"/>
        </w:rPr>
      </w:pPr>
    </w:p>
    <w:p>
      <w:pPr>
        <w:ind w:left="1080" w:right="340" w:hanging="532"/>
        <w:spacing w:after="0" w:line="277" w:lineRule="auto"/>
        <w:tabs>
          <w:tab w:leader="none" w:pos="1080" w:val="left"/>
        </w:tabs>
        <w:numPr>
          <w:ilvl w:val="0"/>
          <w:numId w:val="157"/>
        </w:numPr>
        <w:rPr>
          <w:rFonts w:ascii="Arial" w:cs="Arial" w:eastAsia="Arial" w:hAnsi="Arial"/>
          <w:sz w:val="18"/>
          <w:szCs w:val="18"/>
          <w:color w:val="auto"/>
        </w:rPr>
      </w:pPr>
      <w:r>
        <w:rPr>
          <w:rFonts w:ascii="Arial" w:cs="Arial" w:eastAsia="Arial" w:hAnsi="Arial"/>
          <w:sz w:val="18"/>
          <w:szCs w:val="18"/>
          <w:color w:val="auto"/>
        </w:rPr>
        <w:t>a corporation (or other entity taxable as a corporation for U.S. federal income tax purposes) that is created or organized in or under the laws of the U.S., any state thereof or the District of Columbia,</w:t>
      </w:r>
    </w:p>
    <w:p>
      <w:pPr>
        <w:spacing w:after="0" w:line="75" w:lineRule="exact"/>
        <w:rPr>
          <w:rFonts w:ascii="Arial" w:cs="Arial" w:eastAsia="Arial" w:hAnsi="Arial"/>
          <w:sz w:val="18"/>
          <w:szCs w:val="18"/>
          <w:color w:val="auto"/>
        </w:rPr>
      </w:pPr>
    </w:p>
    <w:p>
      <w:pPr>
        <w:ind w:left="1080" w:hanging="532"/>
        <w:spacing w:after="0"/>
        <w:tabs>
          <w:tab w:leader="none" w:pos="1080" w:val="left"/>
        </w:tabs>
        <w:numPr>
          <w:ilvl w:val="0"/>
          <w:numId w:val="157"/>
        </w:numPr>
        <w:rPr>
          <w:rFonts w:ascii="Arial" w:cs="Arial" w:eastAsia="Arial" w:hAnsi="Arial"/>
          <w:sz w:val="18"/>
          <w:szCs w:val="18"/>
          <w:color w:val="auto"/>
        </w:rPr>
      </w:pPr>
      <w:r>
        <w:rPr>
          <w:rFonts w:ascii="Arial" w:cs="Arial" w:eastAsia="Arial" w:hAnsi="Arial"/>
          <w:sz w:val="18"/>
          <w:szCs w:val="18"/>
          <w:color w:val="auto"/>
        </w:rPr>
        <w:t>an estate the income of which is subject to U.S. federal income taxation regardless of its source, or</w:t>
      </w:r>
    </w:p>
    <w:p>
      <w:pPr>
        <w:spacing w:after="0" w:line="130" w:lineRule="exact"/>
        <w:rPr>
          <w:rFonts w:ascii="Arial" w:cs="Arial" w:eastAsia="Arial" w:hAnsi="Arial"/>
          <w:sz w:val="18"/>
          <w:szCs w:val="18"/>
          <w:color w:val="auto"/>
        </w:rPr>
      </w:pPr>
    </w:p>
    <w:p>
      <w:pPr>
        <w:ind w:left="1080" w:right="120" w:hanging="532"/>
        <w:spacing w:after="0" w:line="259" w:lineRule="auto"/>
        <w:tabs>
          <w:tab w:leader="none" w:pos="1080" w:val="left"/>
        </w:tabs>
        <w:numPr>
          <w:ilvl w:val="0"/>
          <w:numId w:val="157"/>
        </w:numPr>
        <w:rPr>
          <w:rFonts w:ascii="Arial" w:cs="Arial" w:eastAsia="Arial" w:hAnsi="Arial"/>
          <w:sz w:val="18"/>
          <w:szCs w:val="18"/>
          <w:color w:val="auto"/>
        </w:rPr>
      </w:pPr>
      <w:r>
        <w:rPr>
          <w:rFonts w:ascii="Arial" w:cs="Arial" w:eastAsia="Arial" w:hAnsi="Arial"/>
          <w:sz w:val="18"/>
          <w:szCs w:val="18"/>
          <w:color w:val="auto"/>
        </w:rPr>
        <w:t>a trust if (i) a court within the U.S. is able to exercise primary supervision over the administration of the trust and one or more “United States persons” (within the meaning of Section 7701(a)(30) of the Code) have the authority to control all substantial decisions of the trust or (ii) it has a valid election in effect under applicable U.S. Treasury regulations to be treated as a United States person for U.S. federal income tax purposes.</w:t>
      </w:r>
    </w:p>
    <w:p>
      <w:pPr>
        <w:spacing w:after="0" w:line="187" w:lineRule="exact"/>
        <w:rPr>
          <w:sz w:val="20"/>
          <w:szCs w:val="20"/>
          <w:color w:val="auto"/>
        </w:rPr>
      </w:pPr>
    </w:p>
    <w:p>
      <w:pPr>
        <w:ind w:left="120" w:right="80" w:firstLine="440"/>
        <w:spacing w:after="0" w:line="257" w:lineRule="auto"/>
        <w:rPr>
          <w:sz w:val="20"/>
          <w:szCs w:val="20"/>
          <w:color w:val="auto"/>
        </w:rPr>
      </w:pPr>
      <w:r>
        <w:rPr>
          <w:rFonts w:ascii="Arial" w:cs="Arial" w:eastAsia="Arial" w:hAnsi="Arial"/>
          <w:sz w:val="18"/>
          <w:szCs w:val="18"/>
          <w:color w:val="auto"/>
        </w:rPr>
        <w:t>If a partnership or other entity treated as a pass-through entity for U.S. federal income tax purposes is a holder of our Class A common stock, the tax treatment of a partner in the partnership or an owner of the other pass-through entity will depend upon the status of the partner or owner and the activities of the partnership or other pass-through entity. Any partnership or other pass-through entity, and any partner in such a partnership or owner of such a pass-through entity, holding shares of our Class A common stock is urged to consult its own tax advisor as to the particular U.S. federal income tax consequences applicable to it.</w:t>
      </w:r>
    </w:p>
    <w:p>
      <w:pPr>
        <w:spacing w:after="0" w:line="120" w:lineRule="exact"/>
        <w:rPr>
          <w:sz w:val="20"/>
          <w:szCs w:val="20"/>
          <w:color w:val="auto"/>
        </w:rPr>
      </w:pPr>
    </w:p>
    <w:p>
      <w:pPr>
        <w:jc w:val="center"/>
        <w:ind w:right="-359"/>
        <w:spacing w:after="0"/>
        <w:rPr>
          <w:sz w:val="20"/>
          <w:szCs w:val="20"/>
          <w:color w:val="auto"/>
        </w:rPr>
      </w:pPr>
      <w:r>
        <w:rPr>
          <w:rFonts w:ascii="Arial" w:cs="Arial" w:eastAsia="Arial" w:hAnsi="Arial"/>
          <w:sz w:val="18"/>
          <w:szCs w:val="18"/>
          <w:color w:val="auto"/>
        </w:rPr>
        <w:t>181</w:t>
      </w:r>
    </w:p>
    <w:p>
      <w:pPr>
        <w:sectPr>
          <w:pgSz w:w="11900" w:h="16838" w:orient="portrait"/>
          <w:cols w:equalWidth="0" w:num="1">
            <w:col w:w="11100"/>
          </w:cols>
          <w:pgMar w:left="320" w:top="459" w:right="479" w:bottom="1440" w:gutter="0" w:footer="0" w:header="0"/>
        </w:sectPr>
      </w:pPr>
    </w:p>
    <w:bookmarkStart w:id="188" w:name="page189"/>
    <w:bookmarkEnd w:id="18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Confidential Treatment Requested by Definitive Healthcare Corp.</w:t>
      </w:r>
    </w:p>
    <w:p>
      <w:pPr>
        <w:spacing w:after="0" w:line="27"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Pursuant to 17 C.F.R. Section 200.83</w:t>
      </w:r>
    </w:p>
    <w:p>
      <w:pPr>
        <w:spacing w:after="0" w:line="143" w:lineRule="exact"/>
        <w:rPr>
          <w:sz w:val="20"/>
          <w:szCs w:val="20"/>
          <w:color w:val="auto"/>
        </w:rPr>
      </w:pPr>
    </w:p>
    <w:p>
      <w:pPr>
        <w:jc w:val="both"/>
        <w:ind w:left="120" w:right="160" w:firstLine="440"/>
        <w:spacing w:after="0" w:line="286" w:lineRule="auto"/>
        <w:rPr>
          <w:sz w:val="20"/>
          <w:szCs w:val="20"/>
          <w:color w:val="auto"/>
        </w:rPr>
      </w:pPr>
      <w:r>
        <w:rPr>
          <w:rFonts w:ascii="Arial" w:cs="Arial" w:eastAsia="Arial" w:hAnsi="Arial"/>
          <w:sz w:val="17"/>
          <w:szCs w:val="17"/>
          <w:b w:val="1"/>
          <w:bCs w:val="1"/>
          <w:i w:val="1"/>
          <w:iCs w:val="1"/>
          <w:color w:val="auto"/>
        </w:rPr>
        <w:t>INVESTORS CONSIDERING THE PURCHASE OF OUR CLASS A COMMON STOCK ARE URGED TO CONSULT THEIR OWN TAX ADVISORS REGARDING THE APPLICATION OF U.S. FEDERAL INCOME TAX LAWS TO THEIR PARTICULAR SITUATIONS AND THE CONSEQUENCES OF OTHER FEDERAL, STATE, LOCAL AND FOREIGN TAX LAWS, AND APPLICABLE TAX TREATIES.</w:t>
      </w:r>
    </w:p>
    <w:p>
      <w:pPr>
        <w:spacing w:after="0" w:line="26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Distributions on Class A Common Stock</w:t>
      </w:r>
    </w:p>
    <w:p>
      <w:pPr>
        <w:spacing w:after="0" w:line="121" w:lineRule="exact"/>
        <w:rPr>
          <w:sz w:val="20"/>
          <w:szCs w:val="20"/>
          <w:color w:val="auto"/>
        </w:rPr>
      </w:pPr>
    </w:p>
    <w:p>
      <w:pPr>
        <w:ind w:left="120" w:firstLine="440"/>
        <w:spacing w:after="0" w:line="296" w:lineRule="auto"/>
        <w:rPr>
          <w:sz w:val="20"/>
          <w:szCs w:val="20"/>
          <w:color w:val="auto"/>
        </w:rPr>
      </w:pPr>
      <w:r>
        <w:rPr>
          <w:rFonts w:ascii="Arial" w:cs="Arial" w:eastAsia="Arial" w:hAnsi="Arial"/>
          <w:sz w:val="16"/>
          <w:szCs w:val="16"/>
          <w:color w:val="auto"/>
        </w:rPr>
        <w:t>If we pay distributions on shares of our Class A common stock, such distributions will constitute dividends for U.S. federal income tax purposes to the extent paid from our current or accumulated earnings and profits, as determined under U.S. federal income tax principles. Distributions in excess of our current and accumulated earnings and profits will constitute a return of capital that is applied against and reduces, but not below zero, a non-U.S. holder’s adjusted tax basis in shares of our Class A common stock. Any remaining excess will be treated as gain realized on the sale or other taxable disposition of our Class A common stock. See “—Sales or Other Taxable Dispositions of Class A Common Stock.”</w:t>
      </w:r>
    </w:p>
    <w:p>
      <w:pPr>
        <w:spacing w:after="0" w:line="161" w:lineRule="exact"/>
        <w:rPr>
          <w:sz w:val="20"/>
          <w:szCs w:val="20"/>
          <w:color w:val="auto"/>
        </w:rPr>
      </w:pPr>
    </w:p>
    <w:p>
      <w:pPr>
        <w:ind w:left="120" w:right="40" w:firstLine="440"/>
        <w:spacing w:after="0" w:line="287" w:lineRule="auto"/>
        <w:rPr>
          <w:sz w:val="20"/>
          <w:szCs w:val="20"/>
          <w:color w:val="auto"/>
        </w:rPr>
      </w:pPr>
      <w:r>
        <w:rPr>
          <w:rFonts w:ascii="Arial" w:cs="Arial" w:eastAsia="Arial" w:hAnsi="Arial"/>
          <w:sz w:val="16"/>
          <w:szCs w:val="16"/>
          <w:color w:val="auto"/>
        </w:rPr>
        <w:t>Any dividend paid to a non-U.S. holder on our Class A common stock will generally be subject to U.S. federal withholding tax at a 30% rate, subject to the discussion below regarding effectively connected income. The withholding tax might not apply, however, or might apply at a reduced rate, under the terms of an applicable income tax treaty between the U.S. and the non-U.S. holder’s country of residence. Generally, in order for the applicable withholding agent to withhold tax at a lower treaty rate, a non-U.S. holder must certify its entitlement to treaty benefits. A non-U.S. holder generally can meet this certification requirement by providing a valid Internal Revenue Service (“IRS”) Form W-8BEN or IRS Form W-8BEN-E (or other applicable form), as applicable, to the applicable withholding agent. If the non-U.S. holder holds the stock through a financial institution or other agent acting on the non-U.S. holder’s behalf, the non-U.S. holder will be required to provide appropriate documentation to the agent. The non-U.S. holder’s agent will then be required to provide certification to the applicable withholding agent, either directly or through other intermediaries. Even if our current or accumulated earnings and profits are less than the amount of the distribution, the applicable withholding agent may elect to treat the entire distribution as a dividend for U.S. federal tax purposes. A non-U.S. holder that does not timely furnish the required documentation, but that qualifies for a reduced treaty rate, generally may obtain a refund of any excess amounts withheld by timely filing an appropriate claim for refund with the IRS. You are urged to consult your own tax advisors regarding your entitlement to benefits under a relevant income tax treaty.</w:t>
      </w:r>
    </w:p>
    <w:p>
      <w:pPr>
        <w:spacing w:after="0" w:line="168" w:lineRule="exact"/>
        <w:rPr>
          <w:sz w:val="20"/>
          <w:szCs w:val="20"/>
          <w:color w:val="auto"/>
        </w:rPr>
      </w:pPr>
    </w:p>
    <w:p>
      <w:pPr>
        <w:ind w:left="120" w:firstLine="440"/>
        <w:spacing w:after="0" w:line="290" w:lineRule="auto"/>
        <w:rPr>
          <w:sz w:val="20"/>
          <w:szCs w:val="20"/>
          <w:color w:val="auto"/>
        </w:rPr>
      </w:pPr>
      <w:r>
        <w:rPr>
          <w:rFonts w:ascii="Arial" w:cs="Arial" w:eastAsia="Arial" w:hAnsi="Arial"/>
          <w:sz w:val="16"/>
          <w:szCs w:val="16"/>
          <w:color w:val="auto"/>
        </w:rPr>
        <w:t>Dividends received by a non-U.S. holder that are effectively connected with a U.S. trade or business conducted by the non-U.S. holder and, if required by an applicable income tax treaty between the U.S. and the non-U.S. holder’s country of residence, are attributable to a permanent establishment (or, in certain cases involving individual holders, a fixed base) maintained by the non-U.S. holder in the U.S., are generally not subject to such withholding tax. To obtain this exemption, a non-U.S. holder must provide the applicable withholding agent with a valid IRS Form W-8ECI (or applicable successor form) properly certifying such exemption. Such effectively connected dividends, although generally not subject to withholding tax (provided certain certification and disclosure requirements are satisfied), are taxed at the same rates applicable to United States persons, net of certain deductions and credits. In addition to this tax, such effectively connected dividends, as adjusted for certain items, received by corporate non-U.S. holders may also be subject to a branch profits tax at a rate of 30% or such lower rate as may be specified by an applicable income tax treaty.</w:t>
      </w:r>
    </w:p>
    <w:p>
      <w:pPr>
        <w:spacing w:after="0" w:line="26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Sales or Other Taxable Dispositions of Class A Common Stock</w:t>
      </w:r>
    </w:p>
    <w:p>
      <w:pPr>
        <w:spacing w:after="0" w:line="121" w:lineRule="exact"/>
        <w:rPr>
          <w:sz w:val="20"/>
          <w:szCs w:val="20"/>
          <w:color w:val="auto"/>
        </w:rPr>
      </w:pPr>
    </w:p>
    <w:p>
      <w:pPr>
        <w:ind w:left="120" w:right="440" w:firstLine="440"/>
        <w:spacing w:after="0" w:line="342" w:lineRule="auto"/>
        <w:rPr>
          <w:sz w:val="20"/>
          <w:szCs w:val="20"/>
          <w:color w:val="auto"/>
        </w:rPr>
      </w:pPr>
      <w:r>
        <w:rPr>
          <w:rFonts w:ascii="Arial" w:cs="Arial" w:eastAsia="Arial" w:hAnsi="Arial"/>
          <w:sz w:val="16"/>
          <w:szCs w:val="16"/>
          <w:color w:val="auto"/>
        </w:rPr>
        <w:t>Subject to the discussion below on backup withholding and other withholding requirements, gain realized by a non-U.S. holder on a sale, exchange or other taxable disposition of our Class A common stock generally will not be subject to U.S. federal income or withholding tax, unless:</w:t>
      </w:r>
    </w:p>
    <w:p>
      <w:pPr>
        <w:spacing w:after="0" w:line="29" w:lineRule="exact"/>
        <w:rPr>
          <w:sz w:val="20"/>
          <w:szCs w:val="20"/>
          <w:color w:val="auto"/>
        </w:rPr>
      </w:pPr>
    </w:p>
    <w:p>
      <w:pPr>
        <w:ind w:left="1080" w:right="40" w:hanging="532"/>
        <w:spacing w:after="0" w:line="277" w:lineRule="auto"/>
        <w:tabs>
          <w:tab w:leader="none" w:pos="1080" w:val="left"/>
        </w:tabs>
        <w:numPr>
          <w:ilvl w:val="0"/>
          <w:numId w:val="158"/>
        </w:numPr>
        <w:rPr>
          <w:rFonts w:ascii="Arial" w:cs="Arial" w:eastAsia="Arial" w:hAnsi="Arial"/>
          <w:sz w:val="18"/>
          <w:szCs w:val="18"/>
          <w:color w:val="auto"/>
        </w:rPr>
      </w:pPr>
      <w:r>
        <w:rPr>
          <w:rFonts w:ascii="Arial" w:cs="Arial" w:eastAsia="Arial" w:hAnsi="Arial"/>
          <w:sz w:val="18"/>
          <w:szCs w:val="18"/>
          <w:color w:val="auto"/>
        </w:rPr>
        <w:t>the gain (i) is effectively connected with the conduct by the non-U.S. holder of a U.S. trade or business and (ii) if required by an applicable income tax treaty between the U.S. and the non-U.S. holder’s</w:t>
      </w:r>
    </w:p>
    <w:p>
      <w:pPr>
        <w:spacing w:after="0" w:line="103"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182</w:t>
      </w:r>
    </w:p>
    <w:p>
      <w:pPr>
        <w:sectPr>
          <w:pgSz w:w="11900" w:h="16838" w:orient="portrait"/>
          <w:cols w:equalWidth="0" w:num="1">
            <w:col w:w="11140"/>
          </w:cols>
          <w:pgMar w:left="320" w:top="459" w:right="439" w:bottom="1440" w:gutter="0" w:footer="0" w:header="0"/>
        </w:sectPr>
      </w:pPr>
    </w:p>
    <w:bookmarkStart w:id="189" w:name="page190"/>
    <w:bookmarkEnd w:id="18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Confidential Treatment Requested by Definitive Healthcare Corp.</w:t>
      </w:r>
    </w:p>
    <w:p>
      <w:pPr>
        <w:spacing w:after="0" w:line="27"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Pursuant to 17 C.F.R. Section 200.83</w:t>
      </w:r>
    </w:p>
    <w:p>
      <w:pPr>
        <w:spacing w:after="0" w:line="143" w:lineRule="exact"/>
        <w:rPr>
          <w:sz w:val="20"/>
          <w:szCs w:val="20"/>
          <w:color w:val="auto"/>
        </w:rPr>
      </w:pPr>
    </w:p>
    <w:p>
      <w:pPr>
        <w:ind w:left="1100" w:right="800"/>
        <w:spacing w:after="0" w:line="277" w:lineRule="auto"/>
        <w:rPr>
          <w:sz w:val="20"/>
          <w:szCs w:val="20"/>
          <w:color w:val="auto"/>
        </w:rPr>
      </w:pPr>
      <w:r>
        <w:rPr>
          <w:rFonts w:ascii="Arial" w:cs="Arial" w:eastAsia="Arial" w:hAnsi="Arial"/>
          <w:sz w:val="18"/>
          <w:szCs w:val="18"/>
          <w:color w:val="auto"/>
        </w:rPr>
        <w:t>country of residence, is attributable to a permanent establishment (or, in certain cases involving individual holders, a fixed base) maintained by the non-U.S. holder in the U.S. (in which case the special rules described below apply),</w:t>
      </w:r>
    </w:p>
    <w:p>
      <w:pPr>
        <w:spacing w:after="0" w:line="76" w:lineRule="exact"/>
        <w:rPr>
          <w:sz w:val="20"/>
          <w:szCs w:val="20"/>
          <w:color w:val="auto"/>
        </w:rPr>
      </w:pPr>
    </w:p>
    <w:p>
      <w:pPr>
        <w:ind w:left="1080" w:right="140" w:hanging="532"/>
        <w:spacing w:after="0" w:line="259" w:lineRule="auto"/>
        <w:tabs>
          <w:tab w:leader="none" w:pos="1080" w:val="left"/>
        </w:tabs>
        <w:numPr>
          <w:ilvl w:val="0"/>
          <w:numId w:val="159"/>
        </w:numPr>
        <w:rPr>
          <w:rFonts w:ascii="Arial" w:cs="Arial" w:eastAsia="Arial" w:hAnsi="Arial"/>
          <w:sz w:val="18"/>
          <w:szCs w:val="18"/>
          <w:color w:val="auto"/>
        </w:rPr>
      </w:pPr>
      <w:r>
        <w:rPr>
          <w:rFonts w:ascii="Arial" w:cs="Arial" w:eastAsia="Arial" w:hAnsi="Arial"/>
          <w:sz w:val="18"/>
          <w:szCs w:val="18"/>
          <w:color w:val="auto"/>
        </w:rPr>
        <w:t>the non-U.S. holder is an individual who is present in the U.S. for 183 or more days in the taxable year of such disposition and certain other conditions are met (in which case the gain would be subject to a flat 30% tax, or such reduced rate as may be specified by an applicable income tax treaty, which may be offset by certain U.S. source capital losses, provided the non-U.S holder has timely filed U.S. federal income tax returns with respect to such losses), or</w:t>
      </w:r>
    </w:p>
    <w:p>
      <w:pPr>
        <w:spacing w:after="0" w:line="92" w:lineRule="exact"/>
        <w:rPr>
          <w:rFonts w:ascii="Arial" w:cs="Arial" w:eastAsia="Arial" w:hAnsi="Arial"/>
          <w:sz w:val="18"/>
          <w:szCs w:val="18"/>
          <w:color w:val="auto"/>
        </w:rPr>
      </w:pPr>
    </w:p>
    <w:p>
      <w:pPr>
        <w:ind w:left="1080" w:right="120" w:hanging="532"/>
        <w:spacing w:after="0" w:line="263" w:lineRule="auto"/>
        <w:tabs>
          <w:tab w:leader="none" w:pos="1080" w:val="left"/>
        </w:tabs>
        <w:numPr>
          <w:ilvl w:val="0"/>
          <w:numId w:val="159"/>
        </w:numPr>
        <w:rPr>
          <w:rFonts w:ascii="Arial" w:cs="Arial" w:eastAsia="Arial" w:hAnsi="Arial"/>
          <w:sz w:val="18"/>
          <w:szCs w:val="18"/>
          <w:color w:val="auto"/>
        </w:rPr>
      </w:pPr>
      <w:r>
        <w:rPr>
          <w:rFonts w:ascii="Arial" w:cs="Arial" w:eastAsia="Arial" w:hAnsi="Arial"/>
          <w:sz w:val="18"/>
          <w:szCs w:val="18"/>
          <w:color w:val="auto"/>
        </w:rPr>
        <w:t>we are, or have been, a U.S. real property holding corporation (a “USRPHC”) for U.S. federal income tax purposes at any time during the shorter of the five-year period ending on the date of such disposition of our Class A common stock and the non-U.S. holder’s holding period for our Class A common stock.</w:t>
      </w:r>
    </w:p>
    <w:p>
      <w:pPr>
        <w:spacing w:after="0" w:line="184" w:lineRule="exact"/>
        <w:rPr>
          <w:sz w:val="20"/>
          <w:szCs w:val="20"/>
          <w:color w:val="auto"/>
        </w:rPr>
      </w:pPr>
    </w:p>
    <w:p>
      <w:pPr>
        <w:ind w:left="120" w:right="40" w:firstLine="440"/>
        <w:spacing w:after="0" w:line="271" w:lineRule="auto"/>
        <w:rPr>
          <w:sz w:val="20"/>
          <w:szCs w:val="20"/>
          <w:color w:val="auto"/>
        </w:rPr>
      </w:pPr>
      <w:r>
        <w:rPr>
          <w:rFonts w:ascii="Arial" w:cs="Arial" w:eastAsia="Arial" w:hAnsi="Arial"/>
          <w:sz w:val="17"/>
          <w:szCs w:val="17"/>
          <w:color w:val="auto"/>
        </w:rPr>
        <w:t>Generally, a corporation is a USRPHC if the fair market value of its “United States real property interests” equals 50% or more of the sum of the fair market value of (a) its worldwide real property interests and (b) its other assets used or held for use in a trade or business. The tax relating to a sale or other taxable disposition of stock in a USRPHC does not apply to a non-U.S. holder whose holdings, actual and constructive, amount to 5% or less of our Class A common stock at all times during the applicable period, provided that our Class A common stock is regularly traded on an established securities market. No assurance can be provided that our Class A common stock will be regularly traded on an established securities market at all times for purposes of the rules described above. Although there can be no assurances in this regard, we believe we have not been and are not currently a USRPHC, and do not anticipate being a USRPHC in the future. You are urged to consult your own tax advisor about the consequences that could result if we have been, are or become a USRPHC.</w:t>
      </w:r>
    </w:p>
    <w:p>
      <w:pPr>
        <w:spacing w:after="0" w:line="178" w:lineRule="exact"/>
        <w:rPr>
          <w:sz w:val="20"/>
          <w:szCs w:val="20"/>
          <w:color w:val="auto"/>
        </w:rPr>
      </w:pPr>
    </w:p>
    <w:p>
      <w:pPr>
        <w:ind w:left="120" w:firstLine="440"/>
        <w:spacing w:after="0" w:line="293" w:lineRule="auto"/>
        <w:rPr>
          <w:sz w:val="20"/>
          <w:szCs w:val="20"/>
          <w:color w:val="auto"/>
        </w:rPr>
      </w:pPr>
      <w:r>
        <w:rPr>
          <w:rFonts w:ascii="Arial" w:cs="Arial" w:eastAsia="Arial" w:hAnsi="Arial"/>
          <w:sz w:val="16"/>
          <w:szCs w:val="16"/>
          <w:color w:val="auto"/>
        </w:rPr>
        <w:t>If any gain from the sale, exchange or other taxable disposition of our Class A common stock (1) is effectively connected with a U.S. trade or business conducted by a non-U.S. holder and (2) if required by an applicable income tax treaty between the U.S. and the non-U.S. holder’s country of residence, is attributable to a permanent establishment (or, in certain cases involving individuals, a fixed base) maintained by such non-U.S. holder in the U.S., then the gain generally will be subject to U.S. federal income tax on a net income basis at the same rates applicable to United States persons, net of certain deductions and credits. In addition to this tax, such effectively connected gain, as adjusted for certain items, realized by corporate non-U.S. holders may also be subject to a branch profits tax at a rate of 30% or such lower rate as may be specified by an applicable income tax treaty.</w:t>
      </w:r>
    </w:p>
    <w:p>
      <w:pPr>
        <w:spacing w:after="0" w:line="26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Backup Withholding and Information Reporting</w:t>
      </w:r>
    </w:p>
    <w:p>
      <w:pPr>
        <w:spacing w:after="0" w:line="121" w:lineRule="exact"/>
        <w:rPr>
          <w:sz w:val="20"/>
          <w:szCs w:val="20"/>
          <w:color w:val="auto"/>
        </w:rPr>
      </w:pPr>
    </w:p>
    <w:p>
      <w:pPr>
        <w:ind w:left="120" w:right="80" w:firstLine="440"/>
        <w:spacing w:after="0" w:line="291" w:lineRule="auto"/>
        <w:rPr>
          <w:sz w:val="20"/>
          <w:szCs w:val="20"/>
          <w:color w:val="auto"/>
        </w:rPr>
      </w:pPr>
      <w:r>
        <w:rPr>
          <w:rFonts w:ascii="Arial" w:cs="Arial" w:eastAsia="Arial" w:hAnsi="Arial"/>
          <w:sz w:val="16"/>
          <w:szCs w:val="16"/>
          <w:color w:val="auto"/>
        </w:rPr>
        <w:t>Any distributions that are paid to a non-U.S. holder must be reported annually to the IRS and to the non-U.S. holder, regardless of whether such distributions constitute dividends or whether any tax was actually withheld. Copies of these information returns also may be made available to the tax authorities of the country in which the non-U.S. holder resides or is established under the provisions of various treaties or agreements for the exchange of information. Dividends paid on our Class A common stock and the gross proceeds from a taxable disposition of our Class A common stock may be subject to additional information reporting and may also be subject to U.S. federal backup withholding if such non-U.S. holder fails to comply with applicable U.S. information reporting and certification requirements. Provision of an IRS Form W-8 appropriate to the non-U.S. holder’s circumstances will generally satisfy the certification requirements necessary to avoid the additional information reporting and backup withholding.</w:t>
      </w:r>
    </w:p>
    <w:p>
      <w:pPr>
        <w:spacing w:after="0" w:line="166" w:lineRule="exact"/>
        <w:rPr>
          <w:sz w:val="20"/>
          <w:szCs w:val="20"/>
          <w:color w:val="auto"/>
        </w:rPr>
      </w:pPr>
    </w:p>
    <w:p>
      <w:pPr>
        <w:ind w:left="120" w:right="20" w:firstLine="440"/>
        <w:spacing w:after="0" w:line="308" w:lineRule="auto"/>
        <w:rPr>
          <w:sz w:val="20"/>
          <w:szCs w:val="20"/>
          <w:color w:val="auto"/>
        </w:rPr>
      </w:pPr>
      <w:r>
        <w:rPr>
          <w:rFonts w:ascii="Arial" w:cs="Arial" w:eastAsia="Arial" w:hAnsi="Arial"/>
          <w:sz w:val="17"/>
          <w:szCs w:val="17"/>
          <w:color w:val="auto"/>
        </w:rPr>
        <w:t>Backup withholding is not an additional tax. Any amounts so withheld under the backup withholding rules will be refunded by the IRS or credited against the non-U.S. holder’s U.S. federal income tax liability, provided that the required information is timely furnished to the IRS.</w:t>
      </w:r>
    </w:p>
    <w:p>
      <w:pPr>
        <w:spacing w:after="0" w:line="79" w:lineRule="exact"/>
        <w:rPr>
          <w:sz w:val="20"/>
          <w:szCs w:val="20"/>
          <w:color w:val="auto"/>
        </w:rPr>
      </w:pPr>
    </w:p>
    <w:p>
      <w:pPr>
        <w:jc w:val="center"/>
        <w:ind w:right="-359"/>
        <w:spacing w:after="0"/>
        <w:rPr>
          <w:sz w:val="20"/>
          <w:szCs w:val="20"/>
          <w:color w:val="auto"/>
        </w:rPr>
      </w:pPr>
      <w:r>
        <w:rPr>
          <w:rFonts w:ascii="Arial" w:cs="Arial" w:eastAsia="Arial" w:hAnsi="Arial"/>
          <w:sz w:val="18"/>
          <w:szCs w:val="18"/>
          <w:color w:val="auto"/>
        </w:rPr>
        <w:t>183</w:t>
      </w:r>
    </w:p>
    <w:p>
      <w:pPr>
        <w:sectPr>
          <w:pgSz w:w="11900" w:h="16838" w:orient="portrait"/>
          <w:cols w:equalWidth="0" w:num="1">
            <w:col w:w="11120"/>
          </w:cols>
          <w:pgMar w:left="320" w:top="459" w:right="459" w:bottom="1440" w:gutter="0" w:footer="0" w:header="0"/>
        </w:sectPr>
      </w:pPr>
    </w:p>
    <w:bookmarkStart w:id="190" w:name="page191"/>
    <w:bookmarkEnd w:id="19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Confidential Treatment Requested by Definitive Healthcare Corp.</w:t>
      </w:r>
    </w:p>
    <w:p>
      <w:pPr>
        <w:spacing w:after="0" w:line="27"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Pursuant to 17 C.F.R. Section 200.83</w:t>
      </w:r>
    </w:p>
    <w:p>
      <w:pPr>
        <w:spacing w:after="0" w:line="13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Other Withholding Taxes</w:t>
      </w:r>
    </w:p>
    <w:p>
      <w:pPr>
        <w:spacing w:after="0" w:line="121" w:lineRule="exact"/>
        <w:rPr>
          <w:sz w:val="20"/>
          <w:szCs w:val="20"/>
          <w:color w:val="auto"/>
        </w:rPr>
      </w:pPr>
    </w:p>
    <w:p>
      <w:pPr>
        <w:ind w:left="120" w:firstLine="440"/>
        <w:spacing w:after="0" w:line="269" w:lineRule="auto"/>
        <w:rPr>
          <w:sz w:val="20"/>
          <w:szCs w:val="20"/>
          <w:color w:val="auto"/>
        </w:rPr>
      </w:pPr>
      <w:r>
        <w:rPr>
          <w:rFonts w:ascii="Arial" w:cs="Arial" w:eastAsia="Arial" w:hAnsi="Arial"/>
          <w:sz w:val="17"/>
          <w:szCs w:val="17"/>
          <w:color w:val="auto"/>
        </w:rPr>
        <w:t>Provisions commonly referred to as “FATCA” impose withholding (separate and apart from, but without duplication of, the withholding tax described above) at a rate of 30% on payments of U.S.-source dividends (including our dividends) paid to “foreign financial institutions” (which is broadly defined for this purpose and in general includes investment vehicles) and certain other non-U.S. entities unless various U.S. information reporting and due diligence requirements (generally relating to ownership by United States persons of interests in or accounts with those entities) have been satisfied, or an exemption applies. An intergovernmental agreement between the U.S. and an applicable foreign jurisdiction may modify these requirements. If FATCA withholding is imposed, a beneficial owner that is not a foreign financial institution generally will be entitled to a refund of any amounts withheld by filing a U.S. federal income tax return containing the required information (which may entail significant administrative burden). While withholding under FATCA would have applied also to payments of gross proceeds from the sale or other taxable disposition of our Class A common stock, proposed U.S. Treasury regulations eliminate FATCA withholding on payments of gross proceeds entirely. Taxpayers generally may rely on these proposed U.S. Treasury regulations until final Treasury regulations are issued. Non-U.S. holders are urged to consult their own tax advisors regarding the effects of FATCA on their investment in our Class A common stock.</w:t>
      </w:r>
    </w:p>
    <w:p>
      <w:pPr>
        <w:spacing w:after="0" w:line="178" w:lineRule="exact"/>
        <w:rPr>
          <w:sz w:val="20"/>
          <w:szCs w:val="20"/>
          <w:color w:val="auto"/>
        </w:rPr>
      </w:pPr>
    </w:p>
    <w:p>
      <w:pPr>
        <w:ind w:left="120" w:right="100" w:firstLine="440"/>
        <w:spacing w:after="0" w:line="258" w:lineRule="auto"/>
        <w:rPr>
          <w:sz w:val="20"/>
          <w:szCs w:val="20"/>
          <w:color w:val="auto"/>
        </w:rPr>
      </w:pPr>
      <w:r>
        <w:rPr>
          <w:rFonts w:ascii="Arial" w:cs="Arial" w:eastAsia="Arial" w:hAnsi="Arial"/>
          <w:sz w:val="18"/>
          <w:szCs w:val="18"/>
          <w:b w:val="1"/>
          <w:bCs w:val="1"/>
          <w:color w:val="auto"/>
        </w:rPr>
        <w:t>THE PRECEDING DISCUSSION OF U.S. FEDERAL INCOME TAX CONSIDERATIONS IS FOR GENERAL INFORMATION ONLY. IT IS NOT TAX ADVICE. EACH PROSPECTIVE INVESTOR IS URGED TO CONSULT ITS OWN TAX ADVISOR REGARDING THE PARTICULAR U.S. FEDERAL, STATE, LOCAL AND FOREIGN TAX CONSEQUENCES OF PURCHASING, OWNING AND DISPOSING OF OUR CLASS A COMMON STOCK, INCLUDING THE CONSEQUENCES OF ANY PROPOSED CHANGE IN APPLICABLE LAWS, INTERGOVERNMENTAL AGREEMENTS OR TAX TREATIES.</w:t>
      </w:r>
    </w:p>
    <w:p>
      <w:pPr>
        <w:spacing w:after="0" w:line="120" w:lineRule="exact"/>
        <w:rPr>
          <w:sz w:val="20"/>
          <w:szCs w:val="20"/>
          <w:color w:val="auto"/>
        </w:rPr>
      </w:pPr>
    </w:p>
    <w:p>
      <w:pPr>
        <w:jc w:val="center"/>
        <w:ind w:right="-379"/>
        <w:spacing w:after="0"/>
        <w:rPr>
          <w:sz w:val="20"/>
          <w:szCs w:val="20"/>
          <w:color w:val="auto"/>
        </w:rPr>
      </w:pPr>
      <w:r>
        <w:rPr>
          <w:rFonts w:ascii="Arial" w:cs="Arial" w:eastAsia="Arial" w:hAnsi="Arial"/>
          <w:sz w:val="18"/>
          <w:szCs w:val="18"/>
          <w:color w:val="auto"/>
        </w:rPr>
        <w:t>184</w:t>
      </w:r>
    </w:p>
    <w:p>
      <w:pPr>
        <w:sectPr>
          <w:pgSz w:w="11900" w:h="16838" w:orient="portrait"/>
          <w:cols w:equalWidth="0" w:num="1">
            <w:col w:w="11100"/>
          </w:cols>
          <w:pgMar w:left="320" w:top="459" w:right="479" w:bottom="1440" w:gutter="0" w:footer="0" w:header="0"/>
        </w:sectPr>
      </w:pPr>
    </w:p>
    <w:bookmarkStart w:id="191" w:name="page192"/>
    <w:bookmarkEnd w:id="19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Confidential Treatment Requested by Definitive Healthcare Corp.</w:t>
      </w:r>
    </w:p>
    <w:p>
      <w:pPr>
        <w:spacing w:after="0" w:line="27"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Pursuant to 17 C.F.R. Section 200.83</w:t>
      </w:r>
    </w:p>
    <w:p>
      <w:pPr>
        <w:spacing w:after="0" w:line="139"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UNDERWRITING</w:t>
      </w:r>
    </w:p>
    <w:p>
      <w:pPr>
        <w:spacing w:after="0" w:line="229" w:lineRule="exact"/>
        <w:rPr>
          <w:sz w:val="20"/>
          <w:szCs w:val="20"/>
          <w:color w:val="auto"/>
        </w:rPr>
      </w:pPr>
    </w:p>
    <w:p>
      <w:pPr>
        <w:jc w:val="both"/>
        <w:ind w:left="120" w:firstLine="440"/>
        <w:spacing w:after="0" w:line="311" w:lineRule="auto"/>
        <w:rPr>
          <w:sz w:val="20"/>
          <w:szCs w:val="20"/>
          <w:color w:val="auto"/>
        </w:rPr>
      </w:pPr>
      <w:r>
        <w:rPr>
          <w:rFonts w:ascii="Arial" w:cs="Arial" w:eastAsia="Arial" w:hAnsi="Arial"/>
          <w:sz w:val="16"/>
          <w:szCs w:val="16"/>
          <w:color w:val="auto"/>
        </w:rPr>
        <w:t>We and the underwriters named below have entered into an underwriting agreement with respect to the shares of our Class A common stock being offered. Subject to certain conditions, each underwriter has severally agreed to purchase the number of shares indicated in the following table. Goldman Sachs &amp; Co. LLC, J.P. Morgan Securities LLC, Morgan Stanley &amp; Co. LLC and Barclays Capital Inc. are acting as representatives of the underwriters.</w:t>
      </w:r>
    </w:p>
    <w:p>
      <w:pPr>
        <w:spacing w:after="0" w:line="167" w:lineRule="exact"/>
        <w:rPr>
          <w:sz w:val="20"/>
          <w:szCs w:val="20"/>
          <w:color w:val="auto"/>
        </w:rPr>
      </w:pPr>
    </w:p>
    <w:p>
      <w:pPr>
        <w:ind w:left="1880"/>
        <w:spacing w:after="0"/>
        <w:tabs>
          <w:tab w:leader="none" w:pos="8180" w:val="left"/>
        </w:tabs>
        <w:rPr>
          <w:sz w:val="20"/>
          <w:szCs w:val="20"/>
          <w:color w:val="auto"/>
        </w:rPr>
      </w:pPr>
      <w:r>
        <w:rPr>
          <w:rFonts w:ascii="Arial" w:cs="Arial" w:eastAsia="Arial" w:hAnsi="Arial"/>
          <w:sz w:val="14"/>
          <w:szCs w:val="14"/>
          <w:b w:val="1"/>
          <w:bCs w:val="1"/>
          <w:u w:val="single" w:color="auto"/>
          <w:color w:val="auto"/>
        </w:rPr>
        <w:t>Underwriters</w:t>
      </w:r>
      <w:r>
        <w:rPr>
          <w:sz w:val="20"/>
          <w:szCs w:val="20"/>
          <w:color w:val="auto"/>
        </w:rPr>
        <w:tab/>
      </w:r>
      <w:r>
        <w:rPr>
          <w:rFonts w:ascii="Arial" w:cs="Arial" w:eastAsia="Arial" w:hAnsi="Arial"/>
          <w:sz w:val="14"/>
          <w:szCs w:val="14"/>
          <w:b w:val="1"/>
          <w:bCs w:val="1"/>
          <w:u w:val="single" w:color="auto"/>
          <w:color w:val="auto"/>
        </w:rPr>
        <w:t>Number of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1196340</wp:posOffset>
            </wp:positionH>
            <wp:positionV relativeFrom="paragraph">
              <wp:posOffset>15240</wp:posOffset>
            </wp:positionV>
            <wp:extent cx="4749165" cy="137160"/>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4749165" cy="137160"/>
                    </a:xfrm>
                    <a:prstGeom prst="rect">
                      <a:avLst/>
                    </a:prstGeom>
                    <a:noFill/>
                  </pic:spPr>
                </pic:pic>
              </a:graphicData>
            </a:graphic>
          </wp:anchor>
        </w:drawing>
      </w:r>
    </w:p>
    <w:p>
      <w:pPr>
        <w:spacing w:after="0" w:line="5" w:lineRule="exact"/>
        <w:rPr>
          <w:sz w:val="20"/>
          <w:szCs w:val="20"/>
          <w:color w:val="auto"/>
        </w:rPr>
      </w:pPr>
    </w:p>
    <w:p>
      <w:pPr>
        <w:ind w:left="1880"/>
        <w:spacing w:after="0"/>
        <w:rPr>
          <w:sz w:val="20"/>
          <w:szCs w:val="20"/>
          <w:color w:val="auto"/>
        </w:rPr>
      </w:pPr>
      <w:r>
        <w:rPr>
          <w:rFonts w:ascii="Arial" w:cs="Arial" w:eastAsia="Arial" w:hAnsi="Arial"/>
          <w:sz w:val="18"/>
          <w:szCs w:val="18"/>
          <w:color w:val="auto"/>
        </w:rPr>
        <w:t>Goldman Sachs &amp; Co. LLC</w:t>
      </w:r>
    </w:p>
    <w:p>
      <w:pPr>
        <w:spacing w:after="0" w:line="7" w:lineRule="exact"/>
        <w:rPr>
          <w:sz w:val="20"/>
          <w:szCs w:val="20"/>
          <w:color w:val="auto"/>
        </w:rPr>
      </w:pPr>
    </w:p>
    <w:p>
      <w:pPr>
        <w:ind w:left="1880"/>
        <w:spacing w:after="0"/>
        <w:rPr>
          <w:sz w:val="20"/>
          <w:szCs w:val="20"/>
          <w:color w:val="auto"/>
        </w:rPr>
      </w:pPr>
      <w:r>
        <w:rPr>
          <w:rFonts w:ascii="Arial" w:cs="Arial" w:eastAsia="Arial" w:hAnsi="Arial"/>
          <w:sz w:val="18"/>
          <w:szCs w:val="18"/>
          <w:color w:val="auto"/>
        </w:rPr>
        <w:t>J.P. Morgan Securities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1196340</wp:posOffset>
            </wp:positionH>
            <wp:positionV relativeFrom="paragraph">
              <wp:posOffset>5715</wp:posOffset>
            </wp:positionV>
            <wp:extent cx="4749165" cy="137160"/>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4749165" cy="137160"/>
                    </a:xfrm>
                    <a:prstGeom prst="rect">
                      <a:avLst/>
                    </a:prstGeom>
                    <a:noFill/>
                  </pic:spPr>
                </pic:pic>
              </a:graphicData>
            </a:graphic>
          </wp:anchor>
        </w:drawing>
      </w:r>
    </w:p>
    <w:p>
      <w:pPr>
        <w:ind w:left="1880"/>
        <w:spacing w:after="0"/>
        <w:rPr>
          <w:sz w:val="20"/>
          <w:szCs w:val="20"/>
          <w:color w:val="auto"/>
        </w:rPr>
      </w:pPr>
      <w:r>
        <w:rPr>
          <w:rFonts w:ascii="Arial" w:cs="Arial" w:eastAsia="Arial" w:hAnsi="Arial"/>
          <w:sz w:val="18"/>
          <w:szCs w:val="18"/>
          <w:color w:val="auto"/>
        </w:rPr>
        <w:t>Morgan Stanley &amp; Co. LLC</w:t>
      </w:r>
    </w:p>
    <w:p>
      <w:pPr>
        <w:spacing w:after="0" w:line="9" w:lineRule="exact"/>
        <w:rPr>
          <w:sz w:val="20"/>
          <w:szCs w:val="20"/>
          <w:color w:val="auto"/>
        </w:rPr>
      </w:pPr>
    </w:p>
    <w:p>
      <w:pPr>
        <w:ind w:left="1880"/>
        <w:spacing w:after="0"/>
        <w:rPr>
          <w:sz w:val="20"/>
          <w:szCs w:val="20"/>
          <w:color w:val="auto"/>
        </w:rPr>
      </w:pPr>
      <w:r>
        <w:rPr>
          <w:rFonts w:ascii="Arial" w:cs="Arial" w:eastAsia="Arial" w:hAnsi="Arial"/>
          <w:sz w:val="18"/>
          <w:szCs w:val="18"/>
          <w:color w:val="auto"/>
        </w:rPr>
        <w:t>Barclays Capital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1196340</wp:posOffset>
            </wp:positionH>
            <wp:positionV relativeFrom="paragraph">
              <wp:posOffset>5715</wp:posOffset>
            </wp:positionV>
            <wp:extent cx="4749165" cy="137160"/>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4749165" cy="137160"/>
                    </a:xfrm>
                    <a:prstGeom prst="rect">
                      <a:avLst/>
                    </a:prstGeom>
                    <a:noFill/>
                  </pic:spPr>
                </pic:pic>
              </a:graphicData>
            </a:graphic>
          </wp:anchor>
        </w:drawing>
        <w:drawing>
          <wp:anchor simplePos="0" relativeHeight="251657728" behindDoc="1" locked="0" layoutInCell="0" allowOverlap="1">
            <wp:simplePos x="0" y="0"/>
            <wp:positionH relativeFrom="column">
              <wp:posOffset>1196340</wp:posOffset>
            </wp:positionH>
            <wp:positionV relativeFrom="paragraph">
              <wp:posOffset>280035</wp:posOffset>
            </wp:positionV>
            <wp:extent cx="4749165" cy="137160"/>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4749165" cy="137160"/>
                    </a:xfrm>
                    <a:prstGeom prst="rect">
                      <a:avLst/>
                    </a:prstGeom>
                    <a:noFill/>
                  </pic:spPr>
                </pic:pic>
              </a:graphicData>
            </a:graphic>
          </wp:anchor>
        </w:drawing>
        <w:drawing>
          <wp:anchor simplePos="0" relativeHeight="251657728" behindDoc="1" locked="0" layoutInCell="0" allowOverlap="1">
            <wp:simplePos x="0" y="0"/>
            <wp:positionH relativeFrom="column">
              <wp:posOffset>1196340</wp:posOffset>
            </wp:positionH>
            <wp:positionV relativeFrom="paragraph">
              <wp:posOffset>554355</wp:posOffset>
            </wp:positionV>
            <wp:extent cx="4749165" cy="137160"/>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4749165" cy="1371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ind w:left="2240"/>
        <w:spacing w:after="0"/>
        <w:rPr>
          <w:sz w:val="20"/>
          <w:szCs w:val="20"/>
          <w:color w:val="auto"/>
        </w:rPr>
      </w:pPr>
      <w:r>
        <w:rPr>
          <w:rFonts w:ascii="Arial" w:cs="Arial" w:eastAsia="Arial" w:hAnsi="Arial"/>
          <w:sz w:val="18"/>
          <w:szCs w:val="18"/>
          <w:color w:val="auto"/>
        </w:rPr>
        <w:t>Total</w:t>
      </w:r>
    </w:p>
    <w:p>
      <w:pPr>
        <w:spacing w:after="0" w:line="225" w:lineRule="exact"/>
        <w:rPr>
          <w:sz w:val="20"/>
          <w:szCs w:val="20"/>
          <w:color w:val="auto"/>
        </w:rPr>
      </w:pPr>
    </w:p>
    <w:p>
      <w:pPr>
        <w:ind w:left="120" w:right="160" w:firstLine="440"/>
        <w:spacing w:after="0" w:line="277" w:lineRule="auto"/>
        <w:rPr>
          <w:sz w:val="20"/>
          <w:szCs w:val="20"/>
          <w:color w:val="auto"/>
        </w:rPr>
      </w:pPr>
      <w:r>
        <w:rPr>
          <w:rFonts w:ascii="Arial" w:cs="Arial" w:eastAsia="Arial" w:hAnsi="Arial"/>
          <w:sz w:val="18"/>
          <w:szCs w:val="18"/>
          <w:color w:val="auto"/>
        </w:rPr>
        <w:t>The underwriters will be committed to take and pay for all of the shares of our Class A common stock being offered, if any are taken, other than the shares covered by the option described below unless and until this option is exercised.</w:t>
      </w:r>
    </w:p>
    <w:p>
      <w:pPr>
        <w:spacing w:after="0" w:line="170" w:lineRule="exact"/>
        <w:rPr>
          <w:sz w:val="20"/>
          <w:szCs w:val="20"/>
          <w:color w:val="auto"/>
        </w:rPr>
      </w:pPr>
    </w:p>
    <w:p>
      <w:pPr>
        <w:ind w:left="120" w:right="60" w:firstLine="440"/>
        <w:spacing w:after="0" w:line="259" w:lineRule="auto"/>
        <w:rPr>
          <w:sz w:val="20"/>
          <w:szCs w:val="20"/>
          <w:color w:val="auto"/>
        </w:rPr>
      </w:pPr>
      <w:r>
        <w:rPr>
          <w:rFonts w:ascii="Arial" w:cs="Arial" w:eastAsia="Arial" w:hAnsi="Arial"/>
          <w:sz w:val="18"/>
          <w:szCs w:val="18"/>
          <w:color w:val="auto"/>
        </w:rPr>
        <w:t>The underwriters have an option to buy up to an additional shares of our Class A common stock from us to cover sales by the underwriters of a greater number of shares than the total number set forth in the table above. They may exercise that option for 30 days after the date of this prospectus. If any shares of our Class A common stock are purchased pursuant to this option, the underwriters will severally purchase shares in approximately the same proportion as set forth in the table above.</w:t>
      </w:r>
    </w:p>
    <w:p>
      <w:pPr>
        <w:spacing w:after="0" w:line="187" w:lineRule="exact"/>
        <w:rPr>
          <w:sz w:val="20"/>
          <w:szCs w:val="20"/>
          <w:color w:val="auto"/>
        </w:rPr>
      </w:pPr>
    </w:p>
    <w:p>
      <w:pPr>
        <w:ind w:left="120" w:right="20" w:firstLine="440"/>
        <w:spacing w:after="0" w:line="342" w:lineRule="auto"/>
        <w:rPr>
          <w:sz w:val="20"/>
          <w:szCs w:val="20"/>
          <w:color w:val="auto"/>
        </w:rPr>
      </w:pPr>
      <w:r>
        <w:rPr>
          <w:rFonts w:ascii="Arial" w:cs="Arial" w:eastAsia="Arial" w:hAnsi="Arial"/>
          <w:sz w:val="16"/>
          <w:szCs w:val="16"/>
          <w:color w:val="auto"/>
        </w:rPr>
        <w:t>The following tables show the per share and total underwriting discounts and commissions to be paid to the underwriters by us. Such amounts are shown assuming both no exercise and full exercise of the underwriters’ option to purchase additional shares of our Class A common stock.</w:t>
      </w:r>
    </w:p>
    <w:p>
      <w:pPr>
        <w:spacing w:after="0" w:line="142" w:lineRule="exact"/>
        <w:rPr>
          <w:sz w:val="20"/>
          <w:szCs w:val="20"/>
          <w:color w:val="auto"/>
        </w:rPr>
      </w:pPr>
    </w:p>
    <w:tbl>
      <w:tblPr>
        <w:tblLayout w:type="fixed"/>
        <w:tblInd w:w="1440" w:type="dxa"/>
        <w:tblCellMar>
          <w:top w:w="0" w:type="dxa"/>
          <w:left w:w="0" w:type="dxa"/>
          <w:bottom w:w="0" w:type="dxa"/>
          <w:right w:w="0" w:type="dxa"/>
        </w:tblCellMar>
      </w:tblPr>
      <w:tr>
        <w:trPr>
          <w:trHeight w:val="191"/>
        </w:trPr>
        <w:tc>
          <w:tcPr>
            <w:tcW w:w="68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2"/>
              </w:rPr>
              <w:t>Paid by Us</w:t>
            </w:r>
          </w:p>
        </w:tc>
        <w:tc>
          <w:tcPr>
            <w:tcW w:w="5400" w:type="dxa"/>
            <w:vAlign w:val="bottom"/>
          </w:tcPr>
          <w:p>
            <w:pPr>
              <w:spacing w:after="0"/>
              <w:rPr>
                <w:sz w:val="16"/>
                <w:szCs w:val="16"/>
                <w:color w:val="auto"/>
              </w:rPr>
            </w:pPr>
          </w:p>
        </w:tc>
        <w:tc>
          <w:tcPr>
            <w:tcW w:w="1420" w:type="dxa"/>
            <w:vAlign w:val="bottom"/>
            <w:gridSpan w:val="2"/>
          </w:tcPr>
          <w:p>
            <w:pPr>
              <w:spacing w:after="0"/>
              <w:rPr>
                <w:sz w:val="20"/>
                <w:szCs w:val="20"/>
                <w:color w:val="auto"/>
              </w:rPr>
            </w:pPr>
            <w:r>
              <w:rPr>
                <w:rFonts w:ascii="Arial" w:cs="Arial" w:eastAsia="Arial" w:hAnsi="Arial"/>
                <w:sz w:val="14"/>
                <w:szCs w:val="14"/>
                <w:b w:val="1"/>
                <w:bCs w:val="1"/>
                <w:color w:val="auto"/>
              </w:rPr>
              <w:t>No Exercise</w:t>
            </w:r>
          </w:p>
        </w:tc>
        <w:tc>
          <w:tcPr>
            <w:tcW w:w="860" w:type="dxa"/>
            <w:vAlign w:val="bottom"/>
            <w:gridSpan w:val="2"/>
          </w:tcPr>
          <w:p>
            <w:pPr>
              <w:spacing w:after="0"/>
              <w:rPr>
                <w:sz w:val="20"/>
                <w:szCs w:val="20"/>
                <w:color w:val="auto"/>
              </w:rPr>
            </w:pPr>
            <w:r>
              <w:rPr>
                <w:rFonts w:ascii="Arial" w:cs="Arial" w:eastAsia="Arial" w:hAnsi="Arial"/>
                <w:sz w:val="14"/>
                <w:szCs w:val="14"/>
                <w:b w:val="1"/>
                <w:bCs w:val="1"/>
                <w:color w:val="auto"/>
                <w:w w:val="97"/>
              </w:rPr>
              <w:t>Full Exercise</w:t>
            </w:r>
          </w:p>
        </w:tc>
      </w:tr>
      <w:tr>
        <w:trPr>
          <w:trHeight w:val="203"/>
        </w:trPr>
        <w:tc>
          <w:tcPr>
            <w:tcW w:w="680" w:type="dxa"/>
            <w:vAlign w:val="bottom"/>
            <w:tcBorders>
              <w:top w:val="single" w:sz="8" w:color="CCEEFF"/>
            </w:tcBorders>
            <w:shd w:val="clear" w:color="auto" w:fill="CCEEFF"/>
          </w:tcPr>
          <w:p>
            <w:pPr>
              <w:spacing w:after="0" w:line="203" w:lineRule="exact"/>
              <w:rPr>
                <w:sz w:val="20"/>
                <w:szCs w:val="20"/>
                <w:color w:val="auto"/>
              </w:rPr>
            </w:pPr>
            <w:r>
              <w:rPr>
                <w:rFonts w:ascii="Arial" w:cs="Arial" w:eastAsia="Arial" w:hAnsi="Arial"/>
                <w:sz w:val="18"/>
                <w:szCs w:val="18"/>
                <w:color w:val="auto"/>
                <w:w w:val="84"/>
              </w:rPr>
              <w:t>Per share</w:t>
            </w:r>
          </w:p>
        </w:tc>
        <w:tc>
          <w:tcPr>
            <w:tcW w:w="5400" w:type="dxa"/>
            <w:vAlign w:val="bottom"/>
            <w:tcBorders>
              <w:top w:val="single" w:sz="8" w:color="CCEEFF"/>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spacing w:after="0" w:line="203" w:lineRule="exact"/>
              <w:rPr>
                <w:sz w:val="20"/>
                <w:szCs w:val="20"/>
                <w:color w:val="auto"/>
              </w:rPr>
            </w:pPr>
            <w:r>
              <w:rPr>
                <w:rFonts w:ascii="Arial" w:cs="Arial" w:eastAsia="Arial" w:hAnsi="Arial"/>
                <w:sz w:val="18"/>
                <w:szCs w:val="18"/>
                <w:color w:val="auto"/>
              </w:rPr>
              <w:t>$</w:t>
            </w:r>
          </w:p>
        </w:tc>
        <w:tc>
          <w:tcPr>
            <w:tcW w:w="700" w:type="dxa"/>
            <w:vAlign w:val="bottom"/>
            <w:tcBorders>
              <w:top w:val="single" w:sz="8" w:color="CCEEFF"/>
            </w:tcBorders>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spacing w:after="0" w:line="203" w:lineRule="exact"/>
              <w:rPr>
                <w:sz w:val="20"/>
                <w:szCs w:val="20"/>
                <w:color w:val="auto"/>
              </w:rPr>
            </w:pPr>
            <w:r>
              <w:rPr>
                <w:rFonts w:ascii="Arial" w:cs="Arial" w:eastAsia="Arial" w:hAnsi="Arial"/>
                <w:sz w:val="18"/>
                <w:szCs w:val="18"/>
                <w:color w:val="auto"/>
              </w:rPr>
              <w:t>$</w:t>
            </w:r>
          </w:p>
        </w:tc>
        <w:tc>
          <w:tcPr>
            <w:tcW w:w="40" w:type="dxa"/>
            <w:vAlign w:val="bottom"/>
            <w:tcBorders>
              <w:top w:val="single" w:sz="8" w:color="CCEEFF"/>
            </w:tcBorders>
            <w:shd w:val="clear" w:color="auto" w:fill="CCEEFF"/>
          </w:tcPr>
          <w:p>
            <w:pPr>
              <w:spacing w:after="0"/>
              <w:rPr>
                <w:sz w:val="17"/>
                <w:szCs w:val="17"/>
                <w:color w:val="auto"/>
              </w:rPr>
            </w:pPr>
          </w:p>
        </w:tc>
      </w:tr>
      <w:tr>
        <w:trPr>
          <w:trHeight w:val="230"/>
        </w:trPr>
        <w:tc>
          <w:tcPr>
            <w:tcW w:w="680" w:type="dxa"/>
            <w:vAlign w:val="bottom"/>
          </w:tcPr>
          <w:p>
            <w:pPr>
              <w:spacing w:after="0"/>
              <w:rPr>
                <w:sz w:val="20"/>
                <w:szCs w:val="20"/>
                <w:color w:val="auto"/>
              </w:rPr>
            </w:pPr>
            <w:r>
              <w:rPr>
                <w:rFonts w:ascii="Arial" w:cs="Arial" w:eastAsia="Arial" w:hAnsi="Arial"/>
                <w:sz w:val="18"/>
                <w:szCs w:val="18"/>
                <w:color w:val="auto"/>
              </w:rPr>
              <w:t>Total</w:t>
            </w:r>
          </w:p>
        </w:tc>
        <w:tc>
          <w:tcPr>
            <w:tcW w:w="6120" w:type="dxa"/>
            <w:vAlign w:val="bottom"/>
            <w:gridSpan w:val="2"/>
          </w:tcPr>
          <w:p>
            <w:pPr>
              <w:ind w:left="5400"/>
              <w:spacing w:after="0"/>
              <w:rPr>
                <w:sz w:val="20"/>
                <w:szCs w:val="20"/>
                <w:color w:val="auto"/>
              </w:rPr>
            </w:pPr>
            <w:r>
              <w:rPr>
                <w:rFonts w:ascii="Arial" w:cs="Arial" w:eastAsia="Arial" w:hAnsi="Arial"/>
                <w:sz w:val="18"/>
                <w:szCs w:val="18"/>
                <w:color w:val="auto"/>
              </w:rPr>
              <w:t>$</w:t>
            </w:r>
          </w:p>
        </w:tc>
        <w:tc>
          <w:tcPr>
            <w:tcW w:w="700" w:type="dxa"/>
            <w:vAlign w:val="bottom"/>
          </w:tcPr>
          <w:p>
            <w:pPr>
              <w:spacing w:after="0"/>
              <w:rPr>
                <w:sz w:val="20"/>
                <w:szCs w:val="20"/>
                <w:color w:val="auto"/>
              </w:rPr>
            </w:pPr>
          </w:p>
        </w:tc>
        <w:tc>
          <w:tcPr>
            <w:tcW w:w="820" w:type="dxa"/>
            <w:vAlign w:val="bottom"/>
          </w:tcPr>
          <w:p>
            <w:pPr>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20"/>
                <w:szCs w:val="20"/>
                <w:color w:val="auto"/>
              </w:rPr>
            </w:pPr>
          </w:p>
        </w:tc>
      </w:tr>
    </w:tbl>
    <w:p>
      <w:pPr>
        <w:spacing w:after="0" w:line="187" w:lineRule="exact"/>
        <w:rPr>
          <w:sz w:val="20"/>
          <w:szCs w:val="20"/>
          <w:color w:val="auto"/>
        </w:rPr>
      </w:pPr>
    </w:p>
    <w:p>
      <w:pPr>
        <w:ind w:left="120" w:right="60" w:firstLine="440"/>
        <w:spacing w:after="0" w:line="291" w:lineRule="auto"/>
        <w:rPr>
          <w:sz w:val="20"/>
          <w:szCs w:val="20"/>
          <w:color w:val="auto"/>
        </w:rPr>
      </w:pPr>
      <w:r>
        <w:rPr>
          <w:rFonts w:ascii="Arial" w:cs="Arial" w:eastAsia="Arial" w:hAnsi="Arial"/>
          <w:sz w:val="16"/>
          <w:szCs w:val="16"/>
          <w:color w:val="auto"/>
        </w:rPr>
        <w:t>Shares of our Class A common stock sold by the underwriters to the public will initially be offered at the public offering price set forth on the cover page of this prospectus. Any shares of our Class A common stock sold by the underwriters to securities dealers may be sold at a discount of up to</w:t>
      </w:r>
    </w:p>
    <w:p>
      <w:pPr>
        <w:jc w:val="both"/>
        <w:ind w:left="120" w:hanging="4"/>
        <w:spacing w:after="0" w:line="255" w:lineRule="auto"/>
        <w:tabs>
          <w:tab w:leader="none" w:pos="795" w:val="left"/>
        </w:tabs>
        <w:numPr>
          <w:ilvl w:val="0"/>
          <w:numId w:val="160"/>
        </w:numPr>
        <w:rPr>
          <w:rFonts w:ascii="Arial" w:cs="Arial" w:eastAsia="Arial" w:hAnsi="Arial"/>
          <w:sz w:val="18"/>
          <w:szCs w:val="18"/>
          <w:color w:val="auto"/>
        </w:rPr>
      </w:pPr>
      <w:r>
        <w:rPr>
          <w:rFonts w:ascii="Arial" w:cs="Arial" w:eastAsia="Arial" w:hAnsi="Arial"/>
          <w:sz w:val="18"/>
          <w:szCs w:val="18"/>
          <w:color w:val="auto"/>
        </w:rPr>
        <w:t>per share from the public offering price. After the initial offering of the shares, the representatives may change the offering price and the other selling terms. The offering of the shares by the underwriters is subject to receipt and acceptance and subject to the underwriters’ right to reject any order in whole or in part.</w:t>
      </w:r>
    </w:p>
    <w:p>
      <w:pPr>
        <w:spacing w:after="0" w:line="190" w:lineRule="exact"/>
        <w:rPr>
          <w:sz w:val="20"/>
          <w:szCs w:val="20"/>
          <w:color w:val="auto"/>
        </w:rPr>
      </w:pPr>
    </w:p>
    <w:p>
      <w:pPr>
        <w:ind w:left="120" w:firstLine="440"/>
        <w:spacing w:after="0" w:line="287" w:lineRule="auto"/>
        <w:rPr>
          <w:sz w:val="20"/>
          <w:szCs w:val="20"/>
          <w:color w:val="auto"/>
        </w:rPr>
      </w:pPr>
      <w:r>
        <w:rPr>
          <w:rFonts w:ascii="Arial" w:cs="Arial" w:eastAsia="Arial" w:hAnsi="Arial"/>
          <w:sz w:val="16"/>
          <w:szCs w:val="16"/>
          <w:color w:val="auto"/>
        </w:rPr>
        <w:t>We and Definitive OpCo have agreed with the underwriters not to offer, pledge, sell, contract to sell, sell any option or contract to purchase, purchase any option or contract to sell, grant any option, right or warrant to purchase, lend or otherwise transfer or dispose of any shares of, or securities convertible into or exchangeable for shares of, our Class A common stock during the period from the date of this prospectus continuing through the date</w:t>
      </w:r>
    </w:p>
    <w:p>
      <w:pPr>
        <w:spacing w:after="0" w:line="2" w:lineRule="exact"/>
        <w:rPr>
          <w:sz w:val="20"/>
          <w:szCs w:val="20"/>
          <w:color w:val="auto"/>
        </w:rPr>
      </w:pPr>
    </w:p>
    <w:p>
      <w:pPr>
        <w:ind w:left="120" w:right="40" w:firstLine="405"/>
        <w:spacing w:after="0" w:line="302" w:lineRule="auto"/>
        <w:rPr>
          <w:sz w:val="20"/>
          <w:szCs w:val="20"/>
          <w:color w:val="auto"/>
        </w:rPr>
      </w:pPr>
      <w:r>
        <w:rPr>
          <w:rFonts w:ascii="Arial" w:cs="Arial" w:eastAsia="Arial" w:hAnsi="Arial"/>
          <w:sz w:val="16"/>
          <w:szCs w:val="16"/>
          <w:color w:val="auto"/>
        </w:rPr>
        <w:t>days after the date of this prospectus (the “Lock-up Period”), except with the prior written consent of Goldman Sachs &amp; Co. LLC and J.P. Morgan Securities LLC. These restrictions do not apply to (i) the issuance of shares of, or securities convertible into or exercisable for shares of, our Class A common stock pursuant to the conversion or exchange of convertible or exchangeable securities or the exercise of warrants or options or the</w:t>
      </w:r>
    </w:p>
    <w:p>
      <w:pPr>
        <w:spacing w:after="0" w:line="88" w:lineRule="exact"/>
        <w:rPr>
          <w:sz w:val="20"/>
          <w:szCs w:val="20"/>
          <w:color w:val="auto"/>
        </w:rPr>
      </w:pPr>
    </w:p>
    <w:p>
      <w:pPr>
        <w:jc w:val="center"/>
        <w:ind w:right="-379"/>
        <w:spacing w:after="0"/>
        <w:rPr>
          <w:sz w:val="20"/>
          <w:szCs w:val="20"/>
          <w:color w:val="auto"/>
        </w:rPr>
      </w:pPr>
      <w:r>
        <w:rPr>
          <w:rFonts w:ascii="Arial" w:cs="Arial" w:eastAsia="Arial" w:hAnsi="Arial"/>
          <w:sz w:val="18"/>
          <w:szCs w:val="18"/>
          <w:color w:val="auto"/>
        </w:rPr>
        <w:t>185</w:t>
      </w:r>
    </w:p>
    <w:p>
      <w:pPr>
        <w:sectPr>
          <w:pgSz w:w="11900" w:h="16838" w:orient="portrait"/>
          <w:cols w:equalWidth="0" w:num="1">
            <w:col w:w="11080"/>
          </w:cols>
          <w:pgMar w:left="320" w:top="459" w:right="499" w:bottom="1440" w:gutter="0" w:footer="0" w:header="0"/>
        </w:sectPr>
      </w:pPr>
    </w:p>
    <w:bookmarkStart w:id="192" w:name="page193"/>
    <w:bookmarkEnd w:id="19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Confidential Treatment Requested by Definitive Healthcare Corp.</w:t>
      </w:r>
    </w:p>
    <w:p>
      <w:pPr>
        <w:spacing w:after="0" w:line="27"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Pursuant to 17 C.F.R. Section 200.83</w:t>
      </w:r>
    </w:p>
    <w:p>
      <w:pPr>
        <w:spacing w:after="0" w:line="143" w:lineRule="exact"/>
        <w:rPr>
          <w:sz w:val="20"/>
          <w:szCs w:val="20"/>
          <w:color w:val="auto"/>
        </w:rPr>
      </w:pPr>
    </w:p>
    <w:p>
      <w:pPr>
        <w:ind w:left="120" w:right="100"/>
        <w:spacing w:after="0" w:line="271" w:lineRule="auto"/>
        <w:rPr>
          <w:sz w:val="20"/>
          <w:szCs w:val="20"/>
          <w:color w:val="auto"/>
        </w:rPr>
      </w:pPr>
      <w:r>
        <w:rPr>
          <w:rFonts w:ascii="Arial" w:cs="Arial" w:eastAsia="Arial" w:hAnsi="Arial"/>
          <w:sz w:val="17"/>
          <w:szCs w:val="17"/>
          <w:color w:val="auto"/>
        </w:rPr>
        <w:t>settlement of RSUs, in each case outstanding on the date of the underwriting agreement; (ii) grants of equity awards and the issuance of shares of, or securities convertible into or exercisable or exchangeable for shares of, our Class A common stock pursuant to an equity compensation plan; (iii) the issuance of up to 10% of the outstanding shares of, or securities convertible into, exercisable for or which are otherwise exchangeable for, shares of our Class A common stock in acquisitions or other similar strategic transactions; (iv) the establishment of a trading plan pursuant to Rule 10b5-1 under the Exchange Act, provided certain conditions are met; or (v) the filing of any registration statement on Form S-8 relating to certain equity incentive plans; provided that we shall cause the recipient of any securities sold or issued pursuant to clauses (iv) and (v) to agree in writing to be bound by the restrictions set forth in the lock-up agreement described below. Nor do the restrictions prohibit non-public submission to the SEC of any registration statements under the Securities Act, provided certain conditions are met.</w:t>
      </w:r>
    </w:p>
    <w:p>
      <w:pPr>
        <w:spacing w:after="0" w:line="178" w:lineRule="exact"/>
        <w:rPr>
          <w:sz w:val="20"/>
          <w:szCs w:val="20"/>
          <w:color w:val="auto"/>
        </w:rPr>
      </w:pPr>
    </w:p>
    <w:p>
      <w:pPr>
        <w:ind w:left="120" w:right="40" w:firstLine="440"/>
        <w:spacing w:after="0" w:line="290" w:lineRule="auto"/>
        <w:rPr>
          <w:sz w:val="20"/>
          <w:szCs w:val="20"/>
          <w:color w:val="auto"/>
        </w:rPr>
      </w:pPr>
      <w:r>
        <w:rPr>
          <w:rFonts w:ascii="Arial" w:cs="Arial" w:eastAsia="Arial" w:hAnsi="Arial"/>
          <w:sz w:val="16"/>
          <w:szCs w:val="16"/>
          <w:color w:val="auto"/>
        </w:rPr>
        <w:t>Our directors, executive officers and the holders of substantially all of our Class A common stock, and securities convertible into, exchangeable for or that represent the right to receive Class A common stock, have entered into lock-up agreements with the underwriters pursuant to which they have agreed that, during the Lock-up Period, and without the prior written consent of Goldman Sachs &amp; Co. LLC and J.P. Morgan Securities LLC, they will not (a) offer, pledge, sell, contract to sell, sell any option or contract to purchase, purchase any option or contract to sell, grant any option, right or warrant to purchase, lend, or otherwise transfer or dispose of, directly or indirectly, any shares of, or any securities convertible into or exercisable or exchangeable for, our common stock (the “Lock-up Securities”), (b) enter into any hedging or other agreement or transaction that transfers any of the economic consequences of ownership of the Lock-Up Securities (whether any such transaction described in clause (a) or (b) is to be settled by delivery of any Lock-Up Securities, in cash or otherwise) or (c) publicly disclose the intention to do any of the foregoing.</w:t>
      </w:r>
    </w:p>
    <w:p>
      <w:pPr>
        <w:spacing w:after="0" w:line="273"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restrictions described in the immediately preceding paragraph do not apply to:</w:t>
      </w:r>
    </w:p>
    <w:p>
      <w:pPr>
        <w:spacing w:after="0" w:line="131" w:lineRule="exact"/>
        <w:rPr>
          <w:sz w:val="20"/>
          <w:szCs w:val="20"/>
          <w:color w:val="auto"/>
        </w:rPr>
      </w:pPr>
    </w:p>
    <w:p>
      <w:pPr>
        <w:ind w:left="1080" w:hanging="532"/>
        <w:spacing w:after="0"/>
        <w:tabs>
          <w:tab w:leader="none" w:pos="1080" w:val="left"/>
        </w:tabs>
        <w:numPr>
          <w:ilvl w:val="0"/>
          <w:numId w:val="161"/>
        </w:numPr>
        <w:rPr>
          <w:rFonts w:ascii="Arial" w:cs="Arial" w:eastAsia="Arial" w:hAnsi="Arial"/>
          <w:sz w:val="18"/>
          <w:szCs w:val="18"/>
          <w:color w:val="auto"/>
        </w:rPr>
      </w:pPr>
      <w:r>
        <w:rPr>
          <w:rFonts w:ascii="Arial" w:cs="Arial" w:eastAsia="Arial" w:hAnsi="Arial"/>
          <w:sz w:val="18"/>
          <w:szCs w:val="18"/>
          <w:color w:val="auto"/>
        </w:rPr>
        <w:t>the sale of our Class A common stock to the underwriters in this offering;</w:t>
      </w:r>
    </w:p>
    <w:p>
      <w:pPr>
        <w:spacing w:after="0" w:line="130" w:lineRule="exact"/>
        <w:rPr>
          <w:rFonts w:ascii="Arial" w:cs="Arial" w:eastAsia="Arial" w:hAnsi="Arial"/>
          <w:sz w:val="18"/>
          <w:szCs w:val="18"/>
          <w:color w:val="auto"/>
        </w:rPr>
      </w:pPr>
    </w:p>
    <w:p>
      <w:pPr>
        <w:ind w:left="1080" w:right="100" w:hanging="532"/>
        <w:spacing w:after="0" w:line="296" w:lineRule="auto"/>
        <w:tabs>
          <w:tab w:leader="none" w:pos="1080" w:val="left"/>
        </w:tabs>
        <w:numPr>
          <w:ilvl w:val="0"/>
          <w:numId w:val="161"/>
        </w:numPr>
        <w:rPr>
          <w:rFonts w:ascii="Arial" w:cs="Arial" w:eastAsia="Arial" w:hAnsi="Arial"/>
          <w:sz w:val="16"/>
          <w:szCs w:val="16"/>
          <w:color w:val="auto"/>
        </w:rPr>
      </w:pPr>
      <w:r>
        <w:rPr>
          <w:rFonts w:ascii="Arial" w:cs="Arial" w:eastAsia="Arial" w:hAnsi="Arial"/>
          <w:sz w:val="16"/>
          <w:szCs w:val="16"/>
          <w:color w:val="auto"/>
        </w:rPr>
        <w:t>transfers by will or intestacy; provided that (x) any such transfer shall not involve a disposition for value and each recipient shall agree in writing to be bound by the restrictions set forth in the lock-up agreements and (y) no public filing, report or announcement shall be voluntarily made, and if any filing under Section 16 of the Exchange Act, or other public filing, report or announcement reporting a reduction in beneficial ownership of shares of our Class A common stock in connection with such transfer shall be legally required during the Lock-up Period, such filing, report or announcement shall clearly indicate in the footnotes the nature and conditions of such transfer;</w:t>
      </w:r>
    </w:p>
    <w:p>
      <w:pPr>
        <w:spacing w:after="0" w:line="66" w:lineRule="exact"/>
        <w:rPr>
          <w:rFonts w:ascii="Arial" w:cs="Arial" w:eastAsia="Arial" w:hAnsi="Arial"/>
          <w:sz w:val="16"/>
          <w:szCs w:val="16"/>
          <w:color w:val="auto"/>
        </w:rPr>
      </w:pPr>
    </w:p>
    <w:p>
      <w:pPr>
        <w:ind w:left="1080" w:hanging="532"/>
        <w:spacing w:after="0" w:line="284" w:lineRule="auto"/>
        <w:tabs>
          <w:tab w:leader="none" w:pos="1080" w:val="left"/>
        </w:tabs>
        <w:numPr>
          <w:ilvl w:val="0"/>
          <w:numId w:val="161"/>
        </w:numPr>
        <w:rPr>
          <w:rFonts w:ascii="Arial" w:cs="Arial" w:eastAsia="Arial" w:hAnsi="Arial"/>
          <w:sz w:val="16"/>
          <w:szCs w:val="16"/>
          <w:color w:val="auto"/>
        </w:rPr>
      </w:pPr>
      <w:r>
        <w:rPr>
          <w:rFonts w:ascii="Arial" w:cs="Arial" w:eastAsia="Arial" w:hAnsi="Arial"/>
          <w:sz w:val="16"/>
          <w:szCs w:val="16"/>
          <w:color w:val="auto"/>
        </w:rPr>
        <w:t>transfers (A) as a bona fide gift or gifts, (B) to any trust, partnership, limited liability company or other entity for the benefit of the holder, the immediate family of the holder, or if the holder is a trust, to a trustor or beneficiary of the trust or to the estate of a beneficiary of such trust, or any private foundation or similar charitable organization over which the holder has control, provided that any such transfers to a private foundation or similar charitable organization shall not, in the aggregate and together with any such transfers pursuant to any substantially similar lock-up agreement with the representatives of the underwriters, exceed 1.00% of the outstanding shares of our common stock immediately following the offering, (C) to any partnership, limited liability company or other entity of which the holder and the holder’s immediate family are the legal and beneficial owner of all of the outstanding equity securities or similar interests, (D) to any immediate family member or investment fund or other entity controlled or managed by the holder or (E) if the holder is a business entity,</w:t>
      </w:r>
    </w:p>
    <w:p>
      <w:pPr>
        <w:jc w:val="both"/>
        <w:ind w:left="1080"/>
        <w:spacing w:after="0" w:line="281" w:lineRule="auto"/>
        <w:rPr>
          <w:rFonts w:ascii="Arial" w:cs="Arial" w:eastAsia="Arial" w:hAnsi="Arial"/>
          <w:sz w:val="16"/>
          <w:szCs w:val="16"/>
          <w:color w:val="auto"/>
        </w:rPr>
      </w:pPr>
      <w:r>
        <w:rPr>
          <w:rFonts w:ascii="Arial" w:cs="Arial" w:eastAsia="Arial" w:hAnsi="Arial"/>
          <w:sz w:val="16"/>
          <w:szCs w:val="16"/>
          <w:color w:val="auto"/>
        </w:rPr>
        <w:t>(1) to another business entity that is an affiliate of the holder, or to any investment fund or other entity controlling, controlled by, managing or managed by or under common control with the holder or affiliates of the holder or (2) as part of a distribution to limited partners, limited liability company members or shareholders of the holder, or holders of similar equity interests in the holder; provided, in each case, that</w:t>
      </w:r>
    </w:p>
    <w:p>
      <w:pPr>
        <w:spacing w:after="0" w:line="1" w:lineRule="exact"/>
        <w:rPr>
          <w:rFonts w:ascii="Arial" w:cs="Arial" w:eastAsia="Arial" w:hAnsi="Arial"/>
          <w:sz w:val="16"/>
          <w:szCs w:val="16"/>
          <w:color w:val="auto"/>
        </w:rPr>
      </w:pPr>
    </w:p>
    <w:p>
      <w:pPr>
        <w:ind w:left="1080" w:right="200"/>
        <w:spacing w:after="0" w:line="255" w:lineRule="auto"/>
        <w:rPr>
          <w:rFonts w:ascii="Arial" w:cs="Arial" w:eastAsia="Arial" w:hAnsi="Arial"/>
          <w:sz w:val="16"/>
          <w:szCs w:val="16"/>
          <w:color w:val="auto"/>
        </w:rPr>
      </w:pPr>
      <w:r>
        <w:rPr>
          <w:rFonts w:ascii="Arial" w:cs="Arial" w:eastAsia="Arial" w:hAnsi="Arial"/>
          <w:sz w:val="18"/>
          <w:szCs w:val="18"/>
          <w:color w:val="auto"/>
        </w:rPr>
        <w:t>(x) any such transfer shall not involve a disposition for value and each recipient shall agree in writing to be bound by the restrictions set forth in the lock-up agreements and (y) no filing by any party under the Exchange Act or other public announcement shall be required or made voluntarily in connection with such transfer;</w:t>
      </w:r>
    </w:p>
    <w:p>
      <w:pPr>
        <w:spacing w:after="0" w:line="122"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186</w:t>
      </w:r>
    </w:p>
    <w:p>
      <w:pPr>
        <w:sectPr>
          <w:pgSz w:w="11900" w:h="16838" w:orient="portrait"/>
          <w:cols w:equalWidth="0" w:num="1">
            <w:col w:w="11120"/>
          </w:cols>
          <w:pgMar w:left="320" w:top="459" w:right="459" w:bottom="1440" w:gutter="0" w:footer="0" w:header="0"/>
        </w:sectPr>
      </w:pPr>
    </w:p>
    <w:bookmarkStart w:id="193" w:name="page194"/>
    <w:bookmarkEnd w:id="19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Confidential Treatment Requested by Definitive Healthcare Corp.</w:t>
      </w:r>
    </w:p>
    <w:p>
      <w:pPr>
        <w:spacing w:after="0" w:line="27"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Pursuant to 17 C.F.R. Section 200.83</w:t>
      </w:r>
    </w:p>
    <w:p>
      <w:pPr>
        <w:spacing w:after="0" w:line="143" w:lineRule="exact"/>
        <w:rPr>
          <w:sz w:val="20"/>
          <w:szCs w:val="20"/>
          <w:color w:val="auto"/>
        </w:rPr>
      </w:pPr>
    </w:p>
    <w:p>
      <w:pPr>
        <w:ind w:left="1080" w:right="120" w:hanging="532"/>
        <w:spacing w:after="0" w:line="289" w:lineRule="auto"/>
        <w:tabs>
          <w:tab w:leader="none" w:pos="1080" w:val="left"/>
        </w:tabs>
        <w:numPr>
          <w:ilvl w:val="0"/>
          <w:numId w:val="162"/>
        </w:numPr>
        <w:rPr>
          <w:rFonts w:ascii="Arial" w:cs="Arial" w:eastAsia="Arial" w:hAnsi="Arial"/>
          <w:sz w:val="16"/>
          <w:szCs w:val="16"/>
          <w:color w:val="auto"/>
        </w:rPr>
      </w:pPr>
      <w:r>
        <w:rPr>
          <w:rFonts w:ascii="Arial" w:cs="Arial" w:eastAsia="Arial" w:hAnsi="Arial"/>
          <w:sz w:val="16"/>
          <w:szCs w:val="16"/>
          <w:color w:val="auto"/>
        </w:rPr>
        <w:t>transfers (A) by operation of law, (B) to a nominee or custodian of a person or entity to whom a disposition or transfer would be permissible under certain exceptions to the lock-up agreements, (C) pursuant to an order of certain courts or regulatory agencies; (D) as part of a sale of the holder’s Lock-Up Securities acquired in the offering (subject to certain exceptions) or open market transactions after the closing of the offering or (E) to us in connection with the vesting, settlement or exercise of rights to purchase shares of our common stock, provided that any such shares received shall be subject to the terms of the lock-up agreements and that any such rights are held pursuant to certain equity incentive plans; provided, in each case, that no public filing, report or announcement shall be voluntarily made, and if any filing under Section 16 of the Exchange Act, or other public filing, report or announcement reporting a reduction in beneficial ownership of shares of our Class A common stock in connection with such transfer shall be legally required during the Lock-up Period, such filing, report or announcement shall clearly indicate in the footnotes the nature and conditions of such transfer;</w:t>
      </w:r>
    </w:p>
    <w:p>
      <w:pPr>
        <w:spacing w:after="0" w:line="71" w:lineRule="exact"/>
        <w:rPr>
          <w:rFonts w:ascii="Arial" w:cs="Arial" w:eastAsia="Arial" w:hAnsi="Arial"/>
          <w:sz w:val="16"/>
          <w:szCs w:val="16"/>
          <w:color w:val="auto"/>
        </w:rPr>
      </w:pPr>
    </w:p>
    <w:p>
      <w:pPr>
        <w:ind w:left="1080" w:right="120" w:hanging="532"/>
        <w:spacing w:after="0" w:line="308" w:lineRule="auto"/>
        <w:tabs>
          <w:tab w:leader="none" w:pos="1080" w:val="left"/>
        </w:tabs>
        <w:numPr>
          <w:ilvl w:val="0"/>
          <w:numId w:val="162"/>
        </w:numPr>
        <w:rPr>
          <w:rFonts w:ascii="Arial" w:cs="Arial" w:eastAsia="Arial" w:hAnsi="Arial"/>
          <w:sz w:val="17"/>
          <w:szCs w:val="17"/>
          <w:color w:val="auto"/>
        </w:rPr>
      </w:pPr>
      <w:r>
        <w:rPr>
          <w:rFonts w:ascii="Arial" w:cs="Arial" w:eastAsia="Arial" w:hAnsi="Arial"/>
          <w:sz w:val="17"/>
          <w:szCs w:val="17"/>
          <w:color w:val="auto"/>
        </w:rPr>
        <w:t>transfers to us from one of our employees upon death, disability or termination of employment or other service relationship with us or the holder’s failure to meet certain conditions set out upon receipt of such securities, in each case, of such employee;</w:t>
      </w:r>
    </w:p>
    <w:p>
      <w:pPr>
        <w:spacing w:after="0" w:line="51" w:lineRule="exact"/>
        <w:rPr>
          <w:rFonts w:ascii="Arial" w:cs="Arial" w:eastAsia="Arial" w:hAnsi="Arial"/>
          <w:sz w:val="17"/>
          <w:szCs w:val="17"/>
          <w:color w:val="auto"/>
        </w:rPr>
      </w:pPr>
    </w:p>
    <w:p>
      <w:pPr>
        <w:ind w:left="1080" w:right="460" w:hanging="532"/>
        <w:spacing w:after="0" w:line="263" w:lineRule="auto"/>
        <w:tabs>
          <w:tab w:leader="none" w:pos="1080" w:val="left"/>
        </w:tabs>
        <w:numPr>
          <w:ilvl w:val="0"/>
          <w:numId w:val="162"/>
        </w:numPr>
        <w:rPr>
          <w:rFonts w:ascii="Arial" w:cs="Arial" w:eastAsia="Arial" w:hAnsi="Arial"/>
          <w:sz w:val="18"/>
          <w:szCs w:val="18"/>
          <w:color w:val="auto"/>
        </w:rPr>
      </w:pPr>
      <w:r>
        <w:rPr>
          <w:rFonts w:ascii="Arial" w:cs="Arial" w:eastAsia="Arial" w:hAnsi="Arial"/>
          <w:sz w:val="18"/>
          <w:szCs w:val="18"/>
          <w:color w:val="auto"/>
        </w:rPr>
        <w:t>transfers pursuant to a bona fide third-party tender offer, merger, consolidation or other similar transaction made to all holders of our capital stock involving a change of control, provided that in the event that such transaction is not completed, the holder’s Lock-Up Securities shall remain subject to the restrictions set forth in the lock-up agreements;</w:t>
      </w:r>
    </w:p>
    <w:p>
      <w:pPr>
        <w:spacing w:after="0" w:line="89" w:lineRule="exact"/>
        <w:rPr>
          <w:rFonts w:ascii="Arial" w:cs="Arial" w:eastAsia="Arial" w:hAnsi="Arial"/>
          <w:sz w:val="18"/>
          <w:szCs w:val="18"/>
          <w:color w:val="auto"/>
        </w:rPr>
      </w:pPr>
    </w:p>
    <w:p>
      <w:pPr>
        <w:ind w:left="1080" w:hanging="532"/>
        <w:spacing w:after="0"/>
        <w:tabs>
          <w:tab w:leader="none" w:pos="1080" w:val="left"/>
        </w:tabs>
        <w:numPr>
          <w:ilvl w:val="0"/>
          <w:numId w:val="162"/>
        </w:numPr>
        <w:rPr>
          <w:rFonts w:ascii="Arial" w:cs="Arial" w:eastAsia="Arial" w:hAnsi="Arial"/>
          <w:sz w:val="16"/>
          <w:szCs w:val="16"/>
          <w:color w:val="auto"/>
        </w:rPr>
      </w:pPr>
      <w:r>
        <w:rPr>
          <w:rFonts w:ascii="Arial" w:cs="Arial" w:eastAsia="Arial" w:hAnsi="Arial"/>
          <w:sz w:val="16"/>
          <w:szCs w:val="16"/>
          <w:color w:val="auto"/>
        </w:rPr>
        <w:t>(A) the exercise of outstanding options or warrants or the settlement of other equity awards pursuant to certain equity incentive plans or</w:t>
      </w:r>
    </w:p>
    <w:p>
      <w:pPr>
        <w:spacing w:after="0" w:line="46" w:lineRule="exact"/>
        <w:rPr>
          <w:rFonts w:ascii="Arial" w:cs="Arial" w:eastAsia="Arial" w:hAnsi="Arial"/>
          <w:sz w:val="16"/>
          <w:szCs w:val="16"/>
          <w:color w:val="auto"/>
        </w:rPr>
      </w:pPr>
    </w:p>
    <w:p>
      <w:pPr>
        <w:ind w:left="1080" w:right="40"/>
        <w:spacing w:after="0" w:line="255" w:lineRule="auto"/>
        <w:rPr>
          <w:rFonts w:ascii="Arial" w:cs="Arial" w:eastAsia="Arial" w:hAnsi="Arial"/>
          <w:sz w:val="16"/>
          <w:szCs w:val="16"/>
          <w:color w:val="auto"/>
        </w:rPr>
      </w:pPr>
      <w:r>
        <w:rPr>
          <w:rFonts w:ascii="Arial" w:cs="Arial" w:eastAsia="Arial" w:hAnsi="Arial"/>
          <w:sz w:val="18"/>
          <w:szCs w:val="18"/>
          <w:color w:val="auto"/>
        </w:rPr>
        <w:t>(B) the conversion of outstanding shares of our preferred stock, warrants to acquire shares of our preferred stock or convertible securities into, or warrants to acquire shares of, our common stock; provided, in each case, that any securities received are subject to the terms of the lock-up agreements; or</w:t>
      </w:r>
    </w:p>
    <w:p>
      <w:pPr>
        <w:spacing w:after="0" w:line="95" w:lineRule="exact"/>
        <w:rPr>
          <w:rFonts w:ascii="Arial" w:cs="Arial" w:eastAsia="Arial" w:hAnsi="Arial"/>
          <w:sz w:val="16"/>
          <w:szCs w:val="16"/>
          <w:color w:val="auto"/>
        </w:rPr>
      </w:pPr>
    </w:p>
    <w:p>
      <w:pPr>
        <w:ind w:left="1080" w:right="160" w:hanging="532"/>
        <w:spacing w:after="0" w:line="275" w:lineRule="auto"/>
        <w:tabs>
          <w:tab w:leader="none" w:pos="1080" w:val="left"/>
        </w:tabs>
        <w:numPr>
          <w:ilvl w:val="0"/>
          <w:numId w:val="162"/>
        </w:numPr>
        <w:rPr>
          <w:rFonts w:ascii="Arial" w:cs="Arial" w:eastAsia="Arial" w:hAnsi="Arial"/>
          <w:sz w:val="17"/>
          <w:szCs w:val="17"/>
          <w:color w:val="auto"/>
        </w:rPr>
      </w:pPr>
      <w:r>
        <w:rPr>
          <w:rFonts w:ascii="Arial" w:cs="Arial" w:eastAsia="Arial" w:hAnsi="Arial"/>
          <w:sz w:val="17"/>
          <w:szCs w:val="17"/>
          <w:color w:val="auto"/>
        </w:rPr>
        <w:t>the establishment of a trading plan pursuant to Rule 10b5-1 under the Exchange Act, provided that (A) no such plan shall provide for the transfer of any Lock-Up Securities during the Lock-up Period and (B) no filing under the Exchange Act or other public announcement shall be required or voluntarily made in connection with such trading plan and any public announcement or public filing under the Exchange Act regarding the establishment of such plan shall include a statement that such individual is not permitted to transfer, sell or otherwise dispose of any Lock-up Securities during the Lock-up Period.</w:t>
      </w:r>
    </w:p>
    <w:p>
      <w:pPr>
        <w:spacing w:after="0" w:line="176" w:lineRule="exact"/>
        <w:rPr>
          <w:sz w:val="20"/>
          <w:szCs w:val="20"/>
          <w:color w:val="auto"/>
        </w:rPr>
      </w:pPr>
    </w:p>
    <w:p>
      <w:pPr>
        <w:ind w:left="120" w:firstLine="440"/>
        <w:spacing w:after="0" w:line="271" w:lineRule="auto"/>
        <w:rPr>
          <w:sz w:val="20"/>
          <w:szCs w:val="20"/>
          <w:color w:val="auto"/>
        </w:rPr>
      </w:pPr>
      <w:r>
        <w:rPr>
          <w:rFonts w:ascii="Arial" w:cs="Arial" w:eastAsia="Arial" w:hAnsi="Arial"/>
          <w:sz w:val="17"/>
          <w:szCs w:val="17"/>
          <w:color w:val="auto"/>
        </w:rPr>
        <w:t>In the event that, during the Lock-Up Period, Goldman Sachs &amp; Co. LLC and J.P. Morgan Securities LLC release or waive any prohibition set forth in the lock-up agreements (a “Triggering Release”), at the time of the request of the Triggering Release, and subject to certain exceptions, the same percentage of securities of the holder as the percentage of securities being released in the Triggering Release represents with respect to the securities held directly or indirectly by each such holder shall be automatically and concurrently released from the lock-up agreement to the same extent; provided that, if such Triggering Release is effected in connection with an underwritten public offering that is a secondary offering of our Class A common stock, such securities shall only be released to the extent necessary to permit the offer, transfer and sale of such securities in the underwritten offering, and any securities subject to the lock-up agreement that are not actually sold in the underwritten offering will not be deemed released from the restrictions of the lock-up agreement.</w:t>
      </w:r>
    </w:p>
    <w:p>
      <w:pPr>
        <w:spacing w:after="0" w:line="178" w:lineRule="exact"/>
        <w:rPr>
          <w:sz w:val="20"/>
          <w:szCs w:val="20"/>
          <w:color w:val="auto"/>
        </w:rPr>
      </w:pPr>
    </w:p>
    <w:p>
      <w:pPr>
        <w:ind w:left="560"/>
        <w:spacing w:after="0"/>
        <w:rPr>
          <w:sz w:val="20"/>
          <w:szCs w:val="20"/>
          <w:color w:val="auto"/>
        </w:rPr>
      </w:pPr>
      <w:r>
        <w:rPr>
          <w:rFonts w:ascii="Arial" w:cs="Arial" w:eastAsia="Arial" w:hAnsi="Arial"/>
          <w:sz w:val="18"/>
          <w:szCs w:val="18"/>
          <w:color w:val="auto"/>
        </w:rPr>
        <w:t>Our common stock is listed on Nasdaq under the symbol “DH.”</w:t>
      </w:r>
    </w:p>
    <w:p>
      <w:pPr>
        <w:spacing w:after="0" w:line="225" w:lineRule="exact"/>
        <w:rPr>
          <w:sz w:val="20"/>
          <w:szCs w:val="20"/>
          <w:color w:val="auto"/>
        </w:rPr>
      </w:pPr>
    </w:p>
    <w:p>
      <w:pPr>
        <w:ind w:left="120" w:right="140" w:firstLine="440"/>
        <w:spacing w:after="0" w:line="279" w:lineRule="auto"/>
        <w:rPr>
          <w:sz w:val="20"/>
          <w:szCs w:val="20"/>
          <w:color w:val="auto"/>
        </w:rPr>
      </w:pPr>
      <w:r>
        <w:rPr>
          <w:rFonts w:ascii="Arial" w:cs="Arial" w:eastAsia="Arial" w:hAnsi="Arial"/>
          <w:sz w:val="17"/>
          <w:szCs w:val="17"/>
          <w:color w:val="auto"/>
        </w:rPr>
        <w:t>In connection with the offering, the underwriters may purchase and sell shares of our Class A common stock in the open market. These transactions may include short sales, stabilizing transactions and purchases to cover positions created by short sales. Short sales involve the sale by the underwriters of a greater number of shares than they are required to purchase in this offering, and a short position represents the amount of such sales that have not been covered by subsequent purchases. A “covered short position” is a short position that is not greater</w:t>
      </w:r>
    </w:p>
    <w:p>
      <w:pPr>
        <w:spacing w:after="0" w:line="104" w:lineRule="exact"/>
        <w:rPr>
          <w:sz w:val="20"/>
          <w:szCs w:val="20"/>
          <w:color w:val="auto"/>
        </w:rPr>
      </w:pPr>
    </w:p>
    <w:p>
      <w:pPr>
        <w:jc w:val="center"/>
        <w:ind w:right="-379"/>
        <w:spacing w:after="0"/>
        <w:rPr>
          <w:sz w:val="20"/>
          <w:szCs w:val="20"/>
          <w:color w:val="auto"/>
        </w:rPr>
      </w:pPr>
      <w:r>
        <w:rPr>
          <w:rFonts w:ascii="Arial" w:cs="Arial" w:eastAsia="Arial" w:hAnsi="Arial"/>
          <w:sz w:val="18"/>
          <w:szCs w:val="18"/>
          <w:color w:val="auto"/>
        </w:rPr>
        <w:t>187</w:t>
      </w:r>
    </w:p>
    <w:p>
      <w:pPr>
        <w:sectPr>
          <w:pgSz w:w="11900" w:h="16838" w:orient="portrait"/>
          <w:cols w:equalWidth="0" w:num="1">
            <w:col w:w="11100"/>
          </w:cols>
          <w:pgMar w:left="320" w:top="459" w:right="479" w:bottom="1440" w:gutter="0" w:footer="0" w:header="0"/>
        </w:sectPr>
      </w:pPr>
    </w:p>
    <w:bookmarkStart w:id="194" w:name="page195"/>
    <w:bookmarkEnd w:id="19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Confidential Treatment Requested by Definitive Healthcare Corp.</w:t>
      </w:r>
    </w:p>
    <w:p>
      <w:pPr>
        <w:spacing w:after="0" w:line="27"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Pursuant to 17 C.F.R. Section 200.83</w:t>
      </w:r>
    </w:p>
    <w:p>
      <w:pPr>
        <w:spacing w:after="0" w:line="143" w:lineRule="exact"/>
        <w:rPr>
          <w:sz w:val="20"/>
          <w:szCs w:val="20"/>
          <w:color w:val="auto"/>
        </w:rPr>
      </w:pPr>
    </w:p>
    <w:p>
      <w:pPr>
        <w:ind w:left="120"/>
        <w:spacing w:after="0" w:line="289" w:lineRule="auto"/>
        <w:rPr>
          <w:sz w:val="20"/>
          <w:szCs w:val="20"/>
          <w:color w:val="auto"/>
        </w:rPr>
      </w:pPr>
      <w:r>
        <w:rPr>
          <w:rFonts w:ascii="Arial" w:cs="Arial" w:eastAsia="Arial" w:hAnsi="Arial"/>
          <w:sz w:val="16"/>
          <w:szCs w:val="16"/>
          <w:color w:val="auto"/>
        </w:rPr>
        <w:t>than the amount of additional shares for which the underwriters’ option described above may be exercised. The underwriters may cover any covered short position by either exercising their option to purchase additional shares or purchasing shares in the open market. In determining the source of shares to cover the covered short position, the underwriters will consider, among other things, the price of shares available for purchase in the open market as compared to the price at which they may purchase additional shares pursuant to the option described above. “Naked” short sales are any short sales that create a short position greater than the amount of additional shares of our Class A common stock for which the option described above may be exercised. The underwriters must cover any such naked short position by purchasing shares in the open market. A naked short position is more likely to be created if the underwriters are concerned that there may be downward pressure on the price of our Class A common stock in the open market after pricing that could adversely affect investors who purchase in this offering. Stabilizing transactions consist of various bids for or purchases of our Class A common stock made by the underwriters in the open market prior to the completion of this offering.</w:t>
      </w:r>
    </w:p>
    <w:p>
      <w:pPr>
        <w:spacing w:after="0" w:line="166" w:lineRule="exact"/>
        <w:rPr>
          <w:sz w:val="20"/>
          <w:szCs w:val="20"/>
          <w:color w:val="auto"/>
        </w:rPr>
      </w:pPr>
    </w:p>
    <w:p>
      <w:pPr>
        <w:ind w:left="120" w:firstLine="440"/>
        <w:spacing w:after="0" w:line="263" w:lineRule="auto"/>
        <w:rPr>
          <w:sz w:val="20"/>
          <w:szCs w:val="20"/>
          <w:color w:val="auto"/>
        </w:rPr>
      </w:pPr>
      <w:r>
        <w:rPr>
          <w:rFonts w:ascii="Arial" w:cs="Arial" w:eastAsia="Arial" w:hAnsi="Arial"/>
          <w:sz w:val="18"/>
          <w:szCs w:val="18"/>
          <w:color w:val="auto"/>
        </w:rPr>
        <w:t>The underwriters may also impose a penalty bid. This occurs when a particular underwriter repays to the underwriters a portion of the underwriting discounts received by it because the representatives have repurchased shares sold by or for the account of such underwriter in stabilizing or short covering transactions.</w:t>
      </w:r>
    </w:p>
    <w:p>
      <w:pPr>
        <w:spacing w:after="0" w:line="184" w:lineRule="exact"/>
        <w:rPr>
          <w:sz w:val="20"/>
          <w:szCs w:val="20"/>
          <w:color w:val="auto"/>
        </w:rPr>
      </w:pPr>
    </w:p>
    <w:p>
      <w:pPr>
        <w:ind w:left="120" w:firstLine="440"/>
        <w:spacing w:after="0" w:line="296" w:lineRule="auto"/>
        <w:rPr>
          <w:sz w:val="20"/>
          <w:szCs w:val="20"/>
          <w:color w:val="auto"/>
        </w:rPr>
      </w:pPr>
      <w:r>
        <w:rPr>
          <w:rFonts w:ascii="Arial" w:cs="Arial" w:eastAsia="Arial" w:hAnsi="Arial"/>
          <w:sz w:val="16"/>
          <w:szCs w:val="16"/>
          <w:color w:val="auto"/>
        </w:rPr>
        <w:t>Purchases to cover a short position and stabilizing transactions, as well as other purchases by the underwriters for their own accounts, may have the effect of preventing or retarding a decline in the market price of our Class A common stock, and together with the imposition of the penalty bid, may stabilize, maintain or otherwise affect the market price of our Class A common stock. As a result, the price of our Class A common stock may be higher than the price that otherwise might exist in the open market. The underwriters are not required to engage in these activities and may end any of these activities at any time. These transactions may be effected on Nasdaq in the over-the-counter market or otherwise.</w:t>
      </w:r>
    </w:p>
    <w:p>
      <w:pPr>
        <w:spacing w:after="0" w:line="16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We estimate that our share of the total expenses of this offering, excluding underwriting discounts and Commissions, will be approximately</w:t>
      </w:r>
    </w:p>
    <w:p>
      <w:pPr>
        <w:spacing w:after="0" w:line="23" w:lineRule="exact"/>
        <w:rPr>
          <w:sz w:val="20"/>
          <w:szCs w:val="20"/>
          <w:color w:val="auto"/>
        </w:rPr>
      </w:pPr>
    </w:p>
    <w:p>
      <w:pPr>
        <w:ind w:left="120" w:right="320"/>
        <w:spacing w:after="0" w:line="260" w:lineRule="auto"/>
        <w:rPr>
          <w:sz w:val="20"/>
          <w:szCs w:val="20"/>
          <w:color w:val="auto"/>
        </w:rPr>
      </w:pPr>
      <w:r>
        <w:rPr>
          <w:rFonts w:ascii="Arial" w:cs="Arial" w:eastAsia="Arial" w:hAnsi="Arial"/>
          <w:sz w:val="18"/>
          <w:szCs w:val="18"/>
          <w:color w:val="auto"/>
        </w:rPr>
        <w:t>$ million. We have agreed to reimburse the underwriters for certain of their expenses in an amount of up to $ . The underwriters have agreed to reimburse us for certain expenses incurred by us in connection with this offering upon the closing of the offering.</w:t>
      </w:r>
    </w:p>
    <w:p>
      <w:pPr>
        <w:spacing w:after="0" w:line="185" w:lineRule="exact"/>
        <w:rPr>
          <w:sz w:val="20"/>
          <w:szCs w:val="20"/>
          <w:color w:val="auto"/>
        </w:rPr>
      </w:pPr>
    </w:p>
    <w:p>
      <w:pPr>
        <w:ind w:left="560"/>
        <w:spacing w:after="0"/>
        <w:rPr>
          <w:sz w:val="20"/>
          <w:szCs w:val="20"/>
          <w:color w:val="auto"/>
        </w:rPr>
      </w:pPr>
      <w:r>
        <w:rPr>
          <w:rFonts w:ascii="Arial" w:cs="Arial" w:eastAsia="Arial" w:hAnsi="Arial"/>
          <w:sz w:val="18"/>
          <w:szCs w:val="18"/>
          <w:color w:val="auto"/>
        </w:rPr>
        <w:t>We have agreed to indemnify the several underwriters against certain liabilities, including liabilities under the Securities Act.</w:t>
      </w:r>
    </w:p>
    <w:p>
      <w:pPr>
        <w:spacing w:after="0" w:line="225" w:lineRule="exact"/>
        <w:rPr>
          <w:sz w:val="20"/>
          <w:szCs w:val="20"/>
          <w:color w:val="auto"/>
        </w:rPr>
      </w:pPr>
    </w:p>
    <w:p>
      <w:pPr>
        <w:ind w:left="120" w:firstLine="440"/>
        <w:spacing w:after="0" w:line="273" w:lineRule="auto"/>
        <w:rPr>
          <w:sz w:val="20"/>
          <w:szCs w:val="20"/>
          <w:color w:val="auto"/>
        </w:rPr>
      </w:pPr>
      <w:r>
        <w:rPr>
          <w:rFonts w:ascii="Arial" w:cs="Arial" w:eastAsia="Arial" w:hAnsi="Arial"/>
          <w:sz w:val="17"/>
          <w:szCs w:val="17"/>
          <w:color w:val="auto"/>
        </w:rPr>
        <w:t>The underwriters and their respective affiliates are full service financial institutions engaged in various activities, which may include sales and trading, commercial and investment banking, advisory, investment management, investment research, principal investment, hedging, market making, brokerage and other financial and non-financial activities and services. Certain of the underwriters and their respective affiliates have provided, and may in the future provide, a variety of these services to us and to persons and entities with relationships with us, for which they received or will receive customary fees and expenses. For example, certain of the underwriters and their respective affiliates are expected to serve as arrangers in connection with our new senior credit facilities. See “Prospectus Summary—Debt Refinancing.”</w:t>
      </w:r>
    </w:p>
    <w:p>
      <w:pPr>
        <w:spacing w:after="0" w:line="178" w:lineRule="exact"/>
        <w:rPr>
          <w:sz w:val="20"/>
          <w:szCs w:val="20"/>
          <w:color w:val="auto"/>
        </w:rPr>
      </w:pPr>
    </w:p>
    <w:p>
      <w:pPr>
        <w:ind w:left="120" w:firstLine="440"/>
        <w:spacing w:after="0" w:line="291" w:lineRule="auto"/>
        <w:rPr>
          <w:sz w:val="20"/>
          <w:szCs w:val="20"/>
          <w:color w:val="auto"/>
        </w:rPr>
      </w:pPr>
      <w:r>
        <w:rPr>
          <w:rFonts w:ascii="Arial" w:cs="Arial" w:eastAsia="Arial" w:hAnsi="Arial"/>
          <w:sz w:val="16"/>
          <w:szCs w:val="16"/>
          <w:color w:val="auto"/>
        </w:rPr>
        <w:t>In the ordinary course of their various business activities, the underwriters and their respective affiliates, officers, directors and employees may purchase, sell or hold a broad array of investments and actively trade securities, derivatives, loans, commodities, currencies, credit default swaps and other financial instruments for their own account and for the accounts of their customers, and such investment and trading activities may involve or relate to assets, securities and/or instruments of the issuer (directly, as collateral securing other obligations or otherwise) and/or persons and entities with relationships with the issuer. The underwriters and their respective affiliates may also communicate independent investment recommendations, market color or trading ideas and/or publish or express independent research views in respect of such assets, securities or instruments and may at any time hold, or recommend to clients that they should acquire, long and/or short positions in such assets, securities and instruments.</w:t>
      </w:r>
    </w:p>
    <w:p>
      <w:pPr>
        <w:spacing w:after="0" w:line="99" w:lineRule="exact"/>
        <w:rPr>
          <w:sz w:val="20"/>
          <w:szCs w:val="20"/>
          <w:color w:val="auto"/>
        </w:rPr>
      </w:pPr>
    </w:p>
    <w:p>
      <w:pPr>
        <w:jc w:val="center"/>
        <w:ind w:right="-359"/>
        <w:spacing w:after="0"/>
        <w:rPr>
          <w:sz w:val="20"/>
          <w:szCs w:val="20"/>
          <w:color w:val="auto"/>
        </w:rPr>
      </w:pPr>
      <w:r>
        <w:rPr>
          <w:rFonts w:ascii="Arial" w:cs="Arial" w:eastAsia="Arial" w:hAnsi="Arial"/>
          <w:sz w:val="18"/>
          <w:szCs w:val="18"/>
          <w:color w:val="auto"/>
        </w:rPr>
        <w:t>188</w:t>
      </w:r>
    </w:p>
    <w:p>
      <w:pPr>
        <w:sectPr>
          <w:pgSz w:w="11900" w:h="16838" w:orient="portrait"/>
          <w:cols w:equalWidth="0" w:num="1">
            <w:col w:w="11100"/>
          </w:cols>
          <w:pgMar w:left="320" w:top="459" w:right="479" w:bottom="1440" w:gutter="0" w:footer="0" w:header="0"/>
        </w:sectPr>
      </w:pPr>
    </w:p>
    <w:bookmarkStart w:id="195" w:name="page196"/>
    <w:bookmarkEnd w:id="19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Confidential Treatment Requested by Definitive Healthcare Corp.</w:t>
      </w:r>
    </w:p>
    <w:p>
      <w:pPr>
        <w:spacing w:after="0" w:line="27"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Pursuant to 17 C.F.R. Section 200.83</w:t>
      </w:r>
    </w:p>
    <w:p>
      <w:pPr>
        <w:spacing w:after="0" w:line="143"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European Economic Area</w:t>
      </w:r>
    </w:p>
    <w:p>
      <w:pPr>
        <w:spacing w:after="0" w:line="117" w:lineRule="exact"/>
        <w:rPr>
          <w:sz w:val="20"/>
          <w:szCs w:val="20"/>
          <w:color w:val="auto"/>
        </w:rPr>
      </w:pPr>
    </w:p>
    <w:p>
      <w:pPr>
        <w:ind w:left="120" w:right="180" w:firstLine="440"/>
        <w:spacing w:after="0" w:line="296" w:lineRule="auto"/>
        <w:rPr>
          <w:sz w:val="20"/>
          <w:szCs w:val="20"/>
          <w:color w:val="auto"/>
        </w:rPr>
      </w:pPr>
      <w:r>
        <w:rPr>
          <w:rFonts w:ascii="Arial" w:cs="Arial" w:eastAsia="Arial" w:hAnsi="Arial"/>
          <w:sz w:val="16"/>
          <w:szCs w:val="16"/>
          <w:color w:val="auto"/>
        </w:rPr>
        <w:t>In relation to each Member State of the European Economic Area (each a “Relevant Member State”), no shares have been offered or will be offered pursuant to this offering to the public in that Relevant Member State prior to the publication of a prospectus in relation to the shares which has been approved by the competent authority in that Relevant Member State or, where appropriate, approved in another Relevant Member State and notified to the competent authority in that Relevant Member State, all in accordance with the EU Prospectus Regulation, except that the shares may be offered to the public in that Relevant Member State at any time under the following exemptions under the EU Prospectus Regulation:</w:t>
      </w:r>
    </w:p>
    <w:p>
      <w:pPr>
        <w:spacing w:after="0" w:line="67" w:lineRule="exact"/>
        <w:rPr>
          <w:sz w:val="20"/>
          <w:szCs w:val="20"/>
          <w:color w:val="auto"/>
        </w:rPr>
      </w:pPr>
    </w:p>
    <w:p>
      <w:pPr>
        <w:ind w:left="1080" w:hanging="532"/>
        <w:spacing w:after="0"/>
        <w:tabs>
          <w:tab w:leader="none" w:pos="1080" w:val="left"/>
        </w:tabs>
        <w:numPr>
          <w:ilvl w:val="0"/>
          <w:numId w:val="163"/>
        </w:numPr>
        <w:rPr>
          <w:rFonts w:ascii="Arial" w:cs="Arial" w:eastAsia="Arial" w:hAnsi="Arial"/>
          <w:sz w:val="18"/>
          <w:szCs w:val="18"/>
          <w:color w:val="auto"/>
        </w:rPr>
      </w:pPr>
      <w:r>
        <w:rPr>
          <w:rFonts w:ascii="Arial" w:cs="Arial" w:eastAsia="Arial" w:hAnsi="Arial"/>
          <w:sz w:val="18"/>
          <w:szCs w:val="18"/>
          <w:color w:val="auto"/>
        </w:rPr>
        <w:t>to any legal entity which is a qualified investor as defined under the EU Prospectus Regulation;</w:t>
      </w:r>
    </w:p>
    <w:p>
      <w:pPr>
        <w:spacing w:after="0" w:line="130" w:lineRule="exact"/>
        <w:rPr>
          <w:rFonts w:ascii="Arial" w:cs="Arial" w:eastAsia="Arial" w:hAnsi="Arial"/>
          <w:sz w:val="18"/>
          <w:szCs w:val="18"/>
          <w:color w:val="auto"/>
        </w:rPr>
      </w:pPr>
    </w:p>
    <w:p>
      <w:pPr>
        <w:ind w:left="1080" w:right="580" w:hanging="532"/>
        <w:spacing w:after="0" w:line="277" w:lineRule="auto"/>
        <w:tabs>
          <w:tab w:leader="none" w:pos="1080" w:val="left"/>
        </w:tabs>
        <w:numPr>
          <w:ilvl w:val="0"/>
          <w:numId w:val="163"/>
        </w:numPr>
        <w:rPr>
          <w:rFonts w:ascii="Arial" w:cs="Arial" w:eastAsia="Arial" w:hAnsi="Arial"/>
          <w:sz w:val="18"/>
          <w:szCs w:val="18"/>
          <w:color w:val="auto"/>
        </w:rPr>
      </w:pPr>
      <w:r>
        <w:rPr>
          <w:rFonts w:ascii="Arial" w:cs="Arial" w:eastAsia="Arial" w:hAnsi="Arial"/>
          <w:sz w:val="18"/>
          <w:szCs w:val="18"/>
          <w:color w:val="auto"/>
        </w:rPr>
        <w:t>to fewer than 150 natural or legal persons (other than qualified investors as defined under the EU Prospectus Regulation) subject to obtaining the prior consent of the representatives for any such offer; or</w:t>
      </w:r>
    </w:p>
    <w:p>
      <w:pPr>
        <w:spacing w:after="0" w:line="75" w:lineRule="exact"/>
        <w:rPr>
          <w:rFonts w:ascii="Arial" w:cs="Arial" w:eastAsia="Arial" w:hAnsi="Arial"/>
          <w:sz w:val="18"/>
          <w:szCs w:val="18"/>
          <w:color w:val="auto"/>
        </w:rPr>
      </w:pPr>
    </w:p>
    <w:p>
      <w:pPr>
        <w:ind w:left="1080" w:hanging="532"/>
        <w:spacing w:after="0"/>
        <w:tabs>
          <w:tab w:leader="none" w:pos="1080" w:val="left"/>
        </w:tabs>
        <w:numPr>
          <w:ilvl w:val="0"/>
          <w:numId w:val="163"/>
        </w:numPr>
        <w:rPr>
          <w:rFonts w:ascii="Arial" w:cs="Arial" w:eastAsia="Arial" w:hAnsi="Arial"/>
          <w:sz w:val="18"/>
          <w:szCs w:val="18"/>
          <w:color w:val="auto"/>
        </w:rPr>
      </w:pPr>
      <w:r>
        <w:rPr>
          <w:rFonts w:ascii="Arial" w:cs="Arial" w:eastAsia="Arial" w:hAnsi="Arial"/>
          <w:sz w:val="18"/>
          <w:szCs w:val="18"/>
          <w:color w:val="auto"/>
        </w:rPr>
        <w:t>in any other circumstances falling within Article 1(4) of the EU Prospectus Regulation,</w:t>
      </w:r>
    </w:p>
    <w:p>
      <w:pPr>
        <w:spacing w:after="0" w:line="225" w:lineRule="exact"/>
        <w:rPr>
          <w:sz w:val="20"/>
          <w:szCs w:val="20"/>
          <w:color w:val="auto"/>
        </w:rPr>
      </w:pPr>
    </w:p>
    <w:p>
      <w:pPr>
        <w:ind w:left="120" w:right="780"/>
        <w:spacing w:after="0" w:line="277" w:lineRule="auto"/>
        <w:rPr>
          <w:sz w:val="20"/>
          <w:szCs w:val="20"/>
          <w:color w:val="auto"/>
        </w:rPr>
      </w:pPr>
      <w:r>
        <w:rPr>
          <w:rFonts w:ascii="Arial" w:cs="Arial" w:eastAsia="Arial" w:hAnsi="Arial"/>
          <w:sz w:val="18"/>
          <w:szCs w:val="18"/>
          <w:color w:val="auto"/>
        </w:rPr>
        <w:t>provided that no such offer of the shares shall require us or any underwriter to publish a prospectus pursuant to Article 3 of the EU Prospectus Regulation or supplement a prospectus pursuant to Article 23 of the EU Prospectus Regulation.</w:t>
      </w:r>
    </w:p>
    <w:p>
      <w:pPr>
        <w:spacing w:after="0" w:line="170" w:lineRule="exact"/>
        <w:rPr>
          <w:sz w:val="20"/>
          <w:szCs w:val="20"/>
          <w:color w:val="auto"/>
        </w:rPr>
      </w:pPr>
    </w:p>
    <w:p>
      <w:pPr>
        <w:ind w:left="120" w:right="60" w:firstLine="440"/>
        <w:spacing w:after="0" w:line="286" w:lineRule="auto"/>
        <w:rPr>
          <w:sz w:val="20"/>
          <w:szCs w:val="20"/>
          <w:color w:val="auto"/>
        </w:rPr>
      </w:pPr>
      <w:r>
        <w:rPr>
          <w:rFonts w:ascii="Arial" w:cs="Arial" w:eastAsia="Arial" w:hAnsi="Arial"/>
          <w:sz w:val="17"/>
          <w:szCs w:val="17"/>
          <w:color w:val="auto"/>
        </w:rPr>
        <w:t>For the purposes of this provision, the expression an “offer to the public” in relation to the shares in any Relevant Member State means the communication in any form and by any means of sufficient information on the terms of the offer and any shares to be offered so as to enable an investor to decide to purchase any shares, and the expression ‘EU Prospectus Regulation” means Regulation (EU) 2017/1129.</w:t>
      </w:r>
    </w:p>
    <w:p>
      <w:pPr>
        <w:spacing w:after="0" w:line="165" w:lineRule="exact"/>
        <w:rPr>
          <w:sz w:val="20"/>
          <w:szCs w:val="20"/>
          <w:color w:val="auto"/>
        </w:rPr>
      </w:pPr>
    </w:p>
    <w:p>
      <w:pPr>
        <w:ind w:left="120" w:right="400" w:firstLine="440"/>
        <w:spacing w:after="0" w:line="342" w:lineRule="auto"/>
        <w:rPr>
          <w:sz w:val="20"/>
          <w:szCs w:val="20"/>
          <w:color w:val="auto"/>
        </w:rPr>
      </w:pPr>
      <w:r>
        <w:rPr>
          <w:rFonts w:ascii="Arial" w:cs="Arial" w:eastAsia="Arial" w:hAnsi="Arial"/>
          <w:sz w:val="16"/>
          <w:szCs w:val="16"/>
          <w:color w:val="auto"/>
        </w:rPr>
        <w:t>Each person in a Relevant Member State who receives any communication in respect of, or who acquires any shares under, this offering contemplated hereby will be deemed to have represented, warranted and agreed to and with each of the underwriters and their affiliates and us that:</w:t>
      </w:r>
    </w:p>
    <w:p>
      <w:pPr>
        <w:spacing w:after="0" w:line="29" w:lineRule="exact"/>
        <w:rPr>
          <w:sz w:val="20"/>
          <w:szCs w:val="20"/>
          <w:color w:val="auto"/>
        </w:rPr>
      </w:pPr>
    </w:p>
    <w:p>
      <w:pPr>
        <w:ind w:left="1080" w:hanging="532"/>
        <w:spacing w:after="0"/>
        <w:tabs>
          <w:tab w:leader="none" w:pos="1080" w:val="left"/>
        </w:tabs>
        <w:numPr>
          <w:ilvl w:val="0"/>
          <w:numId w:val="164"/>
        </w:numPr>
        <w:rPr>
          <w:rFonts w:ascii="Arial" w:cs="Arial" w:eastAsia="Arial" w:hAnsi="Arial"/>
          <w:sz w:val="18"/>
          <w:szCs w:val="18"/>
          <w:color w:val="auto"/>
        </w:rPr>
      </w:pPr>
      <w:r>
        <w:rPr>
          <w:rFonts w:ascii="Arial" w:cs="Arial" w:eastAsia="Arial" w:hAnsi="Arial"/>
          <w:sz w:val="18"/>
          <w:szCs w:val="18"/>
          <w:color w:val="auto"/>
        </w:rPr>
        <w:t>it is a qualified investor within the meaning of the EU Prospectus Regulation; and</w:t>
      </w:r>
    </w:p>
    <w:p>
      <w:pPr>
        <w:spacing w:after="0" w:line="130" w:lineRule="exact"/>
        <w:rPr>
          <w:rFonts w:ascii="Arial" w:cs="Arial" w:eastAsia="Arial" w:hAnsi="Arial"/>
          <w:sz w:val="18"/>
          <w:szCs w:val="18"/>
          <w:color w:val="auto"/>
        </w:rPr>
      </w:pPr>
    </w:p>
    <w:p>
      <w:pPr>
        <w:ind w:left="1080" w:right="40" w:hanging="532"/>
        <w:spacing w:after="0" w:line="272" w:lineRule="auto"/>
        <w:tabs>
          <w:tab w:leader="none" w:pos="1080" w:val="left"/>
        </w:tabs>
        <w:numPr>
          <w:ilvl w:val="0"/>
          <w:numId w:val="164"/>
        </w:numPr>
        <w:rPr>
          <w:rFonts w:ascii="Arial" w:cs="Arial" w:eastAsia="Arial" w:hAnsi="Arial"/>
          <w:sz w:val="17"/>
          <w:szCs w:val="17"/>
          <w:color w:val="auto"/>
        </w:rPr>
      </w:pPr>
      <w:r>
        <w:rPr>
          <w:rFonts w:ascii="Arial" w:cs="Arial" w:eastAsia="Arial" w:hAnsi="Arial"/>
          <w:sz w:val="17"/>
          <w:szCs w:val="17"/>
          <w:color w:val="auto"/>
        </w:rPr>
        <w:t>in the case of any shares acquired by it as a financial intermediary, as that term is used in Article 5 of the EU Prospectus Regulation, (i) the shares acquired by it in this offering have not been acquired on a non-discretionary basis on behalf of, nor have they been acquired with a view to their offer or resale to, persons in any Relevant Member State other than qualified investors, as that term is defined in the EU Prospectus Regulation, or have been acquired in other circumstances falling within the points (a) to (d) of Article 1(4) of the EU Prospectus Regulation and the prior consent of the representatives has been given to the offer or resale; or (ii) where the shares have been acquired by it on behalf of persons in any Relevant Member State other than qualified investors, the offer of those shares to it is not treated under the EU Prospectus Regulation as having been made to such persons.</w:t>
      </w:r>
    </w:p>
    <w:p>
      <w:pPr>
        <w:spacing w:after="0" w:line="177" w:lineRule="exact"/>
        <w:rPr>
          <w:sz w:val="20"/>
          <w:szCs w:val="20"/>
          <w:color w:val="auto"/>
        </w:rPr>
      </w:pPr>
    </w:p>
    <w:p>
      <w:pPr>
        <w:ind w:left="120" w:right="220" w:firstLine="440"/>
        <w:spacing w:after="0" w:line="263" w:lineRule="auto"/>
        <w:rPr>
          <w:sz w:val="20"/>
          <w:szCs w:val="20"/>
          <w:color w:val="auto"/>
        </w:rPr>
      </w:pPr>
      <w:r>
        <w:rPr>
          <w:rFonts w:ascii="Arial" w:cs="Arial" w:eastAsia="Arial" w:hAnsi="Arial"/>
          <w:sz w:val="18"/>
          <w:szCs w:val="18"/>
          <w:color w:val="auto"/>
        </w:rPr>
        <w:t>We, the underwriters and their affiliates, and others will rely upon the truth and accuracy of the foregoing representation, acknowledgement and agreement. Notwithstanding the above, a person who is not a qualified investor and who has notified the representatives of such fact in writing may, with the prior consent of the representatives, be permitted to acquire shares in this offering.</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United Kingdom</w:t>
      </w:r>
    </w:p>
    <w:p>
      <w:pPr>
        <w:spacing w:after="0" w:line="117" w:lineRule="exact"/>
        <w:rPr>
          <w:sz w:val="20"/>
          <w:szCs w:val="20"/>
          <w:color w:val="auto"/>
        </w:rPr>
      </w:pPr>
    </w:p>
    <w:p>
      <w:pPr>
        <w:ind w:left="120" w:firstLine="440"/>
        <w:spacing w:after="0" w:line="311" w:lineRule="auto"/>
        <w:rPr>
          <w:sz w:val="20"/>
          <w:szCs w:val="20"/>
          <w:color w:val="auto"/>
        </w:rPr>
      </w:pPr>
      <w:r>
        <w:rPr>
          <w:rFonts w:ascii="Arial" w:cs="Arial" w:eastAsia="Arial" w:hAnsi="Arial"/>
          <w:sz w:val="16"/>
          <w:szCs w:val="16"/>
          <w:color w:val="auto"/>
        </w:rPr>
        <w:t>No shares have been offered or will be offered pursuant to the offering to the public in the United Kingdom prior to the publication of a prospectus in relation to the shares which has been approved by the Financial Conduct Authority in accordance with the UK Prospectus Regulation, except that it may make an offer to the public in the United Kingdom of any shares at any time under the following exemptions under the UK Prospectus Regulation:</w:t>
      </w:r>
    </w:p>
    <w:p>
      <w:pPr>
        <w:spacing w:after="0" w:line="54" w:lineRule="exact"/>
        <w:rPr>
          <w:sz w:val="20"/>
          <w:szCs w:val="20"/>
          <w:color w:val="auto"/>
        </w:rPr>
      </w:pPr>
    </w:p>
    <w:p>
      <w:pPr>
        <w:ind w:left="5600" w:right="3140" w:hanging="5052"/>
        <w:spacing w:after="0" w:line="449" w:lineRule="auto"/>
        <w:tabs>
          <w:tab w:leader="none" w:pos="1084" w:val="left"/>
        </w:tabs>
        <w:numPr>
          <w:ilvl w:val="0"/>
          <w:numId w:val="165"/>
        </w:numPr>
        <w:rPr>
          <w:rFonts w:ascii="Arial" w:cs="Arial" w:eastAsia="Arial" w:hAnsi="Arial"/>
          <w:sz w:val="18"/>
          <w:szCs w:val="18"/>
          <w:color w:val="auto"/>
        </w:rPr>
      </w:pPr>
      <w:r>
        <w:rPr>
          <w:rFonts w:ascii="Arial" w:cs="Arial" w:eastAsia="Arial" w:hAnsi="Arial"/>
          <w:sz w:val="18"/>
          <w:szCs w:val="18"/>
          <w:color w:val="auto"/>
        </w:rPr>
        <w:t>to any legal entity which is a qualified investor as defined under the UK Prospectus Regulation; 189</w:t>
      </w:r>
    </w:p>
    <w:p>
      <w:pPr>
        <w:sectPr>
          <w:pgSz w:w="11900" w:h="16838" w:orient="portrait"/>
          <w:cols w:equalWidth="0" w:num="1">
            <w:col w:w="11120"/>
          </w:cols>
          <w:pgMar w:left="320" w:top="459" w:right="459" w:bottom="1440" w:gutter="0" w:footer="0" w:header="0"/>
        </w:sectPr>
      </w:pPr>
    </w:p>
    <w:bookmarkStart w:id="196" w:name="page197"/>
    <w:bookmarkEnd w:id="19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Confidential Treatment Requested by Definitive Healthcare Corp.</w:t>
      </w:r>
    </w:p>
    <w:p>
      <w:pPr>
        <w:spacing w:after="0" w:line="27"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Pursuant to 17 C.F.R. Section 200.83</w:t>
      </w:r>
    </w:p>
    <w:p>
      <w:pPr>
        <w:spacing w:after="0" w:line="143" w:lineRule="exact"/>
        <w:rPr>
          <w:sz w:val="20"/>
          <w:szCs w:val="20"/>
          <w:color w:val="auto"/>
        </w:rPr>
      </w:pPr>
    </w:p>
    <w:p>
      <w:pPr>
        <w:ind w:left="1080" w:right="500" w:hanging="532"/>
        <w:spacing w:after="0" w:line="277" w:lineRule="auto"/>
        <w:tabs>
          <w:tab w:leader="none" w:pos="1080" w:val="left"/>
        </w:tabs>
        <w:numPr>
          <w:ilvl w:val="0"/>
          <w:numId w:val="166"/>
        </w:numPr>
        <w:rPr>
          <w:rFonts w:ascii="Arial" w:cs="Arial" w:eastAsia="Arial" w:hAnsi="Arial"/>
          <w:sz w:val="18"/>
          <w:szCs w:val="18"/>
          <w:color w:val="auto"/>
        </w:rPr>
      </w:pPr>
      <w:r>
        <w:rPr>
          <w:rFonts w:ascii="Arial" w:cs="Arial" w:eastAsia="Arial" w:hAnsi="Arial"/>
          <w:sz w:val="18"/>
          <w:szCs w:val="18"/>
          <w:color w:val="auto"/>
        </w:rPr>
        <w:t>to fewer than 150 natural or legal persons (other than qualified investors as defined under the UK Prospectus Regulation), subject to obtaining the prior consent of the representatives for any such offer; or</w:t>
      </w:r>
    </w:p>
    <w:p>
      <w:pPr>
        <w:spacing w:after="0" w:line="75" w:lineRule="exact"/>
        <w:rPr>
          <w:rFonts w:ascii="Arial" w:cs="Arial" w:eastAsia="Arial" w:hAnsi="Arial"/>
          <w:sz w:val="18"/>
          <w:szCs w:val="18"/>
          <w:color w:val="auto"/>
        </w:rPr>
      </w:pPr>
    </w:p>
    <w:p>
      <w:pPr>
        <w:ind w:left="1080" w:hanging="532"/>
        <w:spacing w:after="0"/>
        <w:tabs>
          <w:tab w:leader="none" w:pos="1080" w:val="left"/>
        </w:tabs>
        <w:numPr>
          <w:ilvl w:val="0"/>
          <w:numId w:val="166"/>
        </w:numPr>
        <w:rPr>
          <w:rFonts w:ascii="Arial" w:cs="Arial" w:eastAsia="Arial" w:hAnsi="Arial"/>
          <w:sz w:val="18"/>
          <w:szCs w:val="18"/>
          <w:color w:val="auto"/>
        </w:rPr>
      </w:pPr>
      <w:r>
        <w:rPr>
          <w:rFonts w:ascii="Arial" w:cs="Arial" w:eastAsia="Arial" w:hAnsi="Arial"/>
          <w:sz w:val="18"/>
          <w:szCs w:val="18"/>
          <w:color w:val="auto"/>
        </w:rPr>
        <w:t>in any other circumstances falling within Article 1(4) of the UK Prospectus Regulation.</w:t>
      </w:r>
    </w:p>
    <w:p>
      <w:pPr>
        <w:spacing w:after="0" w:line="225" w:lineRule="exact"/>
        <w:rPr>
          <w:sz w:val="20"/>
          <w:szCs w:val="20"/>
          <w:color w:val="auto"/>
        </w:rPr>
      </w:pPr>
    </w:p>
    <w:p>
      <w:pPr>
        <w:ind w:left="120" w:right="740"/>
        <w:spacing w:after="0" w:line="277" w:lineRule="auto"/>
        <w:rPr>
          <w:sz w:val="20"/>
          <w:szCs w:val="20"/>
          <w:color w:val="auto"/>
        </w:rPr>
      </w:pPr>
      <w:r>
        <w:rPr>
          <w:rFonts w:ascii="Arial" w:cs="Arial" w:eastAsia="Arial" w:hAnsi="Arial"/>
          <w:sz w:val="18"/>
          <w:szCs w:val="18"/>
          <w:color w:val="auto"/>
        </w:rPr>
        <w:t>provided that no such offer of the shares shall require us or any underwriter to publish a prospectus pursuant to Article 3 of the UK Prospectus Regulation or supplement a prospectus pursuant to Article 23 of the UK Prospectus Regulation.</w:t>
      </w:r>
    </w:p>
    <w:p>
      <w:pPr>
        <w:spacing w:after="0" w:line="170" w:lineRule="exact"/>
        <w:rPr>
          <w:sz w:val="20"/>
          <w:szCs w:val="20"/>
          <w:color w:val="auto"/>
        </w:rPr>
      </w:pPr>
    </w:p>
    <w:p>
      <w:pPr>
        <w:jc w:val="both"/>
        <w:ind w:left="120" w:right="140" w:firstLine="440"/>
        <w:spacing w:after="0" w:line="286" w:lineRule="auto"/>
        <w:rPr>
          <w:sz w:val="20"/>
          <w:szCs w:val="20"/>
          <w:color w:val="auto"/>
        </w:rPr>
      </w:pPr>
      <w:r>
        <w:rPr>
          <w:rFonts w:ascii="Arial" w:cs="Arial" w:eastAsia="Arial" w:hAnsi="Arial"/>
          <w:sz w:val="16"/>
          <w:szCs w:val="16"/>
          <w:color w:val="auto"/>
        </w:rPr>
        <w:t>In the United Kingdom, the offering is only addressed to, and is directed only at, “qualified investors” within the meaning of Article 2(e) of the UK Prospectus Regulation, who are also (i) persons having professional experience in matters relating to investments who fall within the definition of “investment professionals” in Article 19(5) of the Financial Services and Markets Act 2000 (Financial Promotion) Order 2005 (the “Order”); (ii) high net worth bodies corporate, unincorporated associations and partnerships and trustees of high value trusts as described in Article 49(2) of the Order; or</w:t>
      </w:r>
    </w:p>
    <w:p>
      <w:pPr>
        <w:spacing w:after="0" w:line="1" w:lineRule="exact"/>
        <w:rPr>
          <w:sz w:val="20"/>
          <w:szCs w:val="20"/>
          <w:color w:val="auto"/>
        </w:rPr>
      </w:pPr>
    </w:p>
    <w:p>
      <w:pPr>
        <w:jc w:val="both"/>
        <w:ind w:left="120" w:hanging="4"/>
        <w:spacing w:after="0" w:line="255" w:lineRule="auto"/>
        <w:tabs>
          <w:tab w:leader="none" w:pos="435" w:val="left"/>
        </w:tabs>
        <w:numPr>
          <w:ilvl w:val="0"/>
          <w:numId w:val="167"/>
        </w:numPr>
        <w:rPr>
          <w:rFonts w:ascii="Arial" w:cs="Arial" w:eastAsia="Arial" w:hAnsi="Arial"/>
          <w:sz w:val="18"/>
          <w:szCs w:val="18"/>
          <w:color w:val="auto"/>
        </w:rPr>
      </w:pPr>
      <w:r>
        <w:rPr>
          <w:rFonts w:ascii="Arial" w:cs="Arial" w:eastAsia="Arial" w:hAnsi="Arial"/>
          <w:sz w:val="18"/>
          <w:szCs w:val="18"/>
          <w:color w:val="auto"/>
        </w:rPr>
        <w:t>persons to whom it may otherwise lawfully be communicated (all such persons being referred to as “relevant persons”). This prospectus must not be acted on or relied on by persons who are not relevant persons. Any investment or investment activity to which this prospectus relates is available only to relevant persons and will be engaged in only with relevant persons.</w:t>
      </w:r>
    </w:p>
    <w:p>
      <w:pPr>
        <w:spacing w:after="0" w:line="190" w:lineRule="exact"/>
        <w:rPr>
          <w:sz w:val="20"/>
          <w:szCs w:val="20"/>
          <w:color w:val="auto"/>
        </w:rPr>
      </w:pPr>
    </w:p>
    <w:p>
      <w:pPr>
        <w:ind w:left="120" w:right="80" w:firstLine="440"/>
        <w:spacing w:after="0" w:line="257" w:lineRule="auto"/>
        <w:rPr>
          <w:sz w:val="20"/>
          <w:szCs w:val="20"/>
          <w:color w:val="auto"/>
        </w:rPr>
      </w:pPr>
      <w:r>
        <w:rPr>
          <w:rFonts w:ascii="Arial" w:cs="Arial" w:eastAsia="Arial" w:hAnsi="Arial"/>
          <w:sz w:val="18"/>
          <w:szCs w:val="18"/>
          <w:color w:val="auto"/>
        </w:rPr>
        <w:t>For the purposes of this provision, the expression an “offer to the public” in relation to the shares in the United Kingdom means the communication in any form and by any means of sufficient information on the terms of the offering and any shares to be offered so as to enable an investor to decide to purchase or subscribe for any shares, and the expression “UK Prospectus Regulation” means the UK version of Regulation (EU) No 2017/1129 as amended by The Prospectus (Amendment etc.) (EU Exit) Regulations 2019, which is part of UK law by virtue of the European Union (Withdrawal) Act 2018.</w:t>
      </w:r>
    </w:p>
    <w:p>
      <w:pPr>
        <w:spacing w:after="0" w:line="296"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Canada</w:t>
      </w:r>
    </w:p>
    <w:p>
      <w:pPr>
        <w:spacing w:after="0" w:line="117" w:lineRule="exact"/>
        <w:rPr>
          <w:sz w:val="20"/>
          <w:szCs w:val="20"/>
          <w:color w:val="auto"/>
        </w:rPr>
      </w:pPr>
    </w:p>
    <w:p>
      <w:pPr>
        <w:ind w:left="120" w:firstLine="440"/>
        <w:spacing w:after="0" w:line="279" w:lineRule="auto"/>
        <w:rPr>
          <w:sz w:val="20"/>
          <w:szCs w:val="20"/>
          <w:color w:val="auto"/>
        </w:rPr>
      </w:pPr>
      <w:r>
        <w:rPr>
          <w:rFonts w:ascii="Arial" w:cs="Arial" w:eastAsia="Arial" w:hAnsi="Arial"/>
          <w:sz w:val="17"/>
          <w:szCs w:val="17"/>
          <w:color w:val="auto"/>
        </w:rPr>
        <w:t>The shares may be sold in Canada only to purchasers purchasing, or deemed to be purchasing, as principal that are accredited investors, as defined in National Instrument 45-106 Prospectus Exemptions or subsection 73.3(1) of the Securities Act (Ontario), and are permitted clients, as defined in National Instrument 31-103 Registration Requirements, Exemptions, and Ongoing Registrant Obligations. Any resale of the shares must be made in accordance with an exemption form, or in a transaction not subject to, the prospectus requirements of applicable securities laws.</w:t>
      </w:r>
    </w:p>
    <w:p>
      <w:pPr>
        <w:spacing w:after="0" w:line="171" w:lineRule="exact"/>
        <w:rPr>
          <w:sz w:val="20"/>
          <w:szCs w:val="20"/>
          <w:color w:val="auto"/>
        </w:rPr>
      </w:pPr>
    </w:p>
    <w:p>
      <w:pPr>
        <w:ind w:left="120" w:right="240" w:firstLine="440"/>
        <w:spacing w:after="0" w:line="301" w:lineRule="auto"/>
        <w:rPr>
          <w:sz w:val="20"/>
          <w:szCs w:val="20"/>
          <w:color w:val="auto"/>
        </w:rPr>
      </w:pPr>
      <w:r>
        <w:rPr>
          <w:rFonts w:ascii="Arial" w:cs="Arial" w:eastAsia="Arial" w:hAnsi="Arial"/>
          <w:sz w:val="16"/>
          <w:szCs w:val="16"/>
          <w:color w:val="auto"/>
        </w:rPr>
        <w:t>Securities legislation in certain provinces or territories of Canada may provide a purchaser with remedies for rescission or damages if this prospectus (including any amendment hereto) contains a misrepresentation, provided that the remedies for rescission or damages are exercised by the purchaser within the time limit prescribed by the securities legislation of the purchaser’s province or territory. The purchaser should refer to any applicable provisions of the securities legislation of the purchaser’s province or territory of these rights or consult with a legal advisor.</w:t>
      </w:r>
    </w:p>
    <w:p>
      <w:pPr>
        <w:spacing w:after="0" w:line="157" w:lineRule="exact"/>
        <w:rPr>
          <w:sz w:val="20"/>
          <w:szCs w:val="20"/>
          <w:color w:val="auto"/>
        </w:rPr>
      </w:pPr>
    </w:p>
    <w:p>
      <w:pPr>
        <w:ind w:left="120" w:right="60" w:firstLine="440"/>
        <w:spacing w:after="0" w:line="277" w:lineRule="auto"/>
        <w:rPr>
          <w:sz w:val="20"/>
          <w:szCs w:val="20"/>
          <w:color w:val="auto"/>
        </w:rPr>
      </w:pPr>
      <w:r>
        <w:rPr>
          <w:rFonts w:ascii="Arial" w:cs="Arial" w:eastAsia="Arial" w:hAnsi="Arial"/>
          <w:sz w:val="18"/>
          <w:szCs w:val="18"/>
          <w:color w:val="auto"/>
        </w:rPr>
        <w:t>Pursuant to section 3A.3 of National Instrument 33-105 Underwriting Conflicts (NI 33-105), the underwriters are not required to comply with the disclosure requirements of NI 33-105 regarding underwriter conflicts of interest in connection with this offering.</w:t>
      </w:r>
    </w:p>
    <w:p>
      <w:pPr>
        <w:spacing w:after="0" w:line="27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Hong Kong</w:t>
      </w:r>
    </w:p>
    <w:p>
      <w:pPr>
        <w:spacing w:after="0" w:line="117" w:lineRule="exact"/>
        <w:rPr>
          <w:sz w:val="20"/>
          <w:szCs w:val="20"/>
          <w:color w:val="auto"/>
        </w:rPr>
      </w:pPr>
    </w:p>
    <w:p>
      <w:pPr>
        <w:ind w:left="120" w:right="20" w:firstLine="440"/>
        <w:spacing w:after="0" w:line="263" w:lineRule="auto"/>
        <w:rPr>
          <w:sz w:val="20"/>
          <w:szCs w:val="20"/>
          <w:color w:val="auto"/>
        </w:rPr>
      </w:pPr>
      <w:r>
        <w:rPr>
          <w:rFonts w:ascii="Arial" w:cs="Arial" w:eastAsia="Arial" w:hAnsi="Arial"/>
          <w:sz w:val="18"/>
          <w:szCs w:val="18"/>
          <w:color w:val="auto"/>
        </w:rPr>
        <w:t>The shares may not be offered or sold in Hong Kong by means of any document other than (i) in circumstances which do not constitute an offer to the public within the meaning of the Companies (Winding Up and Miscellaneous Provisions) Ordinance (Cap. 32, Laws of Hong Kong), or (ii) to “professional investors”</w:t>
      </w:r>
    </w:p>
    <w:p>
      <w:pPr>
        <w:spacing w:after="0" w:line="116" w:lineRule="exact"/>
        <w:rPr>
          <w:sz w:val="20"/>
          <w:szCs w:val="20"/>
          <w:color w:val="auto"/>
        </w:rPr>
      </w:pPr>
    </w:p>
    <w:p>
      <w:pPr>
        <w:jc w:val="center"/>
        <w:ind w:right="-359"/>
        <w:spacing w:after="0"/>
        <w:rPr>
          <w:sz w:val="20"/>
          <w:szCs w:val="20"/>
          <w:color w:val="auto"/>
        </w:rPr>
      </w:pPr>
      <w:r>
        <w:rPr>
          <w:rFonts w:ascii="Arial" w:cs="Arial" w:eastAsia="Arial" w:hAnsi="Arial"/>
          <w:sz w:val="18"/>
          <w:szCs w:val="18"/>
          <w:color w:val="auto"/>
        </w:rPr>
        <w:t>190</w:t>
      </w:r>
    </w:p>
    <w:p>
      <w:pPr>
        <w:sectPr>
          <w:pgSz w:w="11900" w:h="16838" w:orient="portrait"/>
          <w:cols w:equalWidth="0" w:num="1">
            <w:col w:w="11100"/>
          </w:cols>
          <w:pgMar w:left="320" w:top="459" w:right="479" w:bottom="1440" w:gutter="0" w:footer="0" w:header="0"/>
        </w:sectPr>
      </w:pPr>
    </w:p>
    <w:bookmarkStart w:id="197" w:name="page198"/>
    <w:bookmarkEnd w:id="19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Confidential Treatment Requested by Definitive Healthcare Corp.</w:t>
      </w:r>
    </w:p>
    <w:p>
      <w:pPr>
        <w:spacing w:after="0" w:line="27"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Pursuant to 17 C.F.R. Section 200.83</w:t>
      </w:r>
    </w:p>
    <w:p>
      <w:pPr>
        <w:spacing w:after="0" w:line="143" w:lineRule="exact"/>
        <w:rPr>
          <w:sz w:val="20"/>
          <w:szCs w:val="20"/>
          <w:color w:val="auto"/>
        </w:rPr>
      </w:pPr>
    </w:p>
    <w:p>
      <w:pPr>
        <w:ind w:left="120" w:right="140"/>
        <w:spacing w:after="0" w:line="272" w:lineRule="auto"/>
        <w:rPr>
          <w:sz w:val="20"/>
          <w:szCs w:val="20"/>
          <w:color w:val="auto"/>
        </w:rPr>
      </w:pPr>
      <w:r>
        <w:rPr>
          <w:rFonts w:ascii="Arial" w:cs="Arial" w:eastAsia="Arial" w:hAnsi="Arial"/>
          <w:sz w:val="17"/>
          <w:szCs w:val="17"/>
          <w:color w:val="auto"/>
        </w:rPr>
        <w:t>within the meaning of the Securities and Futures Ordinance (Cap. 571, Laws of Hong Kong) and any rules made thereunder, or (iii) in other circumstances which do not result in the document being a “prospectus” within the meaning of the Companies (Winding Up and Miscellaneous Provisions) Ordinance (Cap. 32, Laws of Hong Kong) and no advertisement, invitation or document relating to the shares may be issued or may be in the possession of any person for the purpose of issue (in each case whether in Hong Kong or elsewhere), which is directed at, or the contents of which are likely to be accessed or read by, the public in Hong Kong (except if permitted to do so under the laws of Hong Kong) other than with respect to shares which are or are intended to be disposed of only to persons outside Hong Kong or only to “professional investors” within the meaning of the Securities and Futures Ordinance (Cap. 571, Laws of Hong Kong) and any rules made thereunder.</w:t>
      </w:r>
    </w:p>
    <w:p>
      <w:pPr>
        <w:spacing w:after="0" w:line="285"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Singapore</w:t>
      </w:r>
    </w:p>
    <w:p>
      <w:pPr>
        <w:spacing w:after="0" w:line="117" w:lineRule="exact"/>
        <w:rPr>
          <w:sz w:val="20"/>
          <w:szCs w:val="20"/>
          <w:color w:val="auto"/>
        </w:rPr>
      </w:pPr>
    </w:p>
    <w:p>
      <w:pPr>
        <w:ind w:left="120" w:firstLine="440"/>
        <w:spacing w:after="0" w:line="291" w:lineRule="auto"/>
        <w:rPr>
          <w:sz w:val="20"/>
          <w:szCs w:val="20"/>
          <w:color w:val="auto"/>
        </w:rPr>
      </w:pPr>
      <w:r>
        <w:rPr>
          <w:rFonts w:ascii="Arial" w:cs="Arial" w:eastAsia="Arial" w:hAnsi="Arial"/>
          <w:sz w:val="16"/>
          <w:szCs w:val="16"/>
          <w:color w:val="auto"/>
        </w:rPr>
        <w:t>This prospectus has not been registered as a prospectus with the Monetary Authority of Singapore. Accordingly, this prospectus and any other document or material in connection with the offer or sale, or invitation for subscription or purchase, of the shares may not be circulated or distributed, nor may the shares be offered or sold, or be made the subject of an invitation for subscription or purchase, whether directly or indirectly, to persons in Singapore other than (i) to an institutional investor (as defined under Section 4A of the Securities and Futures Act, Chapter 289 of Singapore (the “SFA”)) under Section 274 of the SFA, (ii) to a relevant person (as defined in Section 275(2) of the SFA) pursuant to Section 275(1) of the SFA, or any person pursuant to Section 275(1A) of the SFA, and in accordance with the conditions specified in Section 275 of the SFA or (iii) otherwise pursuant to, and in accordance with the conditions of, any other applicable provision of the SFA, in each case subject to conditions set forth in the SFA.</w:t>
      </w:r>
    </w:p>
    <w:p>
      <w:pPr>
        <w:spacing w:after="0" w:line="166" w:lineRule="exact"/>
        <w:rPr>
          <w:sz w:val="20"/>
          <w:szCs w:val="20"/>
          <w:color w:val="auto"/>
        </w:rPr>
      </w:pPr>
    </w:p>
    <w:p>
      <w:pPr>
        <w:ind w:left="120" w:right="60" w:firstLine="440"/>
        <w:spacing w:after="0" w:line="271" w:lineRule="auto"/>
        <w:rPr>
          <w:sz w:val="20"/>
          <w:szCs w:val="20"/>
          <w:color w:val="auto"/>
        </w:rPr>
      </w:pPr>
      <w:r>
        <w:rPr>
          <w:rFonts w:ascii="Arial" w:cs="Arial" w:eastAsia="Arial" w:hAnsi="Arial"/>
          <w:sz w:val="17"/>
          <w:szCs w:val="17"/>
          <w:color w:val="auto"/>
        </w:rPr>
        <w:t>Where the shares are subscribed or purchased under Section 275 of the SFA by a relevant person which is a corporation (which is not an accredited investor (as defined in Section 4A of the SFA)) the sole business of which is to hold investments and the entire share capital of which is owned by one or more individuals, each of whom is an accredited investor, the securities (as defined in Section 239(1) of the SFA) of that corporation shall not be transferable for 6 months after that corporation has acquired the shares under Section 275 of the SFA except: (1) to an institutional investor under Section 274 of the SFA or to a relevant person (as defined in Section 275(2) of the SFA), (2) where such transfer arises from an offer in that corporation’s securities pursuant to Section 275(1A) of the SFA, (3) where no consideration is or will be given for the transfer, (4) where the transfer is by operation of law, (5) as specified in Section 276(7) of the SFA, or (6) as specified in Regulation 32 of the Securities and Futures (Offers of Investments) (Shares and Debentures) Regulations 2005 of Singapore (“Regulation 32”).</w:t>
      </w:r>
    </w:p>
    <w:p>
      <w:pPr>
        <w:spacing w:after="0" w:line="178" w:lineRule="exact"/>
        <w:rPr>
          <w:sz w:val="20"/>
          <w:szCs w:val="20"/>
          <w:color w:val="auto"/>
        </w:rPr>
      </w:pPr>
    </w:p>
    <w:p>
      <w:pPr>
        <w:ind w:left="560"/>
        <w:spacing w:after="0"/>
        <w:rPr>
          <w:sz w:val="20"/>
          <w:szCs w:val="20"/>
          <w:color w:val="auto"/>
        </w:rPr>
      </w:pPr>
      <w:r>
        <w:rPr>
          <w:rFonts w:ascii="Arial" w:cs="Arial" w:eastAsia="Arial" w:hAnsi="Arial"/>
          <w:sz w:val="16"/>
          <w:szCs w:val="16"/>
          <w:color w:val="auto"/>
        </w:rPr>
        <w:t>Where the shares are subscribed or purchased under Section 275 of the SFA by a relevant person which is a trust (where the trustee is not an</w:t>
      </w:r>
    </w:p>
    <w:p>
      <w:pPr>
        <w:spacing w:after="0" w:line="46" w:lineRule="exact"/>
        <w:rPr>
          <w:sz w:val="20"/>
          <w:szCs w:val="20"/>
          <w:color w:val="auto"/>
        </w:rPr>
      </w:pPr>
    </w:p>
    <w:p>
      <w:pPr>
        <w:ind w:left="120"/>
        <w:spacing w:after="0"/>
        <w:rPr>
          <w:sz w:val="20"/>
          <w:szCs w:val="20"/>
          <w:color w:val="auto"/>
        </w:rPr>
      </w:pPr>
      <w:r>
        <w:rPr>
          <w:rFonts w:ascii="Arial" w:cs="Arial" w:eastAsia="Arial" w:hAnsi="Arial"/>
          <w:sz w:val="16"/>
          <w:szCs w:val="16"/>
          <w:color w:val="auto"/>
        </w:rPr>
        <w:t>accredited investor (as defined in Section 4A of the SFA)) whose sole purpose is to hold investments and each beneficiary of the trust is an accredited</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6"/>
          <w:szCs w:val="16"/>
          <w:color w:val="auto"/>
        </w:rPr>
        <w:t>investor, the beneficiaries’ rights and interest (howsoever described) in that trust shall not be transferable for 6 months after that trust has acquired the</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7"/>
          <w:szCs w:val="17"/>
          <w:color w:val="auto"/>
        </w:rPr>
        <w:t>shares under Section 275 of the SFA except: (1) to an institutional investor under Section 274 of the SFA or to a relevant person (as defined in</w:t>
      </w:r>
    </w:p>
    <w:p>
      <w:pPr>
        <w:spacing w:after="0" w:line="21" w:lineRule="exact"/>
        <w:rPr>
          <w:sz w:val="20"/>
          <w:szCs w:val="20"/>
          <w:color w:val="auto"/>
        </w:rPr>
      </w:pPr>
    </w:p>
    <w:p>
      <w:pPr>
        <w:ind w:left="120"/>
        <w:spacing w:after="0"/>
        <w:rPr>
          <w:sz w:val="20"/>
          <w:szCs w:val="20"/>
          <w:color w:val="auto"/>
        </w:rPr>
      </w:pPr>
      <w:r>
        <w:rPr>
          <w:rFonts w:ascii="Arial" w:cs="Arial" w:eastAsia="Arial" w:hAnsi="Arial"/>
          <w:sz w:val="16"/>
          <w:szCs w:val="16"/>
          <w:color w:val="auto"/>
        </w:rPr>
        <w:t>Section 275(2) of the SFA), (2) where such transfer arises from an offer that is made on terms that such rights or interest are acquired at a consideration</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6"/>
          <w:szCs w:val="16"/>
          <w:color w:val="auto"/>
        </w:rPr>
        <w:t>of not less than $200,000 (or its equivalent in a foreign currency) for each transaction (whether such amount is to be paid for in cash or by exchange of</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6"/>
          <w:szCs w:val="16"/>
          <w:color w:val="auto"/>
        </w:rPr>
        <w:t>securities or other assets), (3) where no consideration is or will be given for the transfer, (4) where the transfer is by operation of law, (5) as specified in</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8"/>
          <w:szCs w:val="18"/>
          <w:color w:val="auto"/>
        </w:rPr>
        <w:t>Section 276(7) of the SFA, or (6) as specified in Regulation 32.</w:t>
      </w:r>
    </w:p>
    <w:p>
      <w:pPr>
        <w:spacing w:after="0" w:line="31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Japan</w:t>
      </w:r>
    </w:p>
    <w:p>
      <w:pPr>
        <w:spacing w:after="0" w:line="117" w:lineRule="exact"/>
        <w:rPr>
          <w:sz w:val="20"/>
          <w:szCs w:val="20"/>
          <w:color w:val="auto"/>
        </w:rPr>
      </w:pPr>
    </w:p>
    <w:p>
      <w:pPr>
        <w:ind w:left="120" w:right="500" w:firstLine="440"/>
        <w:spacing w:after="0" w:line="277" w:lineRule="auto"/>
        <w:rPr>
          <w:sz w:val="20"/>
          <w:szCs w:val="20"/>
          <w:color w:val="auto"/>
        </w:rPr>
      </w:pPr>
      <w:r>
        <w:rPr>
          <w:rFonts w:ascii="Arial" w:cs="Arial" w:eastAsia="Arial" w:hAnsi="Arial"/>
          <w:sz w:val="18"/>
          <w:szCs w:val="18"/>
          <w:color w:val="auto"/>
        </w:rPr>
        <w:t>The securities have not been and will not be registered under the Financial Instruments and Exchange Act of Japan (Act No. 25 of 1948, as amended), or the FIEA. The securities may not be offered or sold, directly or</w:t>
      </w:r>
    </w:p>
    <w:p>
      <w:pPr>
        <w:spacing w:after="0" w:line="103" w:lineRule="exact"/>
        <w:rPr>
          <w:sz w:val="20"/>
          <w:szCs w:val="20"/>
          <w:color w:val="auto"/>
        </w:rPr>
      </w:pPr>
    </w:p>
    <w:p>
      <w:pPr>
        <w:jc w:val="center"/>
        <w:ind w:right="-399"/>
        <w:spacing w:after="0"/>
        <w:rPr>
          <w:sz w:val="20"/>
          <w:szCs w:val="20"/>
          <w:color w:val="auto"/>
        </w:rPr>
      </w:pPr>
      <w:r>
        <w:rPr>
          <w:rFonts w:ascii="Arial" w:cs="Arial" w:eastAsia="Arial" w:hAnsi="Arial"/>
          <w:sz w:val="18"/>
          <w:szCs w:val="18"/>
          <w:color w:val="auto"/>
        </w:rPr>
        <w:t>191</w:t>
      </w:r>
    </w:p>
    <w:p>
      <w:pPr>
        <w:sectPr>
          <w:pgSz w:w="11900" w:h="16838" w:orient="portrait"/>
          <w:cols w:equalWidth="0" w:num="1">
            <w:col w:w="11060"/>
          </w:cols>
          <w:pgMar w:left="320" w:top="459" w:right="519" w:bottom="1440" w:gutter="0" w:footer="0" w:header="0"/>
        </w:sectPr>
      </w:pPr>
    </w:p>
    <w:bookmarkStart w:id="198" w:name="page199"/>
    <w:bookmarkEnd w:id="19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Confidential Treatment Requested by Definitive Healthcare Corp.</w:t>
      </w:r>
    </w:p>
    <w:p>
      <w:pPr>
        <w:spacing w:after="0" w:line="27"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Pursuant to 17 C.F.R. Section 200.83</w:t>
      </w:r>
    </w:p>
    <w:p>
      <w:pPr>
        <w:spacing w:after="0" w:line="143" w:lineRule="exact"/>
        <w:rPr>
          <w:sz w:val="20"/>
          <w:szCs w:val="20"/>
          <w:color w:val="auto"/>
        </w:rPr>
      </w:pPr>
    </w:p>
    <w:p>
      <w:pPr>
        <w:ind w:left="120" w:right="140"/>
        <w:spacing w:after="0" w:line="311" w:lineRule="auto"/>
        <w:rPr>
          <w:sz w:val="20"/>
          <w:szCs w:val="20"/>
          <w:color w:val="auto"/>
        </w:rPr>
      </w:pPr>
      <w:r>
        <w:rPr>
          <w:rFonts w:ascii="Arial" w:cs="Arial" w:eastAsia="Arial" w:hAnsi="Arial"/>
          <w:sz w:val="16"/>
          <w:szCs w:val="16"/>
          <w:color w:val="auto"/>
        </w:rPr>
        <w:t>indirectly, in Japan or to or for the benefit of any resident of Japan (including any person resident in Japan or any corporation or other entity organized under the laws of Japan) or to others for reoffering or resale, directly or indirectly, in Japan or to or for the benefit of any resident of Japan, except pursuant to an exemption from the registration requirements of the FIEA and otherwise in compliance with any relevant laws and regulations of Japan.</w:t>
      </w:r>
    </w:p>
    <w:p>
      <w:pPr>
        <w:spacing w:after="0" w:line="257"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Switzerland</w:t>
      </w:r>
    </w:p>
    <w:p>
      <w:pPr>
        <w:spacing w:after="0" w:line="117" w:lineRule="exact"/>
        <w:rPr>
          <w:sz w:val="20"/>
          <w:szCs w:val="20"/>
          <w:color w:val="auto"/>
        </w:rPr>
      </w:pPr>
    </w:p>
    <w:p>
      <w:pPr>
        <w:ind w:left="120" w:right="40" w:firstLine="440"/>
        <w:spacing w:after="0" w:line="255" w:lineRule="auto"/>
        <w:rPr>
          <w:sz w:val="20"/>
          <w:szCs w:val="20"/>
          <w:color w:val="auto"/>
        </w:rPr>
      </w:pPr>
      <w:r>
        <w:rPr>
          <w:rFonts w:ascii="Arial" w:cs="Arial" w:eastAsia="Arial" w:hAnsi="Arial"/>
          <w:sz w:val="18"/>
          <w:szCs w:val="18"/>
          <w:color w:val="auto"/>
        </w:rPr>
        <w:t>The shares may not be publicly offered in Switzerland and will not be listed on the SIX Swiss Exchange or on any other stock exchange or regulated trading facility in Switzerland. This document does not constitute a prospectus within the meaning of, and has been prepared without regard to the disclosure standards for issuance prospectuses under, art. 652a or art. 1156 of the Swiss Code of Obligations or the disclosure standards for listing prospectuses under art. 27 ff. of the SIX Listing Rules or the listing rules of any other stock exchange or regulated trading facility in Switzerland. Neither this document nor any other offering or marketing material relating to the shares or the offering may be publicly distributed or otherwise made publicly available in Switzerland.</w:t>
      </w:r>
    </w:p>
    <w:p>
      <w:pPr>
        <w:spacing w:after="0" w:line="192" w:lineRule="exact"/>
        <w:rPr>
          <w:sz w:val="20"/>
          <w:szCs w:val="20"/>
          <w:color w:val="auto"/>
        </w:rPr>
      </w:pPr>
    </w:p>
    <w:p>
      <w:pPr>
        <w:ind w:left="120" w:right="100" w:firstLine="440"/>
        <w:spacing w:after="0" w:line="257" w:lineRule="auto"/>
        <w:rPr>
          <w:sz w:val="20"/>
          <w:szCs w:val="20"/>
          <w:color w:val="auto"/>
        </w:rPr>
      </w:pPr>
      <w:r>
        <w:rPr>
          <w:rFonts w:ascii="Arial" w:cs="Arial" w:eastAsia="Arial" w:hAnsi="Arial"/>
          <w:sz w:val="18"/>
          <w:szCs w:val="18"/>
          <w:color w:val="auto"/>
        </w:rPr>
        <w:t>Neither this document nor any other offering or marketing material relating to the offering, the Company, the shares have been or will be filed with or approved by any Swiss regulatory authority. In particular, this document will not be filed with, and the offer of shares will not be supervised by, the Swiss Financial Market Supervisory Authority FINMA (FINMA), and the offer of shares has not been and will not be authorized under the Swiss Federal Act on Collective Investment Schemes (“CISA”). The investor protection afforded to acquirers of interests in collective investment schemes under the CISA does not extend to acquirers of shares.</w:t>
      </w:r>
    </w:p>
    <w:p>
      <w:pPr>
        <w:spacing w:after="0" w:line="296"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Monaco</w:t>
      </w:r>
    </w:p>
    <w:p>
      <w:pPr>
        <w:spacing w:after="0" w:line="117" w:lineRule="exact"/>
        <w:rPr>
          <w:sz w:val="20"/>
          <w:szCs w:val="20"/>
          <w:color w:val="auto"/>
        </w:rPr>
      </w:pPr>
    </w:p>
    <w:p>
      <w:pPr>
        <w:ind w:left="120" w:right="60" w:firstLine="440"/>
        <w:spacing w:after="0" w:line="287" w:lineRule="auto"/>
        <w:rPr>
          <w:sz w:val="20"/>
          <w:szCs w:val="20"/>
          <w:color w:val="auto"/>
        </w:rPr>
      </w:pPr>
      <w:r>
        <w:rPr>
          <w:rFonts w:ascii="Arial" w:cs="Arial" w:eastAsia="Arial" w:hAnsi="Arial"/>
          <w:sz w:val="16"/>
          <w:szCs w:val="16"/>
          <w:color w:val="auto"/>
        </w:rPr>
        <w:t>The shares may not be offered or sold, directly or indirectly, to the public in Monaco other than by a Monaco Bank or a duly authorized Monegasque intermediary acting as a professional institutional investor which has such knowledge and experience in financial and business matters as to be capable of evaluating the risks and merits of an investment in the fund. Consequently, this prospectus may only be communicated to (i) banks, and</w:t>
      </w:r>
    </w:p>
    <w:p>
      <w:pPr>
        <w:spacing w:after="0" w:line="2" w:lineRule="exact"/>
        <w:rPr>
          <w:sz w:val="20"/>
          <w:szCs w:val="20"/>
          <w:color w:val="auto"/>
        </w:rPr>
      </w:pPr>
    </w:p>
    <w:p>
      <w:pPr>
        <w:ind w:left="120" w:right="380" w:hanging="4"/>
        <w:spacing w:after="0" w:line="255" w:lineRule="auto"/>
        <w:tabs>
          <w:tab w:leader="none" w:pos="385" w:val="left"/>
        </w:tabs>
        <w:numPr>
          <w:ilvl w:val="0"/>
          <w:numId w:val="168"/>
        </w:numPr>
        <w:rPr>
          <w:rFonts w:ascii="Arial" w:cs="Arial" w:eastAsia="Arial" w:hAnsi="Arial"/>
          <w:sz w:val="18"/>
          <w:szCs w:val="18"/>
          <w:color w:val="auto"/>
        </w:rPr>
      </w:pPr>
      <w:r>
        <w:rPr>
          <w:rFonts w:ascii="Arial" w:cs="Arial" w:eastAsia="Arial" w:hAnsi="Arial"/>
          <w:sz w:val="18"/>
          <w:szCs w:val="18"/>
          <w:color w:val="auto"/>
        </w:rPr>
        <w:t>portfolio management companies duly licensed by the “Commission de Contrôle des Activités Financières” by virtue of Law n° 1.338, of September 7, 2007, and authorized under Law n° 1.144 of July 26, 1991. Such regulated intermediaries may in turn communicate this prospectus to potential investors.</w:t>
      </w:r>
    </w:p>
    <w:p>
      <w:pPr>
        <w:spacing w:after="0" w:line="29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Australia</w:t>
      </w:r>
    </w:p>
    <w:p>
      <w:pPr>
        <w:spacing w:after="0" w:line="117"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This prospectus:</w:t>
      </w:r>
    </w:p>
    <w:p>
      <w:pPr>
        <w:spacing w:after="0" w:line="131" w:lineRule="exact"/>
        <w:rPr>
          <w:sz w:val="20"/>
          <w:szCs w:val="20"/>
          <w:color w:val="auto"/>
        </w:rPr>
      </w:pPr>
    </w:p>
    <w:p>
      <w:pPr>
        <w:ind w:left="1080" w:right="460" w:hanging="532"/>
        <w:spacing w:after="0" w:line="277" w:lineRule="auto"/>
        <w:tabs>
          <w:tab w:leader="none" w:pos="1080" w:val="left"/>
        </w:tabs>
        <w:numPr>
          <w:ilvl w:val="0"/>
          <w:numId w:val="169"/>
        </w:numPr>
        <w:rPr>
          <w:rFonts w:ascii="Arial" w:cs="Arial" w:eastAsia="Arial" w:hAnsi="Arial"/>
          <w:sz w:val="18"/>
          <w:szCs w:val="18"/>
          <w:color w:val="auto"/>
        </w:rPr>
      </w:pPr>
      <w:r>
        <w:rPr>
          <w:rFonts w:ascii="Arial" w:cs="Arial" w:eastAsia="Arial" w:hAnsi="Arial"/>
          <w:sz w:val="18"/>
          <w:szCs w:val="18"/>
          <w:color w:val="auto"/>
        </w:rPr>
        <w:t>does not constitute a disclosure document or a prospectus under Chapter 6D.2 of the Corporations Act 2001 (Cth) (the “Corporations Act”);</w:t>
      </w:r>
    </w:p>
    <w:p>
      <w:pPr>
        <w:spacing w:after="0" w:line="75" w:lineRule="exact"/>
        <w:rPr>
          <w:rFonts w:ascii="Arial" w:cs="Arial" w:eastAsia="Arial" w:hAnsi="Arial"/>
          <w:sz w:val="18"/>
          <w:szCs w:val="18"/>
          <w:color w:val="auto"/>
        </w:rPr>
      </w:pPr>
    </w:p>
    <w:p>
      <w:pPr>
        <w:ind w:left="1080" w:right="40" w:hanging="532"/>
        <w:spacing w:after="0" w:line="263" w:lineRule="auto"/>
        <w:tabs>
          <w:tab w:leader="none" w:pos="1080" w:val="left"/>
        </w:tabs>
        <w:numPr>
          <w:ilvl w:val="0"/>
          <w:numId w:val="169"/>
        </w:numPr>
        <w:rPr>
          <w:rFonts w:ascii="Arial" w:cs="Arial" w:eastAsia="Arial" w:hAnsi="Arial"/>
          <w:sz w:val="18"/>
          <w:szCs w:val="18"/>
          <w:color w:val="auto"/>
        </w:rPr>
      </w:pPr>
      <w:r>
        <w:rPr>
          <w:rFonts w:ascii="Arial" w:cs="Arial" w:eastAsia="Arial" w:hAnsi="Arial"/>
          <w:sz w:val="18"/>
          <w:szCs w:val="18"/>
          <w:color w:val="auto"/>
        </w:rPr>
        <w:t>has not been, and will not be, lodged with the Australian Securities and Investments Commission (“ASIC”), as a disclosure document for the purposes of the Corporations Act and does not purport to include the information required of a disclosure document for the purposes of the Corporations Act; and</w:t>
      </w:r>
    </w:p>
    <w:p>
      <w:pPr>
        <w:spacing w:after="0" w:line="89" w:lineRule="exact"/>
        <w:rPr>
          <w:rFonts w:ascii="Arial" w:cs="Arial" w:eastAsia="Arial" w:hAnsi="Arial"/>
          <w:sz w:val="18"/>
          <w:szCs w:val="18"/>
          <w:color w:val="auto"/>
        </w:rPr>
      </w:pPr>
    </w:p>
    <w:p>
      <w:pPr>
        <w:ind w:left="1080" w:right="360" w:hanging="532"/>
        <w:spacing w:after="0" w:line="277" w:lineRule="auto"/>
        <w:tabs>
          <w:tab w:leader="none" w:pos="1080" w:val="left"/>
        </w:tabs>
        <w:numPr>
          <w:ilvl w:val="0"/>
          <w:numId w:val="169"/>
        </w:numPr>
        <w:rPr>
          <w:rFonts w:ascii="Arial" w:cs="Arial" w:eastAsia="Arial" w:hAnsi="Arial"/>
          <w:sz w:val="18"/>
          <w:szCs w:val="18"/>
          <w:color w:val="auto"/>
        </w:rPr>
      </w:pPr>
      <w:r>
        <w:rPr>
          <w:rFonts w:ascii="Arial" w:cs="Arial" w:eastAsia="Arial" w:hAnsi="Arial"/>
          <w:sz w:val="18"/>
          <w:szCs w:val="18"/>
          <w:color w:val="auto"/>
        </w:rPr>
        <w:t>may only be provided in Australia to select investors who are able to demonstrate that they fall within one or more of the categories of investors, available under section 708 of the Corporations Act (“Exempt Investors”).</w:t>
      </w:r>
    </w:p>
    <w:p>
      <w:pPr>
        <w:spacing w:after="0" w:line="170" w:lineRule="exact"/>
        <w:rPr>
          <w:sz w:val="20"/>
          <w:szCs w:val="20"/>
          <w:color w:val="auto"/>
        </w:rPr>
      </w:pPr>
    </w:p>
    <w:p>
      <w:pPr>
        <w:ind w:left="120" w:firstLine="440"/>
        <w:spacing w:after="0" w:line="263" w:lineRule="auto"/>
        <w:rPr>
          <w:sz w:val="20"/>
          <w:szCs w:val="20"/>
          <w:color w:val="auto"/>
        </w:rPr>
      </w:pPr>
      <w:r>
        <w:rPr>
          <w:rFonts w:ascii="Arial" w:cs="Arial" w:eastAsia="Arial" w:hAnsi="Arial"/>
          <w:sz w:val="18"/>
          <w:szCs w:val="18"/>
          <w:color w:val="auto"/>
        </w:rPr>
        <w:t>The shares may not be directly or indirectly offered for subscription or purchased or sold, and no invitations to subscribe for or buy the shares may be issued, and no draft or definitive offering memorandum, advertisement or other offering material relating to any shares may be distributed in Australia, except where disclosure to</w:t>
      </w:r>
    </w:p>
    <w:p>
      <w:pPr>
        <w:spacing w:after="0" w:line="116" w:lineRule="exact"/>
        <w:rPr>
          <w:sz w:val="20"/>
          <w:szCs w:val="20"/>
          <w:color w:val="auto"/>
        </w:rPr>
      </w:pPr>
    </w:p>
    <w:p>
      <w:pPr>
        <w:jc w:val="center"/>
        <w:ind w:right="-359"/>
        <w:spacing w:after="0"/>
        <w:rPr>
          <w:sz w:val="20"/>
          <w:szCs w:val="20"/>
          <w:color w:val="auto"/>
        </w:rPr>
      </w:pPr>
      <w:r>
        <w:rPr>
          <w:rFonts w:ascii="Arial" w:cs="Arial" w:eastAsia="Arial" w:hAnsi="Arial"/>
          <w:sz w:val="18"/>
          <w:szCs w:val="18"/>
          <w:color w:val="auto"/>
        </w:rPr>
        <w:t>192</w:t>
      </w:r>
    </w:p>
    <w:p>
      <w:pPr>
        <w:sectPr>
          <w:pgSz w:w="11900" w:h="16838" w:orient="portrait"/>
          <w:cols w:equalWidth="0" w:num="1">
            <w:col w:w="11120"/>
          </w:cols>
          <w:pgMar w:left="320" w:top="459" w:right="459" w:bottom="1440" w:gutter="0" w:footer="0" w:header="0"/>
        </w:sectPr>
      </w:pPr>
    </w:p>
    <w:bookmarkStart w:id="199" w:name="page200"/>
    <w:bookmarkEnd w:id="19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Confidential Treatment Requested by Definitive Healthcare Corp.</w:t>
      </w:r>
    </w:p>
    <w:p>
      <w:pPr>
        <w:spacing w:after="0" w:line="27"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Pursuant to 17 C.F.R. Section 200.83</w:t>
      </w:r>
    </w:p>
    <w:p>
      <w:pPr>
        <w:spacing w:after="0" w:line="143" w:lineRule="exact"/>
        <w:rPr>
          <w:sz w:val="20"/>
          <w:szCs w:val="20"/>
          <w:color w:val="auto"/>
        </w:rPr>
      </w:pPr>
    </w:p>
    <w:p>
      <w:pPr>
        <w:ind w:left="120" w:right="40"/>
        <w:spacing w:after="0" w:line="277" w:lineRule="auto"/>
        <w:rPr>
          <w:sz w:val="20"/>
          <w:szCs w:val="20"/>
          <w:color w:val="auto"/>
        </w:rPr>
      </w:pPr>
      <w:r>
        <w:rPr>
          <w:rFonts w:ascii="Arial" w:cs="Arial" w:eastAsia="Arial" w:hAnsi="Arial"/>
          <w:sz w:val="18"/>
          <w:szCs w:val="18"/>
          <w:color w:val="auto"/>
        </w:rPr>
        <w:t>investors is not required under Chapter 6D of the Corporations Act or is otherwise in compliance with all applicable Australian laws and regulations. By submitting an application for the shares, you represent and warrant to us that you are an Exempt Investor.</w:t>
      </w:r>
    </w:p>
    <w:p>
      <w:pPr>
        <w:spacing w:after="0" w:line="170" w:lineRule="exact"/>
        <w:rPr>
          <w:sz w:val="20"/>
          <w:szCs w:val="20"/>
          <w:color w:val="auto"/>
        </w:rPr>
      </w:pPr>
    </w:p>
    <w:p>
      <w:pPr>
        <w:ind w:left="120" w:right="120" w:firstLine="440"/>
        <w:spacing w:after="0" w:line="255" w:lineRule="auto"/>
        <w:rPr>
          <w:sz w:val="20"/>
          <w:szCs w:val="20"/>
          <w:color w:val="auto"/>
        </w:rPr>
      </w:pPr>
      <w:r>
        <w:rPr>
          <w:rFonts w:ascii="Arial" w:cs="Arial" w:eastAsia="Arial" w:hAnsi="Arial"/>
          <w:sz w:val="18"/>
          <w:szCs w:val="18"/>
          <w:color w:val="auto"/>
        </w:rPr>
        <w:t>As any offer of shares under this document will be made without disclosure in Australia under Chapter 6D.2 of the Corporations Act, the offer of those securities for resale in Australia within 12 months may, under section 707 of the Corporations Act, require disclosure to investors under Chapter 6D.2 if none of the exemptions in section 708 applies to that resale. By applying for the shares you undertake to us that you will not, for a period of 12 months from the date of issue or sale of the shares, offer, transfer, assign or otherwise alienate those shares to investors in Australia except in circumstances where disclosure to investors is not required under Chapter 6D.2 of the Corporations Act or where a compliant disclosure document is prepared and lodged with ASIC.</w:t>
      </w:r>
    </w:p>
    <w:p>
      <w:pPr>
        <w:spacing w:after="0" w:line="300"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New Zealand</w:t>
      </w:r>
    </w:p>
    <w:p>
      <w:pPr>
        <w:spacing w:after="0" w:line="117" w:lineRule="exact"/>
        <w:rPr>
          <w:sz w:val="20"/>
          <w:szCs w:val="20"/>
          <w:color w:val="auto"/>
        </w:rPr>
      </w:pPr>
    </w:p>
    <w:p>
      <w:pPr>
        <w:ind w:left="560"/>
        <w:spacing w:after="0"/>
        <w:rPr>
          <w:sz w:val="20"/>
          <w:szCs w:val="20"/>
          <w:color w:val="auto"/>
        </w:rPr>
      </w:pPr>
      <w:r>
        <w:rPr>
          <w:rFonts w:ascii="Arial" w:cs="Arial" w:eastAsia="Arial" w:hAnsi="Arial"/>
          <w:sz w:val="16"/>
          <w:szCs w:val="16"/>
          <w:color w:val="auto"/>
        </w:rPr>
        <w:t>This prospectus has not been registered, filed with or approved by any New Zealand regulatory authority under the Financial Markets Conduct Act</w:t>
      </w:r>
    </w:p>
    <w:p>
      <w:pPr>
        <w:spacing w:after="0" w:line="46" w:lineRule="exact"/>
        <w:rPr>
          <w:sz w:val="20"/>
          <w:szCs w:val="20"/>
          <w:color w:val="auto"/>
        </w:rPr>
      </w:pPr>
    </w:p>
    <w:p>
      <w:pPr>
        <w:ind w:left="120" w:right="200"/>
        <w:spacing w:after="0" w:line="260" w:lineRule="auto"/>
        <w:rPr>
          <w:sz w:val="20"/>
          <w:szCs w:val="20"/>
          <w:color w:val="auto"/>
        </w:rPr>
      </w:pPr>
      <w:r>
        <w:rPr>
          <w:rFonts w:ascii="Arial" w:cs="Arial" w:eastAsia="Arial" w:hAnsi="Arial"/>
          <w:sz w:val="18"/>
          <w:szCs w:val="18"/>
          <w:color w:val="auto"/>
        </w:rPr>
        <w:t>2013 (the “FMA Act”). The shares may only be offered or sold in New Zealand (or allotted with a view to being offered for sale in New Zealand) to a person who:</w:t>
      </w:r>
    </w:p>
    <w:p>
      <w:pPr>
        <w:spacing w:after="0" w:line="91" w:lineRule="exact"/>
        <w:rPr>
          <w:sz w:val="20"/>
          <w:szCs w:val="20"/>
          <w:color w:val="auto"/>
        </w:rPr>
      </w:pPr>
    </w:p>
    <w:p>
      <w:pPr>
        <w:ind w:left="1080" w:hanging="532"/>
        <w:spacing w:after="0"/>
        <w:tabs>
          <w:tab w:leader="none" w:pos="1080" w:val="left"/>
        </w:tabs>
        <w:numPr>
          <w:ilvl w:val="0"/>
          <w:numId w:val="170"/>
        </w:numPr>
        <w:rPr>
          <w:rFonts w:ascii="Arial" w:cs="Arial" w:eastAsia="Arial" w:hAnsi="Arial"/>
          <w:sz w:val="18"/>
          <w:szCs w:val="18"/>
          <w:color w:val="auto"/>
        </w:rPr>
      </w:pPr>
      <w:r>
        <w:rPr>
          <w:rFonts w:ascii="Arial" w:cs="Arial" w:eastAsia="Arial" w:hAnsi="Arial"/>
          <w:sz w:val="18"/>
          <w:szCs w:val="18"/>
          <w:color w:val="auto"/>
        </w:rPr>
        <w:t>is an investment business within the meaning of clause 37 of Schedule 1 of the FMC Act;</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170"/>
        </w:numPr>
        <w:rPr>
          <w:rFonts w:ascii="Arial" w:cs="Arial" w:eastAsia="Arial" w:hAnsi="Arial"/>
          <w:sz w:val="18"/>
          <w:szCs w:val="18"/>
          <w:color w:val="auto"/>
        </w:rPr>
      </w:pPr>
      <w:r>
        <w:rPr>
          <w:rFonts w:ascii="Arial" w:cs="Arial" w:eastAsia="Arial" w:hAnsi="Arial"/>
          <w:sz w:val="18"/>
          <w:szCs w:val="18"/>
          <w:color w:val="auto"/>
        </w:rPr>
        <w:t>meets the investment activity criteria specified in clause 38 of Schedule 1 of the FMC Act;</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170"/>
        </w:numPr>
        <w:rPr>
          <w:rFonts w:ascii="Arial" w:cs="Arial" w:eastAsia="Arial" w:hAnsi="Arial"/>
          <w:sz w:val="18"/>
          <w:szCs w:val="18"/>
          <w:color w:val="auto"/>
        </w:rPr>
      </w:pPr>
      <w:r>
        <w:rPr>
          <w:rFonts w:ascii="Arial" w:cs="Arial" w:eastAsia="Arial" w:hAnsi="Arial"/>
          <w:sz w:val="18"/>
          <w:szCs w:val="18"/>
          <w:color w:val="auto"/>
        </w:rPr>
        <w:t>is large within the meaning of clause 39 of Schedule 1 of the FMC Act;</w:t>
      </w:r>
    </w:p>
    <w:p>
      <w:pPr>
        <w:spacing w:after="0" w:line="130" w:lineRule="exact"/>
        <w:rPr>
          <w:rFonts w:ascii="Arial" w:cs="Arial" w:eastAsia="Arial" w:hAnsi="Arial"/>
          <w:sz w:val="18"/>
          <w:szCs w:val="18"/>
          <w:color w:val="auto"/>
        </w:rPr>
      </w:pPr>
    </w:p>
    <w:p>
      <w:pPr>
        <w:ind w:left="1080" w:right="100" w:hanging="532"/>
        <w:spacing w:after="0" w:line="277" w:lineRule="auto"/>
        <w:tabs>
          <w:tab w:leader="none" w:pos="1080" w:val="left"/>
        </w:tabs>
        <w:numPr>
          <w:ilvl w:val="0"/>
          <w:numId w:val="170"/>
        </w:numPr>
        <w:rPr>
          <w:rFonts w:ascii="Arial" w:cs="Arial" w:eastAsia="Arial" w:hAnsi="Arial"/>
          <w:sz w:val="18"/>
          <w:szCs w:val="18"/>
          <w:color w:val="auto"/>
        </w:rPr>
      </w:pPr>
      <w:r>
        <w:rPr>
          <w:rFonts w:ascii="Arial" w:cs="Arial" w:eastAsia="Arial" w:hAnsi="Arial"/>
          <w:sz w:val="18"/>
          <w:szCs w:val="18"/>
          <w:color w:val="auto"/>
        </w:rPr>
        <w:t>is a government agency within the meaning of clause 40 of Schedule 1 of the FMC Act; or e) is an eligible investor within the meaning of clause 41 of Schedule 1 of the FMC Act.</w:t>
      </w:r>
    </w:p>
    <w:p>
      <w:pPr>
        <w:spacing w:after="0" w:line="27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China</w:t>
      </w:r>
    </w:p>
    <w:p>
      <w:pPr>
        <w:spacing w:after="0" w:line="117" w:lineRule="exact"/>
        <w:rPr>
          <w:sz w:val="20"/>
          <w:szCs w:val="20"/>
          <w:color w:val="auto"/>
        </w:rPr>
      </w:pPr>
    </w:p>
    <w:p>
      <w:pPr>
        <w:ind w:left="120" w:right="40" w:firstLine="440"/>
        <w:spacing w:after="0" w:line="259" w:lineRule="auto"/>
        <w:rPr>
          <w:sz w:val="20"/>
          <w:szCs w:val="20"/>
          <w:color w:val="auto"/>
        </w:rPr>
      </w:pPr>
      <w:r>
        <w:rPr>
          <w:rFonts w:ascii="Arial" w:cs="Arial" w:eastAsia="Arial" w:hAnsi="Arial"/>
          <w:sz w:val="18"/>
          <w:szCs w:val="18"/>
          <w:color w:val="auto"/>
        </w:rPr>
        <w:t>This prospectus will not be circulated or distributed in the People’s Republic of China (“PRC”) and the shares will not be offered or sold, and will not be offered or sold to any person for re-offering or resale directly or indirectly to any residents of the PRC except pursuant to any applicable laws and regulations of the PRC. Neither this prospectus nor any advertisement or other offering material may be distributed or published in the PRC, except under circumstances that will result in compliance with applicable laws and regulations.</w:t>
      </w:r>
    </w:p>
    <w:p>
      <w:pPr>
        <w:spacing w:after="0" w:line="295"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Korea</w:t>
      </w:r>
    </w:p>
    <w:p>
      <w:pPr>
        <w:spacing w:after="0" w:line="117" w:lineRule="exact"/>
        <w:rPr>
          <w:sz w:val="20"/>
          <w:szCs w:val="20"/>
          <w:color w:val="auto"/>
        </w:rPr>
      </w:pPr>
    </w:p>
    <w:p>
      <w:pPr>
        <w:ind w:left="120" w:right="20" w:firstLine="440"/>
        <w:spacing w:after="0" w:line="271" w:lineRule="auto"/>
        <w:rPr>
          <w:sz w:val="20"/>
          <w:szCs w:val="20"/>
          <w:color w:val="auto"/>
        </w:rPr>
      </w:pPr>
      <w:r>
        <w:rPr>
          <w:rFonts w:ascii="Arial" w:cs="Arial" w:eastAsia="Arial" w:hAnsi="Arial"/>
          <w:sz w:val="17"/>
          <w:szCs w:val="17"/>
          <w:color w:val="auto"/>
        </w:rPr>
        <w:t>The shares have not been and will not be registered under the Financial Investments Services and Capital Markets Act of Korea and the decrees and regulations thereunder (the “FSCMA”), and the shares have been and will be offered in Korea as a private placement under the FSCMA. None of the shares may be offered, sold or delivered directly or indirectly, or offered or sold to any person for re-offering or resale, directly or indirectly, in Korea or to any resident of Korea except pursuant to the applicable laws and regulations of Korea, including the FSCMA and the Foreign Exchange Transaction Law of Korea and the decrees and regulations thereunder (the “FETL”). Furthermore, the purchaser of the shares shall comply with all applicable regulatory requirements (including but not limited to requirements under the FETL) in connection with the purchase of the shares. By the purchase of the shares, the relevant holder thereof will be deemed to represent and warrant that if it is in Korea or is a resident of Korea, it purchased the shares pursuant to the applicable laws and regulations of Korea.</w:t>
      </w:r>
    </w:p>
    <w:p>
      <w:pPr>
        <w:spacing w:after="0" w:line="286"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Malaysia</w:t>
      </w:r>
    </w:p>
    <w:p>
      <w:pPr>
        <w:spacing w:after="0" w:line="117" w:lineRule="exact"/>
        <w:rPr>
          <w:sz w:val="20"/>
          <w:szCs w:val="20"/>
          <w:color w:val="auto"/>
        </w:rPr>
      </w:pPr>
    </w:p>
    <w:p>
      <w:pPr>
        <w:ind w:left="120" w:right="300" w:firstLine="440"/>
        <w:spacing w:after="0" w:line="263" w:lineRule="auto"/>
        <w:rPr>
          <w:sz w:val="20"/>
          <w:szCs w:val="20"/>
          <w:color w:val="auto"/>
        </w:rPr>
      </w:pPr>
      <w:r>
        <w:rPr>
          <w:rFonts w:ascii="Arial" w:cs="Arial" w:eastAsia="Arial" w:hAnsi="Arial"/>
          <w:sz w:val="18"/>
          <w:szCs w:val="18"/>
          <w:color w:val="auto"/>
        </w:rPr>
        <w:t>No prospectus or other offering material or document in connection with the offer and sale of the shares has been or will be registered with the Securities Commission of Malaysia (“Commission”) for the Commission’s approval pursuant to the Capital Markets and Services Act 2007. Accordingly, this prospectus and any other</w:t>
      </w:r>
    </w:p>
    <w:p>
      <w:pPr>
        <w:spacing w:after="0" w:line="116"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193</w:t>
      </w:r>
    </w:p>
    <w:p>
      <w:pPr>
        <w:sectPr>
          <w:pgSz w:w="11900" w:h="16838" w:orient="portrait"/>
          <w:cols w:equalWidth="0" w:num="1">
            <w:col w:w="11120"/>
          </w:cols>
          <w:pgMar w:left="320" w:top="459" w:right="459" w:bottom="1440" w:gutter="0" w:footer="0" w:header="0"/>
        </w:sectPr>
      </w:pPr>
    </w:p>
    <w:bookmarkStart w:id="200" w:name="page201"/>
    <w:bookmarkEnd w:id="20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Confidential Treatment Requested by Definitive Healthcare Corp.</w:t>
      </w:r>
    </w:p>
    <w:p>
      <w:pPr>
        <w:spacing w:after="0" w:line="27"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Pursuant to 17 C.F.R. Section 200.83</w:t>
      </w:r>
    </w:p>
    <w:p>
      <w:pPr>
        <w:spacing w:after="0" w:line="143" w:lineRule="exact"/>
        <w:rPr>
          <w:sz w:val="20"/>
          <w:szCs w:val="20"/>
          <w:color w:val="auto"/>
        </w:rPr>
      </w:pPr>
    </w:p>
    <w:p>
      <w:pPr>
        <w:ind w:left="120"/>
        <w:spacing w:after="0" w:line="285" w:lineRule="auto"/>
        <w:rPr>
          <w:sz w:val="20"/>
          <w:szCs w:val="20"/>
          <w:color w:val="auto"/>
        </w:rPr>
      </w:pPr>
      <w:r>
        <w:rPr>
          <w:rFonts w:ascii="Arial" w:cs="Arial" w:eastAsia="Arial" w:hAnsi="Arial"/>
          <w:sz w:val="16"/>
          <w:szCs w:val="16"/>
          <w:color w:val="auto"/>
        </w:rPr>
        <w:t>document or material in connection with the offer or sale, or invitation for subscription or purchase, of the shares may not be circulated or distributed, nor may the shares be offered or sold, or be made the subject of an invitation for subscription or purchase, whether directly or indirectly, to persons in Malaysia other than (i) a closed end fund approved by the Commission; (ii) a holder of a Capital Markets Services Licence; (iii) a person who acquires the shares, as principal, if the offer is on terms that the shares may only be acquired at a consideration of not less than RM250,000 (or its equivalent in foreign currencies) for each transaction; (iv) an individual whose total net personal assets or total net joint assets with his or her spouse exceeds RM3 million (or its equivalent in foreign currencies), excluding the value of the primary residence of the individual; (v) an individual who has a gross annual income exceeding RM300,000 (or its equivalent in foreign currencies) per annum in the preceding twelve months; (vi) an individual who, jointly with his or her spouse, has a gross annual income of RM400,000 (or its equivalent in foreign currencies), per annum in the preceding twelve months; (vii) a corporation with total net assets exceeding RM10 million (or its equivalent in a foreign currencies) based on the last audited accounts; (viii) a partnership with total net assets exceeding RM10 million (or its equivalent in foreign currencies); (ix) a bank licensee or insurance licensee as defined in the Labuan Financial Services and Securities Act 2010; (x) an Islamic bank licensee or takaful licensee as defined in the Labuan Financial Services and Securities Act 2010; and (xi) any other person as may be specified by the Commission; provided that, in the each of the preceding categories (i) to (xi), the distribution of the shares is made by a holder of a Capital Markets Services Licence who carries on the business of dealing in securities. The distribution in Malaysia of this prospectus is subject to Malaysian laws. This prospectus does not constitute and may not be used for the purpose of public offering or an issue, offer for subscription or purchase, invitation to subscribe for or purchase any securities requiring the registration of a prospectus with the Commission under the Capital Markets and Services Act 2007.</w:t>
      </w:r>
    </w:p>
    <w:p>
      <w:pPr>
        <w:spacing w:after="0" w:line="284"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Taiwan</w:t>
      </w:r>
    </w:p>
    <w:p>
      <w:pPr>
        <w:spacing w:after="0" w:line="117" w:lineRule="exact"/>
        <w:rPr>
          <w:sz w:val="20"/>
          <w:szCs w:val="20"/>
          <w:color w:val="auto"/>
        </w:rPr>
      </w:pPr>
    </w:p>
    <w:p>
      <w:pPr>
        <w:ind w:left="120" w:firstLine="440"/>
        <w:spacing w:after="0" w:line="257" w:lineRule="auto"/>
        <w:rPr>
          <w:sz w:val="20"/>
          <w:szCs w:val="20"/>
          <w:color w:val="auto"/>
        </w:rPr>
      </w:pPr>
      <w:r>
        <w:rPr>
          <w:rFonts w:ascii="Arial" w:cs="Arial" w:eastAsia="Arial" w:hAnsi="Arial"/>
          <w:sz w:val="18"/>
          <w:szCs w:val="18"/>
          <w:color w:val="auto"/>
        </w:rPr>
        <w:t>The shares have not been and will not be registered with the Financial Supervisory Commission of Taiwan pursuant to relevant securities laws and regulations and may not be sold, issued or offered within Taiwan through a public offering or in circumstances which constitutes an offer within the meaning of the Securities and Exchange Act of Taiwan that requires a registration or approval of the Financial Supervisory Commission of Taiwan. No person or entity in Taiwan has been authorized to offer, sell, give advice regarding or otherwise intermediate the offering and sale of the shares in Taiwan.</w:t>
      </w:r>
    </w:p>
    <w:p>
      <w:pPr>
        <w:spacing w:after="0" w:line="296"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Saudi Arabia</w:t>
      </w:r>
    </w:p>
    <w:p>
      <w:pPr>
        <w:spacing w:after="0" w:line="117" w:lineRule="exact"/>
        <w:rPr>
          <w:sz w:val="20"/>
          <w:szCs w:val="20"/>
          <w:color w:val="auto"/>
        </w:rPr>
      </w:pPr>
    </w:p>
    <w:p>
      <w:pPr>
        <w:ind w:left="120" w:right="100" w:firstLine="440"/>
        <w:spacing w:after="0" w:line="293" w:lineRule="auto"/>
        <w:rPr>
          <w:sz w:val="20"/>
          <w:szCs w:val="20"/>
          <w:color w:val="auto"/>
        </w:rPr>
      </w:pPr>
      <w:r>
        <w:rPr>
          <w:rFonts w:ascii="Arial" w:cs="Arial" w:eastAsia="Arial" w:hAnsi="Arial"/>
          <w:sz w:val="16"/>
          <w:szCs w:val="16"/>
          <w:color w:val="auto"/>
        </w:rPr>
        <w:t>This prospectus may not be distributed in the Kingdom of Saudi Arabia except to such persons as are permitted under the Offers of Securities Regulations as issued by the board of the Saudi Arabian Capital Market Authority (“CMA”) pursuant to resolution number 2-11-2004 dated 4 October 2004 as amended by resolution number 1-28-2008, as amended. The CMA does not make any representation as to the accuracy or completeness of this prospectus and expressly disclaims any liability whatsoever for any loss arising from, or incurred in reliance upon, any part of this prospectus. Prospective purchasers of the shares offered hereby should conduct their own due diligence on the accuracy of the information relating to the shares. If you do not understand the contents of this prospectus, you should consult an authorized financial adviser.</w:t>
      </w:r>
    </w:p>
    <w:p>
      <w:pPr>
        <w:spacing w:after="0" w:line="272"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Qatar</w:t>
      </w:r>
    </w:p>
    <w:p>
      <w:pPr>
        <w:spacing w:after="0" w:line="117" w:lineRule="exact"/>
        <w:rPr>
          <w:sz w:val="20"/>
          <w:szCs w:val="20"/>
          <w:color w:val="auto"/>
        </w:rPr>
      </w:pPr>
    </w:p>
    <w:p>
      <w:pPr>
        <w:ind w:left="120" w:right="40" w:firstLine="440"/>
        <w:spacing w:after="0" w:line="301" w:lineRule="auto"/>
        <w:rPr>
          <w:sz w:val="20"/>
          <w:szCs w:val="20"/>
          <w:color w:val="auto"/>
        </w:rPr>
      </w:pPr>
      <w:r>
        <w:rPr>
          <w:rFonts w:ascii="Arial" w:cs="Arial" w:eastAsia="Arial" w:hAnsi="Arial"/>
          <w:sz w:val="16"/>
          <w:szCs w:val="16"/>
          <w:color w:val="auto"/>
        </w:rPr>
        <w:t>The shares described in this prospectus have not been, and will not be, offered, sold or delivered, at any time, directly or indirectly in the State of Qatar in a manner that would constitute a public offering. This prospectus has not been, and will not be, registered with or approved by the Qatar Financial Markets Authority or Qatar Central Bank and may not be publicly distributed. This prospectus is intended for the original recipient only and must not be provided to any other person. It is not for general circulation in the State of Qatar and may not be reproduced or used for any other purpose.</w:t>
      </w:r>
    </w:p>
    <w:p>
      <w:pPr>
        <w:spacing w:after="0" w:line="90" w:lineRule="exact"/>
        <w:rPr>
          <w:sz w:val="20"/>
          <w:szCs w:val="20"/>
          <w:color w:val="auto"/>
        </w:rPr>
      </w:pPr>
    </w:p>
    <w:p>
      <w:pPr>
        <w:jc w:val="center"/>
        <w:ind w:right="-379"/>
        <w:spacing w:after="0"/>
        <w:rPr>
          <w:sz w:val="20"/>
          <w:szCs w:val="20"/>
          <w:color w:val="auto"/>
        </w:rPr>
      </w:pPr>
      <w:r>
        <w:rPr>
          <w:rFonts w:ascii="Arial" w:cs="Arial" w:eastAsia="Arial" w:hAnsi="Arial"/>
          <w:sz w:val="18"/>
          <w:szCs w:val="18"/>
          <w:color w:val="auto"/>
        </w:rPr>
        <w:t>194</w:t>
      </w:r>
    </w:p>
    <w:p>
      <w:pPr>
        <w:sectPr>
          <w:pgSz w:w="11900" w:h="16838" w:orient="portrait"/>
          <w:cols w:equalWidth="0" w:num="1">
            <w:col w:w="11100"/>
          </w:cols>
          <w:pgMar w:left="320" w:top="459" w:right="479" w:bottom="1440" w:gutter="0" w:footer="0" w:header="0"/>
        </w:sectPr>
      </w:pPr>
    </w:p>
    <w:bookmarkStart w:id="201" w:name="page202"/>
    <w:bookmarkEnd w:id="20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Confidential Treatment Requested by Definitive Healthcare Corp.</w:t>
      </w:r>
    </w:p>
    <w:p>
      <w:pPr>
        <w:spacing w:after="0" w:line="27"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Pursuant to 17 C.F.R. Section 200.83</w:t>
      </w:r>
    </w:p>
    <w:p>
      <w:pPr>
        <w:spacing w:after="0" w:line="143"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Dubai International Financial Centre (“DIFC”)</w:t>
      </w:r>
    </w:p>
    <w:p>
      <w:pPr>
        <w:spacing w:after="0" w:line="117" w:lineRule="exact"/>
        <w:rPr>
          <w:sz w:val="20"/>
          <w:szCs w:val="20"/>
          <w:color w:val="auto"/>
        </w:rPr>
      </w:pPr>
    </w:p>
    <w:p>
      <w:pPr>
        <w:ind w:left="120" w:right="60" w:firstLine="440"/>
        <w:spacing w:after="0" w:line="293" w:lineRule="auto"/>
        <w:rPr>
          <w:sz w:val="20"/>
          <w:szCs w:val="20"/>
          <w:color w:val="auto"/>
        </w:rPr>
      </w:pPr>
      <w:r>
        <w:rPr>
          <w:rFonts w:ascii="Arial" w:cs="Arial" w:eastAsia="Arial" w:hAnsi="Arial"/>
          <w:sz w:val="16"/>
          <w:szCs w:val="16"/>
          <w:color w:val="auto"/>
        </w:rPr>
        <w:t>This prospectus relates to an Exempt Offer in accordance with the Markets Rules 2012 of the Dubai Financial Services Authority (“DFSA”). This prospectus is intended for distribution only to persons of a type specified in the Markets Rules 2012 of the DFSA. It must not be delivered to, or relied on by, any other person. The DFSA has no responsibility for reviewing or verifying any documents in connection with Exempt Offers. The DFSA has not approved this prospectus nor taken steps to verify the information set forth herein and has no responsibility for this prospectus. The securities to which this document relates may be illiquid and/or subject to restrictions on their resale. Prospective purchasers of the securities offered should conduct their own due diligence on the shares. If you do not understand the contents of this prospectus you should consult an authorized financial advisor.</w:t>
      </w:r>
    </w:p>
    <w:p>
      <w:pPr>
        <w:spacing w:after="0" w:line="164" w:lineRule="exact"/>
        <w:rPr>
          <w:sz w:val="20"/>
          <w:szCs w:val="20"/>
          <w:color w:val="auto"/>
        </w:rPr>
      </w:pPr>
    </w:p>
    <w:p>
      <w:pPr>
        <w:ind w:left="120" w:right="220" w:firstLine="440"/>
        <w:spacing w:after="0" w:line="263" w:lineRule="auto"/>
        <w:rPr>
          <w:sz w:val="20"/>
          <w:szCs w:val="20"/>
          <w:color w:val="auto"/>
        </w:rPr>
      </w:pPr>
      <w:r>
        <w:rPr>
          <w:rFonts w:ascii="Arial" w:cs="Arial" w:eastAsia="Arial" w:hAnsi="Arial"/>
          <w:sz w:val="18"/>
          <w:szCs w:val="18"/>
          <w:color w:val="auto"/>
        </w:rPr>
        <w:t>In relation to its use in the DIFC, this prospectus is strictly private and confidential and is being distributed to a limited number of investors and must not be provided to any person other than the original recipient, and may not be reproduced or used for any other purpose. The interests in the shares may not be offered or sold directly or indirectly to the public in the DIFC.</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United Arab Emirates</w:t>
      </w:r>
    </w:p>
    <w:p>
      <w:pPr>
        <w:spacing w:after="0" w:line="117" w:lineRule="exact"/>
        <w:rPr>
          <w:sz w:val="20"/>
          <w:szCs w:val="20"/>
          <w:color w:val="auto"/>
        </w:rPr>
      </w:pPr>
    </w:p>
    <w:p>
      <w:pPr>
        <w:ind w:left="120" w:firstLine="440"/>
        <w:spacing w:after="0" w:line="257" w:lineRule="auto"/>
        <w:rPr>
          <w:sz w:val="20"/>
          <w:szCs w:val="20"/>
          <w:color w:val="auto"/>
        </w:rPr>
      </w:pPr>
      <w:r>
        <w:rPr>
          <w:rFonts w:ascii="Arial" w:cs="Arial" w:eastAsia="Arial" w:hAnsi="Arial"/>
          <w:sz w:val="18"/>
          <w:szCs w:val="18"/>
          <w:color w:val="auto"/>
        </w:rPr>
        <w:t>The shares have not been, and are not being, publicly offered, sold, promoted or advertised in the United Arab Emirates (including the DIFC) other than in compliance with the laws of the United Arab Emirates (and the DIFC) governing the issue, offering and sale of securities. Further, this prospectus does not constitute a public offer of securities in the United Arab Emirates (including the DIFC) and is not intended to be a public offer. This prospectus has not been approved by or filed with the Central Bank of the United Arab Emirates, the Securities and Commodities Authority or the Dubai Financial Services Authority.</w:t>
      </w:r>
    </w:p>
    <w:p>
      <w:pPr>
        <w:spacing w:after="0" w:line="296"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Bermuda</w:t>
      </w:r>
    </w:p>
    <w:p>
      <w:pPr>
        <w:spacing w:after="0" w:line="117" w:lineRule="exact"/>
        <w:rPr>
          <w:sz w:val="20"/>
          <w:szCs w:val="20"/>
          <w:color w:val="auto"/>
        </w:rPr>
      </w:pPr>
    </w:p>
    <w:p>
      <w:pPr>
        <w:ind w:left="120" w:right="100" w:firstLine="440"/>
        <w:spacing w:after="0" w:line="263" w:lineRule="auto"/>
        <w:rPr>
          <w:sz w:val="20"/>
          <w:szCs w:val="20"/>
          <w:color w:val="auto"/>
        </w:rPr>
      </w:pPr>
      <w:r>
        <w:rPr>
          <w:rFonts w:ascii="Arial" w:cs="Arial" w:eastAsia="Arial" w:hAnsi="Arial"/>
          <w:sz w:val="18"/>
          <w:szCs w:val="18"/>
          <w:color w:val="auto"/>
        </w:rPr>
        <w:t>The shares may be offered or sold in Bermuda only in compliance with the provisions of the Investment Business Act of 2003 of Bermuda which regulates the sale of securities in Bermuda. Additionally, non-Bermudian persons (including companies) may not carry on or engage in any trade or business in Bermuda unless such persons are permitted to do so under applicable Bermuda legislation.</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British Virgin Islands</w:t>
      </w:r>
    </w:p>
    <w:p>
      <w:pPr>
        <w:spacing w:after="0" w:line="117" w:lineRule="exact"/>
        <w:rPr>
          <w:sz w:val="20"/>
          <w:szCs w:val="20"/>
          <w:color w:val="auto"/>
        </w:rPr>
      </w:pPr>
    </w:p>
    <w:p>
      <w:pPr>
        <w:ind w:left="120" w:right="160" w:firstLine="440"/>
        <w:spacing w:after="0" w:line="311" w:lineRule="auto"/>
        <w:rPr>
          <w:sz w:val="20"/>
          <w:szCs w:val="20"/>
          <w:color w:val="auto"/>
        </w:rPr>
      </w:pPr>
      <w:r>
        <w:rPr>
          <w:rFonts w:ascii="Arial" w:cs="Arial" w:eastAsia="Arial" w:hAnsi="Arial"/>
          <w:sz w:val="16"/>
          <w:szCs w:val="16"/>
          <w:color w:val="auto"/>
        </w:rPr>
        <w:t>The shares are not being, and may not be offered to the public or to any person in the British Virgin Islands for purchase or subscription by or on our behalf. The shares may be offered to companies incorporated under the BVI Business Companies Act, 2004 (British Virgin Islands),“BVI Companies”), but only where the offer will be made to, and received by, the relevant BVI Company entirely outside of the British Virgin Islands.</w:t>
      </w:r>
    </w:p>
    <w:p>
      <w:pPr>
        <w:spacing w:after="0" w:line="257"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Bahamas</w:t>
      </w:r>
    </w:p>
    <w:p>
      <w:pPr>
        <w:spacing w:after="0" w:line="117" w:lineRule="exact"/>
        <w:rPr>
          <w:sz w:val="20"/>
          <w:szCs w:val="20"/>
          <w:color w:val="auto"/>
        </w:rPr>
      </w:pPr>
    </w:p>
    <w:p>
      <w:pPr>
        <w:ind w:left="120" w:right="320" w:firstLine="440"/>
        <w:spacing w:after="0" w:line="277" w:lineRule="auto"/>
        <w:rPr>
          <w:sz w:val="20"/>
          <w:szCs w:val="20"/>
          <w:color w:val="auto"/>
        </w:rPr>
      </w:pPr>
      <w:r>
        <w:rPr>
          <w:rFonts w:ascii="Arial" w:cs="Arial" w:eastAsia="Arial" w:hAnsi="Arial"/>
          <w:sz w:val="18"/>
          <w:szCs w:val="18"/>
          <w:color w:val="auto"/>
        </w:rPr>
        <w:t>The shares may not be offered or sold in the Bahamas via a public offer. The shares may not be offered or sold or otherwise disposed of in any way to any person(s) deemed “resident” for exchange control purposes by the Central Bank of the Bahamas.</w:t>
      </w:r>
    </w:p>
    <w:p>
      <w:pPr>
        <w:spacing w:after="0" w:line="27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South Africa</w:t>
      </w:r>
    </w:p>
    <w:p>
      <w:pPr>
        <w:spacing w:after="0" w:line="117" w:lineRule="exact"/>
        <w:rPr>
          <w:sz w:val="20"/>
          <w:szCs w:val="20"/>
          <w:color w:val="auto"/>
        </w:rPr>
      </w:pPr>
    </w:p>
    <w:p>
      <w:pPr>
        <w:ind w:left="120" w:right="20" w:firstLine="440"/>
        <w:spacing w:after="0" w:line="286" w:lineRule="auto"/>
        <w:rPr>
          <w:sz w:val="20"/>
          <w:szCs w:val="20"/>
          <w:color w:val="auto"/>
        </w:rPr>
      </w:pPr>
      <w:r>
        <w:rPr>
          <w:rFonts w:ascii="Arial" w:cs="Arial" w:eastAsia="Arial" w:hAnsi="Arial"/>
          <w:sz w:val="17"/>
          <w:szCs w:val="17"/>
          <w:color w:val="auto"/>
        </w:rPr>
        <w:t>Due to restrictions under the securities laws of South Africa, no “offer to the public” (as such term is defined in the South African Companies Act, No. 71 of 2008 (as amended or re-enacted) (the “South African Companies Act”)) is being made in connection with the issue of the shares in South Africa. Accordingly, this document does not, nor is it intended to, constitute a “registered prospectus” (as that term is defined in the South</w:t>
      </w:r>
    </w:p>
    <w:p>
      <w:pPr>
        <w:spacing w:after="0" w:line="98" w:lineRule="exact"/>
        <w:rPr>
          <w:sz w:val="20"/>
          <w:szCs w:val="20"/>
          <w:color w:val="auto"/>
        </w:rPr>
      </w:pPr>
    </w:p>
    <w:p>
      <w:pPr>
        <w:jc w:val="center"/>
        <w:ind w:right="-359"/>
        <w:spacing w:after="0"/>
        <w:rPr>
          <w:sz w:val="20"/>
          <w:szCs w:val="20"/>
          <w:color w:val="auto"/>
        </w:rPr>
      </w:pPr>
      <w:r>
        <w:rPr>
          <w:rFonts w:ascii="Arial" w:cs="Arial" w:eastAsia="Arial" w:hAnsi="Arial"/>
          <w:sz w:val="18"/>
          <w:szCs w:val="18"/>
          <w:color w:val="auto"/>
        </w:rPr>
        <w:t>195</w:t>
      </w:r>
    </w:p>
    <w:p>
      <w:pPr>
        <w:sectPr>
          <w:pgSz w:w="11900" w:h="16838" w:orient="portrait"/>
          <w:cols w:equalWidth="0" w:num="1">
            <w:col w:w="11120"/>
          </w:cols>
          <w:pgMar w:left="320" w:top="459" w:right="459" w:bottom="1440" w:gutter="0" w:footer="0" w:header="0"/>
        </w:sectPr>
      </w:pPr>
    </w:p>
    <w:bookmarkStart w:id="202" w:name="page203"/>
    <w:bookmarkEnd w:id="20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Confidential Treatment Requested by Definitive Healthcare Corp.</w:t>
      </w:r>
    </w:p>
    <w:p>
      <w:pPr>
        <w:spacing w:after="0" w:line="27"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Pursuant to 17 C.F.R. Section 200.83</w:t>
      </w:r>
    </w:p>
    <w:p>
      <w:pPr>
        <w:spacing w:after="0" w:line="143" w:lineRule="exact"/>
        <w:rPr>
          <w:sz w:val="20"/>
          <w:szCs w:val="20"/>
          <w:color w:val="auto"/>
        </w:rPr>
      </w:pPr>
    </w:p>
    <w:p>
      <w:pPr>
        <w:ind w:left="120" w:right="280"/>
        <w:spacing w:after="0" w:line="277" w:lineRule="auto"/>
        <w:rPr>
          <w:sz w:val="20"/>
          <w:szCs w:val="20"/>
          <w:color w:val="auto"/>
        </w:rPr>
      </w:pPr>
      <w:r>
        <w:rPr>
          <w:rFonts w:ascii="Arial" w:cs="Arial" w:eastAsia="Arial" w:hAnsi="Arial"/>
          <w:sz w:val="18"/>
          <w:szCs w:val="18"/>
          <w:color w:val="auto"/>
        </w:rPr>
        <w:t>African Companies Act) prepared and registered under the South African Companies Act and has not been approved by, and/or filed with, the South African Companies and Intellectual Property Commission or any other regulatory authority in South Africa.</w:t>
      </w:r>
    </w:p>
    <w:p>
      <w:pPr>
        <w:spacing w:after="0" w:line="170" w:lineRule="exact"/>
        <w:rPr>
          <w:sz w:val="20"/>
          <w:szCs w:val="20"/>
          <w:color w:val="auto"/>
        </w:rPr>
      </w:pPr>
    </w:p>
    <w:p>
      <w:pPr>
        <w:ind w:left="560"/>
        <w:spacing w:after="0"/>
        <w:rPr>
          <w:sz w:val="20"/>
          <w:szCs w:val="20"/>
          <w:color w:val="auto"/>
        </w:rPr>
      </w:pPr>
      <w:r>
        <w:rPr>
          <w:rFonts w:ascii="Arial" w:cs="Arial" w:eastAsia="Arial" w:hAnsi="Arial"/>
          <w:sz w:val="16"/>
          <w:szCs w:val="16"/>
          <w:color w:val="auto"/>
        </w:rPr>
        <w:t>The shares are not offered, and the offer shall not be transferred, sold, renounced or delivered, in South Africa or to a person with an address in</w:t>
      </w:r>
    </w:p>
    <w:p>
      <w:pPr>
        <w:spacing w:after="0" w:line="46" w:lineRule="exact"/>
        <w:rPr>
          <w:sz w:val="20"/>
          <w:szCs w:val="20"/>
          <w:color w:val="auto"/>
        </w:rPr>
      </w:pPr>
    </w:p>
    <w:p>
      <w:pPr>
        <w:ind w:left="120"/>
        <w:spacing w:after="0"/>
        <w:rPr>
          <w:sz w:val="20"/>
          <w:szCs w:val="20"/>
          <w:color w:val="auto"/>
        </w:rPr>
      </w:pPr>
      <w:r>
        <w:rPr>
          <w:rFonts w:ascii="Arial" w:cs="Arial" w:eastAsia="Arial" w:hAnsi="Arial"/>
          <w:sz w:val="18"/>
          <w:szCs w:val="18"/>
          <w:color w:val="auto"/>
        </w:rPr>
        <w:t>South Africa, unless one or other of the following exemptions stipulated in section 96 (1) applies:</w:t>
      </w:r>
    </w:p>
    <w:p>
      <w:pPr>
        <w:spacing w:after="0" w:line="21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Section 96(1)(a) the offer, transfer, sale, renunciation or delivery is to:</w:t>
      </w:r>
    </w:p>
    <w:p>
      <w:pPr>
        <w:spacing w:after="0" w:line="131" w:lineRule="exact"/>
        <w:rPr>
          <w:sz w:val="20"/>
          <w:szCs w:val="20"/>
          <w:color w:val="auto"/>
        </w:rPr>
      </w:pPr>
    </w:p>
    <w:p>
      <w:pPr>
        <w:ind w:left="1080" w:hanging="532"/>
        <w:spacing w:after="0"/>
        <w:tabs>
          <w:tab w:leader="none" w:pos="1080" w:val="left"/>
        </w:tabs>
        <w:numPr>
          <w:ilvl w:val="0"/>
          <w:numId w:val="171"/>
        </w:numPr>
        <w:rPr>
          <w:rFonts w:ascii="Arial" w:cs="Arial" w:eastAsia="Arial" w:hAnsi="Arial"/>
          <w:sz w:val="18"/>
          <w:szCs w:val="18"/>
          <w:color w:val="auto"/>
        </w:rPr>
      </w:pPr>
      <w:r>
        <w:rPr>
          <w:rFonts w:ascii="Arial" w:cs="Arial" w:eastAsia="Arial" w:hAnsi="Arial"/>
          <w:sz w:val="18"/>
          <w:szCs w:val="18"/>
          <w:color w:val="auto"/>
        </w:rPr>
        <w:t>persons whose ordinary business, or part of whose ordinary business, is to deal in securities, as principal or agent;</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171"/>
        </w:numPr>
        <w:rPr>
          <w:rFonts w:ascii="Arial" w:cs="Arial" w:eastAsia="Arial" w:hAnsi="Arial"/>
          <w:sz w:val="18"/>
          <w:szCs w:val="18"/>
          <w:color w:val="auto"/>
        </w:rPr>
      </w:pPr>
      <w:r>
        <w:rPr>
          <w:rFonts w:ascii="Arial" w:cs="Arial" w:eastAsia="Arial" w:hAnsi="Arial"/>
          <w:sz w:val="18"/>
          <w:szCs w:val="18"/>
          <w:color w:val="auto"/>
        </w:rPr>
        <w:t>the South African Public Investment Corporation;</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171"/>
        </w:numPr>
        <w:rPr>
          <w:rFonts w:ascii="Arial" w:cs="Arial" w:eastAsia="Arial" w:hAnsi="Arial"/>
          <w:sz w:val="18"/>
          <w:szCs w:val="18"/>
          <w:color w:val="auto"/>
        </w:rPr>
      </w:pPr>
      <w:r>
        <w:rPr>
          <w:rFonts w:ascii="Arial" w:cs="Arial" w:eastAsia="Arial" w:hAnsi="Arial"/>
          <w:sz w:val="18"/>
          <w:szCs w:val="18"/>
          <w:color w:val="auto"/>
        </w:rPr>
        <w:t>persons or entities regulated by the Reserve Bank of South Africa;</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171"/>
        </w:numPr>
        <w:rPr>
          <w:rFonts w:ascii="Arial" w:cs="Arial" w:eastAsia="Arial" w:hAnsi="Arial"/>
          <w:sz w:val="18"/>
          <w:szCs w:val="18"/>
          <w:color w:val="auto"/>
        </w:rPr>
      </w:pPr>
      <w:r>
        <w:rPr>
          <w:rFonts w:ascii="Arial" w:cs="Arial" w:eastAsia="Arial" w:hAnsi="Arial"/>
          <w:sz w:val="18"/>
          <w:szCs w:val="18"/>
          <w:color w:val="auto"/>
        </w:rPr>
        <w:t>authorized financial service providers under South African law;</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171"/>
        </w:numPr>
        <w:rPr>
          <w:rFonts w:ascii="Arial" w:cs="Arial" w:eastAsia="Arial" w:hAnsi="Arial"/>
          <w:sz w:val="18"/>
          <w:szCs w:val="18"/>
          <w:color w:val="auto"/>
        </w:rPr>
      </w:pPr>
      <w:r>
        <w:rPr>
          <w:rFonts w:ascii="Arial" w:cs="Arial" w:eastAsia="Arial" w:hAnsi="Arial"/>
          <w:sz w:val="18"/>
          <w:szCs w:val="18"/>
          <w:color w:val="auto"/>
        </w:rPr>
        <w:t>financial institutions recognized as such under South African law;</w:t>
      </w:r>
    </w:p>
    <w:p>
      <w:pPr>
        <w:spacing w:after="0" w:line="130" w:lineRule="exact"/>
        <w:rPr>
          <w:rFonts w:ascii="Arial" w:cs="Arial" w:eastAsia="Arial" w:hAnsi="Arial"/>
          <w:sz w:val="18"/>
          <w:szCs w:val="18"/>
          <w:color w:val="auto"/>
        </w:rPr>
      </w:pPr>
    </w:p>
    <w:p>
      <w:pPr>
        <w:ind w:left="1080" w:right="60" w:hanging="532"/>
        <w:spacing w:after="0" w:line="263" w:lineRule="auto"/>
        <w:tabs>
          <w:tab w:leader="none" w:pos="1080" w:val="left"/>
        </w:tabs>
        <w:numPr>
          <w:ilvl w:val="0"/>
          <w:numId w:val="171"/>
        </w:numPr>
        <w:rPr>
          <w:rFonts w:ascii="Arial" w:cs="Arial" w:eastAsia="Arial" w:hAnsi="Arial"/>
          <w:sz w:val="18"/>
          <w:szCs w:val="18"/>
          <w:color w:val="auto"/>
        </w:rPr>
      </w:pPr>
      <w:r>
        <w:rPr>
          <w:rFonts w:ascii="Arial" w:cs="Arial" w:eastAsia="Arial" w:hAnsi="Arial"/>
          <w:sz w:val="18"/>
          <w:szCs w:val="18"/>
          <w:color w:val="auto"/>
        </w:rPr>
        <w:t>a wholly-owned subsidiary of any person or entity contemplated in (c), (d) or (e), acting as agent in the capacity of an authorised portfolio manager for a pension fund, or as manager for a collective investment scheme (in each case duly registered as such under South African law); or</w:t>
      </w:r>
    </w:p>
    <w:p>
      <w:pPr>
        <w:spacing w:after="0" w:line="89" w:lineRule="exact"/>
        <w:rPr>
          <w:rFonts w:ascii="Arial" w:cs="Arial" w:eastAsia="Arial" w:hAnsi="Arial"/>
          <w:sz w:val="18"/>
          <w:szCs w:val="18"/>
          <w:color w:val="auto"/>
        </w:rPr>
      </w:pPr>
    </w:p>
    <w:p>
      <w:pPr>
        <w:jc w:val="both"/>
        <w:ind w:left="1080" w:right="360" w:hanging="532"/>
        <w:spacing w:after="0" w:line="286" w:lineRule="auto"/>
        <w:tabs>
          <w:tab w:leader="none" w:pos="1080" w:val="left"/>
        </w:tabs>
        <w:numPr>
          <w:ilvl w:val="0"/>
          <w:numId w:val="171"/>
        </w:numPr>
        <w:rPr>
          <w:rFonts w:ascii="Arial" w:cs="Arial" w:eastAsia="Arial" w:hAnsi="Arial"/>
          <w:sz w:val="17"/>
          <w:szCs w:val="17"/>
          <w:color w:val="auto"/>
        </w:rPr>
      </w:pPr>
      <w:r>
        <w:rPr>
          <w:rFonts w:ascii="Arial" w:cs="Arial" w:eastAsia="Arial" w:hAnsi="Arial"/>
          <w:sz w:val="17"/>
          <w:szCs w:val="17"/>
          <w:color w:val="auto"/>
        </w:rPr>
        <w:t>any combination of the person in (i) to (vi); or Section 96(1)(b) the total contemplated acquisition cost of the securities, for any single addressee acting as principal is equal to or greater than ZAR1,000,000 or such higher amount as may be promulgated by notice in the Government Gazette of South Africa pursuant to section 96(2)(a) of the South African Companies Act.</w:t>
      </w:r>
    </w:p>
    <w:p>
      <w:pPr>
        <w:spacing w:after="0" w:line="165" w:lineRule="exact"/>
        <w:rPr>
          <w:sz w:val="20"/>
          <w:szCs w:val="20"/>
          <w:color w:val="auto"/>
        </w:rPr>
      </w:pPr>
    </w:p>
    <w:p>
      <w:pPr>
        <w:ind w:left="120" w:right="500" w:firstLine="440"/>
        <w:spacing w:after="0" w:line="277" w:lineRule="auto"/>
        <w:rPr>
          <w:sz w:val="20"/>
          <w:szCs w:val="20"/>
          <w:color w:val="auto"/>
        </w:rPr>
      </w:pPr>
      <w:r>
        <w:rPr>
          <w:rFonts w:ascii="Arial" w:cs="Arial" w:eastAsia="Arial" w:hAnsi="Arial"/>
          <w:sz w:val="18"/>
          <w:szCs w:val="18"/>
          <w:color w:val="auto"/>
        </w:rPr>
        <w:t>Information made available in this prospectus should not be considered as “advice” as defined in the South African Financial Advisory and Intermediary Services Act, 2002.</w:t>
      </w:r>
    </w:p>
    <w:p>
      <w:pPr>
        <w:spacing w:after="0" w:line="27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Chile</w:t>
      </w:r>
    </w:p>
    <w:p>
      <w:pPr>
        <w:spacing w:after="0" w:line="117" w:lineRule="exact"/>
        <w:rPr>
          <w:sz w:val="20"/>
          <w:szCs w:val="20"/>
          <w:color w:val="auto"/>
        </w:rPr>
      </w:pPr>
    </w:p>
    <w:p>
      <w:pPr>
        <w:ind w:left="120" w:right="60" w:firstLine="440"/>
        <w:spacing w:after="0" w:line="257" w:lineRule="auto"/>
        <w:rPr>
          <w:sz w:val="20"/>
          <w:szCs w:val="20"/>
          <w:color w:val="auto"/>
        </w:rPr>
      </w:pPr>
      <w:r>
        <w:rPr>
          <w:rFonts w:ascii="Arial" w:cs="Arial" w:eastAsia="Arial" w:hAnsi="Arial"/>
          <w:sz w:val="18"/>
          <w:szCs w:val="18"/>
          <w:color w:val="auto"/>
        </w:rPr>
        <w:t>THE SHARES ARE PRIVATELY OFFERED IN CHILE PURSUANT TO THE PROVISIONS OF LAW 18,045, THE SECURITIES MARKET LAW OF CHILE, AND NORMA DE CARÁCTER GENERAL NO. 336 (“RULE 336”), DATED JUNE 27, 2012, ISSUED BY THE SUPERINTENDENCIA DE VALORES Y SEGUROS DE CHILE (“SVS”), THE SECURITIES REGULATOR OF CHILE, TO RESIDENT QUALIFIED INVESTORS THAT ARE LISTED IN RULE 336 AND FURTHER DEFINED IN RULE 216 OF JUNE 12, 2008 ISSUED BY THE SVS.</w:t>
      </w:r>
    </w:p>
    <w:p>
      <w:pPr>
        <w:spacing w:after="0" w:line="188" w:lineRule="exact"/>
        <w:rPr>
          <w:sz w:val="20"/>
          <w:szCs w:val="20"/>
          <w:color w:val="auto"/>
        </w:rPr>
      </w:pPr>
    </w:p>
    <w:p>
      <w:pPr>
        <w:ind w:left="120" w:firstLine="440"/>
        <w:spacing w:after="0" w:line="277" w:lineRule="auto"/>
        <w:rPr>
          <w:sz w:val="20"/>
          <w:szCs w:val="20"/>
          <w:color w:val="auto"/>
        </w:rPr>
      </w:pPr>
      <w:r>
        <w:rPr>
          <w:rFonts w:ascii="Arial" w:cs="Arial" w:eastAsia="Arial" w:hAnsi="Arial"/>
          <w:sz w:val="18"/>
          <w:szCs w:val="18"/>
          <w:color w:val="auto"/>
        </w:rPr>
        <w:t>PURSUANT TO RULE 336 THE FOLLOWING INFORMATION IS PROVIDED IN CHILE TO PROSPECTIVE RESIDENT INVESTORS IN THE OFFERED SECURITIES:</w:t>
      </w:r>
    </w:p>
    <w:p>
      <w:pPr>
        <w:spacing w:after="0" w:line="76" w:lineRule="exact"/>
        <w:rPr>
          <w:sz w:val="20"/>
          <w:szCs w:val="20"/>
          <w:color w:val="auto"/>
        </w:rPr>
      </w:pPr>
    </w:p>
    <w:p>
      <w:pPr>
        <w:ind w:left="1080" w:hanging="532"/>
        <w:spacing w:after="0"/>
        <w:tabs>
          <w:tab w:leader="none" w:pos="1080" w:val="left"/>
        </w:tabs>
        <w:numPr>
          <w:ilvl w:val="0"/>
          <w:numId w:val="172"/>
        </w:numPr>
        <w:rPr>
          <w:rFonts w:ascii="Arial" w:cs="Arial" w:eastAsia="Arial" w:hAnsi="Arial"/>
          <w:sz w:val="18"/>
          <w:szCs w:val="18"/>
          <w:color w:val="auto"/>
        </w:rPr>
      </w:pPr>
      <w:r>
        <w:rPr>
          <w:rFonts w:ascii="Arial" w:cs="Arial" w:eastAsia="Arial" w:hAnsi="Arial"/>
          <w:sz w:val="18"/>
          <w:szCs w:val="18"/>
          <w:color w:val="auto"/>
        </w:rPr>
        <w:t>THE INITIATION OF THE OFFER IN CHILE IS .</w:t>
      </w:r>
    </w:p>
    <w:p>
      <w:pPr>
        <w:spacing w:after="0" w:line="130" w:lineRule="exact"/>
        <w:rPr>
          <w:rFonts w:ascii="Arial" w:cs="Arial" w:eastAsia="Arial" w:hAnsi="Arial"/>
          <w:sz w:val="18"/>
          <w:szCs w:val="18"/>
          <w:color w:val="auto"/>
        </w:rPr>
      </w:pPr>
    </w:p>
    <w:p>
      <w:pPr>
        <w:ind w:left="1080" w:right="200" w:hanging="532"/>
        <w:spacing w:after="0" w:line="277" w:lineRule="auto"/>
        <w:tabs>
          <w:tab w:leader="none" w:pos="1080" w:val="left"/>
        </w:tabs>
        <w:numPr>
          <w:ilvl w:val="0"/>
          <w:numId w:val="172"/>
        </w:numPr>
        <w:rPr>
          <w:rFonts w:ascii="Arial" w:cs="Arial" w:eastAsia="Arial" w:hAnsi="Arial"/>
          <w:sz w:val="18"/>
          <w:szCs w:val="18"/>
          <w:color w:val="auto"/>
        </w:rPr>
      </w:pPr>
      <w:r>
        <w:rPr>
          <w:rFonts w:ascii="Arial" w:cs="Arial" w:eastAsia="Arial" w:hAnsi="Arial"/>
          <w:sz w:val="18"/>
          <w:szCs w:val="18"/>
          <w:color w:val="auto"/>
        </w:rPr>
        <w:t>THE OFFER IS SUBJECT TO NCG 336 OF JUNE 27, 2012 ISSUED BY THE SUPERINTENDENCIA DE VALORES Y SEGUROS DE CHILE (SUPERINTENDENCY OF SECURITIES AND INSURANCE OF CHILE).</w:t>
      </w:r>
    </w:p>
    <w:p>
      <w:pPr>
        <w:spacing w:after="0" w:line="75" w:lineRule="exact"/>
        <w:rPr>
          <w:rFonts w:ascii="Arial" w:cs="Arial" w:eastAsia="Arial" w:hAnsi="Arial"/>
          <w:sz w:val="18"/>
          <w:szCs w:val="18"/>
          <w:color w:val="auto"/>
        </w:rPr>
      </w:pPr>
    </w:p>
    <w:p>
      <w:pPr>
        <w:ind w:left="1080" w:right="600" w:hanging="532"/>
        <w:spacing w:after="0" w:line="263" w:lineRule="auto"/>
        <w:tabs>
          <w:tab w:leader="none" w:pos="1080" w:val="left"/>
        </w:tabs>
        <w:numPr>
          <w:ilvl w:val="0"/>
          <w:numId w:val="172"/>
        </w:numPr>
        <w:rPr>
          <w:rFonts w:ascii="Arial" w:cs="Arial" w:eastAsia="Arial" w:hAnsi="Arial"/>
          <w:sz w:val="18"/>
          <w:szCs w:val="18"/>
          <w:color w:val="auto"/>
        </w:rPr>
      </w:pPr>
      <w:r>
        <w:rPr>
          <w:rFonts w:ascii="Arial" w:cs="Arial" w:eastAsia="Arial" w:hAnsi="Arial"/>
          <w:sz w:val="18"/>
          <w:szCs w:val="18"/>
          <w:color w:val="auto"/>
        </w:rPr>
        <w:t>THE OFFER REFERS TO SECURITIES THAT ARE NOT REGISTERED IN THE REGISTRO DE VALORES (SECURITIES REGISTRY) OR THE REGISTRO DE VALORES EXTRANJEROS (FOREIGN SECURITIES REGISTRY) OF THE SVS AND THEREFORE:</w:t>
      </w:r>
    </w:p>
    <w:p>
      <w:pPr>
        <w:spacing w:after="0" w:line="89" w:lineRule="exact"/>
        <w:rPr>
          <w:rFonts w:ascii="Arial" w:cs="Arial" w:eastAsia="Arial" w:hAnsi="Arial"/>
          <w:sz w:val="18"/>
          <w:szCs w:val="18"/>
          <w:color w:val="auto"/>
        </w:rPr>
      </w:pPr>
    </w:p>
    <w:p>
      <w:pPr>
        <w:ind w:left="1540" w:hanging="439"/>
        <w:spacing w:after="0"/>
        <w:tabs>
          <w:tab w:leader="none" w:pos="1540" w:val="left"/>
        </w:tabs>
        <w:numPr>
          <w:ilvl w:val="1"/>
          <w:numId w:val="172"/>
        </w:numPr>
        <w:rPr>
          <w:rFonts w:ascii="Arial" w:cs="Arial" w:eastAsia="Arial" w:hAnsi="Arial"/>
          <w:sz w:val="18"/>
          <w:szCs w:val="18"/>
          <w:color w:val="auto"/>
        </w:rPr>
      </w:pPr>
      <w:r>
        <w:rPr>
          <w:rFonts w:ascii="Arial" w:cs="Arial" w:eastAsia="Arial" w:hAnsi="Arial"/>
          <w:sz w:val="18"/>
          <w:szCs w:val="18"/>
          <w:color w:val="auto"/>
        </w:rPr>
        <w:t>THE SECURITIES ARE NOT SUBJECT TO THE OVERSIGHT OF THE SVS; AND</w:t>
      </w:r>
    </w:p>
    <w:p>
      <w:pPr>
        <w:spacing w:after="0" w:line="158" w:lineRule="exact"/>
        <w:rPr>
          <w:sz w:val="20"/>
          <w:szCs w:val="20"/>
          <w:color w:val="auto"/>
        </w:rPr>
      </w:pPr>
    </w:p>
    <w:p>
      <w:pPr>
        <w:jc w:val="center"/>
        <w:ind w:right="-399"/>
        <w:spacing w:after="0"/>
        <w:rPr>
          <w:sz w:val="20"/>
          <w:szCs w:val="20"/>
          <w:color w:val="auto"/>
        </w:rPr>
      </w:pPr>
      <w:r>
        <w:rPr>
          <w:rFonts w:ascii="Arial" w:cs="Arial" w:eastAsia="Arial" w:hAnsi="Arial"/>
          <w:sz w:val="18"/>
          <w:szCs w:val="18"/>
          <w:color w:val="auto"/>
        </w:rPr>
        <w:t>196</w:t>
      </w:r>
    </w:p>
    <w:p>
      <w:pPr>
        <w:sectPr>
          <w:pgSz w:w="11900" w:h="16838" w:orient="portrait"/>
          <w:cols w:equalWidth="0" w:num="1">
            <w:col w:w="11080"/>
          </w:cols>
          <w:pgMar w:left="320" w:top="459" w:right="499" w:bottom="1440" w:gutter="0" w:footer="0" w:header="0"/>
        </w:sectPr>
      </w:pPr>
    </w:p>
    <w:bookmarkStart w:id="203" w:name="page204"/>
    <w:bookmarkEnd w:id="20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Confidential Treatment Requested by Definitive Healthcare Corp.</w:t>
      </w:r>
    </w:p>
    <w:p>
      <w:pPr>
        <w:spacing w:after="0" w:line="27"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Pursuant to 17 C.F.R. Section 200.83</w:t>
      </w:r>
    </w:p>
    <w:p>
      <w:pPr>
        <w:spacing w:after="0" w:line="143" w:lineRule="exact"/>
        <w:rPr>
          <w:sz w:val="20"/>
          <w:szCs w:val="20"/>
          <w:color w:val="auto"/>
        </w:rPr>
      </w:pPr>
    </w:p>
    <w:p>
      <w:pPr>
        <w:ind w:left="1540" w:right="520" w:hanging="439"/>
        <w:spacing w:after="0" w:line="277" w:lineRule="auto"/>
        <w:tabs>
          <w:tab w:leader="none" w:pos="1540" w:val="left"/>
        </w:tabs>
        <w:numPr>
          <w:ilvl w:val="1"/>
          <w:numId w:val="173"/>
        </w:numPr>
        <w:rPr>
          <w:rFonts w:ascii="Arial" w:cs="Arial" w:eastAsia="Arial" w:hAnsi="Arial"/>
          <w:sz w:val="18"/>
          <w:szCs w:val="18"/>
          <w:color w:val="auto"/>
        </w:rPr>
      </w:pPr>
      <w:r>
        <w:rPr>
          <w:rFonts w:ascii="Arial" w:cs="Arial" w:eastAsia="Arial" w:hAnsi="Arial"/>
          <w:sz w:val="18"/>
          <w:szCs w:val="18"/>
          <w:color w:val="auto"/>
        </w:rPr>
        <w:t>THE ISSUER THEREFORE IS NOT SUBJECT TO REPORTING OBLIGATIONS WITH RESPECT TO ITSELF OR THE OFFERED SECURITIES</w:t>
      </w:r>
    </w:p>
    <w:p>
      <w:pPr>
        <w:spacing w:after="0" w:line="75" w:lineRule="exact"/>
        <w:rPr>
          <w:rFonts w:ascii="Arial" w:cs="Arial" w:eastAsia="Arial" w:hAnsi="Arial"/>
          <w:sz w:val="18"/>
          <w:szCs w:val="18"/>
          <w:color w:val="auto"/>
        </w:rPr>
      </w:pPr>
    </w:p>
    <w:p>
      <w:pPr>
        <w:ind w:left="1080" w:right="440" w:hanging="532"/>
        <w:spacing w:after="0" w:line="277" w:lineRule="auto"/>
        <w:tabs>
          <w:tab w:leader="none" w:pos="1080" w:val="left"/>
        </w:tabs>
        <w:numPr>
          <w:ilvl w:val="0"/>
          <w:numId w:val="174"/>
        </w:numPr>
        <w:rPr>
          <w:rFonts w:ascii="Arial" w:cs="Arial" w:eastAsia="Arial" w:hAnsi="Arial"/>
          <w:sz w:val="18"/>
          <w:szCs w:val="18"/>
          <w:color w:val="auto"/>
        </w:rPr>
      </w:pPr>
      <w:r>
        <w:rPr>
          <w:rFonts w:ascii="Arial" w:cs="Arial" w:eastAsia="Arial" w:hAnsi="Arial"/>
          <w:sz w:val="18"/>
          <w:szCs w:val="18"/>
          <w:color w:val="auto"/>
        </w:rPr>
        <w:t>THE SECURITIES MAY NOT BE PUBLICLY OFFERED IN CHILE UNLESS AND UNTIL THEY ARE REGISTERED IN THE SECURITIES REGISTRY OF THE SVS.</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INFORMACIÓN A LOS INVERSIONISTAS RESIDENTES EN CHILE</w:t>
      </w:r>
    </w:p>
    <w:p>
      <w:pPr>
        <w:spacing w:after="0" w:line="121" w:lineRule="exact"/>
        <w:rPr>
          <w:sz w:val="20"/>
          <w:szCs w:val="20"/>
          <w:color w:val="auto"/>
        </w:rPr>
      </w:pPr>
    </w:p>
    <w:p>
      <w:pPr>
        <w:ind w:left="120" w:firstLine="440"/>
        <w:spacing w:after="0" w:line="257" w:lineRule="auto"/>
        <w:rPr>
          <w:sz w:val="20"/>
          <w:szCs w:val="20"/>
          <w:color w:val="auto"/>
        </w:rPr>
      </w:pPr>
      <w:r>
        <w:rPr>
          <w:rFonts w:ascii="Arial" w:cs="Arial" w:eastAsia="Arial" w:hAnsi="Arial"/>
          <w:sz w:val="18"/>
          <w:szCs w:val="18"/>
          <w:color w:val="auto"/>
        </w:rPr>
        <w:t>LOS VALORES OBJETO DE ESTA OFERTA SE OFRECEN PRIVADAMENTE EN CHILE DE CONFORMIDAD CON LAS DISPOSICIONES DE LA LEY N° 18.045 DE MERCADO DE VALORES, Y LA NORMA DE CARÁCTER GENERAL N° 336 DE 27 DE JUNIO DE 2012 (“NCG 336”) EMITIDA POR LA SUPERINTENDENCIA DE VALORES Y SEGUROS DE CHILE, A LOS “INVERSIONISTAS CALIFICADOS” QUE ENUMERA LA NCG 336 Y QUE SE DEFINEN EN LA NORMA DE CARÁCTER GENERAL N° 216 DE 12 DE JUNIO DE 2008 EMITIDA POR LA MISMA SUPERINTENDENCIA.</w:t>
      </w:r>
    </w:p>
    <w:p>
      <w:pPr>
        <w:spacing w:after="0" w:line="188" w:lineRule="exact"/>
        <w:rPr>
          <w:sz w:val="20"/>
          <w:szCs w:val="20"/>
          <w:color w:val="auto"/>
        </w:rPr>
      </w:pPr>
    </w:p>
    <w:p>
      <w:pPr>
        <w:ind w:left="120" w:right="40" w:firstLine="440"/>
        <w:spacing w:after="0" w:line="277" w:lineRule="auto"/>
        <w:rPr>
          <w:sz w:val="20"/>
          <w:szCs w:val="20"/>
          <w:color w:val="auto"/>
        </w:rPr>
      </w:pPr>
      <w:r>
        <w:rPr>
          <w:rFonts w:ascii="Arial" w:cs="Arial" w:eastAsia="Arial" w:hAnsi="Arial"/>
          <w:sz w:val="18"/>
          <w:szCs w:val="18"/>
          <w:color w:val="auto"/>
        </w:rPr>
        <w:t>EN CUMPLIMIENTO DE LA NCG 336, LA SIGUIENTE INFORMACIÓN SE PROPORCIONA A LOS POTENCIALES INVERSIONISTAS RESIDENTES EN CHILE:</w:t>
      </w:r>
    </w:p>
    <w:p>
      <w:pPr>
        <w:spacing w:after="0" w:line="76" w:lineRule="exact"/>
        <w:rPr>
          <w:sz w:val="20"/>
          <w:szCs w:val="20"/>
          <w:color w:val="auto"/>
        </w:rPr>
      </w:pPr>
    </w:p>
    <w:p>
      <w:pPr>
        <w:ind w:left="540"/>
        <w:spacing w:after="0"/>
        <w:tabs>
          <w:tab w:leader="none" w:pos="1060" w:val="left"/>
          <w:tab w:leader="none" w:pos="6800" w:val="left"/>
        </w:tabs>
        <w:rPr>
          <w:sz w:val="20"/>
          <w:szCs w:val="20"/>
          <w:color w:val="auto"/>
        </w:rPr>
      </w:pPr>
      <w:r>
        <w:rPr>
          <w:rFonts w:ascii="Arial" w:cs="Arial" w:eastAsia="Arial" w:hAnsi="Arial"/>
          <w:sz w:val="18"/>
          <w:szCs w:val="18"/>
          <w:color w:val="auto"/>
        </w:rPr>
        <w:t>1.</w:t>
      </w:r>
      <w:r>
        <w:rPr>
          <w:sz w:val="20"/>
          <w:szCs w:val="20"/>
          <w:color w:val="auto"/>
        </w:rPr>
        <w:tab/>
      </w:r>
      <w:r>
        <w:rPr>
          <w:rFonts w:ascii="Arial" w:cs="Arial" w:eastAsia="Arial" w:hAnsi="Arial"/>
          <w:sz w:val="18"/>
          <w:szCs w:val="18"/>
          <w:color w:val="auto"/>
        </w:rPr>
        <w:t>LA OFERTA DE ESTOS VALORES EN CHILE COMIENZA EL DÍA</w:t>
      </w:r>
      <w:r>
        <w:rPr>
          <w:sz w:val="20"/>
          <w:szCs w:val="20"/>
          <w:color w:val="auto"/>
        </w:rPr>
        <w:tab/>
      </w:r>
      <w:r>
        <w:rPr>
          <w:rFonts w:ascii="Arial" w:cs="Arial" w:eastAsia="Arial" w:hAnsi="Arial"/>
          <w:sz w:val="18"/>
          <w:szCs w:val="18"/>
          <w:color w:val="auto"/>
        </w:rPr>
        <w:t>.</w:t>
      </w:r>
    </w:p>
    <w:p>
      <w:pPr>
        <w:spacing w:after="0" w:line="131" w:lineRule="exact"/>
        <w:rPr>
          <w:sz w:val="20"/>
          <w:szCs w:val="20"/>
          <w:color w:val="auto"/>
        </w:rPr>
      </w:pPr>
    </w:p>
    <w:p>
      <w:pPr>
        <w:ind w:left="1080" w:right="860" w:hanging="532"/>
        <w:spacing w:after="0" w:line="277" w:lineRule="auto"/>
        <w:tabs>
          <w:tab w:leader="none" w:pos="1080" w:val="left"/>
        </w:tabs>
        <w:numPr>
          <w:ilvl w:val="0"/>
          <w:numId w:val="175"/>
        </w:numPr>
        <w:rPr>
          <w:rFonts w:ascii="Arial" w:cs="Arial" w:eastAsia="Arial" w:hAnsi="Arial"/>
          <w:sz w:val="18"/>
          <w:szCs w:val="18"/>
          <w:color w:val="auto"/>
        </w:rPr>
      </w:pPr>
      <w:r>
        <w:rPr>
          <w:rFonts w:ascii="Arial" w:cs="Arial" w:eastAsia="Arial" w:hAnsi="Arial"/>
          <w:sz w:val="18"/>
          <w:szCs w:val="18"/>
          <w:color w:val="auto"/>
        </w:rPr>
        <w:t>LA OFERTA SE ENCUENTRA ACOGIDA A LA NCG 336 DE FECHA ECHA 27 DE JUNIO DE 2012 EMITIDA POR LA SUPERINTENDENCIA DE VALORES Y SEGUROS.</w:t>
      </w:r>
    </w:p>
    <w:p>
      <w:pPr>
        <w:spacing w:after="0" w:line="75" w:lineRule="exact"/>
        <w:rPr>
          <w:rFonts w:ascii="Arial" w:cs="Arial" w:eastAsia="Arial" w:hAnsi="Arial"/>
          <w:sz w:val="18"/>
          <w:szCs w:val="18"/>
          <w:color w:val="auto"/>
        </w:rPr>
      </w:pPr>
    </w:p>
    <w:p>
      <w:pPr>
        <w:ind w:left="1080" w:right="180" w:hanging="532"/>
        <w:spacing w:after="0" w:line="308" w:lineRule="auto"/>
        <w:tabs>
          <w:tab w:leader="none" w:pos="1080" w:val="left"/>
        </w:tabs>
        <w:numPr>
          <w:ilvl w:val="0"/>
          <w:numId w:val="175"/>
        </w:numPr>
        <w:rPr>
          <w:rFonts w:ascii="Arial" w:cs="Arial" w:eastAsia="Arial" w:hAnsi="Arial"/>
          <w:sz w:val="17"/>
          <w:szCs w:val="17"/>
          <w:color w:val="auto"/>
        </w:rPr>
      </w:pPr>
      <w:r>
        <w:rPr>
          <w:rFonts w:ascii="Arial" w:cs="Arial" w:eastAsia="Arial" w:hAnsi="Arial"/>
          <w:sz w:val="17"/>
          <w:szCs w:val="17"/>
          <w:color w:val="auto"/>
        </w:rPr>
        <w:t>LA OFERTA VERSA SOBRE VALORES QUE NO SE ENCUENTRAN INSCRITOS EN EL REGISTRO DE VALORES NI EN EL REGISTRO DE VALORES EXTRANJEROS QUE LLEVA LA SUPERINTENDENCIA DE VALORES Y SEGUROS, POR LO QUE:</w:t>
      </w:r>
    </w:p>
    <w:p>
      <w:pPr>
        <w:spacing w:after="0" w:line="51" w:lineRule="exact"/>
        <w:rPr>
          <w:rFonts w:ascii="Arial" w:cs="Arial" w:eastAsia="Arial" w:hAnsi="Arial"/>
          <w:sz w:val="17"/>
          <w:szCs w:val="17"/>
          <w:color w:val="auto"/>
        </w:rPr>
      </w:pPr>
    </w:p>
    <w:p>
      <w:pPr>
        <w:ind w:left="1540" w:hanging="439"/>
        <w:spacing w:after="0"/>
        <w:tabs>
          <w:tab w:leader="none" w:pos="1540" w:val="left"/>
        </w:tabs>
        <w:numPr>
          <w:ilvl w:val="1"/>
          <w:numId w:val="175"/>
        </w:numPr>
        <w:rPr>
          <w:rFonts w:ascii="Arial" w:cs="Arial" w:eastAsia="Arial" w:hAnsi="Arial"/>
          <w:sz w:val="18"/>
          <w:szCs w:val="18"/>
          <w:color w:val="auto"/>
        </w:rPr>
      </w:pPr>
      <w:r>
        <w:rPr>
          <w:rFonts w:ascii="Arial" w:cs="Arial" w:eastAsia="Arial" w:hAnsi="Arial"/>
          <w:sz w:val="18"/>
          <w:szCs w:val="18"/>
          <w:color w:val="auto"/>
        </w:rPr>
        <w:t>LOS VALORES NO ESTÁN SUJETOS A LA FISCALIZACIÓN DE ESA SUPERINTENDENCIA; Y</w:t>
      </w:r>
    </w:p>
    <w:p>
      <w:pPr>
        <w:spacing w:after="0" w:line="130" w:lineRule="exact"/>
        <w:rPr>
          <w:rFonts w:ascii="Arial" w:cs="Arial" w:eastAsia="Arial" w:hAnsi="Arial"/>
          <w:sz w:val="18"/>
          <w:szCs w:val="18"/>
          <w:color w:val="auto"/>
        </w:rPr>
      </w:pPr>
    </w:p>
    <w:p>
      <w:pPr>
        <w:ind w:left="1540" w:right="540" w:hanging="439"/>
        <w:spacing w:after="0" w:line="277" w:lineRule="auto"/>
        <w:tabs>
          <w:tab w:leader="none" w:pos="1540" w:val="left"/>
        </w:tabs>
        <w:numPr>
          <w:ilvl w:val="1"/>
          <w:numId w:val="175"/>
        </w:numPr>
        <w:rPr>
          <w:rFonts w:ascii="Arial" w:cs="Arial" w:eastAsia="Arial" w:hAnsi="Arial"/>
          <w:sz w:val="18"/>
          <w:szCs w:val="18"/>
          <w:color w:val="auto"/>
        </w:rPr>
      </w:pPr>
      <w:r>
        <w:rPr>
          <w:rFonts w:ascii="Arial" w:cs="Arial" w:eastAsia="Arial" w:hAnsi="Arial"/>
          <w:sz w:val="18"/>
          <w:szCs w:val="18"/>
          <w:color w:val="auto"/>
        </w:rPr>
        <w:t>EL EMISOR DE LOS VALORES NO ESTÁ SUJETO A LA OBLIGACIÓN DE ENTREGAR INFORMACIÓN PÚBLICA SOBRE LOS VALORES OFRECIDOS NI SU EMISOR.</w:t>
      </w:r>
    </w:p>
    <w:p>
      <w:pPr>
        <w:spacing w:after="0" w:line="75" w:lineRule="exact"/>
        <w:rPr>
          <w:rFonts w:ascii="Arial" w:cs="Arial" w:eastAsia="Arial" w:hAnsi="Arial"/>
          <w:sz w:val="18"/>
          <w:szCs w:val="18"/>
          <w:color w:val="auto"/>
        </w:rPr>
      </w:pPr>
    </w:p>
    <w:p>
      <w:pPr>
        <w:ind w:left="1080" w:right="200" w:hanging="532"/>
        <w:spacing w:after="0" w:line="277" w:lineRule="auto"/>
        <w:tabs>
          <w:tab w:leader="none" w:pos="1080" w:val="left"/>
        </w:tabs>
        <w:numPr>
          <w:ilvl w:val="0"/>
          <w:numId w:val="175"/>
        </w:numPr>
        <w:rPr>
          <w:rFonts w:ascii="Arial" w:cs="Arial" w:eastAsia="Arial" w:hAnsi="Arial"/>
          <w:sz w:val="18"/>
          <w:szCs w:val="18"/>
          <w:color w:val="auto"/>
        </w:rPr>
      </w:pPr>
      <w:r>
        <w:rPr>
          <w:rFonts w:ascii="Arial" w:cs="Arial" w:eastAsia="Arial" w:hAnsi="Arial"/>
          <w:sz w:val="18"/>
          <w:szCs w:val="18"/>
          <w:color w:val="auto"/>
        </w:rPr>
        <w:t>LOS VALORES PRIVADAMENTE OFRECIDOS NO PODRÁN SER OBJETO DE OFERTA PÚBLICA EN CHILE MIENTRAS NO SEAN INSCRITOS EN EL REGISTRO DE VALORES CORRESPONDIENTE.</w:t>
      </w:r>
    </w:p>
    <w:p>
      <w:pPr>
        <w:spacing w:after="0" w:line="103" w:lineRule="exact"/>
        <w:rPr>
          <w:sz w:val="20"/>
          <w:szCs w:val="20"/>
          <w:color w:val="auto"/>
        </w:rPr>
      </w:pPr>
    </w:p>
    <w:p>
      <w:pPr>
        <w:jc w:val="center"/>
        <w:ind w:right="-399"/>
        <w:spacing w:after="0"/>
        <w:rPr>
          <w:sz w:val="20"/>
          <w:szCs w:val="20"/>
          <w:color w:val="auto"/>
        </w:rPr>
      </w:pPr>
      <w:r>
        <w:rPr>
          <w:rFonts w:ascii="Arial" w:cs="Arial" w:eastAsia="Arial" w:hAnsi="Arial"/>
          <w:sz w:val="18"/>
          <w:szCs w:val="18"/>
          <w:color w:val="auto"/>
        </w:rPr>
        <w:t>197</w:t>
      </w:r>
    </w:p>
    <w:p>
      <w:pPr>
        <w:sectPr>
          <w:pgSz w:w="11900" w:h="16838" w:orient="portrait"/>
          <w:cols w:equalWidth="0" w:num="1">
            <w:col w:w="11080"/>
          </w:cols>
          <w:pgMar w:left="320" w:top="459" w:right="499" w:bottom="1440" w:gutter="0" w:footer="0" w:header="0"/>
        </w:sectPr>
      </w:pPr>
    </w:p>
    <w:bookmarkStart w:id="204" w:name="page205"/>
    <w:bookmarkEnd w:id="20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Confidential Treatment Requested by Definitive Healthcare Corp.</w:t>
      </w:r>
    </w:p>
    <w:p>
      <w:pPr>
        <w:spacing w:after="0" w:line="27"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Pursuant to 17 C.F.R. Section 200.83</w:t>
      </w:r>
    </w:p>
    <w:p>
      <w:pPr>
        <w:spacing w:after="0" w:line="139"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LEGAL MATTERS</w:t>
      </w:r>
    </w:p>
    <w:p>
      <w:pPr>
        <w:spacing w:after="0" w:line="229" w:lineRule="exact"/>
        <w:rPr>
          <w:sz w:val="20"/>
          <w:szCs w:val="20"/>
          <w:color w:val="auto"/>
        </w:rPr>
      </w:pPr>
    </w:p>
    <w:p>
      <w:pPr>
        <w:ind w:left="560"/>
        <w:spacing w:after="0"/>
        <w:rPr>
          <w:sz w:val="20"/>
          <w:szCs w:val="20"/>
          <w:color w:val="auto"/>
        </w:rPr>
      </w:pPr>
      <w:r>
        <w:rPr>
          <w:rFonts w:ascii="Arial" w:cs="Arial" w:eastAsia="Arial" w:hAnsi="Arial"/>
          <w:sz w:val="16"/>
          <w:szCs w:val="16"/>
          <w:color w:val="auto"/>
        </w:rPr>
        <w:t>Weil, Gotshal &amp; Manges LLP, New York, New York, has passed upon the validity of the Class A common stock offered hereby on behalf of us.</w:t>
      </w:r>
    </w:p>
    <w:p>
      <w:pPr>
        <w:spacing w:after="0" w:line="46" w:lineRule="exact"/>
        <w:rPr>
          <w:sz w:val="20"/>
          <w:szCs w:val="20"/>
          <w:color w:val="auto"/>
        </w:rPr>
      </w:pPr>
    </w:p>
    <w:p>
      <w:pPr>
        <w:ind w:left="120"/>
        <w:spacing w:after="0"/>
        <w:rPr>
          <w:sz w:val="20"/>
          <w:szCs w:val="20"/>
          <w:color w:val="auto"/>
        </w:rPr>
      </w:pPr>
      <w:r>
        <w:rPr>
          <w:rFonts w:ascii="Arial" w:cs="Arial" w:eastAsia="Arial" w:hAnsi="Arial"/>
          <w:sz w:val="18"/>
          <w:szCs w:val="18"/>
          <w:color w:val="auto"/>
        </w:rPr>
        <w:t>Certain legal matters will be passed upon on behalf of the underwriters by Latham &amp; Watkins LLP, Chicago, Illinois.</w:t>
      </w:r>
    </w:p>
    <w:p>
      <w:pPr>
        <w:spacing w:after="0" w:line="200" w:lineRule="exact"/>
        <w:rPr>
          <w:sz w:val="20"/>
          <w:szCs w:val="20"/>
          <w:color w:val="auto"/>
        </w:rPr>
      </w:pPr>
    </w:p>
    <w:p>
      <w:pPr>
        <w:spacing w:after="0" w:line="223"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EXPERTS</w:t>
      </w:r>
    </w:p>
    <w:p>
      <w:pPr>
        <w:spacing w:after="0" w:line="229" w:lineRule="exact"/>
        <w:rPr>
          <w:sz w:val="20"/>
          <w:szCs w:val="20"/>
          <w:color w:val="auto"/>
        </w:rPr>
      </w:pPr>
    </w:p>
    <w:p>
      <w:pPr>
        <w:jc w:val="both"/>
        <w:ind w:left="120" w:right="140" w:firstLine="440"/>
        <w:spacing w:after="0" w:line="263" w:lineRule="auto"/>
        <w:rPr>
          <w:sz w:val="20"/>
          <w:szCs w:val="20"/>
          <w:color w:val="auto"/>
        </w:rPr>
      </w:pPr>
      <w:r>
        <w:rPr>
          <w:rFonts w:ascii="Arial" w:cs="Arial" w:eastAsia="Arial" w:hAnsi="Arial"/>
          <w:sz w:val="18"/>
          <w:szCs w:val="18"/>
          <w:color w:val="auto"/>
        </w:rPr>
        <w:t>The financial statement as of May 24, 2021, of Definitive Healthcare Corp. included in this prospectus, has been audited by Deloitte &amp; Touche LLP, an independent registered public accounting firm, as stated in their report appearing herein. Such financial statement is included in reliance upon the report of such firm given upon their authority as experts in accounting and auditing.</w:t>
      </w:r>
    </w:p>
    <w:p>
      <w:pPr>
        <w:spacing w:after="0" w:line="184" w:lineRule="exact"/>
        <w:rPr>
          <w:sz w:val="20"/>
          <w:szCs w:val="20"/>
          <w:color w:val="auto"/>
        </w:rPr>
      </w:pPr>
    </w:p>
    <w:p>
      <w:pPr>
        <w:ind w:left="120" w:firstLine="440"/>
        <w:spacing w:after="0" w:line="257" w:lineRule="auto"/>
        <w:rPr>
          <w:sz w:val="20"/>
          <w:szCs w:val="20"/>
          <w:color w:val="auto"/>
        </w:rPr>
      </w:pPr>
      <w:r>
        <w:rPr>
          <w:rFonts w:ascii="Arial" w:cs="Arial" w:eastAsia="Arial" w:hAnsi="Arial"/>
          <w:sz w:val="18"/>
          <w:szCs w:val="18"/>
          <w:color w:val="auto"/>
        </w:rPr>
        <w:t>The consolidated financial statements of AIDH Topco, LLC as of December 31, 2020 and 2019 (Successor Company) and for the year ended December 31, 2020 (Successor Company) and the periods from July 16, 2019 to December 31, 2019 (Successor Company) and from January 1, 2019 to July 15, 2019 (Predecessor Company) included in this prospectus, have been audited by Deloitte &amp; Touche LLP, an independent registered public accounting firm, as stated in their report appearing herein. Such financial statements are included in reliance upon the report of such firm given upon their authority as experts in accounting and auditing.</w:t>
      </w:r>
    </w:p>
    <w:p>
      <w:pPr>
        <w:spacing w:after="0" w:line="120" w:lineRule="exact"/>
        <w:rPr>
          <w:sz w:val="20"/>
          <w:szCs w:val="20"/>
          <w:color w:val="auto"/>
        </w:rPr>
      </w:pPr>
    </w:p>
    <w:p>
      <w:pPr>
        <w:jc w:val="center"/>
        <w:ind w:right="-419"/>
        <w:spacing w:after="0"/>
        <w:rPr>
          <w:sz w:val="20"/>
          <w:szCs w:val="20"/>
          <w:color w:val="auto"/>
        </w:rPr>
      </w:pPr>
      <w:r>
        <w:rPr>
          <w:rFonts w:ascii="Arial" w:cs="Arial" w:eastAsia="Arial" w:hAnsi="Arial"/>
          <w:sz w:val="18"/>
          <w:szCs w:val="18"/>
          <w:color w:val="auto"/>
        </w:rPr>
        <w:t>198</w:t>
      </w:r>
    </w:p>
    <w:p>
      <w:pPr>
        <w:sectPr>
          <w:pgSz w:w="11900" w:h="16838" w:orient="portrait"/>
          <w:cols w:equalWidth="0" w:num="1">
            <w:col w:w="11060"/>
          </w:cols>
          <w:pgMar w:left="320" w:top="459" w:right="519" w:bottom="1440" w:gutter="0" w:footer="0" w:header="0"/>
        </w:sectPr>
      </w:pPr>
    </w:p>
    <w:bookmarkStart w:id="205" w:name="page206"/>
    <w:bookmarkEnd w:id="20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Confidential Treatment Requested by Definitive Healthcare Corp.</w:t>
      </w:r>
    </w:p>
    <w:p>
      <w:pPr>
        <w:spacing w:after="0" w:line="27"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Pursuant to 17 C.F.R. Section 200.83</w:t>
      </w:r>
    </w:p>
    <w:p>
      <w:pPr>
        <w:spacing w:after="0" w:line="139"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WHERE YOU CAN FIND MORE INFORMATION</w:t>
      </w:r>
    </w:p>
    <w:p>
      <w:pPr>
        <w:spacing w:after="0" w:line="229" w:lineRule="exact"/>
        <w:rPr>
          <w:sz w:val="20"/>
          <w:szCs w:val="20"/>
          <w:color w:val="auto"/>
        </w:rPr>
      </w:pPr>
    </w:p>
    <w:p>
      <w:pPr>
        <w:ind w:left="120" w:firstLine="440"/>
        <w:spacing w:after="0" w:line="291" w:lineRule="auto"/>
        <w:rPr>
          <w:sz w:val="20"/>
          <w:szCs w:val="20"/>
          <w:color w:val="auto"/>
        </w:rPr>
      </w:pPr>
      <w:r>
        <w:rPr>
          <w:rFonts w:ascii="Arial" w:cs="Arial" w:eastAsia="Arial" w:hAnsi="Arial"/>
          <w:sz w:val="16"/>
          <w:szCs w:val="16"/>
          <w:color w:val="auto"/>
        </w:rPr>
        <w:t>We have filed with the SEC a registration statement on Form S-1 under the Securities Act with respect to the shares of our Class A common stock offered by this prospectus. For purposes of this section, the term registration statement means the original registration statement and any and all amendments including the schedules and exhibits to the original registration statement or any amendment. This prospectus, filed as part of the registration statement, does not contain all of the information set forth in the registration statement or the exhibits and schedules thereto as permitted by the rules and regulations of the SEC. For further information about us and our Class A common stock, you should refer to the registration statement, including the exhibits. This prospectus summarizes provisions that we consider material of certain contracts and other documents to which we refer you. Because the summaries may not contain all of the information that you may find important, you should review the full text of those documents.</w:t>
      </w:r>
    </w:p>
    <w:p>
      <w:pPr>
        <w:spacing w:after="0" w:line="166" w:lineRule="exact"/>
        <w:rPr>
          <w:sz w:val="20"/>
          <w:szCs w:val="20"/>
          <w:color w:val="auto"/>
        </w:rPr>
      </w:pPr>
    </w:p>
    <w:p>
      <w:pPr>
        <w:jc w:val="both"/>
        <w:ind w:left="120" w:right="60" w:firstLine="440"/>
        <w:spacing w:after="0" w:line="311" w:lineRule="auto"/>
        <w:rPr>
          <w:sz w:val="20"/>
          <w:szCs w:val="20"/>
          <w:color w:val="auto"/>
        </w:rPr>
      </w:pPr>
      <w:r>
        <w:rPr>
          <w:rFonts w:ascii="Arial" w:cs="Arial" w:eastAsia="Arial" w:hAnsi="Arial"/>
          <w:sz w:val="16"/>
          <w:szCs w:val="16"/>
          <w:color w:val="auto"/>
        </w:rPr>
        <w:t>This registration statement, including its exhibits and schedules, will be filed with the SEC. The SEC maintains a website at (</w:t>
      </w:r>
      <w:r>
        <w:rPr>
          <w:rFonts w:ascii="Arial" w:cs="Arial" w:eastAsia="Arial" w:hAnsi="Arial"/>
          <w:sz w:val="16"/>
          <w:szCs w:val="16"/>
          <w:i w:val="1"/>
          <w:iCs w:val="1"/>
          <w:color w:val="auto"/>
        </w:rPr>
        <w:t>http://www.sec.gov</w:t>
      </w:r>
      <w:r>
        <w:rPr>
          <w:rFonts w:ascii="Arial" w:cs="Arial" w:eastAsia="Arial" w:hAnsi="Arial"/>
          <w:sz w:val="16"/>
          <w:szCs w:val="16"/>
          <w:color w:val="auto"/>
        </w:rPr>
        <w:t>) from which interested persons can electronically access the registration statement, including the exhibits and schedules to the registration statement. We intend to furnish our stockholders with annual reports containing financial statements audited by our independent auditors.</w:t>
      </w:r>
    </w:p>
    <w:p>
      <w:pPr>
        <w:spacing w:after="0" w:line="149" w:lineRule="exact"/>
        <w:rPr>
          <w:sz w:val="20"/>
          <w:szCs w:val="20"/>
          <w:color w:val="auto"/>
        </w:rPr>
      </w:pPr>
    </w:p>
    <w:p>
      <w:pPr>
        <w:ind w:left="120" w:right="60" w:firstLine="440"/>
        <w:spacing w:after="0" w:line="259" w:lineRule="auto"/>
        <w:rPr>
          <w:sz w:val="20"/>
          <w:szCs w:val="20"/>
          <w:color w:val="auto"/>
        </w:rPr>
      </w:pPr>
      <w:r>
        <w:rPr>
          <w:rFonts w:ascii="Arial" w:cs="Arial" w:eastAsia="Arial" w:hAnsi="Arial"/>
          <w:sz w:val="18"/>
          <w:szCs w:val="18"/>
          <w:color w:val="auto"/>
        </w:rPr>
        <w:t>We have not authorized anyone to give you any information or to make any representations about us or the transactions we discuss in this prospectus other than those contained in this prospectus. If you are given any information or representations about these matters that is not discussed in this prospectus, you must not rely on that information. This prospectus is not an offer to sell or a solicitation of an offer to buy securities anywhere or to anyone where or to whom we are not permitted to offer or sell securities under applicable laws.</w:t>
      </w:r>
    </w:p>
    <w:p>
      <w:pPr>
        <w:spacing w:after="0" w:line="119" w:lineRule="exact"/>
        <w:rPr>
          <w:sz w:val="20"/>
          <w:szCs w:val="20"/>
          <w:color w:val="auto"/>
        </w:rPr>
      </w:pPr>
    </w:p>
    <w:p>
      <w:pPr>
        <w:jc w:val="center"/>
        <w:ind w:right="-379"/>
        <w:spacing w:after="0"/>
        <w:rPr>
          <w:sz w:val="20"/>
          <w:szCs w:val="20"/>
          <w:color w:val="auto"/>
        </w:rPr>
      </w:pPr>
      <w:r>
        <w:rPr>
          <w:rFonts w:ascii="Arial" w:cs="Arial" w:eastAsia="Arial" w:hAnsi="Arial"/>
          <w:sz w:val="18"/>
          <w:szCs w:val="18"/>
          <w:color w:val="auto"/>
        </w:rPr>
        <w:t>199</w:t>
      </w:r>
    </w:p>
    <w:p>
      <w:pPr>
        <w:sectPr>
          <w:pgSz w:w="11900" w:h="16838" w:orient="portrait"/>
          <w:cols w:equalWidth="0" w:num="1">
            <w:col w:w="11100"/>
          </w:cols>
          <w:pgMar w:left="320" w:top="459" w:right="479" w:bottom="1440" w:gutter="0" w:footer="0" w:header="0"/>
        </w:sectPr>
      </w:pPr>
    </w:p>
    <w:bookmarkStart w:id="206" w:name="page207"/>
    <w:bookmarkEnd w:id="20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Confidential Treatment Requested by Definitive Healthcare Corp.</w:t>
      </w:r>
    </w:p>
    <w:p>
      <w:pPr>
        <w:spacing w:after="0" w:line="27"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Pursuant to 17 C.F.R. Section 200.83</w:t>
      </w:r>
    </w:p>
    <w:p>
      <w:pPr>
        <w:spacing w:after="0" w:line="139"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INDEX TO FINANCIAL STATEMENTS</w:t>
      </w:r>
    </w:p>
    <w:p>
      <w:pPr>
        <w:spacing w:after="0" w:line="248"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10560" w:type="dxa"/>
            <w:vAlign w:val="bottom"/>
            <w:gridSpan w:val="21"/>
            <w:vMerge w:val="restart"/>
          </w:tcPr>
          <w:p>
            <w:pPr>
              <w:spacing w:after="0"/>
              <w:rPr>
                <w:sz w:val="20"/>
                <w:szCs w:val="20"/>
                <w:color w:val="auto"/>
              </w:rPr>
            </w:pPr>
            <w:r>
              <w:rPr>
                <w:rFonts w:ascii="Arial" w:cs="Arial" w:eastAsia="Arial" w:hAnsi="Arial"/>
                <w:sz w:val="18"/>
                <w:szCs w:val="18"/>
                <w:b w:val="1"/>
                <w:bCs w:val="1"/>
                <w:color w:val="auto"/>
              </w:rPr>
              <w:t>CONSOLIDATED FINANCIAL STATEMENTS OF DEFINITIVE HEALTHCARE CORP.</w:t>
            </w: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95"/>
              </w:rPr>
              <w:t>Page</w:t>
            </w:r>
          </w:p>
        </w:tc>
        <w:tc>
          <w:tcPr>
            <w:tcW w:w="0" w:type="dxa"/>
            <w:vAlign w:val="bottom"/>
          </w:tcPr>
          <w:p>
            <w:pPr>
              <w:spacing w:after="0"/>
              <w:rPr>
                <w:sz w:val="1"/>
                <w:szCs w:val="1"/>
                <w:color w:val="auto"/>
              </w:rPr>
            </w:pPr>
          </w:p>
        </w:tc>
      </w:tr>
      <w:tr>
        <w:trPr>
          <w:trHeight w:val="196"/>
        </w:trPr>
        <w:tc>
          <w:tcPr>
            <w:tcW w:w="10560" w:type="dxa"/>
            <w:vAlign w:val="bottom"/>
            <w:gridSpan w:val="21"/>
            <w:vMerge w:val="continue"/>
          </w:tcPr>
          <w:p>
            <w:pPr>
              <w:spacing w:after="0"/>
              <w:rPr>
                <w:sz w:val="17"/>
                <w:szCs w:val="17"/>
                <w:color w:val="auto"/>
              </w:rPr>
            </w:pPr>
          </w:p>
        </w:tc>
        <w:tc>
          <w:tcPr>
            <w:tcW w:w="4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92"/>
        </w:trPr>
        <w:tc>
          <w:tcPr>
            <w:tcW w:w="4220" w:type="dxa"/>
            <w:vAlign w:val="bottom"/>
            <w:tcBorders>
              <w:bottom w:val="single" w:sz="8" w:color="0000EE"/>
            </w:tcBorders>
            <w:gridSpan w:val="5"/>
          </w:tcPr>
          <w:p>
            <w:pPr>
              <w:spacing w:after="0"/>
              <w:rPr>
                <w:rFonts w:ascii="Arial" w:cs="Arial" w:eastAsia="Arial" w:hAnsi="Arial"/>
                <w:sz w:val="18"/>
                <w:szCs w:val="18"/>
                <w:color w:val="0000EE"/>
                <w:w w:val="91"/>
              </w:rPr>
            </w:pPr>
            <w:hyperlink w:anchor="page209">
              <w:r>
                <w:rPr>
                  <w:rFonts w:ascii="Arial" w:cs="Arial" w:eastAsia="Arial" w:hAnsi="Arial"/>
                  <w:sz w:val="18"/>
                  <w:szCs w:val="18"/>
                  <w:color w:val="0000EE"/>
                  <w:w w:val="91"/>
                </w:rPr>
                <w:t>Report of Independent Registered Public Accounting Firm</w:t>
              </w:r>
            </w:hyperlink>
          </w:p>
        </w:tc>
        <w:tc>
          <w:tcPr>
            <w:tcW w:w="6340" w:type="dxa"/>
            <w:vAlign w:val="bottom"/>
            <w:gridSpan w:val="16"/>
          </w:tcPr>
          <w:p>
            <w:pPr>
              <w:spacing w:after="0"/>
              <w:rPr>
                <w:sz w:val="24"/>
                <w:szCs w:val="24"/>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F-3</w:t>
            </w:r>
          </w:p>
        </w:tc>
        <w:tc>
          <w:tcPr>
            <w:tcW w:w="0" w:type="dxa"/>
            <w:vAlign w:val="bottom"/>
          </w:tcPr>
          <w:p>
            <w:pPr>
              <w:spacing w:after="0"/>
              <w:rPr>
                <w:sz w:val="1"/>
                <w:szCs w:val="1"/>
                <w:color w:val="auto"/>
              </w:rPr>
            </w:pPr>
          </w:p>
        </w:tc>
      </w:tr>
      <w:tr>
        <w:trPr>
          <w:trHeight w:val="196"/>
        </w:trPr>
        <w:tc>
          <w:tcPr>
            <w:tcW w:w="2460" w:type="dxa"/>
            <w:vAlign w:val="bottom"/>
            <w:tcBorders>
              <w:bottom w:val="single" w:sz="8" w:color="0000EE"/>
            </w:tcBorders>
            <w:gridSpan w:val="3"/>
          </w:tcPr>
          <w:p>
            <w:pPr>
              <w:spacing w:after="0" w:line="196" w:lineRule="exact"/>
              <w:rPr>
                <w:rFonts w:ascii="Arial" w:cs="Arial" w:eastAsia="Arial" w:hAnsi="Arial"/>
                <w:sz w:val="18"/>
                <w:szCs w:val="18"/>
                <w:color w:val="0000EE"/>
                <w:w w:val="88"/>
              </w:rPr>
            </w:pPr>
            <w:hyperlink w:anchor="page210">
              <w:r>
                <w:rPr>
                  <w:rFonts w:ascii="Arial" w:cs="Arial" w:eastAsia="Arial" w:hAnsi="Arial"/>
                  <w:sz w:val="18"/>
                  <w:szCs w:val="18"/>
                  <w:color w:val="0000EE"/>
                  <w:w w:val="88"/>
                </w:rPr>
                <w:t>Balance Sheet as of May 24, 2021</w:t>
              </w:r>
            </w:hyperlink>
          </w:p>
        </w:tc>
        <w:tc>
          <w:tcPr>
            <w:tcW w:w="8100" w:type="dxa"/>
            <w:vAlign w:val="bottom"/>
            <w:gridSpan w:val="18"/>
          </w:tcPr>
          <w:p>
            <w:pPr>
              <w:spacing w:after="0"/>
              <w:rPr>
                <w:sz w:val="17"/>
                <w:szCs w:val="17"/>
                <w:color w:val="auto"/>
              </w:rPr>
            </w:pPr>
          </w:p>
        </w:tc>
        <w:tc>
          <w:tcPr>
            <w:tcW w:w="400" w:type="dxa"/>
            <w:vAlign w:val="bottom"/>
          </w:tcPr>
          <w:p>
            <w:pPr>
              <w:jc w:val="right"/>
              <w:spacing w:after="0" w:line="196" w:lineRule="exact"/>
              <w:rPr>
                <w:sz w:val="20"/>
                <w:szCs w:val="20"/>
                <w:color w:val="auto"/>
              </w:rPr>
            </w:pPr>
            <w:r>
              <w:rPr>
                <w:rFonts w:ascii="Arial" w:cs="Arial" w:eastAsia="Arial" w:hAnsi="Arial"/>
                <w:sz w:val="18"/>
                <w:szCs w:val="18"/>
                <w:color w:val="auto"/>
              </w:rPr>
              <w:t>F-4</w:t>
            </w:r>
          </w:p>
        </w:tc>
        <w:tc>
          <w:tcPr>
            <w:tcW w:w="0" w:type="dxa"/>
            <w:vAlign w:val="bottom"/>
          </w:tcPr>
          <w:p>
            <w:pPr>
              <w:spacing w:after="0"/>
              <w:rPr>
                <w:sz w:val="1"/>
                <w:szCs w:val="1"/>
                <w:color w:val="auto"/>
              </w:rPr>
            </w:pPr>
          </w:p>
        </w:tc>
      </w:tr>
      <w:tr>
        <w:trPr>
          <w:trHeight w:val="196"/>
        </w:trPr>
        <w:tc>
          <w:tcPr>
            <w:tcW w:w="10560" w:type="dxa"/>
            <w:vAlign w:val="bottom"/>
            <w:gridSpan w:val="21"/>
          </w:tcPr>
          <w:p>
            <w:pPr>
              <w:spacing w:after="0" w:line="196" w:lineRule="exact"/>
              <w:rPr>
                <w:rFonts w:ascii="Arial" w:cs="Arial" w:eastAsia="Arial" w:hAnsi="Arial"/>
                <w:sz w:val="18"/>
                <w:szCs w:val="18"/>
                <w:color w:val="0000EE"/>
              </w:rPr>
            </w:pPr>
            <w:hyperlink w:anchor="page211">
              <w:r>
                <w:rPr>
                  <w:rFonts w:ascii="Arial" w:cs="Arial" w:eastAsia="Arial" w:hAnsi="Arial"/>
                  <w:sz w:val="18"/>
                  <w:szCs w:val="18"/>
                  <w:color w:val="0000EE"/>
                </w:rPr>
                <w:t>Notes to Balance Sheet</w:t>
              </w:r>
            </w:hyperlink>
          </w:p>
        </w:tc>
        <w:tc>
          <w:tcPr>
            <w:tcW w:w="400" w:type="dxa"/>
            <w:vAlign w:val="bottom"/>
          </w:tcPr>
          <w:p>
            <w:pPr>
              <w:jc w:val="right"/>
              <w:spacing w:after="0" w:line="196" w:lineRule="exact"/>
              <w:rPr>
                <w:sz w:val="20"/>
                <w:szCs w:val="20"/>
                <w:color w:val="auto"/>
              </w:rPr>
            </w:pPr>
            <w:r>
              <w:rPr>
                <w:rFonts w:ascii="Arial" w:cs="Arial" w:eastAsia="Arial" w:hAnsi="Arial"/>
                <w:sz w:val="18"/>
                <w:szCs w:val="18"/>
                <w:color w:val="auto"/>
              </w:rPr>
              <w:t>F-5</w:t>
            </w:r>
          </w:p>
        </w:tc>
        <w:tc>
          <w:tcPr>
            <w:tcW w:w="0" w:type="dxa"/>
            <w:vAlign w:val="bottom"/>
          </w:tcPr>
          <w:p>
            <w:pPr>
              <w:spacing w:after="0"/>
              <w:rPr>
                <w:sz w:val="1"/>
                <w:szCs w:val="1"/>
                <w:color w:val="auto"/>
              </w:rPr>
            </w:pPr>
          </w:p>
        </w:tc>
      </w:tr>
      <w:tr>
        <w:trPr>
          <w:trHeight w:val="20"/>
        </w:trPr>
        <w:tc>
          <w:tcPr>
            <w:tcW w:w="180" w:type="dxa"/>
            <w:vAlign w:val="bottom"/>
            <w:shd w:val="clear" w:color="auto" w:fill="0000EE"/>
          </w:tcPr>
          <w:p>
            <w:pPr>
              <w:spacing w:after="0" w:line="20" w:lineRule="exact"/>
              <w:rPr>
                <w:sz w:val="1"/>
                <w:szCs w:val="1"/>
                <w:color w:val="auto"/>
              </w:rPr>
            </w:pPr>
          </w:p>
        </w:tc>
        <w:tc>
          <w:tcPr>
            <w:tcW w:w="1480" w:type="dxa"/>
            <w:vAlign w:val="bottom"/>
            <w:shd w:val="clear" w:color="auto" w:fill="0000EE"/>
          </w:tcPr>
          <w:p>
            <w:pPr>
              <w:spacing w:after="0" w:line="20" w:lineRule="exact"/>
              <w:rPr>
                <w:sz w:val="1"/>
                <w:szCs w:val="1"/>
                <w:color w:val="auto"/>
              </w:rPr>
            </w:pPr>
          </w:p>
        </w:tc>
        <w:tc>
          <w:tcPr>
            <w:tcW w:w="1740" w:type="dxa"/>
            <w:vAlign w:val="bottom"/>
            <w:gridSpan w:val="2"/>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53"/>
        </w:trPr>
        <w:tc>
          <w:tcPr>
            <w:tcW w:w="10560" w:type="dxa"/>
            <w:vAlign w:val="bottom"/>
            <w:gridSpan w:val="21"/>
          </w:tcPr>
          <w:p>
            <w:pPr>
              <w:spacing w:after="0"/>
              <w:rPr>
                <w:sz w:val="20"/>
                <w:szCs w:val="20"/>
                <w:color w:val="auto"/>
              </w:rPr>
            </w:pPr>
            <w:r>
              <w:rPr>
                <w:rFonts w:ascii="Arial" w:cs="Arial" w:eastAsia="Arial" w:hAnsi="Arial"/>
                <w:sz w:val="18"/>
                <w:szCs w:val="18"/>
                <w:b w:val="1"/>
                <w:bCs w:val="1"/>
                <w:color w:val="auto"/>
              </w:rPr>
              <w:t>CONSOLIDATED FINANCIAL STATEMENTS OF AIDH TOPCO, LLC (“DEFINITIVE OPCO”) AND SUBSIDIARIES</w:t>
            </w:r>
          </w:p>
        </w:tc>
        <w:tc>
          <w:tcPr>
            <w:tcW w:w="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2"/>
        </w:trPr>
        <w:tc>
          <w:tcPr>
            <w:tcW w:w="4220" w:type="dxa"/>
            <w:vAlign w:val="bottom"/>
            <w:tcBorders>
              <w:bottom w:val="single" w:sz="8" w:color="0000EE"/>
            </w:tcBorders>
            <w:gridSpan w:val="5"/>
          </w:tcPr>
          <w:p>
            <w:pPr>
              <w:spacing w:after="0"/>
              <w:rPr>
                <w:rFonts w:ascii="Arial" w:cs="Arial" w:eastAsia="Arial" w:hAnsi="Arial"/>
                <w:sz w:val="18"/>
                <w:szCs w:val="18"/>
                <w:color w:val="0000EE"/>
                <w:w w:val="91"/>
              </w:rPr>
            </w:pPr>
            <w:hyperlink w:anchor="page213">
              <w:r>
                <w:rPr>
                  <w:rFonts w:ascii="Arial" w:cs="Arial" w:eastAsia="Arial" w:hAnsi="Arial"/>
                  <w:sz w:val="18"/>
                  <w:szCs w:val="18"/>
                  <w:color w:val="0000EE"/>
                  <w:w w:val="91"/>
                </w:rPr>
                <w:t>Report of Independent Registered Public Accounting Firm</w:t>
              </w:r>
            </w:hyperlink>
          </w:p>
        </w:tc>
        <w:tc>
          <w:tcPr>
            <w:tcW w:w="6340" w:type="dxa"/>
            <w:vAlign w:val="bottom"/>
            <w:gridSpan w:val="16"/>
          </w:tcPr>
          <w:p>
            <w:pPr>
              <w:spacing w:after="0"/>
              <w:rPr>
                <w:sz w:val="24"/>
                <w:szCs w:val="24"/>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F-7</w:t>
            </w:r>
          </w:p>
        </w:tc>
        <w:tc>
          <w:tcPr>
            <w:tcW w:w="0" w:type="dxa"/>
            <w:vAlign w:val="bottom"/>
          </w:tcPr>
          <w:p>
            <w:pPr>
              <w:spacing w:after="0"/>
              <w:rPr>
                <w:sz w:val="1"/>
                <w:szCs w:val="1"/>
                <w:color w:val="auto"/>
              </w:rPr>
            </w:pPr>
          </w:p>
        </w:tc>
      </w:tr>
      <w:tr>
        <w:trPr>
          <w:trHeight w:val="196"/>
        </w:trPr>
        <w:tc>
          <w:tcPr>
            <w:tcW w:w="6320" w:type="dxa"/>
            <w:vAlign w:val="bottom"/>
            <w:tcBorders>
              <w:bottom w:val="single" w:sz="8" w:color="0000EE"/>
            </w:tcBorders>
            <w:gridSpan w:val="8"/>
          </w:tcPr>
          <w:p>
            <w:pPr>
              <w:spacing w:after="0" w:line="196" w:lineRule="exact"/>
              <w:rPr>
                <w:rFonts w:ascii="Arial" w:cs="Arial" w:eastAsia="Arial" w:hAnsi="Arial"/>
                <w:sz w:val="18"/>
                <w:szCs w:val="18"/>
                <w:color w:val="0000EE"/>
                <w:w w:val="89"/>
              </w:rPr>
            </w:pPr>
            <w:hyperlink w:anchor="page214">
              <w:r>
                <w:rPr>
                  <w:rFonts w:ascii="Arial" w:cs="Arial" w:eastAsia="Arial" w:hAnsi="Arial"/>
                  <w:sz w:val="18"/>
                  <w:szCs w:val="18"/>
                  <w:color w:val="0000EE"/>
                  <w:w w:val="89"/>
                </w:rPr>
                <w:t>Consolidated Balance Sheets as of December 31, 2020 and 2019 (Successor Company)</w:t>
              </w:r>
            </w:hyperlink>
          </w:p>
        </w:tc>
        <w:tc>
          <w:tcPr>
            <w:tcW w:w="4240" w:type="dxa"/>
            <w:vAlign w:val="bottom"/>
            <w:gridSpan w:val="13"/>
          </w:tcPr>
          <w:p>
            <w:pPr>
              <w:spacing w:after="0"/>
              <w:rPr>
                <w:sz w:val="17"/>
                <w:szCs w:val="17"/>
                <w:color w:val="auto"/>
              </w:rPr>
            </w:pPr>
          </w:p>
        </w:tc>
        <w:tc>
          <w:tcPr>
            <w:tcW w:w="400" w:type="dxa"/>
            <w:vAlign w:val="bottom"/>
          </w:tcPr>
          <w:p>
            <w:pPr>
              <w:jc w:val="right"/>
              <w:spacing w:after="0" w:line="196" w:lineRule="exact"/>
              <w:rPr>
                <w:sz w:val="20"/>
                <w:szCs w:val="20"/>
                <w:color w:val="auto"/>
              </w:rPr>
            </w:pPr>
            <w:r>
              <w:rPr>
                <w:rFonts w:ascii="Arial" w:cs="Arial" w:eastAsia="Arial" w:hAnsi="Arial"/>
                <w:sz w:val="18"/>
                <w:szCs w:val="18"/>
                <w:color w:val="auto"/>
              </w:rPr>
              <w:t>F-8</w:t>
            </w:r>
          </w:p>
        </w:tc>
        <w:tc>
          <w:tcPr>
            <w:tcW w:w="0" w:type="dxa"/>
            <w:vAlign w:val="bottom"/>
          </w:tcPr>
          <w:p>
            <w:pPr>
              <w:spacing w:after="0"/>
              <w:rPr>
                <w:sz w:val="1"/>
                <w:szCs w:val="1"/>
                <w:color w:val="auto"/>
              </w:rPr>
            </w:pPr>
          </w:p>
        </w:tc>
      </w:tr>
      <w:tr>
        <w:trPr>
          <w:trHeight w:val="196"/>
        </w:trPr>
        <w:tc>
          <w:tcPr>
            <w:tcW w:w="10560" w:type="dxa"/>
            <w:vAlign w:val="bottom"/>
            <w:gridSpan w:val="21"/>
          </w:tcPr>
          <w:p>
            <w:pPr>
              <w:spacing w:after="0" w:line="196" w:lineRule="exact"/>
              <w:rPr>
                <w:rFonts w:ascii="Arial" w:cs="Arial" w:eastAsia="Arial" w:hAnsi="Arial"/>
                <w:sz w:val="18"/>
                <w:szCs w:val="18"/>
                <w:color w:val="0000EE"/>
                <w:w w:val="91"/>
              </w:rPr>
            </w:pPr>
            <w:hyperlink w:anchor="page215">
              <w:r>
                <w:rPr>
                  <w:rFonts w:ascii="Arial" w:cs="Arial" w:eastAsia="Arial" w:hAnsi="Arial"/>
                  <w:sz w:val="18"/>
                  <w:szCs w:val="18"/>
                  <w:color w:val="0000EE"/>
                  <w:w w:val="91"/>
                </w:rPr>
                <w:t>Consolidated Statements of Income (Loss) for the Year Ended December 31, 2020 (Successor Company) and for the periods from July 16, 2019</w:t>
              </w:r>
            </w:hyperlink>
          </w:p>
        </w:tc>
        <w:tc>
          <w:tcPr>
            <w:tcW w:w="4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80" w:type="dxa"/>
            <w:vAlign w:val="bottom"/>
            <w:tcBorders>
              <w:top w:val="single" w:sz="8" w:color="0000EE"/>
            </w:tcBorders>
          </w:tcPr>
          <w:p>
            <w:pPr>
              <w:spacing w:after="0"/>
              <w:rPr>
                <w:sz w:val="17"/>
                <w:szCs w:val="17"/>
                <w:color w:val="auto"/>
              </w:rPr>
            </w:pPr>
          </w:p>
        </w:tc>
        <w:tc>
          <w:tcPr>
            <w:tcW w:w="7700" w:type="dxa"/>
            <w:vAlign w:val="bottom"/>
            <w:tcBorders>
              <w:top w:val="single" w:sz="8" w:color="0000EE"/>
              <w:bottom w:val="single" w:sz="8" w:color="0000EE"/>
            </w:tcBorders>
            <w:gridSpan w:val="12"/>
          </w:tcPr>
          <w:p>
            <w:pPr>
              <w:spacing w:after="0" w:line="196" w:lineRule="exact"/>
              <w:rPr>
                <w:rFonts w:ascii="Arial" w:cs="Arial" w:eastAsia="Arial" w:hAnsi="Arial"/>
                <w:sz w:val="18"/>
                <w:szCs w:val="18"/>
                <w:color w:val="0000EE"/>
                <w:w w:val="89"/>
              </w:rPr>
            </w:pPr>
            <w:hyperlink w:anchor="page215">
              <w:r>
                <w:rPr>
                  <w:rFonts w:ascii="Arial" w:cs="Arial" w:eastAsia="Arial" w:hAnsi="Arial"/>
                  <w:sz w:val="18"/>
                  <w:szCs w:val="18"/>
                  <w:color w:val="0000EE"/>
                  <w:w w:val="89"/>
                </w:rPr>
                <w:t>to December 31, 2019 (Successor Company) and January 1, 2019 to July 15, 2019 (Predecessor Company)</w:t>
              </w:r>
            </w:hyperlink>
          </w:p>
        </w:tc>
        <w:tc>
          <w:tcPr>
            <w:tcW w:w="2480" w:type="dxa"/>
            <w:vAlign w:val="bottom"/>
            <w:tcBorders>
              <w:top w:val="single" w:sz="8" w:color="0000EE"/>
            </w:tcBorders>
            <w:gridSpan w:val="5"/>
          </w:tcPr>
          <w:p>
            <w:pPr>
              <w:spacing w:after="0"/>
              <w:rPr>
                <w:sz w:val="17"/>
                <w:szCs w:val="17"/>
                <w:color w:val="auto"/>
              </w:rPr>
            </w:pPr>
          </w:p>
        </w:tc>
        <w:tc>
          <w:tcPr>
            <w:tcW w:w="200" w:type="dxa"/>
            <w:vAlign w:val="bottom"/>
            <w:gridSpan w:val="3"/>
          </w:tcPr>
          <w:p>
            <w:pPr>
              <w:spacing w:after="0"/>
              <w:rPr>
                <w:sz w:val="17"/>
                <w:szCs w:val="17"/>
                <w:color w:val="auto"/>
              </w:rPr>
            </w:pPr>
          </w:p>
        </w:tc>
        <w:tc>
          <w:tcPr>
            <w:tcW w:w="400" w:type="dxa"/>
            <w:vAlign w:val="bottom"/>
          </w:tcPr>
          <w:p>
            <w:pPr>
              <w:jc w:val="right"/>
              <w:spacing w:after="0" w:line="196" w:lineRule="exact"/>
              <w:rPr>
                <w:sz w:val="20"/>
                <w:szCs w:val="20"/>
                <w:color w:val="auto"/>
              </w:rPr>
            </w:pPr>
            <w:r>
              <w:rPr>
                <w:rFonts w:ascii="Arial" w:cs="Arial" w:eastAsia="Arial" w:hAnsi="Arial"/>
                <w:sz w:val="18"/>
                <w:szCs w:val="18"/>
                <w:color w:val="auto"/>
              </w:rPr>
              <w:t>F-9</w:t>
            </w:r>
          </w:p>
        </w:tc>
        <w:tc>
          <w:tcPr>
            <w:tcW w:w="0" w:type="dxa"/>
            <w:vAlign w:val="bottom"/>
          </w:tcPr>
          <w:p>
            <w:pPr>
              <w:spacing w:after="0"/>
              <w:rPr>
                <w:sz w:val="1"/>
                <w:szCs w:val="1"/>
                <w:color w:val="auto"/>
              </w:rPr>
            </w:pPr>
          </w:p>
        </w:tc>
      </w:tr>
      <w:tr>
        <w:trPr>
          <w:trHeight w:val="196"/>
        </w:trPr>
        <w:tc>
          <w:tcPr>
            <w:tcW w:w="10560" w:type="dxa"/>
            <w:vAlign w:val="bottom"/>
            <w:gridSpan w:val="21"/>
          </w:tcPr>
          <w:p>
            <w:pPr>
              <w:spacing w:after="0" w:line="196" w:lineRule="exact"/>
              <w:rPr>
                <w:rFonts w:ascii="Arial" w:cs="Arial" w:eastAsia="Arial" w:hAnsi="Arial"/>
                <w:sz w:val="18"/>
                <w:szCs w:val="18"/>
                <w:color w:val="0000EE"/>
                <w:w w:val="93"/>
              </w:rPr>
            </w:pPr>
            <w:hyperlink w:anchor="page216">
              <w:r>
                <w:rPr>
                  <w:rFonts w:ascii="Arial" w:cs="Arial" w:eastAsia="Arial" w:hAnsi="Arial"/>
                  <w:sz w:val="18"/>
                  <w:szCs w:val="18"/>
                  <w:color w:val="0000EE"/>
                  <w:w w:val="93"/>
                </w:rPr>
                <w:t>Consolidated Statements of Comprehensive (Loss) Income for the Year Ended December 31, 2020 (Successor Company) and for the periods</w:t>
              </w:r>
            </w:hyperlink>
          </w:p>
        </w:tc>
        <w:tc>
          <w:tcPr>
            <w:tcW w:w="4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80" w:type="dxa"/>
            <w:vAlign w:val="bottom"/>
            <w:tcBorders>
              <w:top w:val="single" w:sz="8" w:color="0000EE"/>
            </w:tcBorders>
          </w:tcPr>
          <w:p>
            <w:pPr>
              <w:spacing w:after="0"/>
              <w:rPr>
                <w:sz w:val="17"/>
                <w:szCs w:val="17"/>
                <w:color w:val="auto"/>
              </w:rPr>
            </w:pPr>
          </w:p>
        </w:tc>
        <w:tc>
          <w:tcPr>
            <w:tcW w:w="9940" w:type="dxa"/>
            <w:vAlign w:val="bottom"/>
            <w:tcBorders>
              <w:top w:val="single" w:sz="8" w:color="0000EE"/>
            </w:tcBorders>
            <w:gridSpan w:val="16"/>
          </w:tcPr>
          <w:p>
            <w:pPr>
              <w:spacing w:after="0" w:line="196" w:lineRule="exact"/>
              <w:rPr>
                <w:rFonts w:ascii="Arial" w:cs="Arial" w:eastAsia="Arial" w:hAnsi="Arial"/>
                <w:sz w:val="18"/>
                <w:szCs w:val="18"/>
                <w:color w:val="0000EE"/>
                <w:w w:val="97"/>
              </w:rPr>
            </w:pPr>
            <w:hyperlink w:anchor="page216">
              <w:r>
                <w:rPr>
                  <w:rFonts w:ascii="Arial" w:cs="Arial" w:eastAsia="Arial" w:hAnsi="Arial"/>
                  <w:sz w:val="18"/>
                  <w:szCs w:val="18"/>
                  <w:color w:val="0000EE"/>
                  <w:w w:val="97"/>
                </w:rPr>
                <w:t>from July 16, 2019 to December 31, 2019 (Successor Company) and January 1, 2019 to July 15, 2019 (Predecessor Company)</w:t>
              </w:r>
            </w:hyperlink>
          </w:p>
        </w:tc>
        <w:tc>
          <w:tcPr>
            <w:tcW w:w="440" w:type="dxa"/>
            <w:vAlign w:val="bottom"/>
            <w:gridSpan w:val="4"/>
          </w:tcPr>
          <w:p>
            <w:pPr>
              <w:spacing w:after="0"/>
              <w:rPr>
                <w:sz w:val="17"/>
                <w:szCs w:val="17"/>
                <w:color w:val="auto"/>
              </w:rPr>
            </w:pPr>
          </w:p>
        </w:tc>
        <w:tc>
          <w:tcPr>
            <w:tcW w:w="400" w:type="dxa"/>
            <w:vAlign w:val="bottom"/>
          </w:tcPr>
          <w:p>
            <w:pPr>
              <w:jc w:val="right"/>
              <w:spacing w:after="0" w:line="196" w:lineRule="exact"/>
              <w:rPr>
                <w:sz w:val="20"/>
                <w:szCs w:val="20"/>
                <w:color w:val="auto"/>
              </w:rPr>
            </w:pPr>
            <w:r>
              <w:rPr>
                <w:rFonts w:ascii="Arial" w:cs="Arial" w:eastAsia="Arial" w:hAnsi="Arial"/>
                <w:sz w:val="18"/>
                <w:szCs w:val="18"/>
                <w:color w:val="auto"/>
              </w:rPr>
              <w:t>F-10</w:t>
            </w:r>
          </w:p>
        </w:tc>
        <w:tc>
          <w:tcPr>
            <w:tcW w:w="0" w:type="dxa"/>
            <w:vAlign w:val="bottom"/>
          </w:tcPr>
          <w:p>
            <w:pPr>
              <w:spacing w:after="0"/>
              <w:rPr>
                <w:sz w:val="1"/>
                <w:szCs w:val="1"/>
                <w:color w:val="auto"/>
              </w:rPr>
            </w:pPr>
          </w:p>
        </w:tc>
      </w:tr>
      <w:tr>
        <w:trPr>
          <w:trHeight w:val="20"/>
        </w:trPr>
        <w:tc>
          <w:tcPr>
            <w:tcW w:w="180" w:type="dxa"/>
            <w:vAlign w:val="bottom"/>
          </w:tcPr>
          <w:p>
            <w:pPr>
              <w:spacing w:after="0" w:line="20" w:lineRule="exact"/>
              <w:rPr>
                <w:sz w:val="1"/>
                <w:szCs w:val="1"/>
                <w:color w:val="auto"/>
              </w:rPr>
            </w:pPr>
          </w:p>
        </w:tc>
        <w:tc>
          <w:tcPr>
            <w:tcW w:w="3220" w:type="dxa"/>
            <w:vAlign w:val="bottom"/>
            <w:gridSpan w:val="3"/>
            <w:shd w:val="clear" w:color="auto" w:fill="0000EE"/>
          </w:tcPr>
          <w:p>
            <w:pPr>
              <w:spacing w:after="0" w:line="20" w:lineRule="exact"/>
              <w:rPr>
                <w:sz w:val="1"/>
                <w:szCs w:val="1"/>
                <w:color w:val="auto"/>
              </w:rPr>
            </w:pPr>
          </w:p>
        </w:tc>
        <w:tc>
          <w:tcPr>
            <w:tcW w:w="84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260" w:type="dxa"/>
            <w:vAlign w:val="bottom"/>
            <w:gridSpan w:val="2"/>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96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00" w:type="dxa"/>
            <w:vAlign w:val="bottom"/>
            <w:gridSpan w:val="2"/>
            <w:shd w:val="clear" w:color="auto" w:fill="0000EE"/>
          </w:tcPr>
          <w:p>
            <w:pPr>
              <w:spacing w:after="0" w:line="20" w:lineRule="exact"/>
              <w:rPr>
                <w:sz w:val="1"/>
                <w:szCs w:val="1"/>
                <w:color w:val="auto"/>
              </w:rPr>
            </w:pPr>
          </w:p>
        </w:tc>
        <w:tc>
          <w:tcPr>
            <w:tcW w:w="100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112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420" w:type="dxa"/>
            <w:vAlign w:val="bottom"/>
            <w:tcBorders>
              <w:bottom w:val="single" w:sz="8" w:color="0000EE"/>
            </w:tcBorders>
            <w:gridSpan w:val="20"/>
          </w:tcPr>
          <w:p>
            <w:pPr>
              <w:spacing w:after="0" w:line="196" w:lineRule="exact"/>
              <w:rPr>
                <w:rFonts w:ascii="Arial" w:cs="Arial" w:eastAsia="Arial" w:hAnsi="Arial"/>
                <w:sz w:val="18"/>
                <w:szCs w:val="18"/>
                <w:color w:val="0000EE"/>
                <w:w w:val="90"/>
              </w:rPr>
            </w:pPr>
            <w:hyperlink w:anchor="page217">
              <w:r>
                <w:rPr>
                  <w:rFonts w:ascii="Arial" w:cs="Arial" w:eastAsia="Arial" w:hAnsi="Arial"/>
                  <w:sz w:val="18"/>
                  <w:szCs w:val="18"/>
                  <w:color w:val="0000EE"/>
                  <w:w w:val="90"/>
                </w:rPr>
                <w:t>Consolidated Statements of Changes in Members’ Equity for the Year Ended December 31, 2020 (Successor Company) and for the periods from</w:t>
              </w:r>
            </w:hyperlink>
          </w:p>
        </w:tc>
        <w:tc>
          <w:tcPr>
            <w:tcW w:w="1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80" w:type="dxa"/>
            <w:vAlign w:val="bottom"/>
          </w:tcPr>
          <w:p>
            <w:pPr>
              <w:spacing w:after="0"/>
              <w:rPr>
                <w:sz w:val="17"/>
                <w:szCs w:val="17"/>
                <w:color w:val="auto"/>
              </w:rPr>
            </w:pPr>
          </w:p>
        </w:tc>
        <w:tc>
          <w:tcPr>
            <w:tcW w:w="8720" w:type="dxa"/>
            <w:vAlign w:val="bottom"/>
            <w:tcBorders>
              <w:bottom w:val="single" w:sz="8" w:color="0000EE"/>
            </w:tcBorders>
            <w:gridSpan w:val="14"/>
          </w:tcPr>
          <w:p>
            <w:pPr>
              <w:spacing w:after="0" w:line="196" w:lineRule="exact"/>
              <w:rPr>
                <w:rFonts w:ascii="Arial" w:cs="Arial" w:eastAsia="Arial" w:hAnsi="Arial"/>
                <w:sz w:val="18"/>
                <w:szCs w:val="18"/>
                <w:color w:val="0000EE"/>
                <w:w w:val="89"/>
              </w:rPr>
            </w:pPr>
            <w:hyperlink w:anchor="page217">
              <w:r>
                <w:rPr>
                  <w:rFonts w:ascii="Arial" w:cs="Arial" w:eastAsia="Arial" w:hAnsi="Arial"/>
                  <w:sz w:val="18"/>
                  <w:szCs w:val="18"/>
                  <w:color w:val="0000EE"/>
                  <w:w w:val="89"/>
                </w:rPr>
                <w:t>July 16, 2019 to December 31, 2019 (Successor Company) and January 1, 2019 to July 15, 2019 (Predecessor Company)</w:t>
              </w:r>
            </w:hyperlink>
          </w:p>
        </w:tc>
        <w:tc>
          <w:tcPr>
            <w:tcW w:w="1660" w:type="dxa"/>
            <w:vAlign w:val="bottom"/>
            <w:gridSpan w:val="6"/>
          </w:tcPr>
          <w:p>
            <w:pPr>
              <w:spacing w:after="0"/>
              <w:rPr>
                <w:sz w:val="17"/>
                <w:szCs w:val="17"/>
                <w:color w:val="auto"/>
              </w:rPr>
            </w:pPr>
          </w:p>
        </w:tc>
        <w:tc>
          <w:tcPr>
            <w:tcW w:w="400" w:type="dxa"/>
            <w:vAlign w:val="bottom"/>
          </w:tcPr>
          <w:p>
            <w:pPr>
              <w:jc w:val="right"/>
              <w:spacing w:after="0" w:line="196" w:lineRule="exact"/>
              <w:rPr>
                <w:sz w:val="20"/>
                <w:szCs w:val="20"/>
                <w:color w:val="auto"/>
              </w:rPr>
            </w:pPr>
            <w:r>
              <w:rPr>
                <w:rFonts w:ascii="Arial" w:cs="Arial" w:eastAsia="Arial" w:hAnsi="Arial"/>
                <w:sz w:val="18"/>
                <w:szCs w:val="18"/>
                <w:color w:val="auto"/>
              </w:rPr>
              <w:t>F-11</w:t>
            </w:r>
          </w:p>
        </w:tc>
        <w:tc>
          <w:tcPr>
            <w:tcW w:w="0" w:type="dxa"/>
            <w:vAlign w:val="bottom"/>
          </w:tcPr>
          <w:p>
            <w:pPr>
              <w:spacing w:after="0"/>
              <w:rPr>
                <w:sz w:val="1"/>
                <w:szCs w:val="1"/>
                <w:color w:val="auto"/>
              </w:rPr>
            </w:pPr>
          </w:p>
        </w:tc>
      </w:tr>
      <w:tr>
        <w:trPr>
          <w:trHeight w:val="196"/>
        </w:trPr>
        <w:tc>
          <w:tcPr>
            <w:tcW w:w="10400" w:type="dxa"/>
            <w:vAlign w:val="bottom"/>
            <w:tcBorders>
              <w:bottom w:val="single" w:sz="8" w:color="0000EE"/>
            </w:tcBorders>
            <w:gridSpan w:val="19"/>
          </w:tcPr>
          <w:p>
            <w:pPr>
              <w:spacing w:after="0" w:line="196" w:lineRule="exact"/>
              <w:rPr>
                <w:rFonts w:ascii="Arial" w:cs="Arial" w:eastAsia="Arial" w:hAnsi="Arial"/>
                <w:sz w:val="18"/>
                <w:szCs w:val="18"/>
                <w:color w:val="0000EE"/>
                <w:w w:val="90"/>
              </w:rPr>
            </w:pPr>
            <w:hyperlink w:anchor="page218">
              <w:r>
                <w:rPr>
                  <w:rFonts w:ascii="Arial" w:cs="Arial" w:eastAsia="Arial" w:hAnsi="Arial"/>
                  <w:sz w:val="18"/>
                  <w:szCs w:val="18"/>
                  <w:color w:val="0000EE"/>
                  <w:w w:val="90"/>
                </w:rPr>
                <w:t>Consolidated Statements of Cash Flows for the Year Ended December 31, 2020 (Successor Company) and for the periods from July 16, 2019 to</w:t>
              </w:r>
            </w:hyperlink>
          </w:p>
        </w:tc>
        <w:tc>
          <w:tcPr>
            <w:tcW w:w="160" w:type="dxa"/>
            <w:vAlign w:val="bottom"/>
            <w:gridSpan w:val="2"/>
          </w:tcPr>
          <w:p>
            <w:pPr>
              <w:spacing w:after="0"/>
              <w:rPr>
                <w:sz w:val="17"/>
                <w:szCs w:val="17"/>
                <w:color w:val="auto"/>
              </w:rPr>
            </w:pPr>
          </w:p>
        </w:tc>
        <w:tc>
          <w:tcPr>
            <w:tcW w:w="4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80" w:type="dxa"/>
            <w:vAlign w:val="bottom"/>
          </w:tcPr>
          <w:p>
            <w:pPr>
              <w:spacing w:after="0"/>
              <w:rPr>
                <w:sz w:val="17"/>
                <w:szCs w:val="17"/>
                <w:color w:val="auto"/>
              </w:rPr>
            </w:pPr>
          </w:p>
        </w:tc>
        <w:tc>
          <w:tcPr>
            <w:tcW w:w="10380" w:type="dxa"/>
            <w:vAlign w:val="bottom"/>
            <w:gridSpan w:val="20"/>
          </w:tcPr>
          <w:p>
            <w:pPr>
              <w:spacing w:after="0" w:line="196" w:lineRule="exact"/>
              <w:rPr>
                <w:rFonts w:ascii="Arial" w:cs="Arial" w:eastAsia="Arial" w:hAnsi="Arial"/>
                <w:sz w:val="18"/>
                <w:szCs w:val="18"/>
                <w:color w:val="0000EE"/>
              </w:rPr>
            </w:pPr>
            <w:hyperlink w:anchor="page218">
              <w:r>
                <w:rPr>
                  <w:rFonts w:ascii="Arial" w:cs="Arial" w:eastAsia="Arial" w:hAnsi="Arial"/>
                  <w:sz w:val="18"/>
                  <w:szCs w:val="18"/>
                  <w:color w:val="0000EE"/>
                </w:rPr>
                <w:t>December 31, 2019 (Successor Company) and January 1, 2019 to July 15, 2019 (Predecessor Company)</w:t>
              </w:r>
            </w:hyperlink>
          </w:p>
        </w:tc>
        <w:tc>
          <w:tcPr>
            <w:tcW w:w="400" w:type="dxa"/>
            <w:vAlign w:val="bottom"/>
          </w:tcPr>
          <w:p>
            <w:pPr>
              <w:jc w:val="right"/>
              <w:spacing w:after="0" w:line="196" w:lineRule="exact"/>
              <w:rPr>
                <w:sz w:val="20"/>
                <w:szCs w:val="20"/>
                <w:color w:val="auto"/>
              </w:rPr>
            </w:pPr>
            <w:r>
              <w:rPr>
                <w:rFonts w:ascii="Arial" w:cs="Arial" w:eastAsia="Arial" w:hAnsi="Arial"/>
                <w:sz w:val="18"/>
                <w:szCs w:val="18"/>
                <w:color w:val="auto"/>
              </w:rPr>
              <w:t>F-12</w:t>
            </w:r>
          </w:p>
        </w:tc>
        <w:tc>
          <w:tcPr>
            <w:tcW w:w="0" w:type="dxa"/>
            <w:vAlign w:val="bottom"/>
          </w:tcPr>
          <w:p>
            <w:pPr>
              <w:spacing w:after="0"/>
              <w:rPr>
                <w:sz w:val="1"/>
                <w:szCs w:val="1"/>
                <w:color w:val="auto"/>
              </w:rPr>
            </w:pPr>
          </w:p>
        </w:tc>
      </w:tr>
      <w:tr>
        <w:trPr>
          <w:trHeight w:val="20"/>
        </w:trPr>
        <w:tc>
          <w:tcPr>
            <w:tcW w:w="180" w:type="dxa"/>
            <w:vAlign w:val="bottom"/>
          </w:tcPr>
          <w:p>
            <w:pPr>
              <w:spacing w:after="0" w:line="20" w:lineRule="exact"/>
              <w:rPr>
                <w:sz w:val="1"/>
                <w:szCs w:val="1"/>
                <w:color w:val="auto"/>
              </w:rPr>
            </w:pPr>
          </w:p>
        </w:tc>
        <w:tc>
          <w:tcPr>
            <w:tcW w:w="3220" w:type="dxa"/>
            <w:vAlign w:val="bottom"/>
            <w:gridSpan w:val="3"/>
            <w:shd w:val="clear" w:color="auto" w:fill="0000EE"/>
          </w:tcPr>
          <w:p>
            <w:pPr>
              <w:spacing w:after="0" w:line="20" w:lineRule="exact"/>
              <w:rPr>
                <w:sz w:val="1"/>
                <w:szCs w:val="1"/>
                <w:color w:val="auto"/>
              </w:rPr>
            </w:pPr>
          </w:p>
        </w:tc>
        <w:tc>
          <w:tcPr>
            <w:tcW w:w="84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260" w:type="dxa"/>
            <w:vAlign w:val="bottom"/>
            <w:gridSpan w:val="2"/>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96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660" w:type="dxa"/>
            <w:vAlign w:val="bottom"/>
            <w:gridSpan w:val="7"/>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560" w:type="dxa"/>
            <w:vAlign w:val="bottom"/>
            <w:gridSpan w:val="21"/>
          </w:tcPr>
          <w:p>
            <w:pPr>
              <w:spacing w:after="0" w:line="196" w:lineRule="exact"/>
              <w:rPr>
                <w:rFonts w:ascii="Arial" w:cs="Arial" w:eastAsia="Arial" w:hAnsi="Arial"/>
                <w:sz w:val="18"/>
                <w:szCs w:val="18"/>
                <w:color w:val="0000EE"/>
              </w:rPr>
            </w:pPr>
            <w:hyperlink w:anchor="page220">
              <w:r>
                <w:rPr>
                  <w:rFonts w:ascii="Arial" w:cs="Arial" w:eastAsia="Arial" w:hAnsi="Arial"/>
                  <w:sz w:val="18"/>
                  <w:szCs w:val="18"/>
                  <w:color w:val="0000EE"/>
                </w:rPr>
                <w:t>Notes to the Consolidated Financial Statements</w:t>
              </w:r>
            </w:hyperlink>
          </w:p>
        </w:tc>
        <w:tc>
          <w:tcPr>
            <w:tcW w:w="400" w:type="dxa"/>
            <w:vAlign w:val="bottom"/>
          </w:tcPr>
          <w:p>
            <w:pPr>
              <w:jc w:val="right"/>
              <w:spacing w:after="0" w:line="196" w:lineRule="exact"/>
              <w:rPr>
                <w:sz w:val="20"/>
                <w:szCs w:val="20"/>
                <w:color w:val="auto"/>
              </w:rPr>
            </w:pPr>
            <w:r>
              <w:rPr>
                <w:rFonts w:ascii="Arial" w:cs="Arial" w:eastAsia="Arial" w:hAnsi="Arial"/>
                <w:sz w:val="18"/>
                <w:szCs w:val="18"/>
                <w:color w:val="auto"/>
              </w:rPr>
              <w:t>F-14</w:t>
            </w:r>
          </w:p>
        </w:tc>
        <w:tc>
          <w:tcPr>
            <w:tcW w:w="0" w:type="dxa"/>
            <w:vAlign w:val="bottom"/>
          </w:tcPr>
          <w:p>
            <w:pPr>
              <w:spacing w:after="0"/>
              <w:rPr>
                <w:sz w:val="1"/>
                <w:szCs w:val="1"/>
                <w:color w:val="auto"/>
              </w:rPr>
            </w:pPr>
          </w:p>
        </w:tc>
      </w:tr>
      <w:tr>
        <w:trPr>
          <w:trHeight w:val="20"/>
        </w:trPr>
        <w:tc>
          <w:tcPr>
            <w:tcW w:w="3400" w:type="dxa"/>
            <w:vAlign w:val="bottom"/>
            <w:gridSpan w:val="4"/>
            <w:shd w:val="clear" w:color="auto" w:fill="0000EE"/>
          </w:tcPr>
          <w:p>
            <w:pPr>
              <w:spacing w:after="0" w:line="20" w:lineRule="exact"/>
              <w:rPr>
                <w:sz w:val="1"/>
                <w:szCs w:val="1"/>
                <w:color w:val="auto"/>
              </w:rPr>
            </w:pPr>
          </w:p>
        </w:tc>
        <w:tc>
          <w:tcPr>
            <w:tcW w:w="8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6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80" w:type="dxa"/>
            <w:vAlign w:val="bottom"/>
            <w:gridSpan w:val="2"/>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660" w:type="dxa"/>
            <w:vAlign w:val="bottom"/>
            <w:gridSpan w:val="7"/>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53"/>
        </w:trPr>
        <w:tc>
          <w:tcPr>
            <w:tcW w:w="10560" w:type="dxa"/>
            <w:vAlign w:val="bottom"/>
            <w:gridSpan w:val="21"/>
          </w:tcPr>
          <w:p>
            <w:pPr>
              <w:spacing w:after="0"/>
              <w:rPr>
                <w:sz w:val="20"/>
                <w:szCs w:val="20"/>
                <w:color w:val="auto"/>
              </w:rPr>
            </w:pPr>
            <w:r>
              <w:rPr>
                <w:rFonts w:ascii="Arial" w:cs="Arial" w:eastAsia="Arial" w:hAnsi="Arial"/>
                <w:sz w:val="18"/>
                <w:szCs w:val="18"/>
                <w:b w:val="1"/>
                <w:bCs w:val="1"/>
                <w:color w:val="auto"/>
              </w:rPr>
              <w:t>CONSOLIDATED FINANCIAL STATEMENTS OF DEFINITIVE OPCO AND SUBSIDIARIES (UNAUDITED)</w:t>
            </w:r>
          </w:p>
        </w:tc>
        <w:tc>
          <w:tcPr>
            <w:tcW w:w="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1"/>
        </w:trPr>
        <w:tc>
          <w:tcPr>
            <w:tcW w:w="4240" w:type="dxa"/>
            <w:vAlign w:val="bottom"/>
            <w:tcBorders>
              <w:bottom w:val="single" w:sz="8" w:color="0000EE"/>
            </w:tcBorders>
            <w:gridSpan w:val="6"/>
          </w:tcPr>
          <w:p>
            <w:pPr>
              <w:spacing w:after="0"/>
              <w:rPr>
                <w:rFonts w:ascii="Arial" w:cs="Arial" w:eastAsia="Arial" w:hAnsi="Arial"/>
                <w:sz w:val="18"/>
                <w:szCs w:val="18"/>
                <w:color w:val="0000EE"/>
                <w:w w:val="88"/>
              </w:rPr>
            </w:pPr>
            <w:hyperlink w:anchor="page254">
              <w:r>
                <w:rPr>
                  <w:rFonts w:ascii="Arial" w:cs="Arial" w:eastAsia="Arial" w:hAnsi="Arial"/>
                  <w:sz w:val="18"/>
                  <w:szCs w:val="18"/>
                  <w:color w:val="0000EE"/>
                  <w:w w:val="88"/>
                </w:rPr>
                <w:t>Consolidated Balance Sheets as of June 30, 2021 and 2020</w:t>
              </w:r>
            </w:hyperlink>
          </w:p>
        </w:tc>
        <w:tc>
          <w:tcPr>
            <w:tcW w:w="6320" w:type="dxa"/>
            <w:vAlign w:val="bottom"/>
            <w:gridSpan w:val="15"/>
          </w:tcPr>
          <w:p>
            <w:pPr>
              <w:spacing w:after="0"/>
              <w:rPr>
                <w:sz w:val="24"/>
                <w:szCs w:val="24"/>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F-48</w:t>
            </w:r>
          </w:p>
        </w:tc>
        <w:tc>
          <w:tcPr>
            <w:tcW w:w="0" w:type="dxa"/>
            <w:vAlign w:val="bottom"/>
          </w:tcPr>
          <w:p>
            <w:pPr>
              <w:spacing w:after="0"/>
              <w:rPr>
                <w:sz w:val="1"/>
                <w:szCs w:val="1"/>
                <w:color w:val="auto"/>
              </w:rPr>
            </w:pPr>
          </w:p>
        </w:tc>
      </w:tr>
      <w:tr>
        <w:trPr>
          <w:trHeight w:val="196"/>
        </w:trPr>
        <w:tc>
          <w:tcPr>
            <w:tcW w:w="10560" w:type="dxa"/>
            <w:vAlign w:val="bottom"/>
            <w:gridSpan w:val="21"/>
          </w:tcPr>
          <w:p>
            <w:pPr>
              <w:spacing w:after="0" w:line="196" w:lineRule="exact"/>
              <w:rPr>
                <w:rFonts w:ascii="Arial" w:cs="Arial" w:eastAsia="Arial" w:hAnsi="Arial"/>
                <w:sz w:val="18"/>
                <w:szCs w:val="18"/>
                <w:color w:val="0000EE"/>
              </w:rPr>
            </w:pPr>
            <w:hyperlink w:anchor="page255">
              <w:r>
                <w:rPr>
                  <w:rFonts w:ascii="Arial" w:cs="Arial" w:eastAsia="Arial" w:hAnsi="Arial"/>
                  <w:sz w:val="18"/>
                  <w:szCs w:val="18"/>
                  <w:color w:val="0000EE"/>
                </w:rPr>
                <w:t>Consolidated Statements of Income (Loss) for the Six Months Ended June 30, 2021 and 2020</w:t>
              </w:r>
            </w:hyperlink>
          </w:p>
        </w:tc>
        <w:tc>
          <w:tcPr>
            <w:tcW w:w="400" w:type="dxa"/>
            <w:vAlign w:val="bottom"/>
          </w:tcPr>
          <w:p>
            <w:pPr>
              <w:jc w:val="right"/>
              <w:spacing w:after="0" w:line="196" w:lineRule="exact"/>
              <w:rPr>
                <w:sz w:val="20"/>
                <w:szCs w:val="20"/>
                <w:color w:val="auto"/>
              </w:rPr>
            </w:pPr>
            <w:r>
              <w:rPr>
                <w:rFonts w:ascii="Arial" w:cs="Arial" w:eastAsia="Arial" w:hAnsi="Arial"/>
                <w:sz w:val="18"/>
                <w:szCs w:val="18"/>
                <w:color w:val="auto"/>
              </w:rPr>
              <w:t>F-49</w:t>
            </w:r>
          </w:p>
        </w:tc>
        <w:tc>
          <w:tcPr>
            <w:tcW w:w="0" w:type="dxa"/>
            <w:vAlign w:val="bottom"/>
          </w:tcPr>
          <w:p>
            <w:pPr>
              <w:spacing w:after="0"/>
              <w:rPr>
                <w:sz w:val="1"/>
                <w:szCs w:val="1"/>
                <w:color w:val="auto"/>
              </w:rPr>
            </w:pPr>
          </w:p>
        </w:tc>
      </w:tr>
      <w:tr>
        <w:trPr>
          <w:trHeight w:val="20"/>
        </w:trPr>
        <w:tc>
          <w:tcPr>
            <w:tcW w:w="4260" w:type="dxa"/>
            <w:vAlign w:val="bottom"/>
            <w:gridSpan w:val="7"/>
            <w:shd w:val="clear" w:color="auto" w:fill="0000EE"/>
          </w:tcPr>
          <w:p>
            <w:pPr>
              <w:spacing w:after="0" w:line="20" w:lineRule="exact"/>
              <w:rPr>
                <w:sz w:val="1"/>
                <w:szCs w:val="1"/>
                <w:color w:val="auto"/>
              </w:rPr>
            </w:pPr>
          </w:p>
        </w:tc>
        <w:tc>
          <w:tcPr>
            <w:tcW w:w="2260" w:type="dxa"/>
            <w:vAlign w:val="bottom"/>
            <w:gridSpan w:val="2"/>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080" w:type="dxa"/>
            <w:vAlign w:val="bottom"/>
            <w:gridSpan w:val="2"/>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660" w:type="dxa"/>
            <w:vAlign w:val="bottom"/>
            <w:gridSpan w:val="7"/>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560" w:type="dxa"/>
            <w:vAlign w:val="bottom"/>
            <w:gridSpan w:val="21"/>
          </w:tcPr>
          <w:p>
            <w:pPr>
              <w:spacing w:after="0" w:line="196" w:lineRule="exact"/>
              <w:rPr>
                <w:rFonts w:ascii="Arial" w:cs="Arial" w:eastAsia="Arial" w:hAnsi="Arial"/>
                <w:sz w:val="18"/>
                <w:szCs w:val="18"/>
                <w:color w:val="0000EE"/>
              </w:rPr>
            </w:pPr>
            <w:hyperlink w:anchor="page256">
              <w:r>
                <w:rPr>
                  <w:rFonts w:ascii="Arial" w:cs="Arial" w:eastAsia="Arial" w:hAnsi="Arial"/>
                  <w:sz w:val="18"/>
                  <w:szCs w:val="18"/>
                  <w:color w:val="0000EE"/>
                </w:rPr>
                <w:t>Consolidated Statements of Comprehensive (Loss) Income for the Six Months Ended June 30, 2021 and 2020</w:t>
              </w:r>
            </w:hyperlink>
          </w:p>
        </w:tc>
        <w:tc>
          <w:tcPr>
            <w:tcW w:w="400" w:type="dxa"/>
            <w:vAlign w:val="bottom"/>
          </w:tcPr>
          <w:p>
            <w:pPr>
              <w:jc w:val="right"/>
              <w:spacing w:after="0" w:line="196" w:lineRule="exact"/>
              <w:rPr>
                <w:sz w:val="20"/>
                <w:szCs w:val="20"/>
                <w:color w:val="auto"/>
              </w:rPr>
            </w:pPr>
            <w:r>
              <w:rPr>
                <w:rFonts w:ascii="Arial" w:cs="Arial" w:eastAsia="Arial" w:hAnsi="Arial"/>
                <w:sz w:val="18"/>
                <w:szCs w:val="18"/>
                <w:color w:val="auto"/>
              </w:rPr>
              <w:t>F-50</w:t>
            </w:r>
          </w:p>
        </w:tc>
        <w:tc>
          <w:tcPr>
            <w:tcW w:w="0" w:type="dxa"/>
            <w:vAlign w:val="bottom"/>
          </w:tcPr>
          <w:p>
            <w:pPr>
              <w:spacing w:after="0"/>
              <w:rPr>
                <w:sz w:val="1"/>
                <w:szCs w:val="1"/>
                <w:color w:val="auto"/>
              </w:rPr>
            </w:pPr>
          </w:p>
        </w:tc>
      </w:tr>
      <w:tr>
        <w:trPr>
          <w:trHeight w:val="196"/>
        </w:trPr>
        <w:tc>
          <w:tcPr>
            <w:tcW w:w="7800" w:type="dxa"/>
            <w:vAlign w:val="bottom"/>
            <w:tcBorders>
              <w:top w:val="single" w:sz="8" w:color="0000EE"/>
              <w:bottom w:val="single" w:sz="8" w:color="0000EE"/>
            </w:tcBorders>
            <w:gridSpan w:val="12"/>
          </w:tcPr>
          <w:p>
            <w:pPr>
              <w:spacing w:after="0" w:line="196" w:lineRule="exact"/>
              <w:rPr>
                <w:rFonts w:ascii="Arial" w:cs="Arial" w:eastAsia="Arial" w:hAnsi="Arial"/>
                <w:sz w:val="18"/>
                <w:szCs w:val="18"/>
                <w:color w:val="0000EE"/>
                <w:w w:val="90"/>
              </w:rPr>
            </w:pPr>
            <w:hyperlink w:anchor="page257">
              <w:r>
                <w:rPr>
                  <w:rFonts w:ascii="Arial" w:cs="Arial" w:eastAsia="Arial" w:hAnsi="Arial"/>
                  <w:sz w:val="18"/>
                  <w:szCs w:val="18"/>
                  <w:color w:val="0000EE"/>
                  <w:w w:val="90"/>
                </w:rPr>
                <w:t>Consolidated Statements of Changes in Members’ Equity for the Six Months Ended June 30, 2021 and 2020</w:t>
              </w:r>
            </w:hyperlink>
          </w:p>
        </w:tc>
        <w:tc>
          <w:tcPr>
            <w:tcW w:w="100" w:type="dxa"/>
            <w:vAlign w:val="bottom"/>
            <w:tcBorders>
              <w:top w:val="single" w:sz="8" w:color="0000EE"/>
            </w:tcBorders>
            <w:gridSpan w:val="2"/>
          </w:tcPr>
          <w:p>
            <w:pPr>
              <w:spacing w:after="0"/>
              <w:rPr>
                <w:sz w:val="17"/>
                <w:szCs w:val="17"/>
                <w:color w:val="auto"/>
              </w:rPr>
            </w:pPr>
          </w:p>
        </w:tc>
        <w:tc>
          <w:tcPr>
            <w:tcW w:w="2660" w:type="dxa"/>
            <w:vAlign w:val="bottom"/>
            <w:gridSpan w:val="7"/>
          </w:tcPr>
          <w:p>
            <w:pPr>
              <w:spacing w:after="0"/>
              <w:rPr>
                <w:sz w:val="17"/>
                <w:szCs w:val="17"/>
                <w:color w:val="auto"/>
              </w:rPr>
            </w:pPr>
          </w:p>
        </w:tc>
        <w:tc>
          <w:tcPr>
            <w:tcW w:w="400" w:type="dxa"/>
            <w:vAlign w:val="bottom"/>
          </w:tcPr>
          <w:p>
            <w:pPr>
              <w:jc w:val="right"/>
              <w:spacing w:after="0" w:line="196" w:lineRule="exact"/>
              <w:rPr>
                <w:sz w:val="20"/>
                <w:szCs w:val="20"/>
                <w:color w:val="auto"/>
              </w:rPr>
            </w:pPr>
            <w:r>
              <w:rPr>
                <w:rFonts w:ascii="Arial" w:cs="Arial" w:eastAsia="Arial" w:hAnsi="Arial"/>
                <w:sz w:val="18"/>
                <w:szCs w:val="18"/>
                <w:color w:val="auto"/>
              </w:rPr>
              <w:t>F-51</w:t>
            </w:r>
          </w:p>
        </w:tc>
        <w:tc>
          <w:tcPr>
            <w:tcW w:w="0" w:type="dxa"/>
            <w:vAlign w:val="bottom"/>
          </w:tcPr>
          <w:p>
            <w:pPr>
              <w:spacing w:after="0"/>
              <w:rPr>
                <w:sz w:val="1"/>
                <w:szCs w:val="1"/>
                <w:color w:val="auto"/>
              </w:rPr>
            </w:pPr>
          </w:p>
        </w:tc>
      </w:tr>
      <w:tr>
        <w:trPr>
          <w:trHeight w:val="196"/>
        </w:trPr>
        <w:tc>
          <w:tcPr>
            <w:tcW w:w="10560" w:type="dxa"/>
            <w:vAlign w:val="bottom"/>
            <w:gridSpan w:val="21"/>
          </w:tcPr>
          <w:p>
            <w:pPr>
              <w:spacing w:after="0" w:line="196" w:lineRule="exact"/>
              <w:rPr>
                <w:rFonts w:ascii="Arial" w:cs="Arial" w:eastAsia="Arial" w:hAnsi="Arial"/>
                <w:sz w:val="18"/>
                <w:szCs w:val="18"/>
                <w:color w:val="0000EE"/>
              </w:rPr>
            </w:pPr>
            <w:hyperlink w:anchor="page258">
              <w:r>
                <w:rPr>
                  <w:rFonts w:ascii="Arial" w:cs="Arial" w:eastAsia="Arial" w:hAnsi="Arial"/>
                  <w:sz w:val="18"/>
                  <w:szCs w:val="18"/>
                  <w:color w:val="0000EE"/>
                </w:rPr>
                <w:t>Consolidated Statements of Cash Flows for the Six Months Ended June 30, 2021 and 2020</w:t>
              </w:r>
            </w:hyperlink>
          </w:p>
        </w:tc>
        <w:tc>
          <w:tcPr>
            <w:tcW w:w="400" w:type="dxa"/>
            <w:vAlign w:val="bottom"/>
          </w:tcPr>
          <w:p>
            <w:pPr>
              <w:jc w:val="right"/>
              <w:spacing w:after="0" w:line="196" w:lineRule="exact"/>
              <w:rPr>
                <w:sz w:val="20"/>
                <w:szCs w:val="20"/>
                <w:color w:val="auto"/>
              </w:rPr>
            </w:pPr>
            <w:r>
              <w:rPr>
                <w:rFonts w:ascii="Arial" w:cs="Arial" w:eastAsia="Arial" w:hAnsi="Arial"/>
                <w:sz w:val="18"/>
                <w:szCs w:val="18"/>
                <w:color w:val="auto"/>
              </w:rPr>
              <w:t>F-52</w:t>
            </w:r>
          </w:p>
        </w:tc>
        <w:tc>
          <w:tcPr>
            <w:tcW w:w="0" w:type="dxa"/>
            <w:vAlign w:val="bottom"/>
          </w:tcPr>
          <w:p>
            <w:pPr>
              <w:spacing w:after="0"/>
              <w:rPr>
                <w:sz w:val="1"/>
                <w:szCs w:val="1"/>
                <w:color w:val="auto"/>
              </w:rPr>
            </w:pPr>
          </w:p>
        </w:tc>
      </w:tr>
      <w:tr>
        <w:trPr>
          <w:trHeight w:val="196"/>
        </w:trPr>
        <w:tc>
          <w:tcPr>
            <w:tcW w:w="6520" w:type="dxa"/>
            <w:vAlign w:val="bottom"/>
            <w:tcBorders>
              <w:top w:val="single" w:sz="8" w:color="0000EE"/>
            </w:tcBorders>
            <w:gridSpan w:val="9"/>
          </w:tcPr>
          <w:p>
            <w:pPr>
              <w:spacing w:after="0" w:line="196" w:lineRule="exact"/>
              <w:rPr>
                <w:rFonts w:ascii="Arial" w:cs="Arial" w:eastAsia="Arial" w:hAnsi="Arial"/>
                <w:sz w:val="18"/>
                <w:szCs w:val="18"/>
                <w:color w:val="0000EE"/>
              </w:rPr>
            </w:pPr>
            <w:hyperlink w:anchor="page260">
              <w:r>
                <w:rPr>
                  <w:rFonts w:ascii="Arial" w:cs="Arial" w:eastAsia="Arial" w:hAnsi="Arial"/>
                  <w:sz w:val="18"/>
                  <w:szCs w:val="18"/>
                  <w:color w:val="0000EE"/>
                </w:rPr>
                <w:t>Notes to the Condensed Consolidated Financial Statements</w:t>
              </w:r>
            </w:hyperlink>
          </w:p>
        </w:tc>
        <w:tc>
          <w:tcPr>
            <w:tcW w:w="4040" w:type="dxa"/>
            <w:vAlign w:val="bottom"/>
            <w:gridSpan w:val="12"/>
          </w:tcPr>
          <w:p>
            <w:pPr>
              <w:spacing w:after="0"/>
              <w:rPr>
                <w:sz w:val="17"/>
                <w:szCs w:val="17"/>
                <w:color w:val="auto"/>
              </w:rPr>
            </w:pPr>
          </w:p>
        </w:tc>
        <w:tc>
          <w:tcPr>
            <w:tcW w:w="400" w:type="dxa"/>
            <w:vAlign w:val="bottom"/>
          </w:tcPr>
          <w:p>
            <w:pPr>
              <w:jc w:val="right"/>
              <w:spacing w:after="0" w:line="196" w:lineRule="exact"/>
              <w:rPr>
                <w:sz w:val="20"/>
                <w:szCs w:val="20"/>
                <w:color w:val="auto"/>
              </w:rPr>
            </w:pPr>
            <w:r>
              <w:rPr>
                <w:rFonts w:ascii="Arial" w:cs="Arial" w:eastAsia="Arial" w:hAnsi="Arial"/>
                <w:sz w:val="18"/>
                <w:szCs w:val="18"/>
                <w:color w:val="auto"/>
              </w:rPr>
              <w:t>F-54</w:t>
            </w:r>
          </w:p>
        </w:tc>
        <w:tc>
          <w:tcPr>
            <w:tcW w:w="0" w:type="dxa"/>
            <w:vAlign w:val="bottom"/>
          </w:tcPr>
          <w:p>
            <w:pPr>
              <w:spacing w:after="0"/>
              <w:rPr>
                <w:sz w:val="1"/>
                <w:szCs w:val="1"/>
                <w:color w:val="auto"/>
              </w:rPr>
            </w:pPr>
          </w:p>
        </w:tc>
      </w:tr>
      <w:tr>
        <w:trPr>
          <w:trHeight w:val="385"/>
        </w:trPr>
        <w:tc>
          <w:tcPr>
            <w:tcW w:w="180" w:type="dxa"/>
            <w:vAlign w:val="bottom"/>
            <w:tcBorders>
              <w:top w:val="single" w:sz="8" w:color="0000EE"/>
            </w:tcBorders>
          </w:tcPr>
          <w:p>
            <w:pPr>
              <w:spacing w:after="0"/>
              <w:rPr>
                <w:sz w:val="24"/>
                <w:szCs w:val="24"/>
                <w:color w:val="auto"/>
              </w:rPr>
            </w:pPr>
          </w:p>
        </w:tc>
        <w:tc>
          <w:tcPr>
            <w:tcW w:w="1480" w:type="dxa"/>
            <w:vAlign w:val="bottom"/>
            <w:tcBorders>
              <w:top w:val="single" w:sz="8" w:color="0000EE"/>
            </w:tcBorders>
          </w:tcPr>
          <w:p>
            <w:pPr>
              <w:spacing w:after="0"/>
              <w:rPr>
                <w:sz w:val="24"/>
                <w:szCs w:val="24"/>
                <w:color w:val="auto"/>
              </w:rPr>
            </w:pPr>
          </w:p>
        </w:tc>
        <w:tc>
          <w:tcPr>
            <w:tcW w:w="800" w:type="dxa"/>
            <w:vAlign w:val="bottom"/>
            <w:tcBorders>
              <w:top w:val="single" w:sz="8" w:color="0000EE"/>
            </w:tcBorders>
          </w:tcPr>
          <w:p>
            <w:pPr>
              <w:spacing w:after="0"/>
              <w:rPr>
                <w:sz w:val="24"/>
                <w:szCs w:val="24"/>
                <w:color w:val="auto"/>
              </w:rPr>
            </w:pPr>
          </w:p>
        </w:tc>
        <w:tc>
          <w:tcPr>
            <w:tcW w:w="940" w:type="dxa"/>
            <w:vAlign w:val="bottom"/>
            <w:tcBorders>
              <w:top w:val="single" w:sz="8" w:color="0000EE"/>
            </w:tcBorders>
          </w:tcPr>
          <w:p>
            <w:pPr>
              <w:spacing w:after="0"/>
              <w:rPr>
                <w:sz w:val="24"/>
                <w:szCs w:val="24"/>
                <w:color w:val="auto"/>
              </w:rPr>
            </w:pPr>
          </w:p>
        </w:tc>
        <w:tc>
          <w:tcPr>
            <w:tcW w:w="82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6300" w:type="dxa"/>
            <w:vAlign w:val="bottom"/>
            <w:gridSpan w:val="14"/>
          </w:tcPr>
          <w:p>
            <w:pPr>
              <w:ind w:left="1240"/>
              <w:spacing w:after="0"/>
              <w:rPr>
                <w:sz w:val="20"/>
                <w:szCs w:val="20"/>
                <w:color w:val="auto"/>
              </w:rPr>
            </w:pPr>
            <w:r>
              <w:rPr>
                <w:rFonts w:ascii="Arial" w:cs="Arial" w:eastAsia="Arial" w:hAnsi="Arial"/>
                <w:sz w:val="18"/>
                <w:szCs w:val="18"/>
                <w:color w:val="auto"/>
              </w:rPr>
              <w:t>F-1</w:t>
            </w:r>
          </w:p>
        </w:tc>
        <w:tc>
          <w:tcPr>
            <w:tcW w:w="4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080"/>
          </w:cols>
          <w:pgMar w:left="320" w:top="459" w:right="499" w:bottom="1440" w:gutter="0" w:footer="0" w:header="0"/>
        </w:sectPr>
      </w:pPr>
    </w:p>
    <w:bookmarkStart w:id="207" w:name="page208"/>
    <w:bookmarkEnd w:id="20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20"/>
        <w:spacing w:after="0"/>
        <w:rPr>
          <w:sz w:val="20"/>
          <w:szCs w:val="20"/>
          <w:color w:val="auto"/>
        </w:rPr>
      </w:pPr>
      <w:r>
        <w:rPr>
          <w:rFonts w:ascii="Arial" w:cs="Arial" w:eastAsia="Arial" w:hAnsi="Arial"/>
          <w:sz w:val="16"/>
          <w:szCs w:val="16"/>
          <w:b w:val="1"/>
          <w:bCs w:val="1"/>
          <w:color w:val="auto"/>
        </w:rPr>
        <w:t>Confidential Treatment Requested by Definitive Healthcare Corp.</w:t>
      </w:r>
    </w:p>
    <w:p>
      <w:pPr>
        <w:spacing w:after="0" w:line="50" w:lineRule="exact"/>
        <w:rPr>
          <w:sz w:val="20"/>
          <w:szCs w:val="20"/>
          <w:color w:val="auto"/>
        </w:rPr>
      </w:pPr>
    </w:p>
    <w:p>
      <w:pPr>
        <w:jc w:val="center"/>
        <w:ind w:right="-1120"/>
        <w:spacing w:after="0"/>
        <w:rPr>
          <w:sz w:val="20"/>
          <w:szCs w:val="20"/>
          <w:color w:val="auto"/>
        </w:rPr>
      </w:pPr>
      <w:r>
        <w:rPr>
          <w:rFonts w:ascii="Arial" w:cs="Arial" w:eastAsia="Arial" w:hAnsi="Arial"/>
          <w:sz w:val="18"/>
          <w:szCs w:val="18"/>
          <w:b w:val="1"/>
          <w:bCs w:val="1"/>
          <w:color w:val="auto"/>
        </w:rPr>
        <w:t>Pursuant to 17 C.F.R. Section 200.83</w:t>
      </w:r>
    </w:p>
    <w:p>
      <w:pPr>
        <w:spacing w:after="0" w:line="13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Definitive Healthcare Corp.</w:t>
      </w:r>
    </w:p>
    <w:p>
      <w:pPr>
        <w:spacing w:after="0" w:line="22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Balance Sheet as of May 24, 2021 and Report of Independent Registered Public Accounting Firm</w:t>
      </w:r>
    </w:p>
    <w:p>
      <w:pPr>
        <w:spacing w:after="0" w:line="158"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F-2</w:t>
      </w:r>
    </w:p>
    <w:p>
      <w:pPr>
        <w:sectPr>
          <w:pgSz w:w="11900" w:h="16838" w:orient="portrait"/>
          <w:cols w:equalWidth="0" w:num="1">
            <w:col w:w="10139"/>
          </w:cols>
          <w:pgMar w:left="320" w:top="459" w:right="1440" w:bottom="1440" w:gutter="0" w:footer="0" w:header="0"/>
        </w:sectPr>
      </w:pPr>
    </w:p>
    <w:bookmarkStart w:id="208" w:name="page209"/>
    <w:bookmarkEnd w:id="20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Confidential Treatment Requested by Definitive Healthcare Corp.</w:t>
      </w:r>
    </w:p>
    <w:p>
      <w:pPr>
        <w:spacing w:after="0" w:line="27"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Pursuant to 17 C.F.R. Section 200.83</w:t>
      </w:r>
    </w:p>
    <w:p>
      <w:pPr>
        <w:spacing w:after="0" w:line="139" w:lineRule="exact"/>
        <w:rPr>
          <w:sz w:val="20"/>
          <w:szCs w:val="20"/>
          <w:color w:val="auto"/>
        </w:rPr>
      </w:pPr>
    </w:p>
    <w:p>
      <w:pPr>
        <w:ind w:left="120" w:right="4840"/>
        <w:spacing w:after="0" w:line="407" w:lineRule="auto"/>
        <w:rPr>
          <w:sz w:val="20"/>
          <w:szCs w:val="20"/>
          <w:color w:val="auto"/>
        </w:rPr>
      </w:pPr>
      <w:r>
        <w:rPr>
          <w:rFonts w:ascii="Arial" w:cs="Arial" w:eastAsia="Arial" w:hAnsi="Arial"/>
          <w:sz w:val="18"/>
          <w:szCs w:val="18"/>
          <w:b w:val="1"/>
          <w:bCs w:val="1"/>
          <w:color w:val="auto"/>
        </w:rPr>
        <w:t xml:space="preserve">REPORT OF INDEPENDENT REGISTERED PUBLIC ACCOUNTING FIRM </w:t>
      </w:r>
      <w:r>
        <w:rPr>
          <w:rFonts w:ascii="Arial" w:cs="Arial" w:eastAsia="Arial" w:hAnsi="Arial"/>
          <w:sz w:val="18"/>
          <w:szCs w:val="18"/>
          <w:color w:val="auto"/>
        </w:rPr>
        <w:t>To the shareholders and the Board of Directors of Definitive Healthcare Corp.</w:t>
      </w:r>
    </w:p>
    <w:p>
      <w:pPr>
        <w:spacing w:after="0" w:line="16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Opinion on the Financial Statement</w:t>
      </w:r>
    </w:p>
    <w:p>
      <w:pPr>
        <w:spacing w:after="0" w:line="121" w:lineRule="exact"/>
        <w:rPr>
          <w:sz w:val="20"/>
          <w:szCs w:val="20"/>
          <w:color w:val="auto"/>
        </w:rPr>
      </w:pPr>
    </w:p>
    <w:p>
      <w:pPr>
        <w:ind w:left="120"/>
        <w:spacing w:after="0" w:line="286" w:lineRule="auto"/>
        <w:rPr>
          <w:sz w:val="20"/>
          <w:szCs w:val="20"/>
          <w:color w:val="auto"/>
        </w:rPr>
      </w:pPr>
      <w:r>
        <w:rPr>
          <w:rFonts w:ascii="Arial" w:cs="Arial" w:eastAsia="Arial" w:hAnsi="Arial"/>
          <w:sz w:val="17"/>
          <w:szCs w:val="17"/>
          <w:color w:val="auto"/>
        </w:rPr>
        <w:t>We have audited the accompanying balance sheet of Definitive Healthcare Corp. (the “Company”) as of May 24, 2021, and the related notes (collectively referred to as the “financial statement”). In our opinion, the financial statement presents fairly, in all material respects, the financial position of the Company as of May 24, 2021, in conformity with accounting principles generally accepted in the United States of America.</w:t>
      </w:r>
    </w:p>
    <w:p>
      <w:pPr>
        <w:spacing w:after="0" w:line="26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Basis for Opinion</w:t>
      </w:r>
    </w:p>
    <w:p>
      <w:pPr>
        <w:spacing w:after="0" w:line="121" w:lineRule="exact"/>
        <w:rPr>
          <w:sz w:val="20"/>
          <w:szCs w:val="20"/>
          <w:color w:val="auto"/>
        </w:rPr>
      </w:pPr>
    </w:p>
    <w:p>
      <w:pPr>
        <w:ind w:left="120"/>
        <w:spacing w:after="0" w:line="259" w:lineRule="auto"/>
        <w:rPr>
          <w:sz w:val="20"/>
          <w:szCs w:val="20"/>
          <w:color w:val="auto"/>
        </w:rPr>
      </w:pPr>
      <w:r>
        <w:rPr>
          <w:rFonts w:ascii="Arial" w:cs="Arial" w:eastAsia="Arial" w:hAnsi="Arial"/>
          <w:sz w:val="18"/>
          <w:szCs w:val="18"/>
          <w:color w:val="auto"/>
        </w:rPr>
        <w:t>This financial statement is the responsibility of the Company’s management. Our responsibility is to express an opinion on this financial statement based on our audit.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87" w:lineRule="exact"/>
        <w:rPr>
          <w:sz w:val="20"/>
          <w:szCs w:val="20"/>
          <w:color w:val="auto"/>
        </w:rPr>
      </w:pPr>
    </w:p>
    <w:p>
      <w:pPr>
        <w:ind w:left="120"/>
        <w:spacing w:after="0" w:line="257" w:lineRule="auto"/>
        <w:rPr>
          <w:sz w:val="20"/>
          <w:szCs w:val="20"/>
          <w:color w:val="auto"/>
        </w:rPr>
      </w:pPr>
      <w:r>
        <w:rPr>
          <w:rFonts w:ascii="Arial" w:cs="Arial" w:eastAsia="Arial" w:hAnsi="Arial"/>
          <w:sz w:val="18"/>
          <w:szCs w:val="18"/>
          <w:color w:val="auto"/>
        </w:rPr>
        <w:t>We conducted our audit in accordance with the standards of the PCAOB. Those standards require that we plan and perform the audit to obtain reasonable assurance about whether the financial statement is free of material misstatement, whether due to error or fraud. The Company is not required to have, nor were we engaged to perform, an audit of its internal control over financial reporting. As part of our audit, we are required to obtain an understanding of internal control over financial reporting but not for the purpose of expressing an opinion on the effectiveness of the Company’s internal control over financial reporting. Accordingly, we express no such opinion.</w:t>
      </w:r>
    </w:p>
    <w:p>
      <w:pPr>
        <w:spacing w:after="0" w:line="188" w:lineRule="exact"/>
        <w:rPr>
          <w:sz w:val="20"/>
          <w:szCs w:val="20"/>
          <w:color w:val="auto"/>
        </w:rPr>
      </w:pPr>
    </w:p>
    <w:p>
      <w:pPr>
        <w:ind w:left="120" w:right="60"/>
        <w:spacing w:after="0" w:line="301" w:lineRule="auto"/>
        <w:rPr>
          <w:sz w:val="20"/>
          <w:szCs w:val="20"/>
          <w:color w:val="auto"/>
        </w:rPr>
      </w:pPr>
      <w:r>
        <w:rPr>
          <w:rFonts w:ascii="Arial" w:cs="Arial" w:eastAsia="Arial" w:hAnsi="Arial"/>
          <w:sz w:val="16"/>
          <w:szCs w:val="16"/>
          <w:color w:val="auto"/>
        </w:rPr>
        <w:t>Our audit included performing procedures to assess the risks of material misstatement of the financial statement, whether due to error or fraud, and performing procedures that respond to those risks. Such procedures included examining, on a test basis, evidence regarding the amounts and disclosures in the financial statement. Our audit also included evaluating the accounting principles used and significant estimates made by management, as well as evaluating the overall presentation of the financial statement. We believe that our audit provides a reasonable basis for our opinion.</w:t>
      </w:r>
    </w:p>
    <w:p>
      <w:pPr>
        <w:spacing w:after="0" w:line="157" w:lineRule="exact"/>
        <w:rPr>
          <w:sz w:val="20"/>
          <w:szCs w:val="20"/>
          <w:color w:val="auto"/>
        </w:rPr>
      </w:pPr>
    </w:p>
    <w:p>
      <w:pPr>
        <w:ind w:left="120"/>
        <w:spacing w:after="0"/>
        <w:rPr>
          <w:sz w:val="20"/>
          <w:szCs w:val="20"/>
          <w:color w:val="auto"/>
        </w:rPr>
      </w:pPr>
      <w:r>
        <w:rPr>
          <w:rFonts w:ascii="Arial" w:cs="Arial" w:eastAsia="Arial" w:hAnsi="Arial"/>
          <w:sz w:val="18"/>
          <w:szCs w:val="18"/>
          <w:color w:val="auto"/>
        </w:rPr>
        <w:t>/s/ Deloitte &amp; Touche LLP</w:t>
      </w:r>
    </w:p>
    <w:p>
      <w:pPr>
        <w:spacing w:after="0" w:line="225" w:lineRule="exact"/>
        <w:rPr>
          <w:sz w:val="20"/>
          <w:szCs w:val="20"/>
          <w:color w:val="auto"/>
        </w:rPr>
      </w:pPr>
    </w:p>
    <w:p>
      <w:pPr>
        <w:ind w:left="120"/>
        <w:spacing w:after="0"/>
        <w:rPr>
          <w:sz w:val="20"/>
          <w:szCs w:val="20"/>
          <w:color w:val="auto"/>
        </w:rPr>
      </w:pPr>
      <w:r>
        <w:rPr>
          <w:rFonts w:ascii="Arial" w:cs="Arial" w:eastAsia="Arial" w:hAnsi="Arial"/>
          <w:sz w:val="18"/>
          <w:szCs w:val="18"/>
          <w:color w:val="auto"/>
        </w:rPr>
        <w:t>Boston, Massachusetts</w:t>
      </w:r>
    </w:p>
    <w:p>
      <w:pPr>
        <w:spacing w:after="0" w:line="23" w:lineRule="exact"/>
        <w:rPr>
          <w:sz w:val="20"/>
          <w:szCs w:val="20"/>
          <w:color w:val="auto"/>
        </w:rPr>
      </w:pPr>
    </w:p>
    <w:p>
      <w:pPr>
        <w:ind w:left="120"/>
        <w:spacing w:after="0"/>
        <w:rPr>
          <w:sz w:val="20"/>
          <w:szCs w:val="20"/>
          <w:color w:val="auto"/>
        </w:rPr>
      </w:pPr>
      <w:r>
        <w:rPr>
          <w:rFonts w:ascii="Arial" w:cs="Arial" w:eastAsia="Arial" w:hAnsi="Arial"/>
          <w:sz w:val="18"/>
          <w:szCs w:val="18"/>
          <w:color w:val="auto"/>
        </w:rPr>
        <w:t>May 28, 2021</w:t>
      </w:r>
    </w:p>
    <w:p>
      <w:pPr>
        <w:spacing w:after="0" w:line="211" w:lineRule="exact"/>
        <w:rPr>
          <w:sz w:val="20"/>
          <w:szCs w:val="20"/>
          <w:color w:val="auto"/>
        </w:rPr>
      </w:pPr>
    </w:p>
    <w:p>
      <w:pPr>
        <w:ind w:left="120"/>
        <w:spacing w:after="0"/>
        <w:rPr>
          <w:sz w:val="20"/>
          <w:szCs w:val="20"/>
          <w:color w:val="auto"/>
        </w:rPr>
      </w:pPr>
      <w:r>
        <w:rPr>
          <w:rFonts w:ascii="Arial" w:cs="Arial" w:eastAsia="Arial" w:hAnsi="Arial"/>
          <w:sz w:val="18"/>
          <w:szCs w:val="18"/>
          <w:color w:val="auto"/>
        </w:rPr>
        <w:t>We have served as the Company’s auditor since 2021.</w:t>
      </w:r>
    </w:p>
    <w:p>
      <w:pPr>
        <w:spacing w:after="0" w:line="158" w:lineRule="exact"/>
        <w:rPr>
          <w:sz w:val="20"/>
          <w:szCs w:val="20"/>
          <w:color w:val="auto"/>
        </w:rPr>
      </w:pPr>
    </w:p>
    <w:p>
      <w:pPr>
        <w:jc w:val="center"/>
        <w:ind w:right="-359"/>
        <w:spacing w:after="0"/>
        <w:rPr>
          <w:sz w:val="20"/>
          <w:szCs w:val="20"/>
          <w:color w:val="auto"/>
        </w:rPr>
      </w:pPr>
      <w:r>
        <w:rPr>
          <w:rFonts w:ascii="Arial" w:cs="Arial" w:eastAsia="Arial" w:hAnsi="Arial"/>
          <w:sz w:val="18"/>
          <w:szCs w:val="18"/>
          <w:color w:val="auto"/>
        </w:rPr>
        <w:t>F-3</w:t>
      </w:r>
    </w:p>
    <w:p>
      <w:pPr>
        <w:sectPr>
          <w:pgSz w:w="11900" w:h="16838" w:orient="portrait"/>
          <w:cols w:equalWidth="0" w:num="1">
            <w:col w:w="11120"/>
          </w:cols>
          <w:pgMar w:left="320" w:top="459" w:right="459" w:bottom="1440" w:gutter="0" w:footer="0" w:header="0"/>
        </w:sectPr>
      </w:pPr>
    </w:p>
    <w:bookmarkStart w:id="209" w:name="page210"/>
    <w:bookmarkEnd w:id="20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tbl>
      <w:tblPr>
        <w:tblLayout w:type="fixed"/>
        <w:tblInd w:w="120" w:type="dxa"/>
        <w:tblCellMar>
          <w:top w:w="0" w:type="dxa"/>
          <w:left w:w="0" w:type="dxa"/>
          <w:bottom w:w="0" w:type="dxa"/>
          <w:right w:w="0" w:type="dxa"/>
        </w:tblCellMar>
      </w:tblPr>
      <w:tr>
        <w:trPr>
          <w:trHeight w:val="216"/>
        </w:trPr>
        <w:tc>
          <w:tcPr>
            <w:tcW w:w="9080" w:type="dxa"/>
            <w:vAlign w:val="bottom"/>
          </w:tcPr>
          <w:p>
            <w:pPr>
              <w:jc w:val="center"/>
              <w:ind w:left="1850"/>
              <w:spacing w:after="0"/>
              <w:rPr>
                <w:sz w:val="20"/>
                <w:szCs w:val="20"/>
                <w:color w:val="auto"/>
              </w:rPr>
            </w:pPr>
            <w:r>
              <w:rPr>
                <w:rFonts w:ascii="Arial" w:cs="Arial" w:eastAsia="Arial" w:hAnsi="Arial"/>
                <w:sz w:val="18"/>
                <w:szCs w:val="18"/>
                <w:b w:val="1"/>
                <w:bCs w:val="1"/>
                <w:color w:val="auto"/>
                <w:w w:val="91"/>
              </w:rPr>
              <w:t>Confidential Treatment Requested by Definitive Healthcare Corp.</w:t>
            </w:r>
          </w:p>
        </w:tc>
        <w:tc>
          <w:tcPr>
            <w:tcW w:w="10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9080" w:type="dxa"/>
            <w:vAlign w:val="bottom"/>
          </w:tcPr>
          <w:p>
            <w:pPr>
              <w:jc w:val="center"/>
              <w:ind w:left="1830"/>
              <w:spacing w:after="0"/>
              <w:rPr>
                <w:sz w:val="20"/>
                <w:szCs w:val="20"/>
                <w:color w:val="auto"/>
              </w:rPr>
            </w:pPr>
            <w:r>
              <w:rPr>
                <w:rFonts w:ascii="Arial" w:cs="Arial" w:eastAsia="Arial" w:hAnsi="Arial"/>
                <w:sz w:val="18"/>
                <w:szCs w:val="18"/>
                <w:b w:val="1"/>
                <w:bCs w:val="1"/>
                <w:color w:val="auto"/>
                <w:w w:val="89"/>
              </w:rPr>
              <w:t>Pursuant to 17 C.F.R. Section 200.83</w:t>
            </w:r>
          </w:p>
        </w:tc>
        <w:tc>
          <w:tcPr>
            <w:tcW w:w="10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64"/>
        </w:trPr>
        <w:tc>
          <w:tcPr>
            <w:tcW w:w="9080" w:type="dxa"/>
            <w:vAlign w:val="bottom"/>
          </w:tcPr>
          <w:p>
            <w:pPr>
              <w:jc w:val="center"/>
              <w:ind w:left="1830"/>
              <w:spacing w:after="0"/>
              <w:rPr>
                <w:sz w:val="20"/>
                <w:szCs w:val="20"/>
                <w:color w:val="auto"/>
              </w:rPr>
            </w:pPr>
            <w:r>
              <w:rPr>
                <w:rFonts w:ascii="Arial" w:cs="Arial" w:eastAsia="Arial" w:hAnsi="Arial"/>
                <w:sz w:val="18"/>
                <w:szCs w:val="18"/>
                <w:b w:val="1"/>
                <w:bCs w:val="1"/>
                <w:color w:val="auto"/>
              </w:rPr>
              <w:t>DEFINITIVE HEALTHCARE CORP.</w:t>
            </w:r>
          </w:p>
        </w:tc>
        <w:tc>
          <w:tcPr>
            <w:tcW w:w="10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8"/>
        </w:trPr>
        <w:tc>
          <w:tcPr>
            <w:tcW w:w="9080" w:type="dxa"/>
            <w:vAlign w:val="bottom"/>
          </w:tcPr>
          <w:p>
            <w:pPr>
              <w:jc w:val="center"/>
              <w:ind w:left="1830"/>
              <w:spacing w:after="0"/>
              <w:rPr>
                <w:sz w:val="20"/>
                <w:szCs w:val="20"/>
                <w:color w:val="auto"/>
              </w:rPr>
            </w:pPr>
            <w:r>
              <w:rPr>
                <w:rFonts w:ascii="Arial" w:cs="Arial" w:eastAsia="Arial" w:hAnsi="Arial"/>
                <w:sz w:val="18"/>
                <w:szCs w:val="18"/>
                <w:b w:val="1"/>
                <w:bCs w:val="1"/>
                <w:color w:val="auto"/>
                <w:w w:val="99"/>
              </w:rPr>
              <w:t>BALANCE SHEET</w:t>
            </w:r>
          </w:p>
        </w:tc>
        <w:tc>
          <w:tcPr>
            <w:tcW w:w="10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9080" w:type="dxa"/>
            <w:vAlign w:val="bottom"/>
          </w:tcPr>
          <w:p>
            <w:pPr>
              <w:jc w:val="center"/>
              <w:ind w:left="1830"/>
              <w:spacing w:after="0"/>
              <w:rPr>
                <w:sz w:val="20"/>
                <w:szCs w:val="20"/>
                <w:color w:val="auto"/>
              </w:rPr>
            </w:pPr>
            <w:r>
              <w:rPr>
                <w:rFonts w:ascii="Arial" w:cs="Arial" w:eastAsia="Arial" w:hAnsi="Arial"/>
                <w:sz w:val="18"/>
                <w:szCs w:val="18"/>
                <w:i w:val="1"/>
                <w:iCs w:val="1"/>
                <w:color w:val="auto"/>
                <w:w w:val="93"/>
              </w:rPr>
              <w:t>(amounts in dollars)</w:t>
            </w:r>
          </w:p>
        </w:tc>
        <w:tc>
          <w:tcPr>
            <w:tcW w:w="10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91"/>
        </w:trPr>
        <w:tc>
          <w:tcPr>
            <w:tcW w:w="90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880" w:type="dxa"/>
            <w:vAlign w:val="bottom"/>
            <w:gridSpan w:val="3"/>
          </w:tcPr>
          <w:p>
            <w:pPr>
              <w:spacing w:after="0"/>
              <w:rPr>
                <w:sz w:val="20"/>
                <w:szCs w:val="20"/>
                <w:color w:val="auto"/>
              </w:rPr>
            </w:pPr>
            <w:r>
              <w:rPr>
                <w:rFonts w:ascii="Arial" w:cs="Arial" w:eastAsia="Arial" w:hAnsi="Arial"/>
                <w:sz w:val="14"/>
                <w:szCs w:val="14"/>
                <w:b w:val="1"/>
                <w:bCs w:val="1"/>
                <w:color w:val="auto"/>
              </w:rPr>
              <w:t>May 24, 2021</w:t>
            </w:r>
          </w:p>
        </w:tc>
        <w:tc>
          <w:tcPr>
            <w:tcW w:w="0" w:type="dxa"/>
            <w:vAlign w:val="bottom"/>
          </w:tcPr>
          <w:p>
            <w:pPr>
              <w:spacing w:after="0"/>
              <w:rPr>
                <w:sz w:val="1"/>
                <w:szCs w:val="1"/>
                <w:color w:val="auto"/>
              </w:rPr>
            </w:pPr>
          </w:p>
        </w:tc>
      </w:tr>
      <w:tr>
        <w:trPr>
          <w:trHeight w:val="196"/>
        </w:trPr>
        <w:tc>
          <w:tcPr>
            <w:tcW w:w="908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Assets</w:t>
            </w:r>
          </w:p>
        </w:tc>
        <w:tc>
          <w:tcPr>
            <w:tcW w:w="106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620" w:type="dxa"/>
            <w:vAlign w:val="bottom"/>
            <w:tcBorders>
              <w:top w:val="single" w:sz="8" w:color="auto"/>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9080" w:type="dxa"/>
            <w:vAlign w:val="bottom"/>
          </w:tcPr>
          <w:p>
            <w:pPr>
              <w:ind w:left="360"/>
              <w:spacing w:after="0"/>
              <w:rPr>
                <w:sz w:val="20"/>
                <w:szCs w:val="20"/>
                <w:color w:val="auto"/>
              </w:rPr>
            </w:pPr>
            <w:r>
              <w:rPr>
                <w:rFonts w:ascii="Arial" w:cs="Arial" w:eastAsia="Arial" w:hAnsi="Arial"/>
                <w:sz w:val="18"/>
                <w:szCs w:val="18"/>
                <w:color w:val="auto"/>
              </w:rPr>
              <w:t>Cash</w:t>
            </w:r>
          </w:p>
        </w:tc>
        <w:tc>
          <w:tcPr>
            <w:tcW w:w="1260" w:type="dxa"/>
            <w:vAlign w:val="bottom"/>
            <w:gridSpan w:val="2"/>
          </w:tcPr>
          <w:p>
            <w:pPr>
              <w:ind w:left="1060"/>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60"/>
              <w:spacing w:after="0"/>
              <w:rPr>
                <w:sz w:val="20"/>
                <w:szCs w:val="20"/>
                <w:color w:val="auto"/>
              </w:rPr>
            </w:pPr>
            <w:r>
              <w:rPr>
                <w:rFonts w:ascii="Arial" w:cs="Arial" w:eastAsia="Arial" w:hAnsi="Arial"/>
                <w:sz w:val="18"/>
                <w:szCs w:val="18"/>
                <w:color w:val="auto"/>
              </w:rPr>
              <w:t>100.00</w:t>
            </w:r>
          </w:p>
        </w:tc>
        <w:tc>
          <w:tcPr>
            <w:tcW w:w="0" w:type="dxa"/>
            <w:vAlign w:val="bottom"/>
          </w:tcPr>
          <w:p>
            <w:pPr>
              <w:spacing w:after="0"/>
              <w:rPr>
                <w:sz w:val="1"/>
                <w:szCs w:val="1"/>
                <w:color w:val="auto"/>
              </w:rPr>
            </w:pPr>
          </w:p>
        </w:tc>
      </w:tr>
      <w:tr>
        <w:trPr>
          <w:trHeight w:val="27"/>
        </w:trPr>
        <w:tc>
          <w:tcPr>
            <w:tcW w:w="90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9080" w:type="dxa"/>
            <w:vAlign w:val="bottom"/>
            <w:shd w:val="clear" w:color="auto" w:fill="CCEEFF"/>
          </w:tcPr>
          <w:p>
            <w:pPr>
              <w:ind w:left="720"/>
              <w:spacing w:after="0"/>
              <w:rPr>
                <w:sz w:val="20"/>
                <w:szCs w:val="20"/>
                <w:color w:val="auto"/>
              </w:rPr>
            </w:pPr>
            <w:r>
              <w:rPr>
                <w:rFonts w:ascii="Arial" w:cs="Arial" w:eastAsia="Arial" w:hAnsi="Arial"/>
                <w:sz w:val="18"/>
                <w:szCs w:val="18"/>
                <w:b w:val="1"/>
                <w:bCs w:val="1"/>
                <w:color w:val="auto"/>
              </w:rPr>
              <w:t>Total assets</w:t>
            </w:r>
          </w:p>
        </w:tc>
        <w:tc>
          <w:tcPr>
            <w:tcW w:w="1260" w:type="dxa"/>
            <w:vAlign w:val="bottom"/>
            <w:gridSpan w:val="2"/>
            <w:shd w:val="clear" w:color="auto" w:fill="CCEEFF"/>
          </w:tcPr>
          <w:p>
            <w:pPr>
              <w:ind w:left="1060"/>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100.00</w:t>
            </w:r>
          </w:p>
        </w:tc>
        <w:tc>
          <w:tcPr>
            <w:tcW w:w="0" w:type="dxa"/>
            <w:vAlign w:val="bottom"/>
          </w:tcPr>
          <w:p>
            <w:pPr>
              <w:spacing w:after="0"/>
              <w:rPr>
                <w:sz w:val="1"/>
                <w:szCs w:val="1"/>
                <w:color w:val="auto"/>
              </w:rPr>
            </w:pPr>
          </w:p>
        </w:tc>
      </w:tr>
      <w:tr>
        <w:trPr>
          <w:trHeight w:val="20"/>
        </w:trPr>
        <w:tc>
          <w:tcPr>
            <w:tcW w:w="9080" w:type="dxa"/>
            <w:vAlign w:val="bottom"/>
            <w:vMerge w:val="restart"/>
          </w:tcPr>
          <w:p>
            <w:pPr>
              <w:spacing w:after="0"/>
              <w:rPr>
                <w:sz w:val="20"/>
                <w:szCs w:val="20"/>
                <w:color w:val="auto"/>
              </w:rPr>
            </w:pPr>
            <w:r>
              <w:rPr>
                <w:rFonts w:ascii="Arial" w:cs="Arial" w:eastAsia="Arial" w:hAnsi="Arial"/>
                <w:sz w:val="18"/>
                <w:szCs w:val="18"/>
                <w:b w:val="1"/>
                <w:bCs w:val="1"/>
                <w:color w:val="auto"/>
              </w:rPr>
              <w:t>Stockholder’s equity</w:t>
            </w:r>
          </w:p>
        </w:tc>
        <w:tc>
          <w:tcPr>
            <w:tcW w:w="10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9080" w:type="dxa"/>
            <w:vAlign w:val="bottom"/>
            <w:vMerge w:val="continue"/>
          </w:tcPr>
          <w:p>
            <w:pPr>
              <w:spacing w:after="0"/>
              <w:rPr>
                <w:sz w:val="18"/>
                <w:szCs w:val="18"/>
                <w:color w:val="auto"/>
              </w:rPr>
            </w:pPr>
          </w:p>
        </w:tc>
        <w:tc>
          <w:tcPr>
            <w:tcW w:w="10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0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Common stock, par value $0.01 per share, 100 shares authorized, 1 issued and outstanding</w:t>
            </w:r>
          </w:p>
        </w:tc>
        <w:tc>
          <w:tcPr>
            <w:tcW w:w="1260" w:type="dxa"/>
            <w:vAlign w:val="bottom"/>
            <w:gridSpan w:val="2"/>
            <w:shd w:val="clear" w:color="auto" w:fill="CCEEFF"/>
          </w:tcPr>
          <w:p>
            <w:pPr>
              <w:ind w:left="1060"/>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0.01</w:t>
            </w:r>
          </w:p>
        </w:tc>
        <w:tc>
          <w:tcPr>
            <w:tcW w:w="0" w:type="dxa"/>
            <w:vAlign w:val="bottom"/>
          </w:tcPr>
          <w:p>
            <w:pPr>
              <w:spacing w:after="0"/>
              <w:rPr>
                <w:sz w:val="1"/>
                <w:szCs w:val="1"/>
                <w:color w:val="auto"/>
              </w:rPr>
            </w:pPr>
          </w:p>
        </w:tc>
      </w:tr>
      <w:tr>
        <w:trPr>
          <w:trHeight w:val="230"/>
        </w:trPr>
        <w:tc>
          <w:tcPr>
            <w:tcW w:w="9080" w:type="dxa"/>
            <w:vAlign w:val="bottom"/>
          </w:tcPr>
          <w:p>
            <w:pPr>
              <w:ind w:left="360"/>
              <w:spacing w:after="0"/>
              <w:rPr>
                <w:sz w:val="20"/>
                <w:szCs w:val="20"/>
                <w:color w:val="auto"/>
              </w:rPr>
            </w:pPr>
            <w:r>
              <w:rPr>
                <w:rFonts w:ascii="Arial" w:cs="Arial" w:eastAsia="Arial" w:hAnsi="Arial"/>
                <w:sz w:val="18"/>
                <w:szCs w:val="18"/>
                <w:color w:val="auto"/>
              </w:rPr>
              <w:t>Additional paid in capital</w:t>
            </w:r>
          </w:p>
        </w:tc>
        <w:tc>
          <w:tcPr>
            <w:tcW w:w="1060" w:type="dxa"/>
            <w:vAlign w:val="bottom"/>
          </w:tcPr>
          <w:p>
            <w:pPr>
              <w:spacing w:after="0"/>
              <w:rPr>
                <w:sz w:val="20"/>
                <w:szCs w:val="20"/>
                <w:color w:val="auto"/>
              </w:rPr>
            </w:pPr>
          </w:p>
        </w:tc>
        <w:tc>
          <w:tcPr>
            <w:tcW w:w="200" w:type="dxa"/>
            <w:vAlign w:val="bottom"/>
            <w:tcBorders>
              <w:top w:val="single" w:sz="8" w:color="auto"/>
              <w:bottom w:val="single" w:sz="8" w:color="auto"/>
            </w:tcBorders>
          </w:tcPr>
          <w:p>
            <w:pPr>
              <w:spacing w:after="0"/>
              <w:rPr>
                <w:sz w:val="20"/>
                <w:szCs w:val="20"/>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99.99</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9080" w:type="dxa"/>
            <w:vAlign w:val="bottom"/>
            <w:shd w:val="clear" w:color="auto" w:fill="CCEEFF"/>
          </w:tcPr>
          <w:p>
            <w:pPr>
              <w:ind w:left="720"/>
              <w:spacing w:after="0"/>
              <w:rPr>
                <w:sz w:val="20"/>
                <w:szCs w:val="20"/>
                <w:color w:val="auto"/>
              </w:rPr>
            </w:pPr>
            <w:r>
              <w:rPr>
                <w:rFonts w:ascii="Arial" w:cs="Arial" w:eastAsia="Arial" w:hAnsi="Arial"/>
                <w:sz w:val="18"/>
                <w:szCs w:val="18"/>
                <w:b w:val="1"/>
                <w:bCs w:val="1"/>
                <w:color w:val="auto"/>
              </w:rPr>
              <w:t>Total stockholder’s equity</w:t>
            </w:r>
          </w:p>
        </w:tc>
        <w:tc>
          <w:tcPr>
            <w:tcW w:w="1260" w:type="dxa"/>
            <w:vAlign w:val="bottom"/>
            <w:gridSpan w:val="2"/>
            <w:shd w:val="clear" w:color="auto" w:fill="CCEEFF"/>
          </w:tcPr>
          <w:p>
            <w:pPr>
              <w:ind w:left="1060"/>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100.00</w:t>
            </w:r>
          </w:p>
        </w:tc>
        <w:tc>
          <w:tcPr>
            <w:tcW w:w="0" w:type="dxa"/>
            <w:vAlign w:val="bottom"/>
          </w:tcPr>
          <w:p>
            <w:pPr>
              <w:spacing w:after="0"/>
              <w:rPr>
                <w:sz w:val="1"/>
                <w:szCs w:val="1"/>
                <w:color w:val="auto"/>
              </w:rPr>
            </w:pPr>
          </w:p>
        </w:tc>
      </w:tr>
      <w:tr>
        <w:trPr>
          <w:trHeight w:val="20"/>
        </w:trPr>
        <w:tc>
          <w:tcPr>
            <w:tcW w:w="90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left="4480"/>
        <w:spacing w:after="0"/>
        <w:rPr>
          <w:sz w:val="20"/>
          <w:szCs w:val="20"/>
          <w:color w:val="auto"/>
        </w:rPr>
      </w:pPr>
      <w:r>
        <w:rPr>
          <w:rFonts w:ascii="Arial" w:cs="Arial" w:eastAsia="Arial" w:hAnsi="Arial"/>
          <w:sz w:val="18"/>
          <w:szCs w:val="18"/>
          <w:color w:val="auto"/>
        </w:rPr>
        <w:t>See notes to financial statement</w:t>
      </w:r>
    </w:p>
    <w:p>
      <w:pPr>
        <w:spacing w:after="0" w:line="158"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F-4</w:t>
      </w:r>
    </w:p>
    <w:p>
      <w:pPr>
        <w:sectPr>
          <w:pgSz w:w="11900" w:h="16838" w:orient="portrait"/>
          <w:cols w:equalWidth="0" w:num="1">
            <w:col w:w="11140"/>
          </w:cols>
          <w:pgMar w:left="320" w:top="459" w:right="439" w:bottom="1440" w:gutter="0" w:footer="0" w:header="0"/>
        </w:sectPr>
      </w:pPr>
    </w:p>
    <w:bookmarkStart w:id="210" w:name="page211"/>
    <w:bookmarkEnd w:id="2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Confidential Treatment Requested by Definitive Healthcare Corp.</w:t>
      </w:r>
    </w:p>
    <w:p>
      <w:pPr>
        <w:spacing w:after="0" w:line="27"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Pursuant to 17 C.F.R. Section 200.83</w:t>
      </w:r>
    </w:p>
    <w:p>
      <w:pPr>
        <w:spacing w:after="0" w:line="139"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DEFINITIVE HEALTHCARE CORP.</w:t>
      </w:r>
    </w:p>
    <w:p>
      <w:pPr>
        <w:spacing w:after="0" w:line="27"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NOTES TO THE FINANCIAL STATEMENT</w:t>
      </w:r>
    </w:p>
    <w:p>
      <w:pPr>
        <w:spacing w:after="0" w:line="238" w:lineRule="exact"/>
        <w:rPr>
          <w:sz w:val="20"/>
          <w:szCs w:val="20"/>
          <w:color w:val="auto"/>
        </w:rPr>
      </w:pPr>
    </w:p>
    <w:p>
      <w:pPr>
        <w:ind w:left="540" w:hanging="424"/>
        <w:spacing w:after="0"/>
        <w:tabs>
          <w:tab w:leader="none" w:pos="540" w:val="left"/>
        </w:tabs>
        <w:numPr>
          <w:ilvl w:val="0"/>
          <w:numId w:val="176"/>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Organization</w:t>
      </w:r>
    </w:p>
    <w:p>
      <w:pPr>
        <w:spacing w:after="0" w:line="117" w:lineRule="exact"/>
        <w:rPr>
          <w:sz w:val="20"/>
          <w:szCs w:val="20"/>
          <w:color w:val="auto"/>
        </w:rPr>
      </w:pPr>
    </w:p>
    <w:p>
      <w:pPr>
        <w:ind w:left="120" w:firstLine="440"/>
        <w:spacing w:after="0" w:line="263" w:lineRule="auto"/>
        <w:rPr>
          <w:sz w:val="20"/>
          <w:szCs w:val="20"/>
          <w:color w:val="auto"/>
        </w:rPr>
      </w:pPr>
      <w:r>
        <w:rPr>
          <w:rFonts w:ascii="Arial" w:cs="Arial" w:eastAsia="Arial" w:hAnsi="Arial"/>
          <w:sz w:val="18"/>
          <w:szCs w:val="18"/>
          <w:color w:val="auto"/>
        </w:rPr>
        <w:t>Definitive Healthcare Corp. (the “Corporation”) was organized as a Delaware corporation on May 5, 2021 and its shares were funded at May 24, 2021. The Corporation’s fiscal year end is December 31. Pursuant to a reorganization into a holding corporation structure, the Corporation will become a holding corporation and its sole assets are expected to be an equity interest in AIDH TopCo, LLC.</w:t>
      </w:r>
    </w:p>
    <w:p>
      <w:pPr>
        <w:spacing w:after="0" w:line="184" w:lineRule="exact"/>
        <w:rPr>
          <w:sz w:val="20"/>
          <w:szCs w:val="20"/>
          <w:color w:val="auto"/>
        </w:rPr>
      </w:pPr>
    </w:p>
    <w:p>
      <w:pPr>
        <w:ind w:left="120" w:right="120" w:firstLine="440"/>
        <w:spacing w:after="0" w:line="308" w:lineRule="auto"/>
        <w:rPr>
          <w:sz w:val="20"/>
          <w:szCs w:val="20"/>
          <w:color w:val="auto"/>
        </w:rPr>
      </w:pPr>
      <w:r>
        <w:rPr>
          <w:rFonts w:ascii="Arial" w:cs="Arial" w:eastAsia="Arial" w:hAnsi="Arial"/>
          <w:sz w:val="17"/>
          <w:szCs w:val="17"/>
          <w:color w:val="auto"/>
        </w:rPr>
        <w:t>The Corporation will be the sole managing member of AIDH TopCo, LLC, and will operate and control all of the businesses and affairs of AIDH TopCo, LLC and, through AIDH TopCo, LLC and its subsidiaries, continue to conduct the business now conducted by these entities.</w:t>
      </w:r>
    </w:p>
    <w:p>
      <w:pPr>
        <w:spacing w:after="0" w:line="295" w:lineRule="exact"/>
        <w:rPr>
          <w:sz w:val="20"/>
          <w:szCs w:val="20"/>
          <w:color w:val="auto"/>
        </w:rPr>
      </w:pPr>
    </w:p>
    <w:p>
      <w:pPr>
        <w:ind w:left="120" w:right="7280" w:hanging="4"/>
        <w:spacing w:after="0" w:line="375" w:lineRule="auto"/>
        <w:tabs>
          <w:tab w:leader="none" w:pos="552" w:val="left"/>
        </w:tabs>
        <w:numPr>
          <w:ilvl w:val="0"/>
          <w:numId w:val="177"/>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Summary of Significant Accounting Policies Basis of Accounting</w:t>
      </w:r>
    </w:p>
    <w:p>
      <w:pPr>
        <w:spacing w:after="0" w:line="1" w:lineRule="exact"/>
        <w:rPr>
          <w:sz w:val="20"/>
          <w:szCs w:val="20"/>
          <w:color w:val="auto"/>
        </w:rPr>
      </w:pPr>
    </w:p>
    <w:p>
      <w:pPr>
        <w:jc w:val="both"/>
        <w:ind w:left="120" w:right="140" w:firstLine="440"/>
        <w:spacing w:after="0" w:line="263" w:lineRule="auto"/>
        <w:rPr>
          <w:sz w:val="20"/>
          <w:szCs w:val="20"/>
          <w:color w:val="auto"/>
        </w:rPr>
      </w:pPr>
      <w:r>
        <w:rPr>
          <w:rFonts w:ascii="Arial" w:cs="Arial" w:eastAsia="Arial" w:hAnsi="Arial"/>
          <w:sz w:val="18"/>
          <w:szCs w:val="18"/>
          <w:color w:val="auto"/>
        </w:rPr>
        <w:t>The Balance Sheet has been prepared in accordance with generally accepted accounting principles in the United States (“U.S. GAAP”). Separate statements of operations, changes in stockholders’ equity and cash flows have not been presented in the financial statement because there have been no activities in this entity or because the single transaction is fully disclosed below.</w:t>
      </w:r>
    </w:p>
    <w:p>
      <w:pPr>
        <w:spacing w:after="0" w:line="332" w:lineRule="exact"/>
        <w:rPr>
          <w:sz w:val="20"/>
          <w:szCs w:val="20"/>
          <w:color w:val="auto"/>
        </w:rPr>
      </w:pPr>
    </w:p>
    <w:p>
      <w:pPr>
        <w:ind w:left="540" w:hanging="424"/>
        <w:spacing w:after="0"/>
        <w:tabs>
          <w:tab w:leader="none" w:pos="540" w:val="left"/>
        </w:tabs>
        <w:numPr>
          <w:ilvl w:val="0"/>
          <w:numId w:val="178"/>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Stockholder’s Equity</w:t>
      </w:r>
    </w:p>
    <w:p>
      <w:pPr>
        <w:spacing w:after="0" w:line="117" w:lineRule="exact"/>
        <w:rPr>
          <w:sz w:val="20"/>
          <w:szCs w:val="20"/>
          <w:color w:val="auto"/>
        </w:rPr>
      </w:pPr>
    </w:p>
    <w:p>
      <w:pPr>
        <w:ind w:left="120" w:right="120" w:firstLine="440"/>
        <w:spacing w:after="0" w:line="277" w:lineRule="auto"/>
        <w:rPr>
          <w:sz w:val="20"/>
          <w:szCs w:val="20"/>
          <w:color w:val="auto"/>
        </w:rPr>
      </w:pPr>
      <w:r>
        <w:rPr>
          <w:rFonts w:ascii="Arial" w:cs="Arial" w:eastAsia="Arial" w:hAnsi="Arial"/>
          <w:sz w:val="18"/>
          <w:szCs w:val="18"/>
          <w:color w:val="auto"/>
        </w:rPr>
        <w:t>The Corporation is authorized to issue 100 shares of Common Stock, par value $0.01 per share. In exchange for $100, the Corporation has issued 1 share of common stock, which is held by Advent International GPE IX Limited Partnership as of May 24, 2021.</w:t>
      </w:r>
    </w:p>
    <w:p>
      <w:pPr>
        <w:spacing w:after="0" w:line="319" w:lineRule="exact"/>
        <w:rPr>
          <w:sz w:val="20"/>
          <w:szCs w:val="20"/>
          <w:color w:val="auto"/>
        </w:rPr>
      </w:pPr>
    </w:p>
    <w:p>
      <w:pPr>
        <w:ind w:left="540" w:hanging="424"/>
        <w:spacing w:after="0"/>
        <w:tabs>
          <w:tab w:leader="none" w:pos="540" w:val="left"/>
        </w:tabs>
        <w:numPr>
          <w:ilvl w:val="0"/>
          <w:numId w:val="179"/>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Subsequent Events</w:t>
      </w:r>
    </w:p>
    <w:p>
      <w:pPr>
        <w:spacing w:after="0" w:line="117" w:lineRule="exact"/>
        <w:rPr>
          <w:sz w:val="20"/>
          <w:szCs w:val="20"/>
          <w:color w:val="auto"/>
        </w:rPr>
      </w:pPr>
    </w:p>
    <w:p>
      <w:pPr>
        <w:ind w:left="120" w:right="240" w:firstLine="440"/>
        <w:spacing w:after="0" w:line="277" w:lineRule="auto"/>
        <w:rPr>
          <w:sz w:val="20"/>
          <w:szCs w:val="20"/>
          <w:color w:val="auto"/>
        </w:rPr>
      </w:pPr>
      <w:r>
        <w:rPr>
          <w:rFonts w:ascii="Arial" w:cs="Arial" w:eastAsia="Arial" w:hAnsi="Arial"/>
          <w:sz w:val="18"/>
          <w:szCs w:val="18"/>
          <w:color w:val="auto"/>
        </w:rPr>
        <w:t>The Corporation has evaluated subsequent events through May 28, 2021, the date which the financial statement was issued, and did not identify any additional matters that require disclosure.</w:t>
      </w:r>
    </w:p>
    <w:p>
      <w:pPr>
        <w:spacing w:after="0" w:line="103"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F-5</w:t>
      </w:r>
    </w:p>
    <w:p>
      <w:pPr>
        <w:sectPr>
          <w:pgSz w:w="11900" w:h="16838" w:orient="portrait"/>
          <w:cols w:equalWidth="0" w:num="1">
            <w:col w:w="11140"/>
          </w:cols>
          <w:pgMar w:left="320" w:top="459" w:right="439" w:bottom="1440" w:gutter="0" w:footer="0" w:header="0"/>
        </w:sectPr>
      </w:pPr>
    </w:p>
    <w:bookmarkStart w:id="211" w:name="page212"/>
    <w:bookmarkEnd w:id="2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Confidential Treatment Requested by Definitive Healthcare Corp.</w:t>
      </w:r>
    </w:p>
    <w:p>
      <w:pPr>
        <w:spacing w:after="0" w:line="27"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Pursuant to 17 C.F.R. Section 200.83</w:t>
      </w:r>
    </w:p>
    <w:p>
      <w:pPr>
        <w:spacing w:after="0" w:line="13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AIDH TopCo, LLC</w:t>
      </w:r>
    </w:p>
    <w:p>
      <w:pPr>
        <w:spacing w:after="0" w:line="27"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and Subsidiaries</w:t>
      </w:r>
    </w:p>
    <w:p>
      <w:pPr>
        <w:spacing w:after="0" w:line="211" w:lineRule="exact"/>
        <w:rPr>
          <w:sz w:val="20"/>
          <w:szCs w:val="20"/>
          <w:color w:val="auto"/>
        </w:rPr>
      </w:pPr>
    </w:p>
    <w:p>
      <w:pPr>
        <w:ind w:left="120"/>
        <w:spacing w:after="0" w:line="263" w:lineRule="auto"/>
        <w:rPr>
          <w:sz w:val="20"/>
          <w:szCs w:val="20"/>
          <w:color w:val="auto"/>
        </w:rPr>
      </w:pPr>
      <w:r>
        <w:rPr>
          <w:rFonts w:ascii="Arial" w:cs="Arial" w:eastAsia="Arial" w:hAnsi="Arial"/>
          <w:sz w:val="18"/>
          <w:szCs w:val="18"/>
          <w:color w:val="auto"/>
        </w:rPr>
        <w:t>Consolidated Financial Statements as of December 31, 2020 and 2019 (Successor Company), and for the Year Ended December 31, 2020 (Successor Company), and Periods from July 16, 2019 to December 31, 2019 (Successor Company) and January 1, 2019 to July 15, 2019 (Predecessor Company), and Report of Independent Registered Public Accounting Firm</w:t>
      </w:r>
    </w:p>
    <w:p>
      <w:pPr>
        <w:spacing w:after="0" w:line="116" w:lineRule="exact"/>
        <w:rPr>
          <w:sz w:val="20"/>
          <w:szCs w:val="20"/>
          <w:color w:val="auto"/>
        </w:rPr>
      </w:pPr>
    </w:p>
    <w:p>
      <w:pPr>
        <w:jc w:val="center"/>
        <w:ind w:right="-459"/>
        <w:spacing w:after="0"/>
        <w:rPr>
          <w:sz w:val="20"/>
          <w:szCs w:val="20"/>
          <w:color w:val="auto"/>
        </w:rPr>
      </w:pPr>
      <w:r>
        <w:rPr>
          <w:rFonts w:ascii="Arial" w:cs="Arial" w:eastAsia="Arial" w:hAnsi="Arial"/>
          <w:sz w:val="18"/>
          <w:szCs w:val="18"/>
          <w:color w:val="auto"/>
        </w:rPr>
        <w:t>F-6</w:t>
      </w:r>
    </w:p>
    <w:p>
      <w:pPr>
        <w:sectPr>
          <w:pgSz w:w="11900" w:h="16838" w:orient="portrait"/>
          <w:cols w:equalWidth="0" w:num="1">
            <w:col w:w="11020"/>
          </w:cols>
          <w:pgMar w:left="320" w:top="459" w:right="559" w:bottom="1440" w:gutter="0" w:footer="0" w:header="0"/>
        </w:sectPr>
      </w:pPr>
    </w:p>
    <w:bookmarkStart w:id="212" w:name="page213"/>
    <w:bookmarkEnd w:id="2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Confidential Treatment Requested by Definitive Healthcare Corp.</w:t>
      </w:r>
    </w:p>
    <w:p>
      <w:pPr>
        <w:spacing w:after="0" w:line="27"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Pursuant to 17 C.F.R. Section 200.83</w:t>
      </w:r>
    </w:p>
    <w:p>
      <w:pPr>
        <w:spacing w:after="0" w:line="13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2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To the shareholders and the Board of Directors of AIDH Topco, LLC</w:t>
      </w:r>
    </w:p>
    <w:p>
      <w:pPr>
        <w:spacing w:after="0" w:line="32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Opinion on the Financial Statements</w:t>
      </w:r>
    </w:p>
    <w:p>
      <w:pPr>
        <w:spacing w:after="0" w:line="121" w:lineRule="exact"/>
        <w:rPr>
          <w:sz w:val="20"/>
          <w:szCs w:val="20"/>
          <w:color w:val="auto"/>
        </w:rPr>
      </w:pPr>
    </w:p>
    <w:p>
      <w:pPr>
        <w:ind w:left="120" w:right="40"/>
        <w:spacing w:after="0" w:line="271" w:lineRule="auto"/>
        <w:rPr>
          <w:sz w:val="20"/>
          <w:szCs w:val="20"/>
          <w:color w:val="auto"/>
        </w:rPr>
      </w:pPr>
      <w:r>
        <w:rPr>
          <w:rFonts w:ascii="Arial" w:cs="Arial" w:eastAsia="Arial" w:hAnsi="Arial"/>
          <w:sz w:val="17"/>
          <w:szCs w:val="17"/>
          <w:color w:val="auto"/>
        </w:rPr>
        <w:t>We have audited the accompanying consolidated balance sheets of AIDH TopCo, LLC and subsidiaries (the “Company”), as of December 31, 2020 and 2019 (Successor Company), and the related consolidated statements of (loss) income, comprehensive (loss) income, changes in members’ equity, and cash flows for the year ended December 31, 2020 (Successor Company) and for the periods from July 16, 2019 to December 31, 2019 (Successor Company) and January 1, 2019 to July 15, 2019 (Predecessor Company), and the related notes (collectively referred to as the “financial statements”). In our opinion, the financial statements present fairly, in all material respects, the financial position of the Company as of December 31, 2020 and 2019 (Successor Company), and the results of its operations and its cash flows for the year ended December 31, 2020 (Successor Company) and for the periods from July 16, 2019 to December 31, 2019 (Successor Company) and January 1, 2019 to July 15, 2019 (Predecessor Company), in conformity with accounting principles generally accepted in the United States of America.</w:t>
      </w:r>
    </w:p>
    <w:p>
      <w:pPr>
        <w:spacing w:after="0" w:line="28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Basis for Opinion</w:t>
      </w:r>
    </w:p>
    <w:p>
      <w:pPr>
        <w:spacing w:after="0" w:line="121" w:lineRule="exact"/>
        <w:rPr>
          <w:sz w:val="20"/>
          <w:szCs w:val="20"/>
          <w:color w:val="auto"/>
        </w:rPr>
      </w:pPr>
    </w:p>
    <w:p>
      <w:pPr>
        <w:ind w:left="120" w:right="60"/>
        <w:spacing w:after="0" w:line="259" w:lineRule="auto"/>
        <w:rPr>
          <w:sz w:val="20"/>
          <w:szCs w:val="20"/>
          <w:color w:val="auto"/>
        </w:rPr>
      </w:pPr>
      <w:r>
        <w:rPr>
          <w:rFonts w:ascii="Arial" w:cs="Arial" w:eastAsia="Arial" w:hAnsi="Arial"/>
          <w:sz w:val="18"/>
          <w:szCs w:val="18"/>
          <w:color w:val="auto"/>
        </w:rPr>
        <w:t>These financial statements are the responsibility of the Company’s management. Our responsibility is to express an opinion on the Company’s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87" w:lineRule="exact"/>
        <w:rPr>
          <w:sz w:val="20"/>
          <w:szCs w:val="20"/>
          <w:color w:val="auto"/>
        </w:rPr>
      </w:pPr>
    </w:p>
    <w:p>
      <w:pPr>
        <w:ind w:left="120" w:right="20"/>
        <w:spacing w:after="0" w:line="255" w:lineRule="auto"/>
        <w:rPr>
          <w:sz w:val="20"/>
          <w:szCs w:val="20"/>
          <w:color w:val="auto"/>
        </w:rPr>
      </w:pPr>
      <w:r>
        <w:rPr>
          <w:rFonts w:ascii="Arial" w:cs="Arial" w:eastAsia="Arial" w:hAnsi="Arial"/>
          <w:sz w:val="18"/>
          <w:szCs w:val="18"/>
          <w:color w:val="auto"/>
        </w:rPr>
        <w:t>We conducted our audits in accordance with the standards of the PCAOB and in accordance with auditing standards generally accepted in the United States of America. Those standards require that we plan and perform the audit to obtain reasonable assurance about whether the financial statements are free of material misstatement, whether due to error or fraud. The Company is not required to have, nor were we engaged to perform, an audit of its internal control over financial reporting. As part of our audits, we are required to obtain an understanding of internal control over financial reporting but not for the purpose of expressing an opinion on the effectiveness of the Company’s internal control over financial reporting. Accordingly, we express no such opinion.</w:t>
      </w:r>
    </w:p>
    <w:p>
      <w:pPr>
        <w:spacing w:after="0" w:line="192" w:lineRule="exact"/>
        <w:rPr>
          <w:sz w:val="20"/>
          <w:szCs w:val="20"/>
          <w:color w:val="auto"/>
        </w:rPr>
      </w:pPr>
    </w:p>
    <w:p>
      <w:pPr>
        <w:ind w:left="120"/>
        <w:spacing w:after="0" w:line="301" w:lineRule="auto"/>
        <w:rPr>
          <w:sz w:val="20"/>
          <w:szCs w:val="20"/>
          <w:color w:val="auto"/>
        </w:rPr>
      </w:pPr>
      <w:r>
        <w:rPr>
          <w:rFonts w:ascii="Arial" w:cs="Arial" w:eastAsia="Arial" w:hAnsi="Arial"/>
          <w:sz w:val="16"/>
          <w:szCs w:val="16"/>
          <w:color w:val="auto"/>
        </w:rPr>
        <w:t>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157" w:lineRule="exact"/>
        <w:rPr>
          <w:sz w:val="20"/>
          <w:szCs w:val="20"/>
          <w:color w:val="auto"/>
        </w:rPr>
      </w:pPr>
    </w:p>
    <w:p>
      <w:pPr>
        <w:ind w:left="120"/>
        <w:spacing w:after="0"/>
        <w:rPr>
          <w:sz w:val="20"/>
          <w:szCs w:val="20"/>
          <w:color w:val="auto"/>
        </w:rPr>
      </w:pPr>
      <w:r>
        <w:rPr>
          <w:rFonts w:ascii="Arial" w:cs="Arial" w:eastAsia="Arial" w:hAnsi="Arial"/>
          <w:sz w:val="18"/>
          <w:szCs w:val="18"/>
          <w:color w:val="auto"/>
        </w:rPr>
        <w:t>/s/ Deloitte &amp; Touche LLP</w:t>
      </w:r>
    </w:p>
    <w:p>
      <w:pPr>
        <w:spacing w:after="0" w:line="225" w:lineRule="exact"/>
        <w:rPr>
          <w:sz w:val="20"/>
          <w:szCs w:val="20"/>
          <w:color w:val="auto"/>
        </w:rPr>
      </w:pPr>
    </w:p>
    <w:p>
      <w:pPr>
        <w:ind w:left="120"/>
        <w:spacing w:after="0"/>
        <w:rPr>
          <w:sz w:val="20"/>
          <w:szCs w:val="20"/>
          <w:color w:val="auto"/>
        </w:rPr>
      </w:pPr>
      <w:r>
        <w:rPr>
          <w:rFonts w:ascii="Arial" w:cs="Arial" w:eastAsia="Arial" w:hAnsi="Arial"/>
          <w:sz w:val="18"/>
          <w:szCs w:val="18"/>
          <w:color w:val="auto"/>
        </w:rPr>
        <w:t>Boston, Massachusetts</w:t>
      </w:r>
    </w:p>
    <w:p>
      <w:pPr>
        <w:spacing w:after="0" w:line="23" w:lineRule="exact"/>
        <w:rPr>
          <w:sz w:val="20"/>
          <w:szCs w:val="20"/>
          <w:color w:val="auto"/>
        </w:rPr>
      </w:pPr>
    </w:p>
    <w:p>
      <w:pPr>
        <w:ind w:left="120"/>
        <w:spacing w:after="0"/>
        <w:rPr>
          <w:sz w:val="20"/>
          <w:szCs w:val="20"/>
          <w:color w:val="auto"/>
        </w:rPr>
      </w:pPr>
      <w:r>
        <w:rPr>
          <w:rFonts w:ascii="Arial" w:cs="Arial" w:eastAsia="Arial" w:hAnsi="Arial"/>
          <w:sz w:val="18"/>
          <w:szCs w:val="18"/>
          <w:color w:val="auto"/>
        </w:rPr>
        <w:t>May 28, 2021</w:t>
      </w:r>
    </w:p>
    <w:p>
      <w:pPr>
        <w:spacing w:after="0" w:line="211" w:lineRule="exact"/>
        <w:rPr>
          <w:sz w:val="20"/>
          <w:szCs w:val="20"/>
          <w:color w:val="auto"/>
        </w:rPr>
      </w:pPr>
    </w:p>
    <w:p>
      <w:pPr>
        <w:ind w:left="120"/>
        <w:spacing w:after="0"/>
        <w:rPr>
          <w:sz w:val="20"/>
          <w:szCs w:val="20"/>
          <w:color w:val="auto"/>
        </w:rPr>
      </w:pPr>
      <w:r>
        <w:rPr>
          <w:rFonts w:ascii="Arial" w:cs="Arial" w:eastAsia="Arial" w:hAnsi="Arial"/>
          <w:sz w:val="18"/>
          <w:szCs w:val="18"/>
          <w:color w:val="auto"/>
        </w:rPr>
        <w:t>We have served as the Company’s auditor since 2020.</w:t>
      </w:r>
    </w:p>
    <w:p>
      <w:pPr>
        <w:spacing w:after="0" w:line="158" w:lineRule="exact"/>
        <w:rPr>
          <w:sz w:val="20"/>
          <w:szCs w:val="20"/>
          <w:color w:val="auto"/>
        </w:rPr>
      </w:pPr>
    </w:p>
    <w:p>
      <w:pPr>
        <w:jc w:val="center"/>
        <w:ind w:right="-379"/>
        <w:spacing w:after="0"/>
        <w:rPr>
          <w:sz w:val="20"/>
          <w:szCs w:val="20"/>
          <w:color w:val="auto"/>
        </w:rPr>
      </w:pPr>
      <w:r>
        <w:rPr>
          <w:rFonts w:ascii="Arial" w:cs="Arial" w:eastAsia="Arial" w:hAnsi="Arial"/>
          <w:sz w:val="18"/>
          <w:szCs w:val="18"/>
          <w:color w:val="auto"/>
        </w:rPr>
        <w:t>F-7</w:t>
      </w:r>
    </w:p>
    <w:p>
      <w:pPr>
        <w:sectPr>
          <w:pgSz w:w="11900" w:h="16838" w:orient="portrait"/>
          <w:cols w:equalWidth="0" w:num="1">
            <w:col w:w="11100"/>
          </w:cols>
          <w:pgMar w:left="320" w:top="459" w:right="479" w:bottom="1440" w:gutter="0" w:footer="0" w:header="0"/>
        </w:sectPr>
      </w:pPr>
    </w:p>
    <w:bookmarkStart w:id="213" w:name="page214"/>
    <w:bookmarkEnd w:id="2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Confidential Treatment Requested by Definitive Healthcare Corp.</w:t>
      </w:r>
    </w:p>
    <w:p>
      <w:pPr>
        <w:spacing w:after="0" w:line="27"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Pursuant to 17 C.F.R. Section 200.83</w:t>
      </w:r>
    </w:p>
    <w:p>
      <w:pPr>
        <w:spacing w:after="0" w:line="139"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AIDH TOPCO, LLC</w:t>
      </w:r>
    </w:p>
    <w:p>
      <w:pPr>
        <w:spacing w:after="0" w:line="22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CONSOLIDATED BALANCE SHEETS</w:t>
      </w:r>
    </w:p>
    <w:p>
      <w:pPr>
        <w:spacing w:after="0" w:line="27" w:lineRule="exact"/>
        <w:rPr>
          <w:sz w:val="20"/>
          <w:szCs w:val="20"/>
          <w:color w:val="auto"/>
        </w:rPr>
      </w:pPr>
    </w:p>
    <w:p>
      <w:pPr>
        <w:jc w:val="center"/>
        <w:ind w:right="-99"/>
        <w:spacing w:after="0"/>
        <w:rPr>
          <w:sz w:val="20"/>
          <w:szCs w:val="20"/>
          <w:color w:val="auto"/>
        </w:rPr>
      </w:pPr>
      <w:r>
        <w:rPr>
          <w:rFonts w:ascii="Arial" w:cs="Arial" w:eastAsia="Arial" w:hAnsi="Arial"/>
          <w:sz w:val="18"/>
          <w:szCs w:val="18"/>
          <w:i w:val="1"/>
          <w:iCs w:val="1"/>
          <w:color w:val="auto"/>
        </w:rPr>
        <w:t>(in thousands, except number of units)</w:t>
      </w:r>
    </w:p>
    <w:p>
      <w:pPr>
        <w:spacing w:after="0" w:line="229"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88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100" w:type="dxa"/>
            <w:vAlign w:val="bottom"/>
            <w:gridSpan w:val="6"/>
          </w:tcPr>
          <w:p>
            <w:pPr>
              <w:jc w:val="right"/>
              <w:ind w:right="560"/>
              <w:spacing w:after="0"/>
              <w:rPr>
                <w:sz w:val="20"/>
                <w:szCs w:val="20"/>
                <w:color w:val="auto"/>
              </w:rPr>
            </w:pPr>
            <w:r>
              <w:rPr>
                <w:rFonts w:ascii="Arial" w:cs="Arial" w:eastAsia="Arial" w:hAnsi="Arial"/>
                <w:sz w:val="14"/>
                <w:szCs w:val="14"/>
                <w:b w:val="1"/>
                <w:bCs w:val="1"/>
                <w:color w:val="auto"/>
              </w:rPr>
              <w:t>Successor Company</w:t>
            </w:r>
          </w:p>
        </w:tc>
      </w:tr>
      <w:tr>
        <w:trPr>
          <w:trHeight w:val="119"/>
        </w:trPr>
        <w:tc>
          <w:tcPr>
            <w:tcW w:w="8800" w:type="dxa"/>
            <w:vAlign w:val="bottom"/>
          </w:tcPr>
          <w:p>
            <w:pPr>
              <w:spacing w:after="0"/>
              <w:rPr>
                <w:sz w:val="10"/>
                <w:szCs w:val="10"/>
                <w:color w:val="auto"/>
              </w:rPr>
            </w:pPr>
          </w:p>
        </w:tc>
        <w:tc>
          <w:tcPr>
            <w:tcW w:w="1060" w:type="dxa"/>
            <w:vAlign w:val="bottom"/>
            <w:tcBorders>
              <w:top w:val="single" w:sz="8" w:color="auto"/>
            </w:tcBorders>
            <w:gridSpan w:val="3"/>
          </w:tcPr>
          <w:p>
            <w:pPr>
              <w:ind w:left="20"/>
              <w:spacing w:after="0" w:line="119" w:lineRule="exact"/>
              <w:rPr>
                <w:sz w:val="20"/>
                <w:szCs w:val="20"/>
                <w:color w:val="auto"/>
              </w:rPr>
            </w:pPr>
            <w:r>
              <w:rPr>
                <w:rFonts w:ascii="Arial" w:cs="Arial" w:eastAsia="Arial" w:hAnsi="Arial"/>
                <w:sz w:val="13"/>
                <w:szCs w:val="13"/>
                <w:b w:val="1"/>
                <w:bCs w:val="1"/>
                <w:color w:val="auto"/>
              </w:rPr>
              <w:t>December 31,</w:t>
            </w:r>
          </w:p>
        </w:tc>
        <w:tc>
          <w:tcPr>
            <w:tcW w:w="140" w:type="dxa"/>
            <w:vAlign w:val="bottom"/>
            <w:tcBorders>
              <w:top w:val="single" w:sz="8" w:color="auto"/>
            </w:tcBorders>
          </w:tcPr>
          <w:p>
            <w:pPr>
              <w:spacing w:after="0"/>
              <w:rPr>
                <w:sz w:val="10"/>
                <w:szCs w:val="10"/>
                <w:color w:val="auto"/>
              </w:rPr>
            </w:pPr>
          </w:p>
        </w:tc>
        <w:tc>
          <w:tcPr>
            <w:tcW w:w="900" w:type="dxa"/>
            <w:vAlign w:val="bottom"/>
            <w:tcBorders>
              <w:top w:val="single" w:sz="8" w:color="auto"/>
            </w:tcBorders>
            <w:gridSpan w:val="2"/>
          </w:tcPr>
          <w:p>
            <w:pPr>
              <w:jc w:val="right"/>
              <w:spacing w:after="0" w:line="119" w:lineRule="exact"/>
              <w:rPr>
                <w:sz w:val="20"/>
                <w:szCs w:val="20"/>
                <w:color w:val="auto"/>
              </w:rPr>
            </w:pPr>
            <w:r>
              <w:rPr>
                <w:rFonts w:ascii="Arial" w:cs="Arial" w:eastAsia="Arial" w:hAnsi="Arial"/>
                <w:sz w:val="13"/>
                <w:szCs w:val="13"/>
                <w:b w:val="1"/>
                <w:bCs w:val="1"/>
                <w:color w:val="auto"/>
                <w:w w:val="99"/>
              </w:rPr>
              <w:t>December 31,</w:t>
            </w:r>
          </w:p>
        </w:tc>
        <w:tc>
          <w:tcPr>
            <w:tcW w:w="120" w:type="dxa"/>
            <w:vAlign w:val="bottom"/>
          </w:tcPr>
          <w:p>
            <w:pPr>
              <w:spacing w:after="0"/>
              <w:rPr>
                <w:sz w:val="10"/>
                <w:szCs w:val="10"/>
                <w:color w:val="auto"/>
              </w:rPr>
            </w:pPr>
          </w:p>
        </w:tc>
      </w:tr>
      <w:tr>
        <w:trPr>
          <w:trHeight w:val="171"/>
        </w:trPr>
        <w:tc>
          <w:tcPr>
            <w:tcW w:w="880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ind w:right="211"/>
              <w:spacing w:after="0"/>
              <w:rPr>
                <w:sz w:val="20"/>
                <w:szCs w:val="20"/>
                <w:color w:val="auto"/>
              </w:rPr>
            </w:pPr>
            <w:r>
              <w:rPr>
                <w:rFonts w:ascii="Arial" w:cs="Arial" w:eastAsia="Arial" w:hAnsi="Arial"/>
                <w:sz w:val="14"/>
                <w:szCs w:val="14"/>
                <w:b w:val="1"/>
                <w:bCs w:val="1"/>
                <w:color w:val="auto"/>
              </w:rPr>
              <w:t>2020</w:t>
            </w:r>
          </w:p>
        </w:tc>
        <w:tc>
          <w:tcPr>
            <w:tcW w:w="180" w:type="dxa"/>
            <w:vAlign w:val="bottom"/>
            <w:tcBorders>
              <w:bottom w:val="single" w:sz="8" w:color="CCEEFF"/>
            </w:tcBorders>
          </w:tcPr>
          <w:p>
            <w:pPr>
              <w:spacing w:after="0"/>
              <w:rPr>
                <w:sz w:val="14"/>
                <w:szCs w:val="14"/>
                <w:color w:val="auto"/>
              </w:rPr>
            </w:pPr>
          </w:p>
        </w:tc>
        <w:tc>
          <w:tcPr>
            <w:tcW w:w="14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ind w:right="231"/>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CCEEFF"/>
            </w:tcBorders>
          </w:tcPr>
          <w:p>
            <w:pPr>
              <w:spacing w:after="0"/>
              <w:rPr>
                <w:sz w:val="14"/>
                <w:szCs w:val="14"/>
                <w:color w:val="auto"/>
              </w:rPr>
            </w:pPr>
          </w:p>
        </w:tc>
      </w:tr>
      <w:tr>
        <w:trPr>
          <w:trHeight w:val="196"/>
        </w:trPr>
        <w:tc>
          <w:tcPr>
            <w:tcW w:w="880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Assets</w:t>
            </w:r>
          </w:p>
        </w:tc>
        <w:tc>
          <w:tcPr>
            <w:tcW w:w="1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r>
      <w:tr>
        <w:trPr>
          <w:trHeight w:val="216"/>
        </w:trPr>
        <w:tc>
          <w:tcPr>
            <w:tcW w:w="8800" w:type="dxa"/>
            <w:vAlign w:val="bottom"/>
          </w:tcPr>
          <w:p>
            <w:pPr>
              <w:spacing w:after="0"/>
              <w:rPr>
                <w:sz w:val="20"/>
                <w:szCs w:val="20"/>
                <w:color w:val="auto"/>
              </w:rPr>
            </w:pPr>
            <w:r>
              <w:rPr>
                <w:rFonts w:ascii="Arial" w:cs="Arial" w:eastAsia="Arial" w:hAnsi="Arial"/>
                <w:sz w:val="18"/>
                <w:szCs w:val="18"/>
                <w:color w:val="auto"/>
              </w:rPr>
              <w:t>Current assets:</w:t>
            </w: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88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Cash and cash equivalents</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9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24,774</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8,618</w:t>
            </w:r>
          </w:p>
        </w:tc>
      </w:tr>
      <w:tr>
        <w:trPr>
          <w:trHeight w:val="216"/>
        </w:trPr>
        <w:tc>
          <w:tcPr>
            <w:tcW w:w="8800" w:type="dxa"/>
            <w:vAlign w:val="bottom"/>
          </w:tcPr>
          <w:p>
            <w:pPr>
              <w:ind w:left="360"/>
              <w:spacing w:after="0"/>
              <w:rPr>
                <w:sz w:val="20"/>
                <w:szCs w:val="20"/>
                <w:color w:val="auto"/>
              </w:rPr>
            </w:pPr>
            <w:r>
              <w:rPr>
                <w:rFonts w:ascii="Arial" w:cs="Arial" w:eastAsia="Arial" w:hAnsi="Arial"/>
                <w:sz w:val="18"/>
                <w:szCs w:val="18"/>
                <w:color w:val="auto"/>
              </w:rPr>
              <w:t>Accounts receivable, net</w:t>
            </w:r>
          </w:p>
        </w:tc>
        <w:tc>
          <w:tcPr>
            <w:tcW w:w="120" w:type="dxa"/>
            <w:vAlign w:val="bottom"/>
          </w:tcPr>
          <w:p>
            <w:pPr>
              <w:spacing w:after="0"/>
              <w:rPr>
                <w:sz w:val="18"/>
                <w:szCs w:val="18"/>
                <w:color w:val="auto"/>
              </w:rPr>
            </w:pPr>
          </w:p>
        </w:tc>
        <w:tc>
          <w:tcPr>
            <w:tcW w:w="940" w:type="dxa"/>
            <w:vAlign w:val="bottom"/>
            <w:gridSpan w:val="2"/>
          </w:tcPr>
          <w:p>
            <w:pPr>
              <w:jc w:val="right"/>
              <w:ind w:right="180"/>
              <w:spacing w:after="0"/>
              <w:rPr>
                <w:sz w:val="20"/>
                <w:szCs w:val="20"/>
                <w:color w:val="auto"/>
              </w:rPr>
            </w:pPr>
            <w:r>
              <w:rPr>
                <w:rFonts w:ascii="Arial" w:cs="Arial" w:eastAsia="Arial" w:hAnsi="Arial"/>
                <w:sz w:val="18"/>
                <w:szCs w:val="18"/>
                <w:color w:val="auto"/>
              </w:rPr>
              <w:t>33,108</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gridSpan w:val="2"/>
          </w:tcPr>
          <w:p>
            <w:pPr>
              <w:jc w:val="right"/>
              <w:ind w:right="120"/>
              <w:spacing w:after="0"/>
              <w:rPr>
                <w:sz w:val="20"/>
                <w:szCs w:val="20"/>
                <w:color w:val="auto"/>
              </w:rPr>
            </w:pPr>
            <w:r>
              <w:rPr>
                <w:rFonts w:ascii="Arial" w:cs="Arial" w:eastAsia="Arial" w:hAnsi="Arial"/>
                <w:sz w:val="18"/>
                <w:szCs w:val="18"/>
                <w:color w:val="auto"/>
              </w:rPr>
              <w:t>25,021</w:t>
            </w:r>
          </w:p>
        </w:tc>
      </w:tr>
      <w:tr>
        <w:trPr>
          <w:trHeight w:val="216"/>
        </w:trPr>
        <w:tc>
          <w:tcPr>
            <w:tcW w:w="88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Prepaid expenses and other current assets</w:t>
            </w:r>
          </w:p>
        </w:tc>
        <w:tc>
          <w:tcPr>
            <w:tcW w:w="1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3,016</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1,699</w:t>
            </w:r>
          </w:p>
        </w:tc>
      </w:tr>
      <w:tr>
        <w:trPr>
          <w:trHeight w:val="223"/>
        </w:trPr>
        <w:tc>
          <w:tcPr>
            <w:tcW w:w="8800" w:type="dxa"/>
            <w:vAlign w:val="bottom"/>
          </w:tcPr>
          <w:p>
            <w:pPr>
              <w:ind w:left="360"/>
              <w:spacing w:after="0"/>
              <w:rPr>
                <w:sz w:val="20"/>
                <w:szCs w:val="20"/>
                <w:color w:val="auto"/>
              </w:rPr>
            </w:pPr>
            <w:r>
              <w:rPr>
                <w:rFonts w:ascii="Arial" w:cs="Arial" w:eastAsia="Arial" w:hAnsi="Arial"/>
                <w:sz w:val="18"/>
                <w:szCs w:val="18"/>
                <w:color w:val="auto"/>
              </w:rPr>
              <w:t>Current portion of deferred contract costs</w:t>
            </w:r>
          </w:p>
        </w:tc>
        <w:tc>
          <w:tcPr>
            <w:tcW w:w="12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2,947</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769</w:t>
            </w:r>
          </w:p>
        </w:tc>
        <w:tc>
          <w:tcPr>
            <w:tcW w:w="120" w:type="dxa"/>
            <w:vAlign w:val="bottom"/>
          </w:tcPr>
          <w:p>
            <w:pPr>
              <w:spacing w:after="0"/>
              <w:rPr>
                <w:sz w:val="19"/>
                <w:szCs w:val="19"/>
                <w:color w:val="auto"/>
              </w:rPr>
            </w:pPr>
          </w:p>
        </w:tc>
      </w:tr>
      <w:tr>
        <w:trPr>
          <w:trHeight w:val="216"/>
        </w:trPr>
        <w:tc>
          <w:tcPr>
            <w:tcW w:w="8800" w:type="dxa"/>
            <w:vAlign w:val="bottom"/>
            <w:shd w:val="clear" w:color="auto" w:fill="CCEEFF"/>
          </w:tcPr>
          <w:p>
            <w:pPr>
              <w:ind w:left="720"/>
              <w:spacing w:after="0"/>
              <w:rPr>
                <w:sz w:val="20"/>
                <w:szCs w:val="20"/>
                <w:color w:val="auto"/>
              </w:rPr>
            </w:pPr>
            <w:r>
              <w:rPr>
                <w:rFonts w:ascii="Arial" w:cs="Arial" w:eastAsia="Arial" w:hAnsi="Arial"/>
                <w:sz w:val="18"/>
                <w:szCs w:val="18"/>
                <w:b w:val="1"/>
                <w:bCs w:val="1"/>
                <w:color w:val="auto"/>
              </w:rPr>
              <w:t>Total current assets</w:t>
            </w:r>
          </w:p>
        </w:tc>
        <w:tc>
          <w:tcPr>
            <w:tcW w:w="1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63,845</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36,107</w:t>
            </w:r>
          </w:p>
        </w:tc>
      </w:tr>
      <w:tr>
        <w:trPr>
          <w:trHeight w:val="324"/>
        </w:trPr>
        <w:tc>
          <w:tcPr>
            <w:tcW w:w="8800" w:type="dxa"/>
            <w:vAlign w:val="bottom"/>
          </w:tcPr>
          <w:p>
            <w:pPr>
              <w:spacing w:after="0"/>
              <w:rPr>
                <w:sz w:val="20"/>
                <w:szCs w:val="20"/>
                <w:color w:val="auto"/>
              </w:rPr>
            </w:pPr>
            <w:r>
              <w:rPr>
                <w:rFonts w:ascii="Arial" w:cs="Arial" w:eastAsia="Arial" w:hAnsi="Arial"/>
                <w:sz w:val="18"/>
                <w:szCs w:val="18"/>
                <w:color w:val="auto"/>
              </w:rPr>
              <w:t>Property and equipment, net</w:t>
            </w:r>
          </w:p>
        </w:tc>
        <w:tc>
          <w:tcPr>
            <w:tcW w:w="120" w:type="dxa"/>
            <w:vAlign w:val="bottom"/>
          </w:tcPr>
          <w:p>
            <w:pPr>
              <w:spacing w:after="0"/>
              <w:rPr>
                <w:sz w:val="24"/>
                <w:szCs w:val="24"/>
                <w:color w:val="auto"/>
              </w:rPr>
            </w:pPr>
          </w:p>
        </w:tc>
        <w:tc>
          <w:tcPr>
            <w:tcW w:w="940" w:type="dxa"/>
            <w:vAlign w:val="bottom"/>
            <w:gridSpan w:val="2"/>
          </w:tcPr>
          <w:p>
            <w:pPr>
              <w:jc w:val="right"/>
              <w:ind w:right="180"/>
              <w:spacing w:after="0"/>
              <w:rPr>
                <w:sz w:val="20"/>
                <w:szCs w:val="20"/>
                <w:color w:val="auto"/>
              </w:rPr>
            </w:pPr>
            <w:r>
              <w:rPr>
                <w:rFonts w:ascii="Arial" w:cs="Arial" w:eastAsia="Arial" w:hAnsi="Arial"/>
                <w:sz w:val="18"/>
                <w:szCs w:val="18"/>
                <w:color w:val="auto"/>
              </w:rPr>
              <w:t>3,248</w:t>
            </w: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80" w:type="dxa"/>
            <w:vAlign w:val="bottom"/>
            <w:gridSpan w:val="2"/>
          </w:tcPr>
          <w:p>
            <w:pPr>
              <w:jc w:val="right"/>
              <w:ind w:right="120"/>
              <w:spacing w:after="0"/>
              <w:rPr>
                <w:sz w:val="20"/>
                <w:szCs w:val="20"/>
                <w:color w:val="auto"/>
              </w:rPr>
            </w:pPr>
            <w:r>
              <w:rPr>
                <w:rFonts w:ascii="Arial" w:cs="Arial" w:eastAsia="Arial" w:hAnsi="Arial"/>
                <w:sz w:val="18"/>
                <w:szCs w:val="18"/>
                <w:color w:val="auto"/>
              </w:rPr>
              <w:t>2,558</w:t>
            </w:r>
          </w:p>
        </w:tc>
      </w:tr>
      <w:tr>
        <w:trPr>
          <w:trHeight w:val="216"/>
        </w:trPr>
        <w:tc>
          <w:tcPr>
            <w:tcW w:w="8800" w:type="dxa"/>
            <w:vAlign w:val="bottom"/>
            <w:shd w:val="clear" w:color="auto" w:fill="CCEEFF"/>
          </w:tcPr>
          <w:p>
            <w:pPr>
              <w:spacing w:after="0"/>
              <w:rPr>
                <w:sz w:val="20"/>
                <w:szCs w:val="20"/>
                <w:color w:val="auto"/>
              </w:rPr>
            </w:pPr>
            <w:r>
              <w:rPr>
                <w:rFonts w:ascii="Arial" w:cs="Arial" w:eastAsia="Arial" w:hAnsi="Arial"/>
                <w:sz w:val="18"/>
                <w:szCs w:val="18"/>
                <w:color w:val="auto"/>
              </w:rPr>
              <w:t>Other assets</w:t>
            </w:r>
          </w:p>
        </w:tc>
        <w:tc>
          <w:tcPr>
            <w:tcW w:w="1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472</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607</w:t>
            </w:r>
          </w:p>
        </w:tc>
      </w:tr>
      <w:tr>
        <w:trPr>
          <w:trHeight w:val="216"/>
        </w:trPr>
        <w:tc>
          <w:tcPr>
            <w:tcW w:w="8800" w:type="dxa"/>
            <w:vAlign w:val="bottom"/>
          </w:tcPr>
          <w:p>
            <w:pPr>
              <w:spacing w:after="0"/>
              <w:rPr>
                <w:sz w:val="20"/>
                <w:szCs w:val="20"/>
                <w:color w:val="auto"/>
              </w:rPr>
            </w:pPr>
            <w:r>
              <w:rPr>
                <w:rFonts w:ascii="Arial" w:cs="Arial" w:eastAsia="Arial" w:hAnsi="Arial"/>
                <w:sz w:val="18"/>
                <w:szCs w:val="18"/>
                <w:color w:val="auto"/>
              </w:rPr>
              <w:t>Deferred contract costs, net of current portion</w:t>
            </w:r>
          </w:p>
        </w:tc>
        <w:tc>
          <w:tcPr>
            <w:tcW w:w="120" w:type="dxa"/>
            <w:vAlign w:val="bottom"/>
          </w:tcPr>
          <w:p>
            <w:pPr>
              <w:spacing w:after="0"/>
              <w:rPr>
                <w:sz w:val="18"/>
                <w:szCs w:val="18"/>
                <w:color w:val="auto"/>
              </w:rPr>
            </w:pPr>
          </w:p>
        </w:tc>
        <w:tc>
          <w:tcPr>
            <w:tcW w:w="940" w:type="dxa"/>
            <w:vAlign w:val="bottom"/>
            <w:gridSpan w:val="2"/>
          </w:tcPr>
          <w:p>
            <w:pPr>
              <w:jc w:val="right"/>
              <w:ind w:right="180"/>
              <w:spacing w:after="0"/>
              <w:rPr>
                <w:sz w:val="20"/>
                <w:szCs w:val="20"/>
                <w:color w:val="auto"/>
              </w:rPr>
            </w:pPr>
            <w:r>
              <w:rPr>
                <w:rFonts w:ascii="Arial" w:cs="Arial" w:eastAsia="Arial" w:hAnsi="Arial"/>
                <w:sz w:val="18"/>
                <w:szCs w:val="18"/>
                <w:color w:val="auto"/>
              </w:rPr>
              <w:t>5,952</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gridSpan w:val="2"/>
          </w:tcPr>
          <w:p>
            <w:pPr>
              <w:jc w:val="right"/>
              <w:ind w:right="120"/>
              <w:spacing w:after="0"/>
              <w:rPr>
                <w:sz w:val="20"/>
                <w:szCs w:val="20"/>
                <w:color w:val="auto"/>
              </w:rPr>
            </w:pPr>
            <w:r>
              <w:rPr>
                <w:rFonts w:ascii="Arial" w:cs="Arial" w:eastAsia="Arial" w:hAnsi="Arial"/>
                <w:sz w:val="18"/>
                <w:szCs w:val="18"/>
                <w:color w:val="auto"/>
              </w:rPr>
              <w:t>2,116</w:t>
            </w:r>
          </w:p>
        </w:tc>
      </w:tr>
      <w:tr>
        <w:trPr>
          <w:trHeight w:val="216"/>
        </w:trPr>
        <w:tc>
          <w:tcPr>
            <w:tcW w:w="8800" w:type="dxa"/>
            <w:vAlign w:val="bottom"/>
            <w:shd w:val="clear" w:color="auto" w:fill="CCEEFF"/>
          </w:tcPr>
          <w:p>
            <w:pPr>
              <w:spacing w:after="0"/>
              <w:rPr>
                <w:sz w:val="20"/>
                <w:szCs w:val="20"/>
                <w:color w:val="auto"/>
              </w:rPr>
            </w:pPr>
            <w:r>
              <w:rPr>
                <w:rFonts w:ascii="Arial" w:cs="Arial" w:eastAsia="Arial" w:hAnsi="Arial"/>
                <w:sz w:val="18"/>
                <w:szCs w:val="18"/>
                <w:color w:val="auto"/>
              </w:rPr>
              <w:t>Deferred tax asset</w:t>
            </w:r>
          </w:p>
        </w:tc>
        <w:tc>
          <w:tcPr>
            <w:tcW w:w="1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161</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212</w:t>
            </w:r>
          </w:p>
        </w:tc>
      </w:tr>
      <w:tr>
        <w:trPr>
          <w:trHeight w:val="216"/>
        </w:trPr>
        <w:tc>
          <w:tcPr>
            <w:tcW w:w="8800" w:type="dxa"/>
            <w:vAlign w:val="bottom"/>
          </w:tcPr>
          <w:p>
            <w:pPr>
              <w:spacing w:after="0"/>
              <w:rPr>
                <w:sz w:val="20"/>
                <w:szCs w:val="20"/>
                <w:color w:val="auto"/>
              </w:rPr>
            </w:pPr>
            <w:r>
              <w:rPr>
                <w:rFonts w:ascii="Arial" w:cs="Arial" w:eastAsia="Arial" w:hAnsi="Arial"/>
                <w:sz w:val="18"/>
                <w:szCs w:val="18"/>
                <w:color w:val="auto"/>
              </w:rPr>
              <w:t>Intangible assets, net</w:t>
            </w:r>
          </w:p>
        </w:tc>
        <w:tc>
          <w:tcPr>
            <w:tcW w:w="120" w:type="dxa"/>
            <w:vAlign w:val="bottom"/>
          </w:tcPr>
          <w:p>
            <w:pPr>
              <w:spacing w:after="0"/>
              <w:rPr>
                <w:sz w:val="18"/>
                <w:szCs w:val="18"/>
                <w:color w:val="auto"/>
              </w:rPr>
            </w:pPr>
          </w:p>
        </w:tc>
        <w:tc>
          <w:tcPr>
            <w:tcW w:w="940" w:type="dxa"/>
            <w:vAlign w:val="bottom"/>
            <w:gridSpan w:val="2"/>
          </w:tcPr>
          <w:p>
            <w:pPr>
              <w:jc w:val="right"/>
              <w:ind w:right="180"/>
              <w:spacing w:after="0"/>
              <w:rPr>
                <w:sz w:val="20"/>
                <w:szCs w:val="20"/>
                <w:color w:val="auto"/>
              </w:rPr>
            </w:pPr>
            <w:r>
              <w:rPr>
                <w:rFonts w:ascii="Arial" w:cs="Arial" w:eastAsia="Arial" w:hAnsi="Arial"/>
                <w:sz w:val="18"/>
                <w:szCs w:val="18"/>
                <w:color w:val="auto"/>
              </w:rPr>
              <w:t>410,237</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gridSpan w:val="2"/>
          </w:tcPr>
          <w:p>
            <w:pPr>
              <w:jc w:val="right"/>
              <w:ind w:right="120"/>
              <w:spacing w:after="0"/>
              <w:rPr>
                <w:sz w:val="20"/>
                <w:szCs w:val="20"/>
                <w:color w:val="auto"/>
              </w:rPr>
            </w:pPr>
            <w:r>
              <w:rPr>
                <w:rFonts w:ascii="Arial" w:cs="Arial" w:eastAsia="Arial" w:hAnsi="Arial"/>
                <w:sz w:val="18"/>
                <w:szCs w:val="18"/>
                <w:color w:val="auto"/>
              </w:rPr>
              <w:t>446,381</w:t>
            </w:r>
          </w:p>
        </w:tc>
      </w:tr>
      <w:tr>
        <w:trPr>
          <w:trHeight w:val="216"/>
        </w:trPr>
        <w:tc>
          <w:tcPr>
            <w:tcW w:w="8800" w:type="dxa"/>
            <w:vAlign w:val="bottom"/>
            <w:shd w:val="clear" w:color="auto" w:fill="CCEEFF"/>
          </w:tcPr>
          <w:p>
            <w:pPr>
              <w:spacing w:after="0"/>
              <w:rPr>
                <w:sz w:val="20"/>
                <w:szCs w:val="20"/>
                <w:color w:val="auto"/>
              </w:rPr>
            </w:pPr>
            <w:r>
              <w:rPr>
                <w:rFonts w:ascii="Arial" w:cs="Arial" w:eastAsia="Arial" w:hAnsi="Arial"/>
                <w:sz w:val="18"/>
                <w:szCs w:val="18"/>
                <w:color w:val="auto"/>
              </w:rPr>
              <w:t>Goodwill</w:t>
            </w:r>
          </w:p>
        </w:tc>
        <w:tc>
          <w:tcPr>
            <w:tcW w:w="1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92"/>
              </w:rPr>
              <w:t>1,261,444</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2"/>
              </w:rPr>
              <w:t>1,233,173</w:t>
            </w:r>
          </w:p>
        </w:tc>
      </w:tr>
      <w:tr>
        <w:trPr>
          <w:trHeight w:val="223"/>
        </w:trPr>
        <w:tc>
          <w:tcPr>
            <w:tcW w:w="8800" w:type="dxa"/>
            <w:vAlign w:val="bottom"/>
          </w:tcPr>
          <w:p>
            <w:pPr>
              <w:ind w:left="720"/>
              <w:spacing w:after="0"/>
              <w:rPr>
                <w:sz w:val="20"/>
                <w:szCs w:val="20"/>
                <w:color w:val="auto"/>
              </w:rPr>
            </w:pPr>
            <w:r>
              <w:rPr>
                <w:rFonts w:ascii="Arial" w:cs="Arial" w:eastAsia="Arial" w:hAnsi="Arial"/>
                <w:sz w:val="18"/>
                <w:szCs w:val="18"/>
                <w:b w:val="1"/>
                <w:bCs w:val="1"/>
                <w:color w:val="auto"/>
              </w:rPr>
              <w:t>Total assets</w:t>
            </w:r>
          </w:p>
        </w:tc>
        <w:tc>
          <w:tcPr>
            <w:tcW w:w="1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99"/>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2"/>
              </w:rPr>
              <w:t>1,745,359</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2"/>
              </w:rPr>
              <w:t>1,721,154</w:t>
            </w:r>
          </w:p>
        </w:tc>
        <w:tc>
          <w:tcPr>
            <w:tcW w:w="120" w:type="dxa"/>
            <w:vAlign w:val="bottom"/>
          </w:tcPr>
          <w:p>
            <w:pPr>
              <w:spacing w:after="0"/>
              <w:rPr>
                <w:sz w:val="19"/>
                <w:szCs w:val="19"/>
                <w:color w:val="auto"/>
              </w:rPr>
            </w:pPr>
          </w:p>
        </w:tc>
      </w:tr>
      <w:tr>
        <w:trPr>
          <w:trHeight w:val="20"/>
        </w:trPr>
        <w:tc>
          <w:tcPr>
            <w:tcW w:w="88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10"/>
        </w:trPr>
        <w:tc>
          <w:tcPr>
            <w:tcW w:w="88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Liabilities and Members’ Capital</w:t>
            </w: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324"/>
        </w:trPr>
        <w:tc>
          <w:tcPr>
            <w:tcW w:w="8800" w:type="dxa"/>
            <w:vAlign w:val="bottom"/>
          </w:tcPr>
          <w:p>
            <w:pPr>
              <w:spacing w:after="0"/>
              <w:rPr>
                <w:sz w:val="20"/>
                <w:szCs w:val="20"/>
                <w:color w:val="auto"/>
              </w:rPr>
            </w:pPr>
            <w:r>
              <w:rPr>
                <w:rFonts w:ascii="Arial" w:cs="Arial" w:eastAsia="Arial" w:hAnsi="Arial"/>
                <w:sz w:val="18"/>
                <w:szCs w:val="18"/>
                <w:color w:val="auto"/>
              </w:rPr>
              <w:t>Current liabilities:</w:t>
            </w:r>
          </w:p>
        </w:tc>
        <w:tc>
          <w:tcPr>
            <w:tcW w:w="1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216"/>
        </w:trPr>
        <w:tc>
          <w:tcPr>
            <w:tcW w:w="88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Accounts payable</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9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5,662</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2,157</w:t>
            </w:r>
          </w:p>
        </w:tc>
      </w:tr>
      <w:tr>
        <w:trPr>
          <w:trHeight w:val="216"/>
        </w:trPr>
        <w:tc>
          <w:tcPr>
            <w:tcW w:w="8800" w:type="dxa"/>
            <w:vAlign w:val="bottom"/>
          </w:tcPr>
          <w:p>
            <w:pPr>
              <w:ind w:left="360"/>
              <w:spacing w:after="0"/>
              <w:rPr>
                <w:sz w:val="20"/>
                <w:szCs w:val="20"/>
                <w:color w:val="auto"/>
              </w:rPr>
            </w:pPr>
            <w:r>
              <w:rPr>
                <w:rFonts w:ascii="Arial" w:cs="Arial" w:eastAsia="Arial" w:hAnsi="Arial"/>
                <w:sz w:val="18"/>
                <w:szCs w:val="18"/>
                <w:color w:val="auto"/>
              </w:rPr>
              <w:t>Accrued expenses and other current liabilities</w:t>
            </w:r>
          </w:p>
        </w:tc>
        <w:tc>
          <w:tcPr>
            <w:tcW w:w="120" w:type="dxa"/>
            <w:vAlign w:val="bottom"/>
          </w:tcPr>
          <w:p>
            <w:pPr>
              <w:spacing w:after="0"/>
              <w:rPr>
                <w:sz w:val="18"/>
                <w:szCs w:val="18"/>
                <w:color w:val="auto"/>
              </w:rPr>
            </w:pPr>
          </w:p>
        </w:tc>
        <w:tc>
          <w:tcPr>
            <w:tcW w:w="940" w:type="dxa"/>
            <w:vAlign w:val="bottom"/>
            <w:gridSpan w:val="2"/>
          </w:tcPr>
          <w:p>
            <w:pPr>
              <w:jc w:val="right"/>
              <w:ind w:right="180"/>
              <w:spacing w:after="0"/>
              <w:rPr>
                <w:sz w:val="20"/>
                <w:szCs w:val="20"/>
                <w:color w:val="auto"/>
              </w:rPr>
            </w:pPr>
            <w:r>
              <w:rPr>
                <w:rFonts w:ascii="Arial" w:cs="Arial" w:eastAsia="Arial" w:hAnsi="Arial"/>
                <w:sz w:val="18"/>
                <w:szCs w:val="18"/>
                <w:color w:val="auto"/>
              </w:rPr>
              <w:t>17,321</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gridSpan w:val="2"/>
          </w:tcPr>
          <w:p>
            <w:pPr>
              <w:jc w:val="right"/>
              <w:ind w:right="120"/>
              <w:spacing w:after="0"/>
              <w:rPr>
                <w:sz w:val="20"/>
                <w:szCs w:val="20"/>
                <w:color w:val="auto"/>
              </w:rPr>
            </w:pPr>
            <w:r>
              <w:rPr>
                <w:rFonts w:ascii="Arial" w:cs="Arial" w:eastAsia="Arial" w:hAnsi="Arial"/>
                <w:sz w:val="18"/>
                <w:szCs w:val="18"/>
                <w:color w:val="auto"/>
              </w:rPr>
              <w:t>10,348</w:t>
            </w:r>
          </w:p>
        </w:tc>
      </w:tr>
      <w:tr>
        <w:trPr>
          <w:trHeight w:val="216"/>
        </w:trPr>
        <w:tc>
          <w:tcPr>
            <w:tcW w:w="88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Members’ distribution payable</w:t>
            </w:r>
          </w:p>
        </w:tc>
        <w:tc>
          <w:tcPr>
            <w:tcW w:w="1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6,935</w:t>
            </w:r>
          </w:p>
        </w:tc>
      </w:tr>
      <w:tr>
        <w:trPr>
          <w:trHeight w:val="216"/>
        </w:trPr>
        <w:tc>
          <w:tcPr>
            <w:tcW w:w="8800" w:type="dxa"/>
            <w:vAlign w:val="bottom"/>
          </w:tcPr>
          <w:p>
            <w:pPr>
              <w:ind w:left="360"/>
              <w:spacing w:after="0"/>
              <w:rPr>
                <w:sz w:val="20"/>
                <w:szCs w:val="20"/>
                <w:color w:val="auto"/>
              </w:rPr>
            </w:pPr>
            <w:r>
              <w:rPr>
                <w:rFonts w:ascii="Arial" w:cs="Arial" w:eastAsia="Arial" w:hAnsi="Arial"/>
                <w:sz w:val="18"/>
                <w:szCs w:val="18"/>
                <w:color w:val="auto"/>
              </w:rPr>
              <w:t>Current portion of deferred revenue</w:t>
            </w:r>
          </w:p>
        </w:tc>
        <w:tc>
          <w:tcPr>
            <w:tcW w:w="120" w:type="dxa"/>
            <w:vAlign w:val="bottom"/>
          </w:tcPr>
          <w:p>
            <w:pPr>
              <w:spacing w:after="0"/>
              <w:rPr>
                <w:sz w:val="18"/>
                <w:szCs w:val="18"/>
                <w:color w:val="auto"/>
              </w:rPr>
            </w:pPr>
          </w:p>
        </w:tc>
        <w:tc>
          <w:tcPr>
            <w:tcW w:w="940" w:type="dxa"/>
            <w:vAlign w:val="bottom"/>
            <w:gridSpan w:val="2"/>
          </w:tcPr>
          <w:p>
            <w:pPr>
              <w:jc w:val="right"/>
              <w:ind w:right="180"/>
              <w:spacing w:after="0"/>
              <w:rPr>
                <w:sz w:val="20"/>
                <w:szCs w:val="20"/>
                <w:color w:val="auto"/>
              </w:rPr>
            </w:pPr>
            <w:r>
              <w:rPr>
                <w:rFonts w:ascii="Arial" w:cs="Arial" w:eastAsia="Arial" w:hAnsi="Arial"/>
                <w:sz w:val="18"/>
                <w:szCs w:val="18"/>
                <w:color w:val="auto"/>
              </w:rPr>
              <w:t>61,060</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gridSpan w:val="2"/>
          </w:tcPr>
          <w:p>
            <w:pPr>
              <w:jc w:val="right"/>
              <w:ind w:right="120"/>
              <w:spacing w:after="0"/>
              <w:rPr>
                <w:sz w:val="20"/>
                <w:szCs w:val="20"/>
                <w:color w:val="auto"/>
              </w:rPr>
            </w:pPr>
            <w:r>
              <w:rPr>
                <w:rFonts w:ascii="Arial" w:cs="Arial" w:eastAsia="Arial" w:hAnsi="Arial"/>
                <w:sz w:val="18"/>
                <w:szCs w:val="18"/>
                <w:color w:val="auto"/>
              </w:rPr>
              <w:t>45,977</w:t>
            </w:r>
          </w:p>
        </w:tc>
      </w:tr>
      <w:tr>
        <w:trPr>
          <w:trHeight w:val="216"/>
        </w:trPr>
        <w:tc>
          <w:tcPr>
            <w:tcW w:w="88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Current portion of term loan</w:t>
            </w:r>
          </w:p>
        </w:tc>
        <w:tc>
          <w:tcPr>
            <w:tcW w:w="1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4,680</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4,500</w:t>
            </w:r>
          </w:p>
        </w:tc>
      </w:tr>
      <w:tr>
        <w:trPr>
          <w:trHeight w:val="224"/>
        </w:trPr>
        <w:tc>
          <w:tcPr>
            <w:tcW w:w="8800" w:type="dxa"/>
            <w:vAlign w:val="bottom"/>
          </w:tcPr>
          <w:p>
            <w:pPr>
              <w:ind w:left="720"/>
              <w:spacing w:after="0"/>
              <w:rPr>
                <w:sz w:val="20"/>
                <w:szCs w:val="20"/>
                <w:color w:val="auto"/>
              </w:rPr>
            </w:pPr>
            <w:r>
              <w:rPr>
                <w:rFonts w:ascii="Arial" w:cs="Arial" w:eastAsia="Arial" w:hAnsi="Arial"/>
                <w:sz w:val="18"/>
                <w:szCs w:val="18"/>
                <w:b w:val="1"/>
                <w:bCs w:val="1"/>
                <w:color w:val="auto"/>
              </w:rPr>
              <w:t>Total current liabilities</w:t>
            </w:r>
          </w:p>
        </w:tc>
        <w:tc>
          <w:tcPr>
            <w:tcW w:w="120" w:type="dxa"/>
            <w:vAlign w:val="bottom"/>
            <w:tcBorders>
              <w:top w:val="single" w:sz="8" w:color="auto"/>
            </w:tcBorders>
          </w:tcPr>
          <w:p>
            <w:pPr>
              <w:spacing w:after="0"/>
              <w:rPr>
                <w:sz w:val="19"/>
                <w:szCs w:val="19"/>
                <w:color w:val="auto"/>
              </w:rPr>
            </w:pP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88,723</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69,917</w:t>
            </w:r>
          </w:p>
        </w:tc>
        <w:tc>
          <w:tcPr>
            <w:tcW w:w="120" w:type="dxa"/>
            <w:vAlign w:val="bottom"/>
          </w:tcPr>
          <w:p>
            <w:pPr>
              <w:spacing w:after="0"/>
              <w:rPr>
                <w:sz w:val="19"/>
                <w:szCs w:val="19"/>
                <w:color w:val="auto"/>
              </w:rPr>
            </w:pPr>
          </w:p>
        </w:tc>
      </w:tr>
      <w:tr>
        <w:trPr>
          <w:trHeight w:val="107"/>
        </w:trPr>
        <w:tc>
          <w:tcPr>
            <w:tcW w:w="8800" w:type="dxa"/>
            <w:vAlign w:val="bottom"/>
          </w:tcPr>
          <w:p>
            <w:pPr>
              <w:spacing w:after="0"/>
              <w:rPr>
                <w:sz w:val="9"/>
                <w:szCs w:val="9"/>
                <w:color w:val="auto"/>
              </w:rPr>
            </w:pPr>
          </w:p>
        </w:tc>
        <w:tc>
          <w:tcPr>
            <w:tcW w:w="120" w:type="dxa"/>
            <w:vAlign w:val="bottom"/>
          </w:tcPr>
          <w:p>
            <w:pPr>
              <w:spacing w:after="0"/>
              <w:rPr>
                <w:sz w:val="9"/>
                <w:szCs w:val="9"/>
                <w:color w:val="auto"/>
              </w:rPr>
            </w:pPr>
          </w:p>
        </w:tc>
        <w:tc>
          <w:tcPr>
            <w:tcW w:w="760" w:type="dxa"/>
            <w:vAlign w:val="bottom"/>
          </w:tcPr>
          <w:p>
            <w:pPr>
              <w:spacing w:after="0"/>
              <w:rPr>
                <w:sz w:val="9"/>
                <w:szCs w:val="9"/>
                <w:color w:val="auto"/>
              </w:rPr>
            </w:pPr>
          </w:p>
        </w:tc>
        <w:tc>
          <w:tcPr>
            <w:tcW w:w="180" w:type="dxa"/>
            <w:vAlign w:val="bottom"/>
          </w:tcPr>
          <w:p>
            <w:pPr>
              <w:spacing w:after="0"/>
              <w:rPr>
                <w:sz w:val="9"/>
                <w:szCs w:val="9"/>
                <w:color w:val="auto"/>
              </w:rPr>
            </w:pPr>
          </w:p>
        </w:tc>
        <w:tc>
          <w:tcPr>
            <w:tcW w:w="140" w:type="dxa"/>
            <w:vAlign w:val="bottom"/>
          </w:tcPr>
          <w:p>
            <w:pPr>
              <w:spacing w:after="0"/>
              <w:rPr>
                <w:sz w:val="9"/>
                <w:szCs w:val="9"/>
                <w:color w:val="auto"/>
              </w:rPr>
            </w:pPr>
          </w:p>
        </w:tc>
        <w:tc>
          <w:tcPr>
            <w:tcW w:w="140" w:type="dxa"/>
            <w:vAlign w:val="bottom"/>
          </w:tcPr>
          <w:p>
            <w:pPr>
              <w:spacing w:after="0"/>
              <w:rPr>
                <w:sz w:val="9"/>
                <w:szCs w:val="9"/>
                <w:color w:val="auto"/>
              </w:rPr>
            </w:pPr>
          </w:p>
        </w:tc>
        <w:tc>
          <w:tcPr>
            <w:tcW w:w="760" w:type="dxa"/>
            <w:vAlign w:val="bottom"/>
          </w:tcPr>
          <w:p>
            <w:pPr>
              <w:spacing w:after="0"/>
              <w:rPr>
                <w:sz w:val="9"/>
                <w:szCs w:val="9"/>
                <w:color w:val="auto"/>
              </w:rPr>
            </w:pPr>
          </w:p>
        </w:tc>
        <w:tc>
          <w:tcPr>
            <w:tcW w:w="120" w:type="dxa"/>
            <w:vAlign w:val="bottom"/>
          </w:tcPr>
          <w:p>
            <w:pPr>
              <w:spacing w:after="0"/>
              <w:rPr>
                <w:sz w:val="9"/>
                <w:szCs w:val="9"/>
                <w:color w:val="auto"/>
              </w:rPr>
            </w:pPr>
          </w:p>
        </w:tc>
      </w:tr>
      <w:tr>
        <w:trPr>
          <w:trHeight w:val="216"/>
        </w:trPr>
        <w:tc>
          <w:tcPr>
            <w:tcW w:w="8800" w:type="dxa"/>
            <w:vAlign w:val="bottom"/>
            <w:shd w:val="clear" w:color="auto" w:fill="CCEEFF"/>
          </w:tcPr>
          <w:p>
            <w:pPr>
              <w:spacing w:after="0"/>
              <w:rPr>
                <w:sz w:val="20"/>
                <w:szCs w:val="20"/>
                <w:color w:val="auto"/>
              </w:rPr>
            </w:pPr>
            <w:r>
              <w:rPr>
                <w:rFonts w:ascii="Arial" w:cs="Arial" w:eastAsia="Arial" w:hAnsi="Arial"/>
                <w:sz w:val="18"/>
                <w:szCs w:val="18"/>
                <w:color w:val="auto"/>
              </w:rPr>
              <w:t>Long term liabilities:</w:t>
            </w: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8800" w:type="dxa"/>
            <w:vAlign w:val="bottom"/>
          </w:tcPr>
          <w:p>
            <w:pPr>
              <w:ind w:left="360"/>
              <w:spacing w:after="0"/>
              <w:rPr>
                <w:sz w:val="20"/>
                <w:szCs w:val="20"/>
                <w:color w:val="auto"/>
              </w:rPr>
            </w:pPr>
            <w:r>
              <w:rPr>
                <w:rFonts w:ascii="Arial" w:cs="Arial" w:eastAsia="Arial" w:hAnsi="Arial"/>
                <w:sz w:val="18"/>
                <w:szCs w:val="18"/>
                <w:color w:val="auto"/>
              </w:rPr>
              <w:t>Deferred revenue</w:t>
            </w:r>
          </w:p>
        </w:tc>
        <w:tc>
          <w:tcPr>
            <w:tcW w:w="120" w:type="dxa"/>
            <w:vAlign w:val="bottom"/>
          </w:tcPr>
          <w:p>
            <w:pPr>
              <w:spacing w:after="0"/>
              <w:rPr>
                <w:sz w:val="18"/>
                <w:szCs w:val="18"/>
                <w:color w:val="auto"/>
              </w:rPr>
            </w:pPr>
          </w:p>
        </w:tc>
        <w:tc>
          <w:tcPr>
            <w:tcW w:w="940" w:type="dxa"/>
            <w:vAlign w:val="bottom"/>
            <w:gridSpan w:val="2"/>
          </w:tcPr>
          <w:p>
            <w:pPr>
              <w:jc w:val="right"/>
              <w:ind w:right="180"/>
              <w:spacing w:after="0"/>
              <w:rPr>
                <w:sz w:val="20"/>
                <w:szCs w:val="20"/>
                <w:color w:val="auto"/>
              </w:rPr>
            </w:pPr>
            <w:r>
              <w:rPr>
                <w:rFonts w:ascii="Arial" w:cs="Arial" w:eastAsia="Arial" w:hAnsi="Arial"/>
                <w:sz w:val="18"/>
                <w:szCs w:val="18"/>
                <w:color w:val="auto"/>
              </w:rPr>
              <w:t>140</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gridSpan w:val="2"/>
          </w:tcPr>
          <w:p>
            <w:pPr>
              <w:jc w:val="right"/>
              <w:ind w:right="120"/>
              <w:spacing w:after="0"/>
              <w:rPr>
                <w:sz w:val="20"/>
                <w:szCs w:val="20"/>
                <w:color w:val="auto"/>
              </w:rPr>
            </w:pPr>
            <w:r>
              <w:rPr>
                <w:rFonts w:ascii="Arial" w:cs="Arial" w:eastAsia="Arial" w:hAnsi="Arial"/>
                <w:sz w:val="18"/>
                <w:szCs w:val="18"/>
                <w:color w:val="auto"/>
              </w:rPr>
              <w:t>148</w:t>
            </w:r>
          </w:p>
        </w:tc>
      </w:tr>
      <w:tr>
        <w:trPr>
          <w:trHeight w:val="216"/>
        </w:trPr>
        <w:tc>
          <w:tcPr>
            <w:tcW w:w="88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Term loan, net of current portion</w:t>
            </w:r>
          </w:p>
        </w:tc>
        <w:tc>
          <w:tcPr>
            <w:tcW w:w="1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457,197</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434,849</w:t>
            </w:r>
          </w:p>
        </w:tc>
      </w:tr>
      <w:tr>
        <w:trPr>
          <w:trHeight w:val="223"/>
        </w:trPr>
        <w:tc>
          <w:tcPr>
            <w:tcW w:w="8800" w:type="dxa"/>
            <w:vAlign w:val="bottom"/>
          </w:tcPr>
          <w:p>
            <w:pPr>
              <w:ind w:left="360"/>
              <w:spacing w:after="0"/>
              <w:rPr>
                <w:sz w:val="20"/>
                <w:szCs w:val="20"/>
                <w:color w:val="auto"/>
              </w:rPr>
            </w:pPr>
            <w:r>
              <w:rPr>
                <w:rFonts w:ascii="Arial" w:cs="Arial" w:eastAsia="Arial" w:hAnsi="Arial"/>
                <w:sz w:val="18"/>
                <w:szCs w:val="18"/>
                <w:color w:val="auto"/>
              </w:rPr>
              <w:t>Other long-term liabilities</w:t>
            </w:r>
          </w:p>
        </w:tc>
        <w:tc>
          <w:tcPr>
            <w:tcW w:w="12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3,736</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r>
      <w:tr>
        <w:trPr>
          <w:trHeight w:val="216"/>
        </w:trPr>
        <w:tc>
          <w:tcPr>
            <w:tcW w:w="8800" w:type="dxa"/>
            <w:vAlign w:val="bottom"/>
            <w:shd w:val="clear" w:color="auto" w:fill="CCEEFF"/>
          </w:tcPr>
          <w:p>
            <w:pPr>
              <w:ind w:left="720"/>
              <w:spacing w:after="0"/>
              <w:rPr>
                <w:sz w:val="20"/>
                <w:szCs w:val="20"/>
                <w:color w:val="auto"/>
              </w:rPr>
            </w:pPr>
            <w:r>
              <w:rPr>
                <w:rFonts w:ascii="Arial" w:cs="Arial" w:eastAsia="Arial" w:hAnsi="Arial"/>
                <w:sz w:val="18"/>
                <w:szCs w:val="18"/>
                <w:b w:val="1"/>
                <w:bCs w:val="1"/>
                <w:color w:val="auto"/>
              </w:rPr>
              <w:t>Total liabilities</w:t>
            </w:r>
          </w:p>
        </w:tc>
        <w:tc>
          <w:tcPr>
            <w:tcW w:w="1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549,796</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504,914</w:t>
            </w:r>
          </w:p>
        </w:tc>
      </w:tr>
      <w:tr>
        <w:trPr>
          <w:trHeight w:val="284"/>
        </w:trPr>
        <w:tc>
          <w:tcPr>
            <w:tcW w:w="8800" w:type="dxa"/>
            <w:vAlign w:val="bottom"/>
          </w:tcPr>
          <w:p>
            <w:pPr>
              <w:spacing w:after="0"/>
              <w:rPr>
                <w:sz w:val="20"/>
                <w:szCs w:val="20"/>
                <w:color w:val="auto"/>
              </w:rPr>
            </w:pPr>
            <w:r>
              <w:rPr>
                <w:rFonts w:ascii="Arial" w:cs="Arial" w:eastAsia="Arial" w:hAnsi="Arial"/>
                <w:sz w:val="18"/>
                <w:szCs w:val="18"/>
                <w:b w:val="1"/>
                <w:bCs w:val="1"/>
                <w:color w:val="auto"/>
              </w:rPr>
              <w:t>Commitments and Contingencies (Note 11)</w:t>
            </w:r>
          </w:p>
        </w:tc>
        <w:tc>
          <w:tcPr>
            <w:tcW w:w="1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108"/>
        </w:trPr>
        <w:tc>
          <w:tcPr>
            <w:tcW w:w="8800" w:type="dxa"/>
            <w:vAlign w:val="bottom"/>
          </w:tcPr>
          <w:p>
            <w:pPr>
              <w:spacing w:after="0"/>
              <w:rPr>
                <w:sz w:val="9"/>
                <w:szCs w:val="9"/>
                <w:color w:val="auto"/>
              </w:rPr>
            </w:pPr>
          </w:p>
        </w:tc>
        <w:tc>
          <w:tcPr>
            <w:tcW w:w="120" w:type="dxa"/>
            <w:vAlign w:val="bottom"/>
          </w:tcPr>
          <w:p>
            <w:pPr>
              <w:spacing w:after="0"/>
              <w:rPr>
                <w:sz w:val="9"/>
                <w:szCs w:val="9"/>
                <w:color w:val="auto"/>
              </w:rPr>
            </w:pPr>
          </w:p>
        </w:tc>
        <w:tc>
          <w:tcPr>
            <w:tcW w:w="760" w:type="dxa"/>
            <w:vAlign w:val="bottom"/>
          </w:tcPr>
          <w:p>
            <w:pPr>
              <w:spacing w:after="0"/>
              <w:rPr>
                <w:sz w:val="9"/>
                <w:szCs w:val="9"/>
                <w:color w:val="auto"/>
              </w:rPr>
            </w:pPr>
          </w:p>
        </w:tc>
        <w:tc>
          <w:tcPr>
            <w:tcW w:w="180" w:type="dxa"/>
            <w:vAlign w:val="bottom"/>
          </w:tcPr>
          <w:p>
            <w:pPr>
              <w:spacing w:after="0"/>
              <w:rPr>
                <w:sz w:val="9"/>
                <w:szCs w:val="9"/>
                <w:color w:val="auto"/>
              </w:rPr>
            </w:pPr>
          </w:p>
        </w:tc>
        <w:tc>
          <w:tcPr>
            <w:tcW w:w="140" w:type="dxa"/>
            <w:vAlign w:val="bottom"/>
          </w:tcPr>
          <w:p>
            <w:pPr>
              <w:spacing w:after="0"/>
              <w:rPr>
                <w:sz w:val="9"/>
                <w:szCs w:val="9"/>
                <w:color w:val="auto"/>
              </w:rPr>
            </w:pPr>
          </w:p>
        </w:tc>
        <w:tc>
          <w:tcPr>
            <w:tcW w:w="140" w:type="dxa"/>
            <w:vAlign w:val="bottom"/>
          </w:tcPr>
          <w:p>
            <w:pPr>
              <w:spacing w:after="0"/>
              <w:rPr>
                <w:sz w:val="9"/>
                <w:szCs w:val="9"/>
                <w:color w:val="auto"/>
              </w:rPr>
            </w:pPr>
          </w:p>
        </w:tc>
        <w:tc>
          <w:tcPr>
            <w:tcW w:w="760" w:type="dxa"/>
            <w:vAlign w:val="bottom"/>
          </w:tcPr>
          <w:p>
            <w:pPr>
              <w:spacing w:after="0"/>
              <w:rPr>
                <w:sz w:val="9"/>
                <w:szCs w:val="9"/>
                <w:color w:val="auto"/>
              </w:rPr>
            </w:pPr>
          </w:p>
        </w:tc>
        <w:tc>
          <w:tcPr>
            <w:tcW w:w="120" w:type="dxa"/>
            <w:vAlign w:val="bottom"/>
          </w:tcPr>
          <w:p>
            <w:pPr>
              <w:spacing w:after="0"/>
              <w:rPr>
                <w:sz w:val="9"/>
                <w:szCs w:val="9"/>
                <w:color w:val="auto"/>
              </w:rPr>
            </w:pPr>
          </w:p>
        </w:tc>
      </w:tr>
      <w:tr>
        <w:trPr>
          <w:trHeight w:val="216"/>
        </w:trPr>
        <w:tc>
          <w:tcPr>
            <w:tcW w:w="8800" w:type="dxa"/>
            <w:vAlign w:val="bottom"/>
            <w:shd w:val="clear" w:color="auto" w:fill="CCEEFF"/>
          </w:tcPr>
          <w:p>
            <w:pPr>
              <w:spacing w:after="0"/>
              <w:rPr>
                <w:sz w:val="20"/>
                <w:szCs w:val="20"/>
                <w:color w:val="auto"/>
              </w:rPr>
            </w:pPr>
            <w:r>
              <w:rPr>
                <w:rFonts w:ascii="Arial" w:cs="Arial" w:eastAsia="Arial" w:hAnsi="Arial"/>
                <w:sz w:val="18"/>
                <w:szCs w:val="18"/>
                <w:color w:val="auto"/>
              </w:rPr>
              <w:t>Members’ capital:</w:t>
            </w: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02"/>
        </w:trPr>
        <w:tc>
          <w:tcPr>
            <w:tcW w:w="8800" w:type="dxa"/>
            <w:vAlign w:val="bottom"/>
          </w:tcPr>
          <w:p>
            <w:pPr>
              <w:ind w:left="360"/>
              <w:spacing w:after="0" w:line="201" w:lineRule="exact"/>
              <w:rPr>
                <w:sz w:val="20"/>
                <w:szCs w:val="20"/>
                <w:color w:val="auto"/>
              </w:rPr>
            </w:pPr>
            <w:r>
              <w:rPr>
                <w:rFonts w:ascii="Arial" w:cs="Arial" w:eastAsia="Arial" w:hAnsi="Arial"/>
                <w:sz w:val="18"/>
                <w:szCs w:val="18"/>
                <w:color w:val="auto"/>
                <w:w w:val="93"/>
              </w:rPr>
              <w:t>Class A units, 130,245,990 and 127,125,435 units authorized, issued and outstanding at December 31, 2020 and</w:t>
            </w: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230"/>
        </w:trPr>
        <w:tc>
          <w:tcPr>
            <w:tcW w:w="8800" w:type="dxa"/>
            <w:vAlign w:val="bottom"/>
          </w:tcPr>
          <w:p>
            <w:pPr>
              <w:ind w:left="540"/>
              <w:spacing w:after="0"/>
              <w:rPr>
                <w:sz w:val="20"/>
                <w:szCs w:val="20"/>
                <w:color w:val="auto"/>
              </w:rPr>
            </w:pPr>
            <w:r>
              <w:rPr>
                <w:rFonts w:ascii="Arial" w:cs="Arial" w:eastAsia="Arial" w:hAnsi="Arial"/>
                <w:sz w:val="18"/>
                <w:szCs w:val="18"/>
                <w:color w:val="auto"/>
              </w:rPr>
              <w:t>2019, respectively</w:t>
            </w:r>
          </w:p>
        </w:tc>
        <w:tc>
          <w:tcPr>
            <w:tcW w:w="120" w:type="dxa"/>
            <w:vAlign w:val="bottom"/>
          </w:tcPr>
          <w:p>
            <w:pPr>
              <w:spacing w:after="0"/>
              <w:rPr>
                <w:sz w:val="20"/>
                <w:szCs w:val="20"/>
                <w:color w:val="auto"/>
              </w:rPr>
            </w:pPr>
          </w:p>
        </w:tc>
        <w:tc>
          <w:tcPr>
            <w:tcW w:w="940" w:type="dxa"/>
            <w:vAlign w:val="bottom"/>
            <w:gridSpan w:val="2"/>
          </w:tcPr>
          <w:p>
            <w:pPr>
              <w:jc w:val="right"/>
              <w:ind w:right="180"/>
              <w:spacing w:after="0"/>
              <w:rPr>
                <w:sz w:val="20"/>
                <w:szCs w:val="20"/>
                <w:color w:val="auto"/>
              </w:rPr>
            </w:pPr>
            <w:r>
              <w:rPr>
                <w:rFonts w:ascii="Arial" w:cs="Arial" w:eastAsia="Arial" w:hAnsi="Arial"/>
                <w:sz w:val="18"/>
                <w:szCs w:val="18"/>
                <w:color w:val="auto"/>
                <w:w w:val="92"/>
              </w:rPr>
              <w:t>1,303,058</w:t>
            </w: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80" w:type="dxa"/>
            <w:vAlign w:val="bottom"/>
            <w:gridSpan w:val="2"/>
          </w:tcPr>
          <w:p>
            <w:pPr>
              <w:jc w:val="right"/>
              <w:ind w:right="120"/>
              <w:spacing w:after="0"/>
              <w:rPr>
                <w:sz w:val="20"/>
                <w:szCs w:val="20"/>
                <w:color w:val="auto"/>
              </w:rPr>
            </w:pPr>
            <w:r>
              <w:rPr>
                <w:rFonts w:ascii="Arial" w:cs="Arial" w:eastAsia="Arial" w:hAnsi="Arial"/>
                <w:sz w:val="18"/>
                <w:szCs w:val="18"/>
                <w:color w:val="auto"/>
                <w:w w:val="92"/>
              </w:rPr>
              <w:t>1,271,254</w:t>
            </w:r>
          </w:p>
        </w:tc>
      </w:tr>
      <w:tr>
        <w:trPr>
          <w:trHeight w:val="202"/>
        </w:trPr>
        <w:tc>
          <w:tcPr>
            <w:tcW w:w="8800" w:type="dxa"/>
            <w:vAlign w:val="bottom"/>
            <w:shd w:val="clear" w:color="auto" w:fill="CCEEFF"/>
          </w:tcPr>
          <w:p>
            <w:pPr>
              <w:ind w:left="360"/>
              <w:spacing w:after="0" w:line="201" w:lineRule="exact"/>
              <w:rPr>
                <w:sz w:val="20"/>
                <w:szCs w:val="20"/>
                <w:color w:val="auto"/>
              </w:rPr>
            </w:pPr>
            <w:r>
              <w:rPr>
                <w:rFonts w:ascii="Arial" w:cs="Arial" w:eastAsia="Arial" w:hAnsi="Arial"/>
                <w:sz w:val="18"/>
                <w:szCs w:val="18"/>
                <w:color w:val="auto"/>
                <w:w w:val="93"/>
              </w:rPr>
              <w:t>Class B units, 8,088,877 units authorized at December 31, 2020 and 2019; 3,720,063 and 3,799,364 units issued</w:t>
            </w:r>
          </w:p>
        </w:tc>
        <w:tc>
          <w:tcPr>
            <w:tcW w:w="1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r>
      <w:tr>
        <w:trPr>
          <w:trHeight w:val="216"/>
        </w:trPr>
        <w:tc>
          <w:tcPr>
            <w:tcW w:w="8800" w:type="dxa"/>
            <w:vAlign w:val="bottom"/>
            <w:shd w:val="clear" w:color="auto" w:fill="CCEEFF"/>
          </w:tcPr>
          <w:p>
            <w:pPr>
              <w:ind w:left="540"/>
              <w:spacing w:after="0"/>
              <w:rPr>
                <w:sz w:val="20"/>
                <w:szCs w:val="20"/>
                <w:color w:val="auto"/>
              </w:rPr>
            </w:pPr>
            <w:r>
              <w:rPr>
                <w:rFonts w:ascii="Arial" w:cs="Arial" w:eastAsia="Arial" w:hAnsi="Arial"/>
                <w:sz w:val="18"/>
                <w:szCs w:val="18"/>
                <w:color w:val="auto"/>
                <w:w w:val="93"/>
              </w:rPr>
              <w:t>at December 31, 2020 and 2019, respectively; and 474,920 and 0 units outstanding at December 31, 2020 and</w:t>
            </w: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44"/>
        </w:trPr>
        <w:tc>
          <w:tcPr>
            <w:tcW w:w="8800" w:type="dxa"/>
            <w:vAlign w:val="bottom"/>
            <w:shd w:val="clear" w:color="auto" w:fill="CCEEFF"/>
          </w:tcPr>
          <w:p>
            <w:pPr>
              <w:ind w:left="540"/>
              <w:spacing w:after="0"/>
              <w:rPr>
                <w:sz w:val="20"/>
                <w:szCs w:val="20"/>
                <w:color w:val="auto"/>
              </w:rPr>
            </w:pPr>
            <w:r>
              <w:rPr>
                <w:rFonts w:ascii="Arial" w:cs="Arial" w:eastAsia="Arial" w:hAnsi="Arial"/>
                <w:sz w:val="18"/>
                <w:szCs w:val="18"/>
                <w:color w:val="auto"/>
              </w:rPr>
              <w:t>2019, respectively</w:t>
            </w:r>
          </w:p>
        </w:tc>
        <w:tc>
          <w:tcPr>
            <w:tcW w:w="120" w:type="dxa"/>
            <w:vAlign w:val="bottom"/>
            <w:shd w:val="clear" w:color="auto" w:fill="CCEEFF"/>
          </w:tcPr>
          <w:p>
            <w:pPr>
              <w:spacing w:after="0"/>
              <w:rPr>
                <w:sz w:val="21"/>
                <w:szCs w:val="21"/>
                <w:color w:val="auto"/>
              </w:rPr>
            </w:pPr>
          </w:p>
        </w:tc>
        <w:tc>
          <w:tcPr>
            <w:tcW w:w="9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2,491</w:t>
            </w:r>
          </w:p>
        </w:tc>
        <w:tc>
          <w:tcPr>
            <w:tcW w:w="14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8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744</w:t>
            </w:r>
          </w:p>
        </w:tc>
      </w:tr>
      <w:tr>
        <w:trPr>
          <w:trHeight w:val="216"/>
        </w:trPr>
        <w:tc>
          <w:tcPr>
            <w:tcW w:w="8800" w:type="dxa"/>
            <w:vAlign w:val="bottom"/>
          </w:tcPr>
          <w:p>
            <w:pPr>
              <w:ind w:left="360"/>
              <w:spacing w:after="0"/>
              <w:rPr>
                <w:sz w:val="20"/>
                <w:szCs w:val="20"/>
                <w:color w:val="auto"/>
              </w:rPr>
            </w:pPr>
            <w:r>
              <w:rPr>
                <w:rFonts w:ascii="Arial" w:cs="Arial" w:eastAsia="Arial" w:hAnsi="Arial"/>
                <w:sz w:val="18"/>
                <w:szCs w:val="18"/>
                <w:color w:val="auto"/>
              </w:rPr>
              <w:t>Accumulated deficit</w:t>
            </w:r>
          </w:p>
        </w:tc>
        <w:tc>
          <w:tcPr>
            <w:tcW w:w="120" w:type="dxa"/>
            <w:vAlign w:val="bottom"/>
          </w:tcPr>
          <w:p>
            <w:pPr>
              <w:spacing w:after="0"/>
              <w:rPr>
                <w:sz w:val="18"/>
                <w:szCs w:val="18"/>
                <w:color w:val="auto"/>
              </w:rPr>
            </w:pPr>
          </w:p>
        </w:tc>
        <w:tc>
          <w:tcPr>
            <w:tcW w:w="940" w:type="dxa"/>
            <w:vAlign w:val="bottom"/>
            <w:gridSpan w:val="2"/>
          </w:tcPr>
          <w:p>
            <w:pPr>
              <w:jc w:val="right"/>
              <w:ind w:right="120"/>
              <w:spacing w:after="0"/>
              <w:rPr>
                <w:sz w:val="20"/>
                <w:szCs w:val="20"/>
                <w:color w:val="auto"/>
              </w:rPr>
            </w:pPr>
            <w:r>
              <w:rPr>
                <w:rFonts w:ascii="Arial" w:cs="Arial" w:eastAsia="Arial" w:hAnsi="Arial"/>
                <w:sz w:val="18"/>
                <w:szCs w:val="18"/>
                <w:color w:val="auto"/>
              </w:rPr>
              <w:t>(109,855)</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gridSpan w:val="2"/>
          </w:tcPr>
          <w:p>
            <w:pPr>
              <w:jc w:val="right"/>
              <w:ind w:right="60"/>
              <w:spacing w:after="0"/>
              <w:rPr>
                <w:sz w:val="20"/>
                <w:szCs w:val="20"/>
                <w:color w:val="auto"/>
              </w:rPr>
            </w:pPr>
            <w:r>
              <w:rPr>
                <w:rFonts w:ascii="Arial" w:cs="Arial" w:eastAsia="Arial" w:hAnsi="Arial"/>
                <w:sz w:val="18"/>
                <w:szCs w:val="18"/>
                <w:color w:val="auto"/>
              </w:rPr>
              <w:t>(55,758)</w:t>
            </w:r>
          </w:p>
        </w:tc>
      </w:tr>
      <w:tr>
        <w:trPr>
          <w:trHeight w:val="216"/>
        </w:trPr>
        <w:tc>
          <w:tcPr>
            <w:tcW w:w="88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Accumulated other comprehensive loss</w:t>
            </w:r>
          </w:p>
        </w:tc>
        <w:tc>
          <w:tcPr>
            <w:tcW w:w="1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(131)</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r>
      <w:tr>
        <w:trPr>
          <w:trHeight w:val="230"/>
        </w:trPr>
        <w:tc>
          <w:tcPr>
            <w:tcW w:w="8800" w:type="dxa"/>
            <w:vAlign w:val="bottom"/>
          </w:tcPr>
          <w:p>
            <w:pPr>
              <w:ind w:left="720"/>
              <w:spacing w:after="0"/>
              <w:rPr>
                <w:sz w:val="20"/>
                <w:szCs w:val="20"/>
                <w:color w:val="auto"/>
              </w:rPr>
            </w:pPr>
            <w:r>
              <w:rPr>
                <w:rFonts w:ascii="Arial" w:cs="Arial" w:eastAsia="Arial" w:hAnsi="Arial"/>
                <w:sz w:val="18"/>
                <w:szCs w:val="18"/>
                <w:b w:val="1"/>
                <w:bCs w:val="1"/>
                <w:color w:val="auto"/>
              </w:rPr>
              <w:t>Total members’ capital</w:t>
            </w:r>
          </w:p>
        </w:tc>
        <w:tc>
          <w:tcPr>
            <w:tcW w:w="120" w:type="dxa"/>
            <w:vAlign w:val="bottom"/>
            <w:tcBorders>
              <w:top w:val="single" w:sz="8" w:color="auto"/>
              <w:bottom w:val="single" w:sz="8" w:color="auto"/>
            </w:tcBorders>
          </w:tcPr>
          <w:p>
            <w:pPr>
              <w:spacing w:after="0"/>
              <w:rPr>
                <w:sz w:val="20"/>
                <w:szCs w:val="20"/>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2"/>
              </w:rPr>
              <w:t>1,195,563</w:t>
            </w: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0" w:type="dxa"/>
            <w:vAlign w:val="bottom"/>
            <w:tcBorders>
              <w:top w:val="single" w:sz="8" w:color="auto"/>
              <w:bottom w:val="single" w:sz="8" w:color="auto"/>
            </w:tcBorders>
          </w:tcPr>
          <w:p>
            <w:pPr>
              <w:spacing w:after="0"/>
              <w:rPr>
                <w:sz w:val="20"/>
                <w:szCs w:val="20"/>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2"/>
              </w:rPr>
              <w:t>1,216,240</w:t>
            </w:r>
          </w:p>
        </w:tc>
        <w:tc>
          <w:tcPr>
            <w:tcW w:w="120" w:type="dxa"/>
            <w:vAlign w:val="bottom"/>
          </w:tcPr>
          <w:p>
            <w:pPr>
              <w:spacing w:after="0"/>
              <w:rPr>
                <w:sz w:val="20"/>
                <w:szCs w:val="20"/>
                <w:color w:val="auto"/>
              </w:rPr>
            </w:pPr>
          </w:p>
        </w:tc>
      </w:tr>
      <w:tr>
        <w:trPr>
          <w:trHeight w:val="216"/>
        </w:trPr>
        <w:tc>
          <w:tcPr>
            <w:tcW w:w="8800" w:type="dxa"/>
            <w:vAlign w:val="bottom"/>
            <w:shd w:val="clear" w:color="auto" w:fill="CCEEFF"/>
          </w:tcPr>
          <w:p>
            <w:pPr>
              <w:ind w:left="720"/>
              <w:spacing w:after="0"/>
              <w:rPr>
                <w:sz w:val="20"/>
                <w:szCs w:val="20"/>
                <w:color w:val="auto"/>
              </w:rPr>
            </w:pPr>
            <w:r>
              <w:rPr>
                <w:rFonts w:ascii="Arial" w:cs="Arial" w:eastAsia="Arial" w:hAnsi="Arial"/>
                <w:sz w:val="18"/>
                <w:szCs w:val="18"/>
                <w:b w:val="1"/>
                <w:bCs w:val="1"/>
                <w:color w:val="auto"/>
              </w:rPr>
              <w:t>Total liabilities and members’ capital</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9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92"/>
              </w:rPr>
              <w:t>1,745,359</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2"/>
              </w:rPr>
              <w:t>1,721,154</w:t>
            </w:r>
          </w:p>
        </w:tc>
      </w:tr>
      <w:tr>
        <w:trPr>
          <w:trHeight w:val="20"/>
        </w:trPr>
        <w:tc>
          <w:tcPr>
            <w:tcW w:w="88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15" w:lineRule="exact"/>
        <w:rPr>
          <w:sz w:val="20"/>
          <w:szCs w:val="20"/>
          <w:color w:val="auto"/>
        </w:rPr>
      </w:pPr>
    </w:p>
    <w:p>
      <w:pPr>
        <w:ind w:left="3980"/>
        <w:spacing w:after="0"/>
        <w:rPr>
          <w:sz w:val="20"/>
          <w:szCs w:val="20"/>
          <w:color w:val="auto"/>
        </w:rPr>
      </w:pPr>
      <w:r>
        <w:rPr>
          <w:rFonts w:ascii="Arial" w:cs="Arial" w:eastAsia="Arial" w:hAnsi="Arial"/>
          <w:sz w:val="18"/>
          <w:szCs w:val="18"/>
          <w:color w:val="auto"/>
        </w:rPr>
        <w:t>See notes to consolidated financial statements</w:t>
      </w:r>
    </w:p>
    <w:p>
      <w:pPr>
        <w:spacing w:after="0" w:line="158"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F-8</w:t>
      </w:r>
    </w:p>
    <w:p>
      <w:pPr>
        <w:sectPr>
          <w:pgSz w:w="11900" w:h="16838" w:orient="portrait"/>
          <w:cols w:equalWidth="0" w:num="1">
            <w:col w:w="11140"/>
          </w:cols>
          <w:pgMar w:left="320" w:top="459" w:right="439" w:bottom="1440" w:gutter="0" w:footer="0" w:header="0"/>
        </w:sectPr>
      </w:pPr>
    </w:p>
    <w:bookmarkStart w:id="214" w:name="page215"/>
    <w:bookmarkEnd w:id="2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Confidential Treatment Requested by Definitive Healthcare Corp.</w:t>
      </w:r>
    </w:p>
    <w:p>
      <w:pPr>
        <w:spacing w:after="0" w:line="27"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Pursuant to 17 C.F.R. Section 200.83</w:t>
      </w:r>
    </w:p>
    <w:p>
      <w:pPr>
        <w:spacing w:after="0" w:line="139"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AIDH TOPCO, LLC</w:t>
      </w:r>
    </w:p>
    <w:p>
      <w:pPr>
        <w:spacing w:after="0" w:line="22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CONSOLIDATED STATEMENTS OF (LOSS) INCOME</w:t>
      </w:r>
    </w:p>
    <w:p>
      <w:pPr>
        <w:spacing w:after="0" w:line="27" w:lineRule="exact"/>
        <w:rPr>
          <w:sz w:val="20"/>
          <w:szCs w:val="20"/>
          <w:color w:val="auto"/>
        </w:rPr>
      </w:pPr>
    </w:p>
    <w:p>
      <w:pPr>
        <w:jc w:val="center"/>
        <w:ind w:right="-99"/>
        <w:spacing w:after="0"/>
        <w:rPr>
          <w:sz w:val="20"/>
          <w:szCs w:val="20"/>
          <w:color w:val="auto"/>
        </w:rPr>
      </w:pPr>
      <w:r>
        <w:rPr>
          <w:rFonts w:ascii="Arial" w:cs="Arial" w:eastAsia="Arial" w:hAnsi="Arial"/>
          <w:sz w:val="18"/>
          <w:szCs w:val="18"/>
          <w:i w:val="1"/>
          <w:iCs w:val="1"/>
          <w:color w:val="auto"/>
        </w:rPr>
        <w:t>(amounts in thousands, except unit and per unit data)</w:t>
      </w:r>
    </w:p>
    <w:p>
      <w:pPr>
        <w:spacing w:after="0" w:line="217" w:lineRule="exact"/>
        <w:rPr>
          <w:sz w:val="20"/>
          <w:szCs w:val="20"/>
          <w:color w:val="auto"/>
        </w:rPr>
      </w:pPr>
    </w:p>
    <w:tbl>
      <w:tblPr>
        <w:tblLayout w:type="fixed"/>
        <w:tblInd w:w="120" w:type="dxa"/>
        <w:tblCellMar>
          <w:top w:w="0" w:type="dxa"/>
          <w:left w:w="0" w:type="dxa"/>
          <w:bottom w:w="0" w:type="dxa"/>
          <w:right w:w="0" w:type="dxa"/>
        </w:tblCellMar>
      </w:tblPr>
      <w:tr>
        <w:trPr>
          <w:trHeight w:val="35"/>
        </w:trPr>
        <w:tc>
          <w:tcPr>
            <w:tcW w:w="542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600" w:type="dxa"/>
            <w:vAlign w:val="bottom"/>
            <w:gridSpan w:val="7"/>
            <w:vMerge w:val="restart"/>
          </w:tcPr>
          <w:p>
            <w:pPr>
              <w:jc w:val="right"/>
              <w:ind w:right="880"/>
              <w:spacing w:after="0"/>
              <w:rPr>
                <w:sz w:val="20"/>
                <w:szCs w:val="20"/>
                <w:color w:val="auto"/>
              </w:rPr>
            </w:pPr>
            <w:r>
              <w:rPr>
                <w:rFonts w:ascii="Arial" w:cs="Arial" w:eastAsia="Arial" w:hAnsi="Arial"/>
                <w:sz w:val="14"/>
                <w:szCs w:val="14"/>
                <w:b w:val="1"/>
                <w:bCs w:val="1"/>
                <w:color w:val="auto"/>
              </w:rPr>
              <w:t>Successor Company</w:t>
            </w:r>
          </w:p>
        </w:tc>
        <w:tc>
          <w:tcPr>
            <w:tcW w:w="780" w:type="dxa"/>
            <w:vAlign w:val="bottom"/>
          </w:tcPr>
          <w:p>
            <w:pPr>
              <w:spacing w:after="0"/>
              <w:rPr>
                <w:sz w:val="3"/>
                <w:szCs w:val="3"/>
                <w:color w:val="auto"/>
              </w:rPr>
            </w:pPr>
          </w:p>
        </w:tc>
        <w:tc>
          <w:tcPr>
            <w:tcW w:w="100" w:type="dxa"/>
            <w:vAlign w:val="bottom"/>
          </w:tcPr>
          <w:p>
            <w:pPr>
              <w:spacing w:after="0"/>
              <w:rPr>
                <w:sz w:val="3"/>
                <w:szCs w:val="3"/>
                <w:color w:val="auto"/>
              </w:rPr>
            </w:pPr>
          </w:p>
        </w:tc>
        <w:tc>
          <w:tcPr>
            <w:tcW w:w="980" w:type="dxa"/>
            <w:vAlign w:val="bottom"/>
            <w:gridSpan w:val="2"/>
            <w:vMerge w:val="restart"/>
          </w:tcPr>
          <w:p>
            <w:pPr>
              <w:jc w:val="center"/>
              <w:ind w:right="220"/>
              <w:spacing w:after="0"/>
              <w:rPr>
                <w:sz w:val="20"/>
                <w:szCs w:val="20"/>
                <w:color w:val="auto"/>
              </w:rPr>
            </w:pPr>
            <w:r>
              <w:rPr>
                <w:rFonts w:ascii="Arial" w:cs="Arial" w:eastAsia="Arial" w:hAnsi="Arial"/>
                <w:sz w:val="14"/>
                <w:szCs w:val="14"/>
                <w:b w:val="1"/>
                <w:bCs w:val="1"/>
                <w:color w:val="auto"/>
                <w:w w:val="85"/>
              </w:rPr>
              <w:t>Predecessor</w:t>
            </w:r>
          </w:p>
        </w:tc>
        <w:tc>
          <w:tcPr>
            <w:tcW w:w="0" w:type="dxa"/>
            <w:vAlign w:val="bottom"/>
          </w:tcPr>
          <w:p>
            <w:pPr>
              <w:spacing w:after="0" w:line="20" w:lineRule="exact"/>
              <w:rPr>
                <w:sz w:val="1"/>
                <w:szCs w:val="1"/>
                <w:color w:val="auto"/>
              </w:rPr>
            </w:pPr>
          </w:p>
        </w:tc>
      </w:tr>
      <w:tr>
        <w:trPr>
          <w:trHeight w:val="126"/>
        </w:trPr>
        <w:tc>
          <w:tcPr>
            <w:tcW w:w="542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600" w:type="dxa"/>
            <w:vAlign w:val="bottom"/>
            <w:gridSpan w:val="7"/>
            <w:vMerge w:val="continue"/>
          </w:tcPr>
          <w:p>
            <w:pPr>
              <w:spacing w:after="0"/>
              <w:rPr>
                <w:sz w:val="10"/>
                <w:szCs w:val="10"/>
                <w:color w:val="auto"/>
              </w:rPr>
            </w:pPr>
          </w:p>
        </w:tc>
        <w:tc>
          <w:tcPr>
            <w:tcW w:w="780" w:type="dxa"/>
            <w:vAlign w:val="bottom"/>
            <w:tcBorders>
              <w:left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98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54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0" w:type="dxa"/>
            <w:vAlign w:val="bottom"/>
            <w:gridSpan w:val="7"/>
            <w:vMerge w:val="continue"/>
          </w:tcPr>
          <w:p>
            <w:pPr>
              <w:spacing w:after="0"/>
              <w:rPr>
                <w:sz w:val="14"/>
                <w:szCs w:val="14"/>
                <w:color w:val="auto"/>
              </w:rPr>
            </w:pPr>
          </w:p>
        </w:tc>
        <w:tc>
          <w:tcPr>
            <w:tcW w:w="780" w:type="dxa"/>
            <w:vAlign w:val="bottom"/>
            <w:tcBorders>
              <w:left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3"/>
              </w:rPr>
              <w:t>Company</w:t>
            </w:r>
          </w:p>
        </w:tc>
        <w:tc>
          <w:tcPr>
            <w:tcW w:w="0" w:type="dxa"/>
            <w:vAlign w:val="bottom"/>
          </w:tcPr>
          <w:p>
            <w:pPr>
              <w:spacing w:after="0"/>
              <w:rPr>
                <w:sz w:val="1"/>
                <w:szCs w:val="1"/>
                <w:color w:val="auto"/>
              </w:rPr>
            </w:pPr>
          </w:p>
        </w:tc>
      </w:tr>
      <w:tr>
        <w:trPr>
          <w:trHeight w:val="119"/>
        </w:trPr>
        <w:tc>
          <w:tcPr>
            <w:tcW w:w="542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1140" w:type="dxa"/>
            <w:vAlign w:val="bottom"/>
            <w:tcBorders>
              <w:top w:val="single" w:sz="8" w:color="auto"/>
            </w:tcBorders>
            <w:gridSpan w:val="3"/>
            <w:vMerge w:val="restart"/>
          </w:tcPr>
          <w:p>
            <w:pPr>
              <w:jc w:val="center"/>
              <w:ind w:right="340"/>
              <w:spacing w:after="0"/>
              <w:rPr>
                <w:sz w:val="20"/>
                <w:szCs w:val="20"/>
                <w:color w:val="auto"/>
              </w:rPr>
            </w:pPr>
            <w:r>
              <w:rPr>
                <w:rFonts w:ascii="Arial" w:cs="Arial" w:eastAsia="Arial" w:hAnsi="Arial"/>
                <w:sz w:val="14"/>
                <w:szCs w:val="14"/>
                <w:b w:val="1"/>
                <w:bCs w:val="1"/>
                <w:color w:val="auto"/>
                <w:w w:val="93"/>
              </w:rPr>
              <w:t>Year Ended</w:t>
            </w:r>
          </w:p>
        </w:tc>
        <w:tc>
          <w:tcPr>
            <w:tcW w:w="160" w:type="dxa"/>
            <w:vAlign w:val="bottom"/>
            <w:tcBorders>
              <w:top w:val="single" w:sz="8" w:color="auto"/>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900" w:type="dxa"/>
            <w:vAlign w:val="bottom"/>
            <w:tcBorders>
              <w:top w:val="single" w:sz="8" w:color="auto"/>
            </w:tcBorders>
          </w:tcPr>
          <w:p>
            <w:pPr>
              <w:jc w:val="center"/>
              <w:spacing w:after="0" w:line="119" w:lineRule="exact"/>
              <w:rPr>
                <w:sz w:val="20"/>
                <w:szCs w:val="20"/>
                <w:color w:val="auto"/>
              </w:rPr>
            </w:pPr>
            <w:r>
              <w:rPr>
                <w:rFonts w:ascii="Arial" w:cs="Arial" w:eastAsia="Arial" w:hAnsi="Arial"/>
                <w:sz w:val="13"/>
                <w:szCs w:val="13"/>
                <w:b w:val="1"/>
                <w:bCs w:val="1"/>
                <w:color w:val="auto"/>
              </w:rPr>
              <w:t>Period from</w:t>
            </w:r>
          </w:p>
        </w:tc>
        <w:tc>
          <w:tcPr>
            <w:tcW w:w="300" w:type="dxa"/>
            <w:vAlign w:val="bottom"/>
          </w:tcPr>
          <w:p>
            <w:pPr>
              <w:spacing w:after="0"/>
              <w:rPr>
                <w:sz w:val="10"/>
                <w:szCs w:val="10"/>
                <w:color w:val="auto"/>
              </w:rPr>
            </w:pPr>
          </w:p>
        </w:tc>
        <w:tc>
          <w:tcPr>
            <w:tcW w:w="780" w:type="dxa"/>
            <w:vAlign w:val="bottom"/>
            <w:tcBorders>
              <w:left w:val="single" w:sz="8" w:color="auto"/>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860" w:type="dxa"/>
            <w:vAlign w:val="bottom"/>
            <w:tcBorders>
              <w:top w:val="single" w:sz="8" w:color="auto"/>
            </w:tcBorders>
          </w:tcPr>
          <w:p>
            <w:pPr>
              <w:jc w:val="center"/>
              <w:ind w:right="15"/>
              <w:spacing w:after="0" w:line="119" w:lineRule="exact"/>
              <w:rPr>
                <w:sz w:val="20"/>
                <w:szCs w:val="20"/>
                <w:color w:val="auto"/>
              </w:rPr>
            </w:pPr>
            <w:r>
              <w:rPr>
                <w:rFonts w:ascii="Arial" w:cs="Arial" w:eastAsia="Arial" w:hAnsi="Arial"/>
                <w:sz w:val="13"/>
                <w:szCs w:val="13"/>
                <w:b w:val="1"/>
                <w:bCs w:val="1"/>
                <w:color w:val="auto"/>
              </w:rPr>
              <w:t>Period from</w:t>
            </w: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54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40" w:type="dxa"/>
            <w:vAlign w:val="bottom"/>
            <w:gridSpan w:val="3"/>
            <w:vMerge w:val="continue"/>
          </w:tcPr>
          <w:p>
            <w:pPr>
              <w:spacing w:after="0"/>
              <w:rPr>
                <w:sz w:val="12"/>
                <w:szCs w:val="12"/>
                <w:color w:val="auto"/>
              </w:rPr>
            </w:pPr>
          </w:p>
        </w:tc>
        <w:tc>
          <w:tcPr>
            <w:tcW w:w="160" w:type="dxa"/>
            <w:vAlign w:val="bottom"/>
          </w:tcPr>
          <w:p>
            <w:pPr>
              <w:spacing w:after="0"/>
              <w:rPr>
                <w:sz w:val="12"/>
                <w:szCs w:val="12"/>
                <w:color w:val="auto"/>
              </w:rPr>
            </w:pPr>
          </w:p>
        </w:tc>
        <w:tc>
          <w:tcPr>
            <w:tcW w:w="1300" w:type="dxa"/>
            <w:vAlign w:val="bottom"/>
            <w:gridSpan w:val="3"/>
          </w:tcPr>
          <w:p>
            <w:pPr>
              <w:ind w:left="20"/>
              <w:spacing w:after="0" w:line="149" w:lineRule="exact"/>
              <w:rPr>
                <w:sz w:val="20"/>
                <w:szCs w:val="20"/>
                <w:color w:val="auto"/>
              </w:rPr>
            </w:pPr>
            <w:r>
              <w:rPr>
                <w:rFonts w:ascii="Arial" w:cs="Arial" w:eastAsia="Arial" w:hAnsi="Arial"/>
                <w:sz w:val="14"/>
                <w:szCs w:val="14"/>
                <w:b w:val="1"/>
                <w:bCs w:val="1"/>
                <w:color w:val="auto"/>
              </w:rPr>
              <w:t>July 16, 2019 to</w:t>
            </w:r>
          </w:p>
        </w:tc>
        <w:tc>
          <w:tcPr>
            <w:tcW w:w="780" w:type="dxa"/>
            <w:vAlign w:val="bottom"/>
            <w:tcBorders>
              <w:left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2"/>
              </w:rPr>
              <w:t>January 1,</w:t>
            </w:r>
          </w:p>
        </w:tc>
        <w:tc>
          <w:tcPr>
            <w:tcW w:w="0" w:type="dxa"/>
            <w:vAlign w:val="bottom"/>
          </w:tcPr>
          <w:p>
            <w:pPr>
              <w:spacing w:after="0"/>
              <w:rPr>
                <w:sz w:val="1"/>
                <w:szCs w:val="1"/>
                <w:color w:val="auto"/>
              </w:rPr>
            </w:pPr>
          </w:p>
        </w:tc>
      </w:tr>
      <w:tr>
        <w:trPr>
          <w:trHeight w:val="148"/>
        </w:trPr>
        <w:tc>
          <w:tcPr>
            <w:tcW w:w="54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240" w:type="dxa"/>
            <w:vAlign w:val="bottom"/>
            <w:gridSpan w:val="4"/>
          </w:tcPr>
          <w:p>
            <w:pPr>
              <w:jc w:val="center"/>
              <w:ind w:right="240"/>
              <w:spacing w:after="0" w:line="149" w:lineRule="exact"/>
              <w:rPr>
                <w:sz w:val="20"/>
                <w:szCs w:val="20"/>
                <w:color w:val="auto"/>
              </w:rPr>
            </w:pPr>
            <w:r>
              <w:rPr>
                <w:rFonts w:ascii="Arial" w:cs="Arial" w:eastAsia="Arial" w:hAnsi="Arial"/>
                <w:sz w:val="14"/>
                <w:szCs w:val="14"/>
                <w:b w:val="1"/>
                <w:bCs w:val="1"/>
                <w:color w:val="auto"/>
                <w:w w:val="92"/>
              </w:rPr>
              <w:t>December 31,</w:t>
            </w:r>
          </w:p>
        </w:tc>
        <w:tc>
          <w:tcPr>
            <w:tcW w:w="160" w:type="dxa"/>
            <w:vAlign w:val="bottom"/>
          </w:tcPr>
          <w:p>
            <w:pPr>
              <w:spacing w:after="0"/>
              <w:rPr>
                <w:sz w:val="12"/>
                <w:szCs w:val="12"/>
                <w:color w:val="auto"/>
              </w:rPr>
            </w:pPr>
          </w:p>
        </w:tc>
        <w:tc>
          <w:tcPr>
            <w:tcW w:w="1300" w:type="dxa"/>
            <w:vAlign w:val="bottom"/>
            <w:gridSpan w:val="3"/>
          </w:tcPr>
          <w:p>
            <w:pPr>
              <w:jc w:val="center"/>
              <w:ind w:right="300"/>
              <w:spacing w:after="0" w:line="149" w:lineRule="exact"/>
              <w:rPr>
                <w:sz w:val="20"/>
                <w:szCs w:val="20"/>
                <w:color w:val="auto"/>
              </w:rPr>
            </w:pPr>
            <w:r>
              <w:rPr>
                <w:rFonts w:ascii="Arial" w:cs="Arial" w:eastAsia="Arial" w:hAnsi="Arial"/>
                <w:sz w:val="14"/>
                <w:szCs w:val="14"/>
                <w:b w:val="1"/>
                <w:bCs w:val="1"/>
                <w:color w:val="auto"/>
                <w:w w:val="92"/>
              </w:rPr>
              <w:t>December 31,</w:t>
            </w:r>
          </w:p>
        </w:tc>
        <w:tc>
          <w:tcPr>
            <w:tcW w:w="780" w:type="dxa"/>
            <w:vAlign w:val="bottom"/>
            <w:tcBorders>
              <w:left w:val="single" w:sz="8" w:color="auto"/>
            </w:tcBorders>
          </w:tcPr>
          <w:p>
            <w:pPr>
              <w:spacing w:after="0"/>
              <w:rPr>
                <w:sz w:val="12"/>
                <w:szCs w:val="12"/>
                <w:color w:val="auto"/>
              </w:rPr>
            </w:pPr>
          </w:p>
        </w:tc>
        <w:tc>
          <w:tcPr>
            <w:tcW w:w="1080" w:type="dxa"/>
            <w:vAlign w:val="bottom"/>
            <w:gridSpan w:val="3"/>
          </w:tcPr>
          <w:p>
            <w:pPr>
              <w:jc w:val="center"/>
              <w:ind w:right="120"/>
              <w:spacing w:after="0" w:line="149" w:lineRule="exact"/>
              <w:rPr>
                <w:sz w:val="20"/>
                <w:szCs w:val="20"/>
                <w:color w:val="auto"/>
              </w:rPr>
            </w:pPr>
            <w:r>
              <w:rPr>
                <w:rFonts w:ascii="Arial" w:cs="Arial" w:eastAsia="Arial" w:hAnsi="Arial"/>
                <w:sz w:val="14"/>
                <w:szCs w:val="14"/>
                <w:b w:val="1"/>
                <w:bCs w:val="1"/>
                <w:color w:val="auto"/>
                <w:w w:val="92"/>
              </w:rPr>
              <w:t>2019 to July 15,</w:t>
            </w:r>
          </w:p>
        </w:tc>
        <w:tc>
          <w:tcPr>
            <w:tcW w:w="0" w:type="dxa"/>
            <w:vAlign w:val="bottom"/>
          </w:tcPr>
          <w:p>
            <w:pPr>
              <w:spacing w:after="0"/>
              <w:rPr>
                <w:sz w:val="1"/>
                <w:szCs w:val="1"/>
                <w:color w:val="auto"/>
              </w:rPr>
            </w:pPr>
          </w:p>
        </w:tc>
      </w:tr>
      <w:tr>
        <w:trPr>
          <w:trHeight w:val="171"/>
        </w:trPr>
        <w:tc>
          <w:tcPr>
            <w:tcW w:w="5420" w:type="dxa"/>
            <w:vAlign w:val="bottom"/>
            <w:tcBorders>
              <w:bottom w:val="single" w:sz="8" w:color="CCEEFF"/>
            </w:tcBorders>
          </w:tcPr>
          <w:p>
            <w:pPr>
              <w:spacing w:after="0"/>
              <w:rPr>
                <w:sz w:val="14"/>
                <w:szCs w:val="14"/>
                <w:color w:val="auto"/>
              </w:rPr>
            </w:pPr>
          </w:p>
        </w:tc>
        <w:tc>
          <w:tcPr>
            <w:tcW w:w="104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center"/>
              <w:ind w:right="13"/>
              <w:spacing w:after="0"/>
              <w:rPr>
                <w:sz w:val="20"/>
                <w:szCs w:val="20"/>
                <w:color w:val="auto"/>
              </w:rPr>
            </w:pPr>
            <w:r>
              <w:rPr>
                <w:rFonts w:ascii="Arial" w:cs="Arial" w:eastAsia="Arial" w:hAnsi="Arial"/>
                <w:sz w:val="14"/>
                <w:szCs w:val="14"/>
                <w:b w:val="1"/>
                <w:bCs w:val="1"/>
                <w:color w:val="auto"/>
                <w:w w:val="89"/>
              </w:rPr>
              <w:t>2020</w:t>
            </w:r>
          </w:p>
        </w:tc>
        <w:tc>
          <w:tcPr>
            <w:tcW w:w="20" w:type="dxa"/>
            <w:vAlign w:val="bottom"/>
            <w:tcBorders>
              <w:bottom w:val="single" w:sz="8" w:color="CCEEFF"/>
            </w:tcBorders>
          </w:tcPr>
          <w:p>
            <w:pPr>
              <w:spacing w:after="0"/>
              <w:rPr>
                <w:sz w:val="14"/>
                <w:szCs w:val="14"/>
                <w:color w:val="auto"/>
              </w:rPr>
            </w:pPr>
          </w:p>
        </w:tc>
        <w:tc>
          <w:tcPr>
            <w:tcW w:w="220" w:type="dxa"/>
            <w:vAlign w:val="bottom"/>
            <w:tcBorders>
              <w:bottom w:val="single" w:sz="8" w:color="CCEEFF"/>
            </w:tcBorders>
          </w:tcPr>
          <w:p>
            <w:pPr>
              <w:spacing w:after="0"/>
              <w:rPr>
                <w:sz w:val="14"/>
                <w:szCs w:val="14"/>
                <w:color w:val="auto"/>
              </w:rPr>
            </w:pPr>
          </w:p>
        </w:tc>
        <w:tc>
          <w:tcPr>
            <w:tcW w:w="16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center"/>
              <w:ind w:right="12"/>
              <w:spacing w:after="0"/>
              <w:rPr>
                <w:sz w:val="20"/>
                <w:szCs w:val="20"/>
                <w:color w:val="auto"/>
              </w:rPr>
            </w:pPr>
            <w:r>
              <w:rPr>
                <w:rFonts w:ascii="Arial" w:cs="Arial" w:eastAsia="Arial" w:hAnsi="Arial"/>
                <w:sz w:val="14"/>
                <w:szCs w:val="14"/>
                <w:b w:val="1"/>
                <w:bCs w:val="1"/>
                <w:color w:val="auto"/>
                <w:w w:val="89"/>
              </w:rPr>
              <w:t>2019</w:t>
            </w:r>
          </w:p>
        </w:tc>
        <w:tc>
          <w:tcPr>
            <w:tcW w:w="300" w:type="dxa"/>
            <w:vAlign w:val="bottom"/>
            <w:tcBorders>
              <w:bottom w:val="single" w:sz="8" w:color="CCEEFF"/>
            </w:tcBorders>
          </w:tcPr>
          <w:p>
            <w:pPr>
              <w:spacing w:after="0"/>
              <w:rPr>
                <w:sz w:val="14"/>
                <w:szCs w:val="14"/>
                <w:color w:val="auto"/>
              </w:rPr>
            </w:pPr>
          </w:p>
        </w:tc>
        <w:tc>
          <w:tcPr>
            <w:tcW w:w="780" w:type="dxa"/>
            <w:vAlign w:val="bottom"/>
            <w:tcBorders>
              <w:left w:val="single" w:sz="8" w:color="auto"/>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center"/>
              <w:ind w:right="15"/>
              <w:spacing w:after="0"/>
              <w:rPr>
                <w:sz w:val="20"/>
                <w:szCs w:val="20"/>
                <w:color w:val="auto"/>
              </w:rPr>
            </w:pPr>
            <w:r>
              <w:rPr>
                <w:rFonts w:ascii="Arial" w:cs="Arial" w:eastAsia="Arial" w:hAnsi="Arial"/>
                <w:sz w:val="14"/>
                <w:szCs w:val="14"/>
                <w:b w:val="1"/>
                <w:bCs w:val="1"/>
                <w:color w:val="auto"/>
                <w:w w:val="89"/>
              </w:rPr>
              <w:t>2019</w:t>
            </w:r>
          </w:p>
        </w:tc>
        <w:tc>
          <w:tcPr>
            <w:tcW w:w="12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209"/>
        </w:trPr>
        <w:tc>
          <w:tcPr>
            <w:tcW w:w="5420" w:type="dxa"/>
            <w:vAlign w:val="bottom"/>
            <w:shd w:val="clear" w:color="auto" w:fill="CCEEFF"/>
          </w:tcPr>
          <w:p>
            <w:pPr>
              <w:spacing w:after="0"/>
              <w:rPr>
                <w:sz w:val="20"/>
                <w:szCs w:val="20"/>
                <w:color w:val="auto"/>
              </w:rPr>
            </w:pPr>
            <w:r>
              <w:rPr>
                <w:rFonts w:ascii="Arial" w:cs="Arial" w:eastAsia="Arial" w:hAnsi="Arial"/>
                <w:sz w:val="18"/>
                <w:szCs w:val="18"/>
                <w:color w:val="auto"/>
              </w:rPr>
              <w:t>Revenue</w:t>
            </w: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118,317</w:t>
            </w: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40,045</w:t>
            </w:r>
          </w:p>
        </w:tc>
        <w:tc>
          <w:tcPr>
            <w:tcW w:w="300" w:type="dxa"/>
            <w:vAlign w:val="bottom"/>
            <w:shd w:val="clear" w:color="auto" w:fill="CCEEFF"/>
          </w:tcPr>
          <w:p>
            <w:pPr>
              <w:spacing w:after="0"/>
              <w:rPr>
                <w:sz w:val="18"/>
                <w:szCs w:val="18"/>
                <w:color w:val="auto"/>
              </w:rPr>
            </w:pPr>
          </w:p>
        </w:tc>
        <w:tc>
          <w:tcPr>
            <w:tcW w:w="780" w:type="dxa"/>
            <w:vAlign w:val="bottom"/>
            <w:tcBorders>
              <w:left w:val="single" w:sz="8" w:color="auto"/>
            </w:tcBorders>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45,458</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20" w:type="dxa"/>
            <w:vAlign w:val="bottom"/>
          </w:tcPr>
          <w:p>
            <w:pPr>
              <w:spacing w:after="0"/>
              <w:rPr>
                <w:sz w:val="20"/>
                <w:szCs w:val="20"/>
                <w:color w:val="auto"/>
              </w:rPr>
            </w:pPr>
            <w:r>
              <w:rPr>
                <w:rFonts w:ascii="Arial" w:cs="Arial" w:eastAsia="Arial" w:hAnsi="Arial"/>
                <w:sz w:val="18"/>
                <w:szCs w:val="18"/>
                <w:color w:val="auto"/>
              </w:rPr>
              <w:t>Cost of revenue:</w:t>
            </w: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80" w:type="dxa"/>
            <w:vAlign w:val="bottom"/>
            <w:tcBorders>
              <w:lef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Cost of revenue exclusive of amortization shown below</w:t>
            </w: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11,085</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4,668</w:t>
            </w:r>
          </w:p>
        </w:tc>
        <w:tc>
          <w:tcPr>
            <w:tcW w:w="780" w:type="dxa"/>
            <w:vAlign w:val="bottom"/>
            <w:tcBorders>
              <w:left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4,830</w:t>
            </w:r>
          </w:p>
        </w:tc>
        <w:tc>
          <w:tcPr>
            <w:tcW w:w="0" w:type="dxa"/>
            <w:vAlign w:val="bottom"/>
          </w:tcPr>
          <w:p>
            <w:pPr>
              <w:spacing w:after="0"/>
              <w:rPr>
                <w:sz w:val="1"/>
                <w:szCs w:val="1"/>
                <w:color w:val="auto"/>
              </w:rPr>
            </w:pPr>
          </w:p>
        </w:tc>
      </w:tr>
      <w:tr>
        <w:trPr>
          <w:trHeight w:val="216"/>
        </w:trPr>
        <w:tc>
          <w:tcPr>
            <w:tcW w:w="5420" w:type="dxa"/>
            <w:vAlign w:val="bottom"/>
          </w:tcPr>
          <w:p>
            <w:pPr>
              <w:ind w:left="360"/>
              <w:spacing w:after="0"/>
              <w:rPr>
                <w:sz w:val="20"/>
                <w:szCs w:val="20"/>
                <w:color w:val="auto"/>
              </w:rPr>
            </w:pPr>
            <w:r>
              <w:rPr>
                <w:rFonts w:ascii="Arial" w:cs="Arial" w:eastAsia="Arial" w:hAnsi="Arial"/>
                <w:sz w:val="18"/>
                <w:szCs w:val="18"/>
                <w:color w:val="auto"/>
              </w:rPr>
              <w:t>Amortization</w:t>
            </w: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19,383</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gridSpan w:val="2"/>
          </w:tcPr>
          <w:p>
            <w:pPr>
              <w:jc w:val="right"/>
              <w:ind w:right="300"/>
              <w:spacing w:after="0"/>
              <w:rPr>
                <w:sz w:val="20"/>
                <w:szCs w:val="20"/>
                <w:color w:val="auto"/>
              </w:rPr>
            </w:pPr>
            <w:r>
              <w:rPr>
                <w:rFonts w:ascii="Arial" w:cs="Arial" w:eastAsia="Arial" w:hAnsi="Arial"/>
                <w:sz w:val="18"/>
                <w:szCs w:val="18"/>
                <w:color w:val="auto"/>
              </w:rPr>
              <w:t>8,614</w:t>
            </w:r>
          </w:p>
        </w:tc>
        <w:tc>
          <w:tcPr>
            <w:tcW w:w="780" w:type="dxa"/>
            <w:vAlign w:val="bottom"/>
            <w:tcBorders>
              <w:lef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right"/>
              <w:ind w:right="120"/>
              <w:spacing w:after="0"/>
              <w:rPr>
                <w:sz w:val="20"/>
                <w:szCs w:val="20"/>
                <w:color w:val="auto"/>
              </w:rPr>
            </w:pPr>
            <w:r>
              <w:rPr>
                <w:rFonts w:ascii="Arial" w:cs="Arial" w:eastAsia="Arial" w:hAnsi="Arial"/>
                <w:sz w:val="18"/>
                <w:szCs w:val="18"/>
                <w:color w:val="auto"/>
              </w:rPr>
              <w:t>498</w:t>
            </w:r>
          </w:p>
        </w:tc>
        <w:tc>
          <w:tcPr>
            <w:tcW w:w="0" w:type="dxa"/>
            <w:vAlign w:val="bottom"/>
          </w:tcPr>
          <w:p>
            <w:pPr>
              <w:spacing w:after="0"/>
              <w:rPr>
                <w:sz w:val="1"/>
                <w:szCs w:val="1"/>
                <w:color w:val="auto"/>
              </w:rPr>
            </w:pPr>
          </w:p>
        </w:tc>
      </w:tr>
      <w:tr>
        <w:trPr>
          <w:trHeight w:val="27"/>
        </w:trPr>
        <w:tc>
          <w:tcPr>
            <w:tcW w:w="54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780" w:type="dxa"/>
            <w:vAlign w:val="bottom"/>
            <w:tcBorders>
              <w:left w:val="single" w:sz="8" w:color="auto"/>
            </w:tcBorders>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420" w:type="dxa"/>
            <w:vAlign w:val="bottom"/>
            <w:shd w:val="clear" w:color="auto" w:fill="CCEEFF"/>
          </w:tcPr>
          <w:p>
            <w:pPr>
              <w:ind w:left="1080"/>
              <w:spacing w:after="0"/>
              <w:rPr>
                <w:sz w:val="20"/>
                <w:szCs w:val="20"/>
                <w:color w:val="auto"/>
              </w:rPr>
            </w:pPr>
            <w:r>
              <w:rPr>
                <w:rFonts w:ascii="Arial" w:cs="Arial" w:eastAsia="Arial" w:hAnsi="Arial"/>
                <w:sz w:val="18"/>
                <w:szCs w:val="18"/>
                <w:color w:val="auto"/>
              </w:rPr>
              <w:t>Gross profit</w:t>
            </w: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87,849</w:t>
            </w: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26,763</w:t>
            </w:r>
          </w:p>
        </w:tc>
        <w:tc>
          <w:tcPr>
            <w:tcW w:w="780" w:type="dxa"/>
            <w:vAlign w:val="bottom"/>
            <w:tcBorders>
              <w:left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40,130</w:t>
            </w:r>
          </w:p>
        </w:tc>
        <w:tc>
          <w:tcPr>
            <w:tcW w:w="0" w:type="dxa"/>
            <w:vAlign w:val="bottom"/>
          </w:tcPr>
          <w:p>
            <w:pPr>
              <w:spacing w:after="0"/>
              <w:rPr>
                <w:sz w:val="1"/>
                <w:szCs w:val="1"/>
                <w:color w:val="auto"/>
              </w:rPr>
            </w:pPr>
          </w:p>
        </w:tc>
      </w:tr>
      <w:tr>
        <w:trPr>
          <w:trHeight w:val="223"/>
        </w:trPr>
        <w:tc>
          <w:tcPr>
            <w:tcW w:w="5420" w:type="dxa"/>
            <w:vAlign w:val="bottom"/>
          </w:tcPr>
          <w:p>
            <w:pPr>
              <w:spacing w:after="0"/>
              <w:rPr>
                <w:sz w:val="20"/>
                <w:szCs w:val="20"/>
                <w:color w:val="auto"/>
              </w:rPr>
            </w:pPr>
            <w:r>
              <w:rPr>
                <w:rFonts w:ascii="Arial" w:cs="Arial" w:eastAsia="Arial" w:hAnsi="Arial"/>
                <w:sz w:val="18"/>
                <w:szCs w:val="18"/>
                <w:color w:val="auto"/>
              </w:rPr>
              <w:t>Operating expenses:</w:t>
            </w:r>
          </w:p>
        </w:tc>
        <w:tc>
          <w:tcPr>
            <w:tcW w:w="10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900" w:type="dxa"/>
            <w:vAlign w:val="bottom"/>
            <w:tcBorders>
              <w:top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900" w:type="dxa"/>
            <w:vAlign w:val="bottom"/>
            <w:tcBorders>
              <w:top w:val="single" w:sz="8" w:color="auto"/>
            </w:tcBorders>
          </w:tcPr>
          <w:p>
            <w:pPr>
              <w:spacing w:after="0"/>
              <w:rPr>
                <w:sz w:val="19"/>
                <w:szCs w:val="19"/>
                <w:color w:val="auto"/>
              </w:rPr>
            </w:pPr>
          </w:p>
        </w:tc>
        <w:tc>
          <w:tcPr>
            <w:tcW w:w="300" w:type="dxa"/>
            <w:vAlign w:val="bottom"/>
          </w:tcPr>
          <w:p>
            <w:pPr>
              <w:spacing w:after="0"/>
              <w:rPr>
                <w:sz w:val="19"/>
                <w:szCs w:val="19"/>
                <w:color w:val="auto"/>
              </w:rPr>
            </w:pPr>
          </w:p>
        </w:tc>
        <w:tc>
          <w:tcPr>
            <w:tcW w:w="780" w:type="dxa"/>
            <w:vAlign w:val="bottom"/>
            <w:tcBorders>
              <w:left w:val="single" w:sz="8" w:color="auto"/>
            </w:tcBorders>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86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54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Sales and marketing</w:t>
            </w: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34,332</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10,814</w:t>
            </w:r>
          </w:p>
        </w:tc>
        <w:tc>
          <w:tcPr>
            <w:tcW w:w="780" w:type="dxa"/>
            <w:vAlign w:val="bottom"/>
            <w:tcBorders>
              <w:left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16,039</w:t>
            </w:r>
          </w:p>
        </w:tc>
        <w:tc>
          <w:tcPr>
            <w:tcW w:w="0" w:type="dxa"/>
            <w:vAlign w:val="bottom"/>
          </w:tcPr>
          <w:p>
            <w:pPr>
              <w:spacing w:after="0"/>
              <w:rPr>
                <w:sz w:val="1"/>
                <w:szCs w:val="1"/>
                <w:color w:val="auto"/>
              </w:rPr>
            </w:pPr>
          </w:p>
        </w:tc>
      </w:tr>
      <w:tr>
        <w:trPr>
          <w:trHeight w:val="216"/>
        </w:trPr>
        <w:tc>
          <w:tcPr>
            <w:tcW w:w="5420" w:type="dxa"/>
            <w:vAlign w:val="bottom"/>
          </w:tcPr>
          <w:p>
            <w:pPr>
              <w:ind w:left="360"/>
              <w:spacing w:after="0"/>
              <w:rPr>
                <w:sz w:val="20"/>
                <w:szCs w:val="20"/>
                <w:color w:val="auto"/>
              </w:rPr>
            </w:pPr>
            <w:r>
              <w:rPr>
                <w:rFonts w:ascii="Arial" w:cs="Arial" w:eastAsia="Arial" w:hAnsi="Arial"/>
                <w:sz w:val="18"/>
                <w:szCs w:val="18"/>
                <w:color w:val="auto"/>
              </w:rPr>
              <w:t>Product development</w:t>
            </w: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rPr>
              <w:t>11,062</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gridSpan w:val="2"/>
          </w:tcPr>
          <w:p>
            <w:pPr>
              <w:jc w:val="right"/>
              <w:ind w:right="300"/>
              <w:spacing w:after="0"/>
              <w:rPr>
                <w:sz w:val="20"/>
                <w:szCs w:val="20"/>
                <w:color w:val="auto"/>
              </w:rPr>
            </w:pPr>
            <w:r>
              <w:rPr>
                <w:rFonts w:ascii="Arial" w:cs="Arial" w:eastAsia="Arial" w:hAnsi="Arial"/>
                <w:sz w:val="18"/>
                <w:szCs w:val="18"/>
                <w:color w:val="auto"/>
              </w:rPr>
              <w:t>3,484</w:t>
            </w:r>
          </w:p>
        </w:tc>
        <w:tc>
          <w:tcPr>
            <w:tcW w:w="780" w:type="dxa"/>
            <w:vAlign w:val="bottom"/>
            <w:tcBorders>
              <w:lef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right"/>
              <w:ind w:right="120"/>
              <w:spacing w:after="0"/>
              <w:rPr>
                <w:sz w:val="20"/>
                <w:szCs w:val="20"/>
                <w:color w:val="auto"/>
              </w:rPr>
            </w:pPr>
            <w:r>
              <w:rPr>
                <w:rFonts w:ascii="Arial" w:cs="Arial" w:eastAsia="Arial" w:hAnsi="Arial"/>
                <w:sz w:val="18"/>
                <w:szCs w:val="18"/>
                <w:color w:val="auto"/>
              </w:rPr>
              <w:t>3,961</w:t>
            </w:r>
          </w:p>
        </w:tc>
        <w:tc>
          <w:tcPr>
            <w:tcW w:w="0" w:type="dxa"/>
            <w:vAlign w:val="bottom"/>
          </w:tcPr>
          <w:p>
            <w:pPr>
              <w:spacing w:after="0"/>
              <w:rPr>
                <w:sz w:val="1"/>
                <w:szCs w:val="1"/>
                <w:color w:val="auto"/>
              </w:rPr>
            </w:pPr>
          </w:p>
        </w:tc>
      </w:tr>
      <w:tr>
        <w:trPr>
          <w:trHeight w:val="216"/>
        </w:trPr>
        <w:tc>
          <w:tcPr>
            <w:tcW w:w="54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General and administrative</w:t>
            </w: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12,927</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6,365</w:t>
            </w:r>
          </w:p>
        </w:tc>
        <w:tc>
          <w:tcPr>
            <w:tcW w:w="780" w:type="dxa"/>
            <w:vAlign w:val="bottom"/>
            <w:tcBorders>
              <w:left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3,979</w:t>
            </w:r>
          </w:p>
        </w:tc>
        <w:tc>
          <w:tcPr>
            <w:tcW w:w="0" w:type="dxa"/>
            <w:vAlign w:val="bottom"/>
          </w:tcPr>
          <w:p>
            <w:pPr>
              <w:spacing w:after="0"/>
              <w:rPr>
                <w:sz w:val="1"/>
                <w:szCs w:val="1"/>
                <w:color w:val="auto"/>
              </w:rPr>
            </w:pPr>
          </w:p>
        </w:tc>
      </w:tr>
      <w:tr>
        <w:trPr>
          <w:trHeight w:val="216"/>
        </w:trPr>
        <w:tc>
          <w:tcPr>
            <w:tcW w:w="5420" w:type="dxa"/>
            <w:vAlign w:val="bottom"/>
          </w:tcPr>
          <w:p>
            <w:pPr>
              <w:ind w:left="360"/>
              <w:spacing w:after="0"/>
              <w:rPr>
                <w:sz w:val="20"/>
                <w:szCs w:val="20"/>
                <w:color w:val="auto"/>
              </w:rPr>
            </w:pPr>
            <w:r>
              <w:rPr>
                <w:rFonts w:ascii="Arial" w:cs="Arial" w:eastAsia="Arial" w:hAnsi="Arial"/>
                <w:sz w:val="18"/>
                <w:szCs w:val="18"/>
                <w:color w:val="auto"/>
              </w:rPr>
              <w:t>Depreciation and amortization</w:t>
            </w: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rPr>
              <w:t>40,197</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gridSpan w:val="2"/>
          </w:tcPr>
          <w:p>
            <w:pPr>
              <w:jc w:val="right"/>
              <w:ind w:right="300"/>
              <w:spacing w:after="0"/>
              <w:rPr>
                <w:sz w:val="20"/>
                <w:szCs w:val="20"/>
                <w:color w:val="auto"/>
              </w:rPr>
            </w:pPr>
            <w:r>
              <w:rPr>
                <w:rFonts w:ascii="Arial" w:cs="Arial" w:eastAsia="Arial" w:hAnsi="Arial"/>
                <w:sz w:val="18"/>
                <w:szCs w:val="18"/>
                <w:color w:val="auto"/>
              </w:rPr>
              <w:t>22,459</w:t>
            </w:r>
          </w:p>
        </w:tc>
        <w:tc>
          <w:tcPr>
            <w:tcW w:w="780" w:type="dxa"/>
            <w:vAlign w:val="bottom"/>
            <w:tcBorders>
              <w:lef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right"/>
              <w:ind w:right="120"/>
              <w:spacing w:after="0"/>
              <w:rPr>
                <w:sz w:val="20"/>
                <w:szCs w:val="20"/>
                <w:color w:val="auto"/>
              </w:rPr>
            </w:pPr>
            <w:r>
              <w:rPr>
                <w:rFonts w:ascii="Arial" w:cs="Arial" w:eastAsia="Arial" w:hAnsi="Arial"/>
                <w:sz w:val="18"/>
                <w:szCs w:val="18"/>
                <w:color w:val="auto"/>
              </w:rPr>
              <w:t>1,967</w:t>
            </w:r>
          </w:p>
        </w:tc>
        <w:tc>
          <w:tcPr>
            <w:tcW w:w="0" w:type="dxa"/>
            <w:vAlign w:val="bottom"/>
          </w:tcPr>
          <w:p>
            <w:pPr>
              <w:spacing w:after="0"/>
              <w:rPr>
                <w:sz w:val="1"/>
                <w:szCs w:val="1"/>
                <w:color w:val="auto"/>
              </w:rPr>
            </w:pPr>
          </w:p>
        </w:tc>
      </w:tr>
      <w:tr>
        <w:trPr>
          <w:trHeight w:val="216"/>
        </w:trPr>
        <w:tc>
          <w:tcPr>
            <w:tcW w:w="54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Transaction expenses</w:t>
            </w: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3,776</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14,703</w:t>
            </w:r>
          </w:p>
        </w:tc>
        <w:tc>
          <w:tcPr>
            <w:tcW w:w="780" w:type="dxa"/>
            <w:vAlign w:val="bottom"/>
            <w:tcBorders>
              <w:left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1,151</w:t>
            </w:r>
          </w:p>
        </w:tc>
        <w:tc>
          <w:tcPr>
            <w:tcW w:w="0" w:type="dxa"/>
            <w:vAlign w:val="bottom"/>
          </w:tcPr>
          <w:p>
            <w:pPr>
              <w:spacing w:after="0"/>
              <w:rPr>
                <w:sz w:val="1"/>
                <w:szCs w:val="1"/>
                <w:color w:val="auto"/>
              </w:rPr>
            </w:pPr>
          </w:p>
        </w:tc>
      </w:tr>
      <w:tr>
        <w:trPr>
          <w:trHeight w:val="230"/>
        </w:trPr>
        <w:tc>
          <w:tcPr>
            <w:tcW w:w="5420" w:type="dxa"/>
            <w:vAlign w:val="bottom"/>
          </w:tcPr>
          <w:p>
            <w:pPr>
              <w:ind w:left="720"/>
              <w:spacing w:after="0"/>
              <w:rPr>
                <w:sz w:val="20"/>
                <w:szCs w:val="20"/>
                <w:color w:val="auto"/>
              </w:rPr>
            </w:pPr>
            <w:r>
              <w:rPr>
                <w:rFonts w:ascii="Arial" w:cs="Arial" w:eastAsia="Arial" w:hAnsi="Arial"/>
                <w:sz w:val="18"/>
                <w:szCs w:val="18"/>
                <w:color w:val="auto"/>
              </w:rPr>
              <w:t>Total operating expenses</w:t>
            </w:r>
          </w:p>
        </w:tc>
        <w:tc>
          <w:tcPr>
            <w:tcW w:w="104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102,294</w:t>
            </w: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57,825</w:t>
            </w:r>
          </w:p>
        </w:tc>
        <w:tc>
          <w:tcPr>
            <w:tcW w:w="300" w:type="dxa"/>
            <w:vAlign w:val="bottom"/>
          </w:tcPr>
          <w:p>
            <w:pPr>
              <w:spacing w:after="0"/>
              <w:rPr>
                <w:sz w:val="20"/>
                <w:szCs w:val="20"/>
                <w:color w:val="auto"/>
              </w:rPr>
            </w:pPr>
          </w:p>
        </w:tc>
        <w:tc>
          <w:tcPr>
            <w:tcW w:w="780" w:type="dxa"/>
            <w:vAlign w:val="bottom"/>
            <w:tcBorders>
              <w:left w:val="single" w:sz="8" w:color="auto"/>
            </w:tcBorders>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27,097</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5420" w:type="dxa"/>
            <w:vAlign w:val="bottom"/>
            <w:shd w:val="clear" w:color="auto" w:fill="CCEEFF"/>
          </w:tcPr>
          <w:p>
            <w:pPr>
              <w:ind w:left="1080"/>
              <w:spacing w:after="0"/>
              <w:rPr>
                <w:sz w:val="20"/>
                <w:szCs w:val="20"/>
                <w:color w:val="auto"/>
              </w:rPr>
            </w:pPr>
            <w:r>
              <w:rPr>
                <w:rFonts w:ascii="Arial" w:cs="Arial" w:eastAsia="Arial" w:hAnsi="Arial"/>
                <w:sz w:val="18"/>
                <w:szCs w:val="18"/>
                <w:color w:val="auto"/>
              </w:rPr>
              <w:t>(Loss) income from operations</w:t>
            </w: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(14,445)</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(31,062)</w:t>
            </w:r>
          </w:p>
        </w:tc>
        <w:tc>
          <w:tcPr>
            <w:tcW w:w="780" w:type="dxa"/>
            <w:vAlign w:val="bottom"/>
            <w:tcBorders>
              <w:left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13,033</w:t>
            </w:r>
          </w:p>
        </w:tc>
        <w:tc>
          <w:tcPr>
            <w:tcW w:w="0" w:type="dxa"/>
            <w:vAlign w:val="bottom"/>
          </w:tcPr>
          <w:p>
            <w:pPr>
              <w:spacing w:after="0"/>
              <w:rPr>
                <w:sz w:val="1"/>
                <w:szCs w:val="1"/>
                <w:color w:val="auto"/>
              </w:rPr>
            </w:pPr>
          </w:p>
        </w:tc>
      </w:tr>
      <w:tr>
        <w:trPr>
          <w:trHeight w:val="216"/>
        </w:trPr>
        <w:tc>
          <w:tcPr>
            <w:tcW w:w="5420" w:type="dxa"/>
            <w:vAlign w:val="bottom"/>
          </w:tcPr>
          <w:p>
            <w:pPr>
              <w:spacing w:after="0"/>
              <w:rPr>
                <w:sz w:val="20"/>
                <w:szCs w:val="20"/>
                <w:color w:val="auto"/>
              </w:rPr>
            </w:pPr>
            <w:r>
              <w:rPr>
                <w:rFonts w:ascii="Arial" w:cs="Arial" w:eastAsia="Arial" w:hAnsi="Arial"/>
                <w:sz w:val="18"/>
                <w:szCs w:val="18"/>
                <w:color w:val="auto"/>
              </w:rPr>
              <w:t>Other expense, net:</w:t>
            </w: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80" w:type="dxa"/>
            <w:vAlign w:val="bottom"/>
            <w:tcBorders>
              <w:lef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Foreign currency transaction loss</w:t>
            </w: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(222)</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780" w:type="dxa"/>
            <w:vAlign w:val="bottom"/>
            <w:tcBorders>
              <w:left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420" w:type="dxa"/>
            <w:vAlign w:val="bottom"/>
          </w:tcPr>
          <w:p>
            <w:pPr>
              <w:ind w:left="360"/>
              <w:spacing w:after="0"/>
              <w:rPr>
                <w:sz w:val="20"/>
                <w:szCs w:val="20"/>
                <w:color w:val="auto"/>
              </w:rPr>
            </w:pPr>
            <w:r>
              <w:rPr>
                <w:rFonts w:ascii="Arial" w:cs="Arial" w:eastAsia="Arial" w:hAnsi="Arial"/>
                <w:sz w:val="18"/>
                <w:szCs w:val="18"/>
                <w:color w:val="auto"/>
              </w:rPr>
              <w:t>Interest expense, net</w:t>
            </w: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3"/>
          </w:tcPr>
          <w:p>
            <w:pPr>
              <w:jc w:val="right"/>
              <w:ind w:right="180"/>
              <w:spacing w:after="0"/>
              <w:rPr>
                <w:sz w:val="20"/>
                <w:szCs w:val="20"/>
                <w:color w:val="auto"/>
              </w:rPr>
            </w:pPr>
            <w:r>
              <w:rPr>
                <w:rFonts w:ascii="Arial" w:cs="Arial" w:eastAsia="Arial" w:hAnsi="Arial"/>
                <w:sz w:val="18"/>
                <w:szCs w:val="18"/>
                <w:color w:val="auto"/>
              </w:rPr>
              <w:t>(36,490)</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gridSpan w:val="2"/>
          </w:tcPr>
          <w:p>
            <w:pPr>
              <w:jc w:val="right"/>
              <w:ind w:right="240"/>
              <w:spacing w:after="0"/>
              <w:rPr>
                <w:sz w:val="20"/>
                <w:szCs w:val="20"/>
                <w:color w:val="auto"/>
              </w:rPr>
            </w:pPr>
            <w:r>
              <w:rPr>
                <w:rFonts w:ascii="Arial" w:cs="Arial" w:eastAsia="Arial" w:hAnsi="Arial"/>
                <w:sz w:val="18"/>
                <w:szCs w:val="18"/>
                <w:color w:val="auto"/>
              </w:rPr>
              <w:t>(18,204)</w:t>
            </w:r>
          </w:p>
        </w:tc>
        <w:tc>
          <w:tcPr>
            <w:tcW w:w="780" w:type="dxa"/>
            <w:vAlign w:val="bottom"/>
            <w:tcBorders>
              <w:lef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right"/>
              <w:ind w:right="60"/>
              <w:spacing w:after="0"/>
              <w:rPr>
                <w:sz w:val="20"/>
                <w:szCs w:val="20"/>
                <w:color w:val="auto"/>
              </w:rPr>
            </w:pPr>
            <w:r>
              <w:rPr>
                <w:rFonts w:ascii="Arial" w:cs="Arial" w:eastAsia="Arial" w:hAnsi="Arial"/>
                <w:sz w:val="18"/>
                <w:szCs w:val="18"/>
                <w:color w:val="auto"/>
              </w:rPr>
              <w:t>(165)</w:t>
            </w:r>
          </w:p>
        </w:tc>
        <w:tc>
          <w:tcPr>
            <w:tcW w:w="0" w:type="dxa"/>
            <w:vAlign w:val="bottom"/>
          </w:tcPr>
          <w:p>
            <w:pPr>
              <w:spacing w:after="0"/>
              <w:rPr>
                <w:sz w:val="1"/>
                <w:szCs w:val="1"/>
                <w:color w:val="auto"/>
              </w:rPr>
            </w:pPr>
          </w:p>
        </w:tc>
      </w:tr>
      <w:tr>
        <w:trPr>
          <w:trHeight w:val="27"/>
        </w:trPr>
        <w:tc>
          <w:tcPr>
            <w:tcW w:w="54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780" w:type="dxa"/>
            <w:vAlign w:val="bottom"/>
            <w:tcBorders>
              <w:left w:val="single" w:sz="8" w:color="auto"/>
            </w:tcBorders>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420" w:type="dxa"/>
            <w:vAlign w:val="bottom"/>
            <w:shd w:val="clear" w:color="auto" w:fill="CCEEFF"/>
          </w:tcPr>
          <w:p>
            <w:pPr>
              <w:ind w:left="720"/>
              <w:spacing w:after="0"/>
              <w:rPr>
                <w:sz w:val="20"/>
                <w:szCs w:val="20"/>
                <w:color w:val="auto"/>
              </w:rPr>
            </w:pPr>
            <w:r>
              <w:rPr>
                <w:rFonts w:ascii="Arial" w:cs="Arial" w:eastAsia="Arial" w:hAnsi="Arial"/>
                <w:sz w:val="18"/>
                <w:szCs w:val="18"/>
                <w:color w:val="auto"/>
              </w:rPr>
              <w:t>Total other expense, net</w:t>
            </w: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(36,712)</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(18,204)</w:t>
            </w:r>
          </w:p>
        </w:tc>
        <w:tc>
          <w:tcPr>
            <w:tcW w:w="780" w:type="dxa"/>
            <w:vAlign w:val="bottom"/>
            <w:tcBorders>
              <w:left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(165)</w:t>
            </w:r>
          </w:p>
        </w:tc>
        <w:tc>
          <w:tcPr>
            <w:tcW w:w="0" w:type="dxa"/>
            <w:vAlign w:val="bottom"/>
          </w:tcPr>
          <w:p>
            <w:pPr>
              <w:spacing w:after="0"/>
              <w:rPr>
                <w:sz w:val="1"/>
                <w:szCs w:val="1"/>
                <w:color w:val="auto"/>
              </w:rPr>
            </w:pPr>
          </w:p>
        </w:tc>
      </w:tr>
      <w:tr>
        <w:trPr>
          <w:trHeight w:val="20"/>
        </w:trPr>
        <w:tc>
          <w:tcPr>
            <w:tcW w:w="5420" w:type="dxa"/>
            <w:vAlign w:val="bottom"/>
            <w:vMerge w:val="restart"/>
          </w:tcPr>
          <w:p>
            <w:pPr>
              <w:ind w:left="1080"/>
              <w:spacing w:after="0"/>
              <w:rPr>
                <w:sz w:val="20"/>
                <w:szCs w:val="20"/>
                <w:color w:val="auto"/>
              </w:rPr>
            </w:pPr>
            <w:r>
              <w:rPr>
                <w:rFonts w:ascii="Arial" w:cs="Arial" w:eastAsia="Arial" w:hAnsi="Arial"/>
                <w:sz w:val="18"/>
                <w:szCs w:val="18"/>
                <w:color w:val="auto"/>
              </w:rPr>
              <w:t>Net (loss) income</w:t>
            </w:r>
          </w:p>
        </w:tc>
        <w:tc>
          <w:tcPr>
            <w:tcW w:w="1040" w:type="dxa"/>
            <w:vAlign w:val="bottom"/>
          </w:tcPr>
          <w:p>
            <w:pPr>
              <w:spacing w:after="0" w:line="20" w:lineRule="exact"/>
              <w:rPr>
                <w:sz w:val="1"/>
                <w:szCs w:val="1"/>
                <w:color w:val="auto"/>
              </w:rPr>
            </w:pPr>
          </w:p>
        </w:tc>
        <w:tc>
          <w:tcPr>
            <w:tcW w:w="10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rPr>
              <w:t>(51,157)</w:t>
            </w: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tcBorders>
            <w:vMerge w:val="restart"/>
          </w:tcPr>
          <w:p>
            <w:pPr>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rPr>
              <w:t>(49,266)</w:t>
            </w:r>
          </w:p>
        </w:tc>
        <w:tc>
          <w:tcPr>
            <w:tcW w:w="3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 w:type="dxa"/>
            <w:vAlign w:val="bottom"/>
            <w:tcBorders>
              <w:top w:val="single" w:sz="8" w:color="auto"/>
            </w:tcBorders>
            <w:vMerge w:val="restart"/>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rPr>
              <w:t>12,868</w:t>
            </w: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5420" w:type="dxa"/>
            <w:vAlign w:val="bottom"/>
            <w:vMerge w:val="continue"/>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Borders>
              <w:bottom w:val="single" w:sz="8" w:color="auto"/>
            </w:tcBorders>
            <w:vMerge w:val="continue"/>
          </w:tcPr>
          <w:p>
            <w:pPr>
              <w:spacing w:after="0"/>
              <w:rPr>
                <w:sz w:val="17"/>
                <w:szCs w:val="17"/>
                <w:color w:val="auto"/>
              </w:rPr>
            </w:pPr>
          </w:p>
        </w:tc>
        <w:tc>
          <w:tcPr>
            <w:tcW w:w="900" w:type="dxa"/>
            <w:vAlign w:val="bottom"/>
            <w:tcBorders>
              <w:bottom w:val="single" w:sz="8" w:color="auto"/>
            </w:tcBorders>
            <w:vMerge w:val="continue"/>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Borders>
              <w:bottom w:val="single" w:sz="8" w:color="auto"/>
            </w:tcBorders>
            <w:vMerge w:val="continue"/>
          </w:tcPr>
          <w:p>
            <w:pPr>
              <w:spacing w:after="0"/>
              <w:rPr>
                <w:sz w:val="17"/>
                <w:szCs w:val="17"/>
                <w:color w:val="auto"/>
              </w:rPr>
            </w:pPr>
          </w:p>
        </w:tc>
        <w:tc>
          <w:tcPr>
            <w:tcW w:w="900" w:type="dxa"/>
            <w:vAlign w:val="bottom"/>
            <w:tcBorders>
              <w:bottom w:val="single" w:sz="8" w:color="auto"/>
            </w:tcBorders>
            <w:vMerge w:val="continue"/>
          </w:tcPr>
          <w:p>
            <w:pPr>
              <w:spacing w:after="0"/>
              <w:rPr>
                <w:sz w:val="17"/>
                <w:szCs w:val="17"/>
                <w:color w:val="auto"/>
              </w:rPr>
            </w:pPr>
          </w:p>
        </w:tc>
        <w:tc>
          <w:tcPr>
            <w:tcW w:w="300" w:type="dxa"/>
            <w:vAlign w:val="bottom"/>
          </w:tcPr>
          <w:p>
            <w:pPr>
              <w:spacing w:after="0"/>
              <w:rPr>
                <w:sz w:val="17"/>
                <w:szCs w:val="17"/>
                <w:color w:val="auto"/>
              </w:rPr>
            </w:pPr>
          </w:p>
        </w:tc>
        <w:tc>
          <w:tcPr>
            <w:tcW w:w="780" w:type="dxa"/>
            <w:vAlign w:val="bottom"/>
            <w:tcBorders>
              <w:left w:val="single" w:sz="8" w:color="auto"/>
            </w:tcBorders>
          </w:tcPr>
          <w:p>
            <w:pPr>
              <w:spacing w:after="0"/>
              <w:rPr>
                <w:sz w:val="17"/>
                <w:szCs w:val="17"/>
                <w:color w:val="auto"/>
              </w:rPr>
            </w:pPr>
          </w:p>
        </w:tc>
        <w:tc>
          <w:tcPr>
            <w:tcW w:w="100" w:type="dxa"/>
            <w:vAlign w:val="bottom"/>
            <w:tcBorders>
              <w:bottom w:val="single" w:sz="8" w:color="auto"/>
            </w:tcBorders>
            <w:vMerge w:val="continue"/>
          </w:tcPr>
          <w:p>
            <w:pPr>
              <w:spacing w:after="0"/>
              <w:rPr>
                <w:sz w:val="17"/>
                <w:szCs w:val="17"/>
                <w:color w:val="auto"/>
              </w:rPr>
            </w:pPr>
          </w:p>
        </w:tc>
        <w:tc>
          <w:tcPr>
            <w:tcW w:w="860" w:type="dxa"/>
            <w:vAlign w:val="bottom"/>
            <w:tcBorders>
              <w:bottom w:val="single" w:sz="8" w:color="auto"/>
            </w:tcBorders>
            <w:vMerge w:val="continue"/>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4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80" w:type="dxa"/>
            <w:vAlign w:val="bottom"/>
            <w:tcBorders>
              <w:left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420" w:type="dxa"/>
            <w:vAlign w:val="bottom"/>
            <w:shd w:val="clear" w:color="auto" w:fill="CCEEFF"/>
          </w:tcPr>
          <w:p>
            <w:pPr>
              <w:spacing w:after="0"/>
              <w:rPr>
                <w:sz w:val="20"/>
                <w:szCs w:val="20"/>
                <w:color w:val="auto"/>
              </w:rPr>
            </w:pPr>
            <w:r>
              <w:rPr>
                <w:rFonts w:ascii="Arial" w:cs="Arial" w:eastAsia="Arial" w:hAnsi="Arial"/>
                <w:sz w:val="18"/>
                <w:szCs w:val="18"/>
                <w:color w:val="auto"/>
              </w:rPr>
              <w:t>Net loss per unit:</w:t>
            </w: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80" w:type="dxa"/>
            <w:vAlign w:val="bottom"/>
            <w:tcBorders>
              <w:left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20" w:type="dxa"/>
            <w:vAlign w:val="bottom"/>
          </w:tcPr>
          <w:p>
            <w:pPr>
              <w:ind w:left="360"/>
              <w:spacing w:after="0"/>
              <w:rPr>
                <w:sz w:val="20"/>
                <w:szCs w:val="20"/>
                <w:color w:val="auto"/>
              </w:rPr>
            </w:pPr>
            <w:r>
              <w:rPr>
                <w:rFonts w:ascii="Arial" w:cs="Arial" w:eastAsia="Arial" w:hAnsi="Arial"/>
                <w:sz w:val="18"/>
                <w:szCs w:val="18"/>
                <w:color w:val="auto"/>
              </w:rPr>
              <w:t>Basic and diluted</w:t>
            </w: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40" w:type="dxa"/>
            <w:vAlign w:val="bottom"/>
            <w:gridSpan w:val="3"/>
          </w:tcPr>
          <w:p>
            <w:pPr>
              <w:jc w:val="right"/>
              <w:ind w:right="180"/>
              <w:spacing w:after="0"/>
              <w:rPr>
                <w:sz w:val="20"/>
                <w:szCs w:val="20"/>
                <w:color w:val="auto"/>
              </w:rPr>
            </w:pPr>
            <w:r>
              <w:rPr>
                <w:rFonts w:ascii="Arial" w:cs="Arial" w:eastAsia="Arial" w:hAnsi="Arial"/>
                <w:sz w:val="18"/>
                <w:szCs w:val="18"/>
                <w:color w:val="auto"/>
              </w:rPr>
              <w:t>(0.40)</w:t>
            </w:r>
          </w:p>
        </w:tc>
        <w:tc>
          <w:tcPr>
            <w:tcW w:w="260" w:type="dxa"/>
            <w:vAlign w:val="bottom"/>
            <w:gridSpan w:val="2"/>
          </w:tcPr>
          <w:p>
            <w:pPr>
              <w:ind w:left="160"/>
              <w:spacing w:after="0"/>
              <w:rPr>
                <w:sz w:val="20"/>
                <w:szCs w:val="20"/>
                <w:color w:val="auto"/>
              </w:rPr>
            </w:pPr>
            <w:r>
              <w:rPr>
                <w:rFonts w:ascii="Arial" w:cs="Arial" w:eastAsia="Arial" w:hAnsi="Arial"/>
                <w:sz w:val="18"/>
                <w:szCs w:val="18"/>
                <w:color w:val="auto"/>
                <w:w w:val="79"/>
              </w:rPr>
              <w:t>$</w:t>
            </w:r>
          </w:p>
        </w:tc>
        <w:tc>
          <w:tcPr>
            <w:tcW w:w="1200" w:type="dxa"/>
            <w:vAlign w:val="bottom"/>
            <w:gridSpan w:val="2"/>
          </w:tcPr>
          <w:p>
            <w:pPr>
              <w:jc w:val="right"/>
              <w:ind w:right="240"/>
              <w:spacing w:after="0"/>
              <w:rPr>
                <w:sz w:val="20"/>
                <w:szCs w:val="20"/>
                <w:color w:val="auto"/>
              </w:rPr>
            </w:pPr>
            <w:r>
              <w:rPr>
                <w:rFonts w:ascii="Arial" w:cs="Arial" w:eastAsia="Arial" w:hAnsi="Arial"/>
                <w:sz w:val="18"/>
                <w:szCs w:val="18"/>
                <w:color w:val="auto"/>
              </w:rPr>
              <w:t>(0.39)</w:t>
            </w: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4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420" w:type="dxa"/>
            <w:vAlign w:val="bottom"/>
            <w:shd w:val="clear" w:color="auto" w:fill="CCEEFF"/>
          </w:tcPr>
          <w:p>
            <w:pPr>
              <w:spacing w:after="0"/>
              <w:rPr>
                <w:sz w:val="20"/>
                <w:szCs w:val="20"/>
                <w:color w:val="auto"/>
              </w:rPr>
            </w:pPr>
            <w:r>
              <w:rPr>
                <w:rFonts w:ascii="Arial" w:cs="Arial" w:eastAsia="Arial" w:hAnsi="Arial"/>
                <w:sz w:val="18"/>
                <w:szCs w:val="18"/>
                <w:color w:val="auto"/>
              </w:rPr>
              <w:t>Weighted average common units outstanding:</w:t>
            </w: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80" w:type="dxa"/>
            <w:vAlign w:val="bottom"/>
            <w:tcBorders>
              <w:lef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20" w:type="dxa"/>
            <w:vAlign w:val="bottom"/>
          </w:tcPr>
          <w:p>
            <w:pPr>
              <w:ind w:left="360"/>
              <w:spacing w:after="0"/>
              <w:rPr>
                <w:sz w:val="20"/>
                <w:szCs w:val="20"/>
                <w:color w:val="auto"/>
              </w:rPr>
            </w:pPr>
            <w:r>
              <w:rPr>
                <w:rFonts w:ascii="Arial" w:cs="Arial" w:eastAsia="Arial" w:hAnsi="Arial"/>
                <w:sz w:val="18"/>
                <w:szCs w:val="18"/>
                <w:color w:val="auto"/>
              </w:rPr>
              <w:t>Basic and diluted</w:t>
            </w: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w w:val="87"/>
              </w:rPr>
              <w:t>127,682,376</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gridSpan w:val="2"/>
          </w:tcPr>
          <w:p>
            <w:pPr>
              <w:jc w:val="right"/>
              <w:ind w:right="300"/>
              <w:spacing w:after="0"/>
              <w:rPr>
                <w:sz w:val="20"/>
                <w:szCs w:val="20"/>
                <w:color w:val="auto"/>
              </w:rPr>
            </w:pPr>
            <w:r>
              <w:rPr>
                <w:rFonts w:ascii="Arial" w:cs="Arial" w:eastAsia="Arial" w:hAnsi="Arial"/>
                <w:sz w:val="18"/>
                <w:szCs w:val="18"/>
                <w:color w:val="auto"/>
                <w:w w:val="87"/>
              </w:rPr>
              <w:t>126,794,329</w:t>
            </w: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4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left="3980"/>
        <w:spacing w:after="0"/>
        <w:rPr>
          <w:sz w:val="20"/>
          <w:szCs w:val="20"/>
          <w:color w:val="auto"/>
        </w:rPr>
      </w:pPr>
      <w:r>
        <w:rPr>
          <w:rFonts w:ascii="Arial" w:cs="Arial" w:eastAsia="Arial" w:hAnsi="Arial"/>
          <w:sz w:val="18"/>
          <w:szCs w:val="18"/>
          <w:color w:val="auto"/>
        </w:rPr>
        <w:t>See notes to consolidated financial statements</w:t>
      </w:r>
    </w:p>
    <w:p>
      <w:pPr>
        <w:spacing w:after="0" w:line="158"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F-9</w:t>
      </w:r>
    </w:p>
    <w:p>
      <w:pPr>
        <w:sectPr>
          <w:pgSz w:w="11900" w:h="16838" w:orient="portrait"/>
          <w:cols w:equalWidth="0" w:num="1">
            <w:col w:w="11140"/>
          </w:cols>
          <w:pgMar w:left="320" w:top="459" w:right="439" w:bottom="1440" w:gutter="0" w:footer="0" w:header="0"/>
        </w:sectPr>
      </w:pPr>
    </w:p>
    <w:bookmarkStart w:id="215" w:name="page216"/>
    <w:bookmarkEnd w:id="2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Confidential Treatment Requested by Definitive Healthcare Corp.</w:t>
      </w:r>
    </w:p>
    <w:p>
      <w:pPr>
        <w:spacing w:after="0" w:line="27"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Pursuant to 17 C.F.R. Section 200.83</w:t>
      </w:r>
    </w:p>
    <w:p>
      <w:pPr>
        <w:spacing w:after="0" w:line="139"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AIDH TOPCO, LLC</w:t>
      </w:r>
    </w:p>
    <w:p>
      <w:pPr>
        <w:spacing w:after="0" w:line="22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CONSOLIDATED STATEMENTS OF COMPREHENSIVE (LOSS) INCOME</w:t>
      </w:r>
    </w:p>
    <w:p>
      <w:pPr>
        <w:spacing w:after="0" w:line="27" w:lineRule="exact"/>
        <w:rPr>
          <w:sz w:val="20"/>
          <w:szCs w:val="20"/>
          <w:color w:val="auto"/>
        </w:rPr>
      </w:pPr>
    </w:p>
    <w:p>
      <w:pPr>
        <w:jc w:val="center"/>
        <w:ind w:right="-99"/>
        <w:spacing w:after="0"/>
        <w:rPr>
          <w:sz w:val="20"/>
          <w:szCs w:val="20"/>
          <w:color w:val="auto"/>
        </w:rPr>
      </w:pPr>
      <w:r>
        <w:rPr>
          <w:rFonts w:ascii="Arial" w:cs="Arial" w:eastAsia="Arial" w:hAnsi="Arial"/>
          <w:sz w:val="18"/>
          <w:szCs w:val="18"/>
          <w:i w:val="1"/>
          <w:iCs w:val="1"/>
          <w:color w:val="auto"/>
        </w:rPr>
        <w:t>(amounts in thousands)</w:t>
      </w:r>
    </w:p>
    <w:p>
      <w:pPr>
        <w:spacing w:after="0" w:line="217" w:lineRule="exact"/>
        <w:rPr>
          <w:sz w:val="20"/>
          <w:szCs w:val="20"/>
          <w:color w:val="auto"/>
        </w:rPr>
      </w:pPr>
    </w:p>
    <w:tbl>
      <w:tblPr>
        <w:tblLayout w:type="fixed"/>
        <w:tblInd w:w="120" w:type="dxa"/>
        <w:tblCellMar>
          <w:top w:w="0" w:type="dxa"/>
          <w:left w:w="0" w:type="dxa"/>
          <w:bottom w:w="0" w:type="dxa"/>
          <w:right w:w="0" w:type="dxa"/>
        </w:tblCellMar>
      </w:tblPr>
      <w:tr>
        <w:trPr>
          <w:trHeight w:val="35"/>
        </w:trPr>
        <w:tc>
          <w:tcPr>
            <w:tcW w:w="6660" w:type="dxa"/>
            <w:vAlign w:val="bottom"/>
          </w:tcPr>
          <w:p>
            <w:pPr>
              <w:spacing w:after="0"/>
              <w:rPr>
                <w:sz w:val="3"/>
                <w:szCs w:val="3"/>
                <w:color w:val="auto"/>
              </w:rPr>
            </w:pPr>
          </w:p>
        </w:tc>
        <w:tc>
          <w:tcPr>
            <w:tcW w:w="20" w:type="dxa"/>
            <w:vAlign w:val="bottom"/>
          </w:tcPr>
          <w:p>
            <w:pPr>
              <w:spacing w:after="0"/>
              <w:rPr>
                <w:sz w:val="3"/>
                <w:szCs w:val="3"/>
                <w:color w:val="auto"/>
              </w:rPr>
            </w:pPr>
          </w:p>
        </w:tc>
        <w:tc>
          <w:tcPr>
            <w:tcW w:w="160" w:type="dxa"/>
            <w:vAlign w:val="bottom"/>
          </w:tcPr>
          <w:p>
            <w:pPr>
              <w:spacing w:after="0"/>
              <w:rPr>
                <w:sz w:val="3"/>
                <w:szCs w:val="3"/>
                <w:color w:val="auto"/>
              </w:rPr>
            </w:pPr>
          </w:p>
        </w:tc>
        <w:tc>
          <w:tcPr>
            <w:tcW w:w="2020" w:type="dxa"/>
            <w:vAlign w:val="bottom"/>
            <w:gridSpan w:val="6"/>
            <w:vMerge w:val="restart"/>
          </w:tcPr>
          <w:p>
            <w:pPr>
              <w:jc w:val="right"/>
              <w:ind w:right="398"/>
              <w:spacing w:after="0"/>
              <w:rPr>
                <w:sz w:val="20"/>
                <w:szCs w:val="20"/>
                <w:color w:val="auto"/>
              </w:rPr>
            </w:pPr>
            <w:r>
              <w:rPr>
                <w:rFonts w:ascii="Arial" w:cs="Arial" w:eastAsia="Arial" w:hAnsi="Arial"/>
                <w:sz w:val="14"/>
                <w:szCs w:val="14"/>
                <w:b w:val="1"/>
                <w:bCs w:val="1"/>
                <w:color w:val="auto"/>
              </w:rPr>
              <w:t>Successor Company</w:t>
            </w:r>
          </w:p>
        </w:tc>
        <w:tc>
          <w:tcPr>
            <w:tcW w:w="320" w:type="dxa"/>
            <w:vAlign w:val="bottom"/>
            <w:vMerge w:val="restart"/>
          </w:tcPr>
          <w:p>
            <w:pPr>
              <w:spacing w:after="0"/>
              <w:rPr>
                <w:sz w:val="3"/>
                <w:szCs w:val="3"/>
                <w:color w:val="auto"/>
              </w:rPr>
            </w:pPr>
          </w:p>
        </w:tc>
        <w:tc>
          <w:tcPr>
            <w:tcW w:w="800" w:type="dxa"/>
            <w:vAlign w:val="bottom"/>
          </w:tcPr>
          <w:p>
            <w:pPr>
              <w:spacing w:after="0"/>
              <w:rPr>
                <w:sz w:val="3"/>
                <w:szCs w:val="3"/>
                <w:color w:val="auto"/>
              </w:rPr>
            </w:pPr>
          </w:p>
        </w:tc>
        <w:tc>
          <w:tcPr>
            <w:tcW w:w="100" w:type="dxa"/>
            <w:vAlign w:val="bottom"/>
          </w:tcPr>
          <w:p>
            <w:pPr>
              <w:spacing w:after="0"/>
              <w:rPr>
                <w:sz w:val="3"/>
                <w:szCs w:val="3"/>
                <w:color w:val="auto"/>
              </w:rPr>
            </w:pPr>
          </w:p>
        </w:tc>
        <w:tc>
          <w:tcPr>
            <w:tcW w:w="940" w:type="dxa"/>
            <w:vAlign w:val="bottom"/>
            <w:gridSpan w:val="2"/>
            <w:vMerge w:val="restart"/>
          </w:tcPr>
          <w:p>
            <w:pPr>
              <w:jc w:val="center"/>
              <w:ind w:right="160"/>
              <w:spacing w:after="0"/>
              <w:rPr>
                <w:sz w:val="20"/>
                <w:szCs w:val="20"/>
                <w:color w:val="auto"/>
              </w:rPr>
            </w:pPr>
            <w:r>
              <w:rPr>
                <w:rFonts w:ascii="Arial" w:cs="Arial" w:eastAsia="Arial" w:hAnsi="Arial"/>
                <w:sz w:val="14"/>
                <w:szCs w:val="14"/>
                <w:b w:val="1"/>
                <w:bCs w:val="1"/>
                <w:color w:val="auto"/>
                <w:w w:val="87"/>
              </w:rPr>
              <w:t>Predecessor</w:t>
            </w:r>
          </w:p>
        </w:tc>
        <w:tc>
          <w:tcPr>
            <w:tcW w:w="0" w:type="dxa"/>
            <w:vAlign w:val="bottom"/>
          </w:tcPr>
          <w:p>
            <w:pPr>
              <w:spacing w:after="0" w:line="20" w:lineRule="exact"/>
              <w:rPr>
                <w:sz w:val="1"/>
                <w:szCs w:val="1"/>
                <w:color w:val="auto"/>
              </w:rPr>
            </w:pPr>
          </w:p>
        </w:tc>
      </w:tr>
      <w:tr>
        <w:trPr>
          <w:trHeight w:val="126"/>
        </w:trPr>
        <w:tc>
          <w:tcPr>
            <w:tcW w:w="66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2020" w:type="dxa"/>
            <w:vAlign w:val="bottom"/>
            <w:gridSpan w:val="6"/>
            <w:vMerge w:val="continue"/>
          </w:tcPr>
          <w:p>
            <w:pPr>
              <w:spacing w:after="0"/>
              <w:rPr>
                <w:sz w:val="10"/>
                <w:szCs w:val="10"/>
                <w:color w:val="auto"/>
              </w:rPr>
            </w:pPr>
          </w:p>
        </w:tc>
        <w:tc>
          <w:tcPr>
            <w:tcW w:w="320" w:type="dxa"/>
            <w:vAlign w:val="bottom"/>
            <w:vMerge w:val="continue"/>
          </w:tcPr>
          <w:p>
            <w:pPr>
              <w:spacing w:after="0"/>
              <w:rPr>
                <w:sz w:val="10"/>
                <w:szCs w:val="10"/>
                <w:color w:val="auto"/>
              </w:rPr>
            </w:pPr>
          </w:p>
        </w:tc>
        <w:tc>
          <w:tcPr>
            <w:tcW w:w="800" w:type="dxa"/>
            <w:vAlign w:val="bottom"/>
            <w:tcBorders>
              <w:left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94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6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2020" w:type="dxa"/>
            <w:vAlign w:val="bottom"/>
            <w:tcBorders>
              <w:bottom w:val="single" w:sz="8" w:color="auto"/>
            </w:tcBorders>
            <w:gridSpan w:val="6"/>
            <w:vMerge w:val="continue"/>
          </w:tcPr>
          <w:p>
            <w:pPr>
              <w:spacing w:after="0"/>
              <w:rPr>
                <w:sz w:val="14"/>
                <w:szCs w:val="14"/>
                <w:color w:val="auto"/>
              </w:rPr>
            </w:pPr>
          </w:p>
        </w:tc>
        <w:tc>
          <w:tcPr>
            <w:tcW w:w="320" w:type="dxa"/>
            <w:vAlign w:val="bottom"/>
            <w:vMerge w:val="continue"/>
          </w:tcPr>
          <w:p>
            <w:pPr>
              <w:spacing w:after="0"/>
              <w:rPr>
                <w:sz w:val="14"/>
                <w:szCs w:val="14"/>
                <w:color w:val="auto"/>
              </w:rPr>
            </w:pPr>
          </w:p>
        </w:tc>
        <w:tc>
          <w:tcPr>
            <w:tcW w:w="800" w:type="dxa"/>
            <w:vAlign w:val="bottom"/>
            <w:tcBorders>
              <w:left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center"/>
              <w:ind w:right="39"/>
              <w:spacing w:after="0"/>
              <w:rPr>
                <w:sz w:val="20"/>
                <w:szCs w:val="20"/>
                <w:color w:val="auto"/>
              </w:rPr>
            </w:pPr>
            <w:r>
              <w:rPr>
                <w:rFonts w:ascii="Arial" w:cs="Arial" w:eastAsia="Arial" w:hAnsi="Arial"/>
                <w:sz w:val="14"/>
                <w:szCs w:val="14"/>
                <w:b w:val="1"/>
                <w:bCs w:val="1"/>
                <w:color w:val="auto"/>
                <w:w w:val="93"/>
              </w:rPr>
              <w:t>Company</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66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40" w:type="dxa"/>
            <w:vAlign w:val="bottom"/>
            <w:gridSpan w:val="4"/>
            <w:vMerge w:val="restart"/>
          </w:tcPr>
          <w:p>
            <w:pPr>
              <w:jc w:val="right"/>
              <w:ind w:right="280"/>
              <w:spacing w:after="0"/>
              <w:rPr>
                <w:sz w:val="20"/>
                <w:szCs w:val="20"/>
                <w:color w:val="auto"/>
              </w:rPr>
            </w:pPr>
            <w:r>
              <w:rPr>
                <w:rFonts w:ascii="Arial" w:cs="Arial" w:eastAsia="Arial" w:hAnsi="Arial"/>
                <w:sz w:val="14"/>
                <w:szCs w:val="14"/>
                <w:b w:val="1"/>
                <w:bCs w:val="1"/>
                <w:color w:val="auto"/>
                <w:w w:val="96"/>
              </w:rPr>
              <w:t>Year Ended</w:t>
            </w:r>
          </w:p>
        </w:tc>
        <w:tc>
          <w:tcPr>
            <w:tcW w:w="1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60" w:type="dxa"/>
            <w:vAlign w:val="bottom"/>
          </w:tcPr>
          <w:p>
            <w:pPr>
              <w:jc w:val="center"/>
              <w:ind w:right="18"/>
              <w:spacing w:after="0" w:line="119" w:lineRule="exact"/>
              <w:rPr>
                <w:sz w:val="20"/>
                <w:szCs w:val="20"/>
                <w:color w:val="auto"/>
              </w:rPr>
            </w:pPr>
            <w:r>
              <w:rPr>
                <w:rFonts w:ascii="Arial" w:cs="Arial" w:eastAsia="Arial" w:hAnsi="Arial"/>
                <w:sz w:val="13"/>
                <w:szCs w:val="13"/>
                <w:b w:val="1"/>
                <w:bCs w:val="1"/>
                <w:color w:val="auto"/>
              </w:rPr>
              <w:t>Period from</w:t>
            </w:r>
          </w:p>
        </w:tc>
        <w:tc>
          <w:tcPr>
            <w:tcW w:w="320" w:type="dxa"/>
            <w:vAlign w:val="bottom"/>
          </w:tcPr>
          <w:p>
            <w:pPr>
              <w:spacing w:after="0"/>
              <w:rPr>
                <w:sz w:val="10"/>
                <w:szCs w:val="10"/>
                <w:color w:val="auto"/>
              </w:rPr>
            </w:pPr>
          </w:p>
        </w:tc>
        <w:tc>
          <w:tcPr>
            <w:tcW w:w="800" w:type="dxa"/>
            <w:vAlign w:val="bottom"/>
            <w:tcBorders>
              <w:left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940" w:type="dxa"/>
            <w:vAlign w:val="bottom"/>
            <w:gridSpan w:val="2"/>
            <w:vMerge w:val="restart"/>
          </w:tcPr>
          <w:p>
            <w:pPr>
              <w:jc w:val="center"/>
              <w:ind w:right="160"/>
              <w:spacing w:after="0"/>
              <w:rPr>
                <w:sz w:val="20"/>
                <w:szCs w:val="20"/>
                <w:color w:val="auto"/>
              </w:rPr>
            </w:pPr>
            <w:r>
              <w:rPr>
                <w:rFonts w:ascii="Arial" w:cs="Arial" w:eastAsia="Arial" w:hAnsi="Arial"/>
                <w:sz w:val="14"/>
                <w:szCs w:val="14"/>
                <w:b w:val="1"/>
                <w:bCs w:val="1"/>
                <w:color w:val="auto"/>
                <w:w w:val="94"/>
              </w:rPr>
              <w:t>Period from</w:t>
            </w:r>
          </w:p>
        </w:tc>
        <w:tc>
          <w:tcPr>
            <w:tcW w:w="0" w:type="dxa"/>
            <w:vAlign w:val="bottom"/>
          </w:tcPr>
          <w:p>
            <w:pPr>
              <w:spacing w:after="0"/>
              <w:rPr>
                <w:sz w:val="1"/>
                <w:szCs w:val="1"/>
                <w:color w:val="auto"/>
              </w:rPr>
            </w:pPr>
          </w:p>
        </w:tc>
      </w:tr>
      <w:tr>
        <w:trPr>
          <w:trHeight w:val="148"/>
        </w:trPr>
        <w:tc>
          <w:tcPr>
            <w:tcW w:w="66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40" w:type="dxa"/>
            <w:vAlign w:val="bottom"/>
            <w:gridSpan w:val="4"/>
            <w:vMerge w:val="continue"/>
          </w:tcPr>
          <w:p>
            <w:pPr>
              <w:spacing w:after="0"/>
              <w:rPr>
                <w:sz w:val="12"/>
                <w:szCs w:val="12"/>
                <w:color w:val="auto"/>
              </w:rPr>
            </w:pPr>
          </w:p>
        </w:tc>
        <w:tc>
          <w:tcPr>
            <w:tcW w:w="180" w:type="dxa"/>
            <w:vAlign w:val="bottom"/>
          </w:tcPr>
          <w:p>
            <w:pPr>
              <w:spacing w:after="0"/>
              <w:rPr>
                <w:sz w:val="12"/>
                <w:szCs w:val="12"/>
                <w:color w:val="auto"/>
              </w:rPr>
            </w:pPr>
          </w:p>
        </w:tc>
        <w:tc>
          <w:tcPr>
            <w:tcW w:w="1280" w:type="dxa"/>
            <w:vAlign w:val="bottom"/>
            <w:gridSpan w:val="3"/>
          </w:tcPr>
          <w:p>
            <w:pPr>
              <w:jc w:val="center"/>
              <w:ind w:right="320"/>
              <w:spacing w:after="0" w:line="149" w:lineRule="exact"/>
              <w:rPr>
                <w:sz w:val="20"/>
                <w:szCs w:val="20"/>
                <w:color w:val="auto"/>
              </w:rPr>
            </w:pPr>
            <w:r>
              <w:rPr>
                <w:rFonts w:ascii="Arial" w:cs="Arial" w:eastAsia="Arial" w:hAnsi="Arial"/>
                <w:sz w:val="14"/>
                <w:szCs w:val="14"/>
                <w:b w:val="1"/>
                <w:bCs w:val="1"/>
                <w:color w:val="auto"/>
                <w:w w:val="92"/>
              </w:rPr>
              <w:t>July 16, 2019 to</w:t>
            </w:r>
          </w:p>
        </w:tc>
        <w:tc>
          <w:tcPr>
            <w:tcW w:w="800" w:type="dxa"/>
            <w:vAlign w:val="bottom"/>
            <w:tcBorders>
              <w:left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6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40" w:type="dxa"/>
            <w:vAlign w:val="bottom"/>
            <w:gridSpan w:val="4"/>
          </w:tcPr>
          <w:p>
            <w:pPr>
              <w:spacing w:after="0" w:line="149" w:lineRule="exact"/>
              <w:rPr>
                <w:sz w:val="20"/>
                <w:szCs w:val="20"/>
                <w:color w:val="auto"/>
              </w:rPr>
            </w:pPr>
            <w:r>
              <w:rPr>
                <w:rFonts w:ascii="Arial" w:cs="Arial" w:eastAsia="Arial" w:hAnsi="Arial"/>
                <w:sz w:val="14"/>
                <w:szCs w:val="14"/>
                <w:b w:val="1"/>
                <w:bCs w:val="1"/>
                <w:color w:val="auto"/>
              </w:rPr>
              <w:t>December 31,</w:t>
            </w:r>
          </w:p>
        </w:tc>
        <w:tc>
          <w:tcPr>
            <w:tcW w:w="180" w:type="dxa"/>
            <w:vAlign w:val="bottom"/>
          </w:tcPr>
          <w:p>
            <w:pPr>
              <w:spacing w:after="0"/>
              <w:rPr>
                <w:sz w:val="12"/>
                <w:szCs w:val="12"/>
                <w:color w:val="auto"/>
              </w:rPr>
            </w:pPr>
          </w:p>
        </w:tc>
        <w:tc>
          <w:tcPr>
            <w:tcW w:w="1280" w:type="dxa"/>
            <w:vAlign w:val="bottom"/>
            <w:gridSpan w:val="3"/>
          </w:tcPr>
          <w:p>
            <w:pPr>
              <w:jc w:val="center"/>
              <w:ind w:right="320"/>
              <w:spacing w:after="0" w:line="149" w:lineRule="exact"/>
              <w:rPr>
                <w:sz w:val="20"/>
                <w:szCs w:val="20"/>
                <w:color w:val="auto"/>
              </w:rPr>
            </w:pPr>
            <w:r>
              <w:rPr>
                <w:rFonts w:ascii="Arial" w:cs="Arial" w:eastAsia="Arial" w:hAnsi="Arial"/>
                <w:sz w:val="14"/>
                <w:szCs w:val="14"/>
                <w:b w:val="1"/>
                <w:bCs w:val="1"/>
                <w:color w:val="auto"/>
                <w:w w:val="92"/>
              </w:rPr>
              <w:t>December 31,</w:t>
            </w:r>
          </w:p>
        </w:tc>
        <w:tc>
          <w:tcPr>
            <w:tcW w:w="800" w:type="dxa"/>
            <w:vAlign w:val="bottom"/>
            <w:tcBorders>
              <w:left w:val="single" w:sz="8" w:color="auto"/>
            </w:tcBorders>
          </w:tcPr>
          <w:p>
            <w:pPr>
              <w:spacing w:after="0"/>
              <w:rPr>
                <w:sz w:val="12"/>
                <w:szCs w:val="12"/>
                <w:color w:val="auto"/>
              </w:rPr>
            </w:pPr>
          </w:p>
        </w:tc>
        <w:tc>
          <w:tcPr>
            <w:tcW w:w="1040" w:type="dxa"/>
            <w:vAlign w:val="bottom"/>
            <w:gridSpan w:val="3"/>
          </w:tcPr>
          <w:p>
            <w:pPr>
              <w:jc w:val="center"/>
              <w:ind w:right="60"/>
              <w:spacing w:after="0" w:line="149" w:lineRule="exact"/>
              <w:rPr>
                <w:sz w:val="20"/>
                <w:szCs w:val="20"/>
                <w:color w:val="auto"/>
              </w:rPr>
            </w:pPr>
            <w:r>
              <w:rPr>
                <w:rFonts w:ascii="Arial" w:cs="Arial" w:eastAsia="Arial" w:hAnsi="Arial"/>
                <w:sz w:val="14"/>
                <w:szCs w:val="14"/>
                <w:b w:val="1"/>
                <w:bCs w:val="1"/>
                <w:color w:val="auto"/>
                <w:w w:val="93"/>
              </w:rPr>
              <w:t>January 1, 2019</w:t>
            </w:r>
          </w:p>
        </w:tc>
        <w:tc>
          <w:tcPr>
            <w:tcW w:w="0" w:type="dxa"/>
            <w:vAlign w:val="bottom"/>
          </w:tcPr>
          <w:p>
            <w:pPr>
              <w:spacing w:after="0"/>
              <w:rPr>
                <w:sz w:val="1"/>
                <w:szCs w:val="1"/>
                <w:color w:val="auto"/>
              </w:rPr>
            </w:pPr>
          </w:p>
        </w:tc>
      </w:tr>
      <w:tr>
        <w:trPr>
          <w:trHeight w:val="171"/>
        </w:trPr>
        <w:tc>
          <w:tcPr>
            <w:tcW w:w="6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40" w:type="dxa"/>
            <w:vAlign w:val="bottom"/>
          </w:tcPr>
          <w:p>
            <w:pPr>
              <w:jc w:val="right"/>
              <w:ind w:right="177"/>
              <w:spacing w:after="0"/>
              <w:rPr>
                <w:sz w:val="20"/>
                <w:szCs w:val="20"/>
                <w:color w:val="auto"/>
              </w:rPr>
            </w:pPr>
            <w:r>
              <w:rPr>
                <w:rFonts w:ascii="Arial" w:cs="Arial" w:eastAsia="Arial" w:hAnsi="Arial"/>
                <w:sz w:val="14"/>
                <w:szCs w:val="14"/>
                <w:b w:val="1"/>
                <w:bCs w:val="1"/>
                <w:color w:val="auto"/>
              </w:rPr>
              <w:t>2020</w:t>
            </w: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tcPr>
          <w:p>
            <w:pPr>
              <w:jc w:val="center"/>
              <w:ind w:right="18"/>
              <w:spacing w:after="0"/>
              <w:rPr>
                <w:sz w:val="20"/>
                <w:szCs w:val="20"/>
                <w:color w:val="auto"/>
              </w:rPr>
            </w:pPr>
            <w:r>
              <w:rPr>
                <w:rFonts w:ascii="Arial" w:cs="Arial" w:eastAsia="Arial" w:hAnsi="Arial"/>
                <w:sz w:val="14"/>
                <w:szCs w:val="14"/>
                <w:b w:val="1"/>
                <w:bCs w:val="1"/>
                <w:color w:val="auto"/>
                <w:w w:val="89"/>
              </w:rPr>
              <w:t>2019</w:t>
            </w:r>
          </w:p>
        </w:tc>
        <w:tc>
          <w:tcPr>
            <w:tcW w:w="320" w:type="dxa"/>
            <w:vAlign w:val="bottom"/>
          </w:tcPr>
          <w:p>
            <w:pPr>
              <w:spacing w:after="0"/>
              <w:rPr>
                <w:sz w:val="14"/>
                <w:szCs w:val="14"/>
                <w:color w:val="auto"/>
              </w:rPr>
            </w:pPr>
          </w:p>
        </w:tc>
        <w:tc>
          <w:tcPr>
            <w:tcW w:w="800" w:type="dxa"/>
            <w:vAlign w:val="bottom"/>
            <w:tcBorders>
              <w:left w:val="single" w:sz="8" w:color="auto"/>
            </w:tcBorders>
          </w:tcPr>
          <w:p>
            <w:pPr>
              <w:spacing w:after="0"/>
              <w:rPr>
                <w:sz w:val="14"/>
                <w:szCs w:val="14"/>
                <w:color w:val="auto"/>
              </w:rPr>
            </w:pPr>
          </w:p>
        </w:tc>
        <w:tc>
          <w:tcPr>
            <w:tcW w:w="1040" w:type="dxa"/>
            <w:vAlign w:val="bottom"/>
            <w:gridSpan w:val="3"/>
          </w:tcPr>
          <w:p>
            <w:pPr>
              <w:jc w:val="center"/>
              <w:ind w:right="80"/>
              <w:spacing w:after="0"/>
              <w:rPr>
                <w:sz w:val="20"/>
                <w:szCs w:val="20"/>
                <w:color w:val="auto"/>
              </w:rPr>
            </w:pPr>
            <w:r>
              <w:rPr>
                <w:rFonts w:ascii="Arial" w:cs="Arial" w:eastAsia="Arial" w:hAnsi="Arial"/>
                <w:sz w:val="14"/>
                <w:szCs w:val="14"/>
                <w:b w:val="1"/>
                <w:bCs w:val="1"/>
                <w:color w:val="auto"/>
                <w:w w:val="92"/>
              </w:rPr>
              <w:t>to July 15, 2019</w:t>
            </w:r>
          </w:p>
        </w:tc>
        <w:tc>
          <w:tcPr>
            <w:tcW w:w="0" w:type="dxa"/>
            <w:vAlign w:val="bottom"/>
          </w:tcPr>
          <w:p>
            <w:pPr>
              <w:spacing w:after="0"/>
              <w:rPr>
                <w:sz w:val="1"/>
                <w:szCs w:val="1"/>
                <w:color w:val="auto"/>
              </w:rPr>
            </w:pPr>
          </w:p>
        </w:tc>
      </w:tr>
      <w:tr>
        <w:trPr>
          <w:trHeight w:val="209"/>
        </w:trPr>
        <w:tc>
          <w:tcPr>
            <w:tcW w:w="66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(loss) income</w:t>
            </w:r>
          </w:p>
        </w:tc>
        <w:tc>
          <w:tcPr>
            <w:tcW w:w="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2"/>
              </w:rPr>
              <w:t>(51,157)</w:t>
            </w:r>
          </w:p>
        </w:tc>
        <w:tc>
          <w:tcPr>
            <w:tcW w:w="240" w:type="dxa"/>
            <w:vAlign w:val="bottom"/>
            <w:tcBorders>
              <w:top w:val="single" w:sz="8" w:color="CCEEFF"/>
            </w:tcBorders>
            <w:gridSpan w:val="2"/>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(49,266)</w:t>
            </w:r>
          </w:p>
        </w:tc>
        <w:tc>
          <w:tcPr>
            <w:tcW w:w="320" w:type="dxa"/>
            <w:vAlign w:val="bottom"/>
            <w:tcBorders>
              <w:top w:val="single" w:sz="8" w:color="CCEEFF"/>
            </w:tcBorders>
            <w:shd w:val="clear" w:color="auto" w:fill="CCEEFF"/>
          </w:tcPr>
          <w:p>
            <w:pPr>
              <w:spacing w:after="0"/>
              <w:rPr>
                <w:sz w:val="18"/>
                <w:szCs w:val="18"/>
                <w:color w:val="auto"/>
              </w:rPr>
            </w:pPr>
          </w:p>
        </w:tc>
        <w:tc>
          <w:tcPr>
            <w:tcW w:w="800" w:type="dxa"/>
            <w:vAlign w:val="bottom"/>
            <w:tcBorders>
              <w:top w:val="single" w:sz="8" w:color="CCEEFF"/>
              <w:left w:val="single" w:sz="8" w:color="auto"/>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12,868</w:t>
            </w: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60" w:type="dxa"/>
            <w:vAlign w:val="bottom"/>
          </w:tcPr>
          <w:p>
            <w:pPr>
              <w:spacing w:after="0"/>
              <w:rPr>
                <w:sz w:val="20"/>
                <w:szCs w:val="20"/>
                <w:color w:val="auto"/>
              </w:rPr>
            </w:pPr>
            <w:r>
              <w:rPr>
                <w:rFonts w:ascii="Arial" w:cs="Arial" w:eastAsia="Arial" w:hAnsi="Arial"/>
                <w:sz w:val="18"/>
                <w:szCs w:val="18"/>
                <w:color w:val="auto"/>
              </w:rPr>
              <w:t>Other comprehensive loss:</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0" w:type="dxa"/>
            <w:vAlign w:val="bottom"/>
            <w:tcBorders>
              <w:lef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Foreign currency translation adjustments</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(131)</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ind w:left="600"/>
              <w:spacing w:after="0"/>
              <w:rPr>
                <w:sz w:val="20"/>
                <w:szCs w:val="20"/>
                <w:color w:val="auto"/>
              </w:rPr>
            </w:pPr>
            <w:r>
              <w:rPr>
                <w:rFonts w:ascii="Arial" w:cs="Arial" w:eastAsia="Arial" w:hAnsi="Arial"/>
                <w:sz w:val="18"/>
                <w:szCs w:val="18"/>
                <w:color w:val="auto"/>
              </w:rPr>
              <w:t>—</w:t>
            </w:r>
          </w:p>
        </w:tc>
        <w:tc>
          <w:tcPr>
            <w:tcW w:w="800" w:type="dxa"/>
            <w:vAlign w:val="bottom"/>
            <w:tcBorders>
              <w:left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ind w:left="6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6660" w:type="dxa"/>
            <w:vAlign w:val="bottom"/>
          </w:tcPr>
          <w:p>
            <w:pPr>
              <w:ind w:left="720"/>
              <w:spacing w:after="0"/>
              <w:rPr>
                <w:sz w:val="20"/>
                <w:szCs w:val="20"/>
                <w:color w:val="auto"/>
              </w:rPr>
            </w:pPr>
            <w:r>
              <w:rPr>
                <w:rFonts w:ascii="Arial" w:cs="Arial" w:eastAsia="Arial" w:hAnsi="Arial"/>
                <w:sz w:val="18"/>
                <w:szCs w:val="18"/>
                <w:color w:val="auto"/>
              </w:rPr>
              <w:t>Comprehensive (loss) income</w:t>
            </w:r>
          </w:p>
        </w:tc>
        <w:tc>
          <w:tcPr>
            <w:tcW w:w="20" w:type="dxa"/>
            <w:vAlign w:val="bottom"/>
          </w:tcPr>
          <w:p>
            <w:pPr>
              <w:spacing w:after="0"/>
              <w:rPr>
                <w:sz w:val="19"/>
                <w:szCs w:val="19"/>
                <w:color w:val="auto"/>
              </w:rPr>
            </w:pPr>
          </w:p>
        </w:tc>
        <w:tc>
          <w:tcPr>
            <w:tcW w:w="16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w:t>
            </w: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(51,288</w:t>
            </w:r>
          </w:p>
        </w:tc>
        <w:tc>
          <w:tcPr>
            <w:tcW w:w="240" w:type="dxa"/>
            <w:vAlign w:val="bottom"/>
            <w:gridSpan w:val="2"/>
          </w:tcPr>
          <w:p>
            <w:pPr>
              <w:jc w:val="right"/>
              <w:ind w:right="180"/>
              <w:spacing w:after="0"/>
              <w:rPr>
                <w:sz w:val="20"/>
                <w:szCs w:val="20"/>
                <w:color w:val="auto"/>
              </w:rPr>
            </w:pPr>
            <w:r>
              <w:rPr>
                <w:rFonts w:ascii="Arial" w:cs="Arial" w:eastAsia="Arial" w:hAnsi="Arial"/>
                <w:sz w:val="16"/>
                <w:szCs w:val="16"/>
                <w:color w:val="auto"/>
                <w:w w:val="74"/>
              </w:rPr>
              <w:t>)</w:t>
            </w:r>
          </w:p>
        </w:tc>
        <w:tc>
          <w:tcPr>
            <w:tcW w:w="180" w:type="dxa"/>
            <w:vAlign w:val="bottom"/>
          </w:tcPr>
          <w:p>
            <w:pPr>
              <w:spacing w:after="0"/>
              <w:rPr>
                <w:sz w:val="19"/>
                <w:szCs w:val="19"/>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(49,266)</w:t>
            </w:r>
          </w:p>
        </w:tc>
        <w:tc>
          <w:tcPr>
            <w:tcW w:w="320" w:type="dxa"/>
            <w:vAlign w:val="bottom"/>
          </w:tcPr>
          <w:p>
            <w:pPr>
              <w:spacing w:after="0"/>
              <w:rPr>
                <w:sz w:val="19"/>
                <w:szCs w:val="19"/>
                <w:color w:val="auto"/>
              </w:rPr>
            </w:pPr>
          </w:p>
        </w:tc>
        <w:tc>
          <w:tcPr>
            <w:tcW w:w="800" w:type="dxa"/>
            <w:vAlign w:val="bottom"/>
            <w:tcBorders>
              <w:left w:val="single" w:sz="8" w:color="auto"/>
            </w:tcBorders>
          </w:tcPr>
          <w:p>
            <w:pPr>
              <w:spacing w:after="0"/>
              <w:rPr>
                <w:sz w:val="19"/>
                <w:szCs w:val="19"/>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12,868</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66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0" w:type="dxa"/>
            <w:vAlign w:val="bottom"/>
            <w:tcBorders>
              <w:left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3980"/>
        <w:spacing w:after="0"/>
        <w:rPr>
          <w:sz w:val="20"/>
          <w:szCs w:val="20"/>
          <w:color w:val="auto"/>
        </w:rPr>
      </w:pPr>
      <w:r>
        <w:rPr>
          <w:rFonts w:ascii="Arial" w:cs="Arial" w:eastAsia="Arial" w:hAnsi="Arial"/>
          <w:sz w:val="18"/>
          <w:szCs w:val="18"/>
          <w:color w:val="auto"/>
        </w:rPr>
        <w:t>See notes to consolidated financial statements</w:t>
      </w:r>
    </w:p>
    <w:p>
      <w:pPr>
        <w:spacing w:after="0" w:line="158"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F-10</w:t>
      </w:r>
    </w:p>
    <w:p>
      <w:pPr>
        <w:sectPr>
          <w:pgSz w:w="11900" w:h="16838" w:orient="portrait"/>
          <w:cols w:equalWidth="0" w:num="1">
            <w:col w:w="11140"/>
          </w:cols>
          <w:pgMar w:left="320" w:top="459" w:right="439" w:bottom="1440" w:gutter="0" w:footer="0" w:header="0"/>
        </w:sectPr>
      </w:pPr>
    </w:p>
    <w:bookmarkStart w:id="216" w:name="page217"/>
    <w:bookmarkEnd w:id="2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Confidential Treatment Requested by Definitive Healthcare Corp.</w:t>
      </w:r>
    </w:p>
    <w:p>
      <w:pPr>
        <w:spacing w:after="0" w:line="27"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Pursuant to 17 C.F.R. Section 200.83</w:t>
      </w:r>
    </w:p>
    <w:p>
      <w:pPr>
        <w:spacing w:after="0" w:line="139"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AIDH TOPCO, LLC</w:t>
      </w:r>
    </w:p>
    <w:p>
      <w:pPr>
        <w:spacing w:after="0" w:line="22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CONSOLIDATED STATEMENTS OF CHANGES IN MEMBERS’ EQUITY</w:t>
      </w:r>
    </w:p>
    <w:p>
      <w:pPr>
        <w:spacing w:after="0" w:line="27" w:lineRule="exact"/>
        <w:rPr>
          <w:sz w:val="20"/>
          <w:szCs w:val="20"/>
          <w:color w:val="auto"/>
        </w:rPr>
      </w:pPr>
    </w:p>
    <w:p>
      <w:pPr>
        <w:jc w:val="center"/>
        <w:ind w:right="-99"/>
        <w:spacing w:after="0"/>
        <w:rPr>
          <w:sz w:val="20"/>
          <w:szCs w:val="20"/>
          <w:color w:val="auto"/>
        </w:rPr>
      </w:pPr>
      <w:r>
        <w:rPr>
          <w:rFonts w:ascii="Arial" w:cs="Arial" w:eastAsia="Arial" w:hAnsi="Arial"/>
          <w:sz w:val="18"/>
          <w:szCs w:val="18"/>
          <w:i w:val="1"/>
          <w:iCs w:val="1"/>
          <w:color w:val="auto"/>
        </w:rPr>
        <w:t>(amounts in thousands, except number of units)</w:t>
      </w:r>
    </w:p>
    <w:p>
      <w:pPr>
        <w:spacing w:after="0" w:line="217"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12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gridSpan w:val="2"/>
            <w:vMerge w:val="restart"/>
          </w:tcPr>
          <w:p>
            <w:pPr>
              <w:jc w:val="center"/>
              <w:ind w:right="140"/>
              <w:spacing w:after="0"/>
              <w:rPr>
                <w:sz w:val="20"/>
                <w:szCs w:val="20"/>
                <w:color w:val="auto"/>
              </w:rPr>
            </w:pPr>
            <w:r>
              <w:rPr>
                <w:rFonts w:ascii="Arial" w:cs="Arial" w:eastAsia="Arial" w:hAnsi="Arial"/>
                <w:sz w:val="14"/>
                <w:szCs w:val="14"/>
                <w:b w:val="1"/>
                <w:bCs w:val="1"/>
                <w:color w:val="auto"/>
                <w:w w:val="91"/>
              </w:rPr>
              <w:t>Legacy</w:t>
            </w:r>
          </w:p>
        </w:tc>
        <w:tc>
          <w:tcPr>
            <w:tcW w:w="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20" w:type="dxa"/>
            <w:vAlign w:val="bottom"/>
            <w:gridSpan w:val="2"/>
            <w:vMerge w:val="restart"/>
          </w:tcPr>
          <w:p>
            <w:pPr>
              <w:jc w:val="right"/>
              <w:ind w:right="180"/>
              <w:spacing w:after="0"/>
              <w:rPr>
                <w:sz w:val="20"/>
                <w:szCs w:val="20"/>
                <w:color w:val="auto"/>
              </w:rPr>
            </w:pPr>
            <w:r>
              <w:rPr>
                <w:rFonts w:ascii="Arial" w:cs="Arial" w:eastAsia="Arial" w:hAnsi="Arial"/>
                <w:sz w:val="14"/>
                <w:szCs w:val="14"/>
                <w:b w:val="1"/>
                <w:bCs w:val="1"/>
                <w:color w:val="auto"/>
              </w:rPr>
              <w:t>Legacy</w:t>
            </w:r>
          </w:p>
        </w:tc>
        <w:tc>
          <w:tcPr>
            <w:tcW w:w="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Additional</w:t>
            </w:r>
          </w:p>
        </w:tc>
        <w:tc>
          <w:tcPr>
            <w:tcW w:w="120" w:type="dxa"/>
            <w:vAlign w:val="bottom"/>
          </w:tcPr>
          <w:p>
            <w:pPr>
              <w:spacing w:after="0"/>
              <w:rPr>
                <w:sz w:val="14"/>
                <w:szCs w:val="14"/>
                <w:color w:val="auto"/>
              </w:rPr>
            </w:pPr>
          </w:p>
        </w:tc>
        <w:tc>
          <w:tcPr>
            <w:tcW w:w="86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4"/>
              </w:rPr>
              <w:t>Retained</w:t>
            </w:r>
          </w:p>
        </w:tc>
        <w:tc>
          <w:tcPr>
            <w:tcW w:w="40" w:type="dxa"/>
            <w:vAlign w:val="bottom"/>
          </w:tcPr>
          <w:p>
            <w:pPr>
              <w:spacing w:after="0"/>
              <w:rPr>
                <w:sz w:val="14"/>
                <w:szCs w:val="14"/>
                <w:color w:val="auto"/>
              </w:rPr>
            </w:pPr>
          </w:p>
        </w:tc>
        <w:tc>
          <w:tcPr>
            <w:tcW w:w="1060" w:type="dxa"/>
            <w:vAlign w:val="bottom"/>
            <w:gridSpan w:val="3"/>
            <w:vMerge w:val="restart"/>
          </w:tcPr>
          <w:p>
            <w:pPr>
              <w:ind w:left="80"/>
              <w:spacing w:after="0"/>
              <w:rPr>
                <w:sz w:val="20"/>
                <w:szCs w:val="20"/>
                <w:color w:val="auto"/>
              </w:rPr>
            </w:pPr>
            <w:r>
              <w:rPr>
                <w:rFonts w:ascii="Arial" w:cs="Arial" w:eastAsia="Arial" w:hAnsi="Arial"/>
                <w:sz w:val="14"/>
                <w:szCs w:val="14"/>
                <w:b w:val="1"/>
                <w:bCs w:val="1"/>
                <w:color w:val="auto"/>
              </w:rPr>
              <w:t>Accumulated</w:t>
            </w: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1260" w:type="dxa"/>
            <w:vAlign w:val="bottom"/>
          </w:tcPr>
          <w:p>
            <w:pPr>
              <w:spacing w:after="0"/>
              <w:rPr>
                <w:sz w:val="12"/>
                <w:szCs w:val="12"/>
                <w:color w:val="auto"/>
              </w:rPr>
            </w:pPr>
          </w:p>
        </w:tc>
        <w:tc>
          <w:tcPr>
            <w:tcW w:w="920" w:type="dxa"/>
            <w:vAlign w:val="bottom"/>
            <w:gridSpan w:val="2"/>
            <w:vMerge w:val="restart"/>
          </w:tcPr>
          <w:p>
            <w:pPr>
              <w:jc w:val="right"/>
              <w:ind w:right="280"/>
              <w:spacing w:after="0"/>
              <w:rPr>
                <w:sz w:val="20"/>
                <w:szCs w:val="20"/>
                <w:color w:val="auto"/>
              </w:rPr>
            </w:pPr>
            <w:r>
              <w:rPr>
                <w:rFonts w:ascii="Arial" w:cs="Arial" w:eastAsia="Arial" w:hAnsi="Arial"/>
                <w:sz w:val="14"/>
                <w:szCs w:val="14"/>
                <w:b w:val="1"/>
                <w:bCs w:val="1"/>
                <w:color w:val="auto"/>
              </w:rPr>
              <w:t>Class A</w:t>
            </w: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gridSpan w:val="2"/>
            <w:vMerge w:val="restart"/>
          </w:tcPr>
          <w:p>
            <w:pPr>
              <w:jc w:val="center"/>
              <w:ind w:right="60"/>
              <w:spacing w:after="0"/>
              <w:rPr>
                <w:sz w:val="20"/>
                <w:szCs w:val="20"/>
                <w:color w:val="auto"/>
              </w:rPr>
            </w:pPr>
            <w:r>
              <w:rPr>
                <w:rFonts w:ascii="Arial" w:cs="Arial" w:eastAsia="Arial" w:hAnsi="Arial"/>
                <w:sz w:val="14"/>
                <w:szCs w:val="14"/>
                <w:b w:val="1"/>
                <w:bCs w:val="1"/>
                <w:color w:val="auto"/>
                <w:w w:val="89"/>
              </w:rPr>
              <w:t>Class B</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gridSpan w:val="2"/>
            <w:vMerge w:val="continue"/>
          </w:tcPr>
          <w:p>
            <w:pPr>
              <w:spacing w:after="0"/>
              <w:rPr>
                <w:sz w:val="12"/>
                <w:szCs w:val="12"/>
                <w:color w:val="auto"/>
              </w:rPr>
            </w:pP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gridSpan w:val="3"/>
            <w:vMerge w:val="continue"/>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3"/>
              </w:rPr>
              <w:t>Earnings</w:t>
            </w:r>
          </w:p>
        </w:tc>
        <w:tc>
          <w:tcPr>
            <w:tcW w:w="40" w:type="dxa"/>
            <w:vAlign w:val="bottom"/>
          </w:tcPr>
          <w:p>
            <w:pPr>
              <w:spacing w:after="0"/>
              <w:rPr>
                <w:sz w:val="12"/>
                <w:szCs w:val="12"/>
                <w:color w:val="auto"/>
              </w:rPr>
            </w:pPr>
          </w:p>
        </w:tc>
        <w:tc>
          <w:tcPr>
            <w:tcW w:w="1060" w:type="dxa"/>
            <w:vAlign w:val="bottom"/>
            <w:gridSpan w:val="3"/>
            <w:vMerge w:val="continue"/>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gridSpan w:val="2"/>
            <w:vMerge w:val="restart"/>
          </w:tcPr>
          <w:p>
            <w:pPr>
              <w:jc w:val="right"/>
              <w:ind w:right="30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48"/>
        </w:trPr>
        <w:tc>
          <w:tcPr>
            <w:tcW w:w="1260" w:type="dxa"/>
            <w:vAlign w:val="bottom"/>
          </w:tcPr>
          <w:p>
            <w:pPr>
              <w:spacing w:after="0"/>
              <w:rPr>
                <w:sz w:val="12"/>
                <w:szCs w:val="12"/>
                <w:color w:val="auto"/>
              </w:rPr>
            </w:pPr>
          </w:p>
        </w:tc>
        <w:tc>
          <w:tcPr>
            <w:tcW w:w="92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Amount</w:t>
            </w:r>
          </w:p>
        </w:tc>
        <w:tc>
          <w:tcPr>
            <w:tcW w:w="600" w:type="dxa"/>
            <w:vAlign w:val="bottom"/>
            <w:gridSpan w:val="2"/>
            <w:vMerge w:val="continue"/>
          </w:tcPr>
          <w:p>
            <w:pPr>
              <w:spacing w:after="0"/>
              <w:rPr>
                <w:sz w:val="12"/>
                <w:szCs w:val="12"/>
                <w:color w:val="auto"/>
              </w:rPr>
            </w:pPr>
          </w:p>
        </w:tc>
        <w:tc>
          <w:tcPr>
            <w:tcW w:w="60" w:type="dxa"/>
            <w:vAlign w:val="bottom"/>
          </w:tcPr>
          <w:p>
            <w:pPr>
              <w:spacing w:after="0"/>
              <w:rPr>
                <w:sz w:val="12"/>
                <w:szCs w:val="12"/>
                <w:color w:val="auto"/>
              </w:rPr>
            </w:pPr>
          </w:p>
        </w:tc>
        <w:tc>
          <w:tcPr>
            <w:tcW w:w="500" w:type="dxa"/>
            <w:vAlign w:val="bottom"/>
            <w:gridSpan w:val="2"/>
            <w:vMerge w:val="restart"/>
          </w:tcPr>
          <w:p>
            <w:pPr>
              <w:spacing w:after="0"/>
              <w:rPr>
                <w:sz w:val="20"/>
                <w:szCs w:val="20"/>
                <w:color w:val="auto"/>
              </w:rPr>
            </w:pPr>
            <w:r>
              <w:rPr>
                <w:rFonts w:ascii="Arial" w:cs="Arial" w:eastAsia="Arial" w:hAnsi="Arial"/>
                <w:sz w:val="14"/>
                <w:szCs w:val="14"/>
                <w:b w:val="1"/>
                <w:bCs w:val="1"/>
                <w:color w:val="auto"/>
                <w:w w:val="90"/>
              </w:rPr>
              <w:t>Amount</w:t>
            </w:r>
          </w:p>
        </w:tc>
        <w:tc>
          <w:tcPr>
            <w:tcW w:w="100" w:type="dxa"/>
            <w:vAlign w:val="bottom"/>
          </w:tcPr>
          <w:p>
            <w:pPr>
              <w:spacing w:after="0"/>
              <w:rPr>
                <w:sz w:val="12"/>
                <w:szCs w:val="12"/>
                <w:color w:val="auto"/>
              </w:rPr>
            </w:pPr>
          </w:p>
        </w:tc>
        <w:tc>
          <w:tcPr>
            <w:tcW w:w="90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89"/>
              </w:rPr>
              <w:t>Class A</w:t>
            </w:r>
          </w:p>
        </w:tc>
        <w:tc>
          <w:tcPr>
            <w:tcW w:w="720" w:type="dxa"/>
            <w:vAlign w:val="bottom"/>
            <w:gridSpan w:val="3"/>
            <w:vMerge w:val="restart"/>
          </w:tcPr>
          <w:p>
            <w:pPr>
              <w:ind w:left="40"/>
              <w:spacing w:after="0"/>
              <w:rPr>
                <w:sz w:val="20"/>
                <w:szCs w:val="20"/>
                <w:color w:val="auto"/>
              </w:rPr>
            </w:pPr>
            <w:r>
              <w:rPr>
                <w:rFonts w:ascii="Arial" w:cs="Arial" w:eastAsia="Arial" w:hAnsi="Arial"/>
                <w:sz w:val="14"/>
                <w:szCs w:val="14"/>
                <w:b w:val="1"/>
                <w:bCs w:val="1"/>
                <w:color w:val="auto"/>
              </w:rPr>
              <w:t>Amount</w:t>
            </w:r>
          </w:p>
        </w:tc>
        <w:tc>
          <w:tcPr>
            <w:tcW w:w="720" w:type="dxa"/>
            <w:vAlign w:val="bottom"/>
            <w:gridSpan w:val="2"/>
          </w:tcPr>
          <w:p>
            <w:pPr>
              <w:jc w:val="right"/>
              <w:ind w:right="180"/>
              <w:spacing w:after="0" w:line="149" w:lineRule="exact"/>
              <w:rPr>
                <w:sz w:val="20"/>
                <w:szCs w:val="20"/>
                <w:color w:val="auto"/>
              </w:rPr>
            </w:pPr>
            <w:r>
              <w:rPr>
                <w:rFonts w:ascii="Arial" w:cs="Arial" w:eastAsia="Arial" w:hAnsi="Arial"/>
                <w:sz w:val="14"/>
                <w:szCs w:val="14"/>
                <w:b w:val="1"/>
                <w:bCs w:val="1"/>
                <w:color w:val="auto"/>
              </w:rPr>
              <w:t>Class B</w:t>
            </w:r>
          </w:p>
        </w:tc>
        <w:tc>
          <w:tcPr>
            <w:tcW w:w="60" w:type="dxa"/>
            <w:vAlign w:val="bottom"/>
          </w:tcPr>
          <w:p>
            <w:pPr>
              <w:spacing w:after="0"/>
              <w:rPr>
                <w:sz w:val="12"/>
                <w:szCs w:val="12"/>
                <w:color w:val="auto"/>
              </w:rPr>
            </w:pPr>
          </w:p>
        </w:tc>
        <w:tc>
          <w:tcPr>
            <w:tcW w:w="500" w:type="dxa"/>
            <w:vAlign w:val="bottom"/>
            <w:gridSpan w:val="2"/>
            <w:vMerge w:val="restart"/>
          </w:tcPr>
          <w:p>
            <w:pPr>
              <w:spacing w:after="0"/>
              <w:rPr>
                <w:sz w:val="20"/>
                <w:szCs w:val="20"/>
                <w:color w:val="auto"/>
              </w:rPr>
            </w:pPr>
            <w:r>
              <w:rPr>
                <w:rFonts w:ascii="Arial" w:cs="Arial" w:eastAsia="Arial" w:hAnsi="Arial"/>
                <w:sz w:val="14"/>
                <w:szCs w:val="14"/>
                <w:b w:val="1"/>
                <w:bCs w:val="1"/>
                <w:color w:val="auto"/>
                <w:w w:val="90"/>
              </w:rPr>
              <w:t>Amount</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gridSpan w:val="2"/>
          </w:tcPr>
          <w:p>
            <w:pPr>
              <w:jc w:val="right"/>
              <w:ind w:right="240"/>
              <w:spacing w:after="0" w:line="149" w:lineRule="exact"/>
              <w:rPr>
                <w:sz w:val="20"/>
                <w:szCs w:val="20"/>
                <w:color w:val="auto"/>
              </w:rPr>
            </w:pPr>
            <w:r>
              <w:rPr>
                <w:rFonts w:ascii="Arial" w:cs="Arial" w:eastAsia="Arial" w:hAnsi="Arial"/>
                <w:sz w:val="14"/>
                <w:szCs w:val="14"/>
                <w:b w:val="1"/>
                <w:bCs w:val="1"/>
                <w:color w:val="auto"/>
                <w:w w:val="94"/>
              </w:rPr>
              <w:t>Paid-in</w:t>
            </w:r>
          </w:p>
        </w:tc>
        <w:tc>
          <w:tcPr>
            <w:tcW w:w="98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(Accumulated</w:t>
            </w:r>
          </w:p>
        </w:tc>
        <w:tc>
          <w:tcPr>
            <w:tcW w:w="40" w:type="dxa"/>
            <w:vAlign w:val="bottom"/>
          </w:tcPr>
          <w:p>
            <w:pPr>
              <w:spacing w:after="0"/>
              <w:rPr>
                <w:sz w:val="12"/>
                <w:szCs w:val="12"/>
                <w:color w:val="auto"/>
              </w:rPr>
            </w:pPr>
          </w:p>
        </w:tc>
        <w:tc>
          <w:tcPr>
            <w:tcW w:w="106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w w:val="98"/>
              </w:rPr>
              <w:t>Comprehensive</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1260" w:type="dxa"/>
            <w:vAlign w:val="bottom"/>
          </w:tcPr>
          <w:p>
            <w:pPr>
              <w:spacing w:after="0"/>
              <w:rPr>
                <w:sz w:val="14"/>
                <w:szCs w:val="14"/>
                <w:color w:val="auto"/>
              </w:rPr>
            </w:pPr>
          </w:p>
        </w:tc>
        <w:tc>
          <w:tcPr>
            <w:tcW w:w="920" w:type="dxa"/>
            <w:vAlign w:val="bottom"/>
            <w:gridSpan w:val="2"/>
          </w:tcPr>
          <w:p>
            <w:pPr>
              <w:jc w:val="right"/>
              <w:ind w:right="340"/>
              <w:spacing w:after="0"/>
              <w:rPr>
                <w:sz w:val="20"/>
                <w:szCs w:val="20"/>
                <w:color w:val="auto"/>
              </w:rPr>
            </w:pPr>
            <w:r>
              <w:rPr>
                <w:rFonts w:ascii="Arial" w:cs="Arial" w:eastAsia="Arial" w:hAnsi="Arial"/>
                <w:sz w:val="14"/>
                <w:szCs w:val="14"/>
                <w:b w:val="1"/>
                <w:bCs w:val="1"/>
                <w:color w:val="auto"/>
              </w:rPr>
              <w:t>Units</w:t>
            </w:r>
          </w:p>
        </w:tc>
        <w:tc>
          <w:tcPr>
            <w:tcW w:w="80" w:type="dxa"/>
            <w:vAlign w:val="bottom"/>
          </w:tcPr>
          <w:p>
            <w:pPr>
              <w:spacing w:after="0"/>
              <w:rPr>
                <w:sz w:val="14"/>
                <w:szCs w:val="14"/>
                <w:color w:val="auto"/>
              </w:rPr>
            </w:pPr>
          </w:p>
        </w:tc>
        <w:tc>
          <w:tcPr>
            <w:tcW w:w="740" w:type="dxa"/>
            <w:vAlign w:val="bottom"/>
            <w:gridSpan w:val="2"/>
            <w:vMerge w:val="continue"/>
          </w:tcPr>
          <w:p>
            <w:pPr>
              <w:spacing w:after="0"/>
              <w:rPr>
                <w:sz w:val="14"/>
                <w:szCs w:val="14"/>
                <w:color w:val="auto"/>
              </w:rPr>
            </w:pPr>
          </w:p>
        </w:tc>
        <w:tc>
          <w:tcPr>
            <w:tcW w:w="600" w:type="dxa"/>
            <w:vAlign w:val="bottom"/>
            <w:gridSpan w:val="2"/>
          </w:tcPr>
          <w:p>
            <w:pPr>
              <w:jc w:val="center"/>
              <w:ind w:right="40"/>
              <w:spacing w:after="0"/>
              <w:rPr>
                <w:sz w:val="20"/>
                <w:szCs w:val="20"/>
                <w:color w:val="auto"/>
              </w:rPr>
            </w:pPr>
            <w:r>
              <w:rPr>
                <w:rFonts w:ascii="Arial" w:cs="Arial" w:eastAsia="Arial" w:hAnsi="Arial"/>
                <w:sz w:val="14"/>
                <w:szCs w:val="14"/>
                <w:b w:val="1"/>
                <w:bCs w:val="1"/>
                <w:color w:val="auto"/>
                <w:w w:val="91"/>
              </w:rPr>
              <w:t>Units</w:t>
            </w:r>
          </w:p>
        </w:tc>
        <w:tc>
          <w:tcPr>
            <w:tcW w:w="60" w:type="dxa"/>
            <w:vAlign w:val="bottom"/>
          </w:tcPr>
          <w:p>
            <w:pPr>
              <w:spacing w:after="0"/>
              <w:rPr>
                <w:sz w:val="14"/>
                <w:szCs w:val="14"/>
                <w:color w:val="auto"/>
              </w:rPr>
            </w:pPr>
          </w:p>
        </w:tc>
        <w:tc>
          <w:tcPr>
            <w:tcW w:w="50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7"/>
              </w:rPr>
              <w:t>Units</w:t>
            </w:r>
          </w:p>
        </w:tc>
        <w:tc>
          <w:tcPr>
            <w:tcW w:w="720" w:type="dxa"/>
            <w:vAlign w:val="bottom"/>
            <w:gridSpan w:val="3"/>
            <w:vMerge w:val="continue"/>
          </w:tcPr>
          <w:p>
            <w:pPr>
              <w:spacing w:after="0"/>
              <w:rPr>
                <w:sz w:val="14"/>
                <w:szCs w:val="14"/>
                <w:color w:val="auto"/>
              </w:rPr>
            </w:pPr>
          </w:p>
        </w:tc>
        <w:tc>
          <w:tcPr>
            <w:tcW w:w="72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rPr>
              <w:t>Units</w:t>
            </w:r>
          </w:p>
        </w:tc>
        <w:tc>
          <w:tcPr>
            <w:tcW w:w="60" w:type="dxa"/>
            <w:vAlign w:val="bottom"/>
          </w:tcPr>
          <w:p>
            <w:pPr>
              <w:spacing w:after="0"/>
              <w:rPr>
                <w:sz w:val="14"/>
                <w:szCs w:val="14"/>
                <w:color w:val="auto"/>
              </w:rPr>
            </w:pPr>
          </w:p>
        </w:tc>
        <w:tc>
          <w:tcPr>
            <w:tcW w:w="50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w w:val="94"/>
              </w:rPr>
              <w:t>Capital</w:t>
            </w:r>
          </w:p>
        </w:tc>
        <w:tc>
          <w:tcPr>
            <w:tcW w:w="120" w:type="dxa"/>
            <w:vAlign w:val="bottom"/>
          </w:tcPr>
          <w:p>
            <w:pPr>
              <w:spacing w:after="0"/>
              <w:rPr>
                <w:sz w:val="14"/>
                <w:szCs w:val="14"/>
                <w:color w:val="auto"/>
              </w:rPr>
            </w:pPr>
          </w:p>
        </w:tc>
        <w:tc>
          <w:tcPr>
            <w:tcW w:w="86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2"/>
              </w:rPr>
              <w:t>Deficit)</w:t>
            </w:r>
          </w:p>
        </w:tc>
        <w:tc>
          <w:tcPr>
            <w:tcW w:w="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40" w:type="dxa"/>
            <w:vAlign w:val="bottom"/>
            <w:gridSpan w:val="2"/>
          </w:tcPr>
          <w:p>
            <w:pPr>
              <w:ind w:left="120"/>
              <w:spacing w:after="0"/>
              <w:rPr>
                <w:sz w:val="20"/>
                <w:szCs w:val="20"/>
                <w:color w:val="auto"/>
              </w:rPr>
            </w:pPr>
            <w:r>
              <w:rPr>
                <w:rFonts w:ascii="Arial" w:cs="Arial" w:eastAsia="Arial" w:hAnsi="Arial"/>
                <w:sz w:val="14"/>
                <w:szCs w:val="14"/>
                <w:b w:val="1"/>
                <w:bCs w:val="1"/>
                <w:color w:val="auto"/>
              </w:rPr>
              <w:t>Loss</w:t>
            </w: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rPr>
              <w:t>Equity</w:t>
            </w:r>
          </w:p>
        </w:tc>
        <w:tc>
          <w:tcPr>
            <w:tcW w:w="0" w:type="dxa"/>
            <w:vAlign w:val="bottom"/>
          </w:tcPr>
          <w:p>
            <w:pPr>
              <w:spacing w:after="0"/>
              <w:rPr>
                <w:sz w:val="1"/>
                <w:szCs w:val="1"/>
                <w:color w:val="auto"/>
              </w:rPr>
            </w:pPr>
          </w:p>
        </w:tc>
      </w:tr>
      <w:tr>
        <w:trPr>
          <w:trHeight w:val="173"/>
        </w:trPr>
        <w:tc>
          <w:tcPr>
            <w:tcW w:w="1260" w:type="dxa"/>
            <w:vAlign w:val="bottom"/>
            <w:tcBorders>
              <w:top w:val="single" w:sz="8" w:color="CCEEFF"/>
            </w:tcBorders>
            <w:shd w:val="clear" w:color="auto" w:fill="CCEEFF"/>
          </w:tcPr>
          <w:p>
            <w:pPr>
              <w:spacing w:after="0" w:line="173" w:lineRule="exact"/>
              <w:rPr>
                <w:sz w:val="20"/>
                <w:szCs w:val="20"/>
                <w:color w:val="auto"/>
              </w:rPr>
            </w:pPr>
            <w:r>
              <w:rPr>
                <w:rFonts w:ascii="Arial" w:cs="Arial" w:eastAsia="Arial" w:hAnsi="Arial"/>
                <w:sz w:val="16"/>
                <w:szCs w:val="16"/>
                <w:color w:val="auto"/>
              </w:rPr>
              <w:t>Balance at</w:t>
            </w:r>
          </w:p>
        </w:tc>
        <w:tc>
          <w:tcPr>
            <w:tcW w:w="840" w:type="dxa"/>
            <w:vAlign w:val="bottom"/>
            <w:tcBorders>
              <w:top w:val="single" w:sz="8" w:color="auto"/>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auto"/>
            </w:tcBorders>
            <w:shd w:val="clear" w:color="auto" w:fill="CCEEFF"/>
          </w:tcPr>
          <w:p>
            <w:pPr>
              <w:spacing w:after="0"/>
              <w:rPr>
                <w:sz w:val="15"/>
                <w:szCs w:val="15"/>
                <w:color w:val="auto"/>
              </w:rPr>
            </w:pPr>
          </w:p>
        </w:tc>
        <w:tc>
          <w:tcPr>
            <w:tcW w:w="660" w:type="dxa"/>
            <w:vAlign w:val="bottom"/>
            <w:tcBorders>
              <w:top w:val="single" w:sz="8" w:color="auto"/>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560" w:type="dxa"/>
            <w:vAlign w:val="bottom"/>
            <w:tcBorders>
              <w:top w:val="single" w:sz="8" w:color="auto"/>
            </w:tcBorders>
            <w:shd w:val="clear" w:color="auto" w:fill="CCEEFF"/>
          </w:tcPr>
          <w:p>
            <w:pPr>
              <w:spacing w:after="0"/>
              <w:rPr>
                <w:sz w:val="15"/>
                <w:szCs w:val="15"/>
                <w:color w:val="auto"/>
              </w:rPr>
            </w:pPr>
          </w:p>
        </w:tc>
        <w:tc>
          <w:tcPr>
            <w:tcW w:w="40" w:type="dxa"/>
            <w:vAlign w:val="bottom"/>
            <w:tcBorders>
              <w:top w:val="single" w:sz="8" w:color="CCEEFF"/>
            </w:tcBorders>
            <w:shd w:val="clear" w:color="auto" w:fill="CCEEFF"/>
          </w:tcPr>
          <w:p>
            <w:pPr>
              <w:spacing w:after="0"/>
              <w:rPr>
                <w:sz w:val="15"/>
                <w:szCs w:val="15"/>
                <w:color w:val="auto"/>
              </w:rPr>
            </w:pPr>
          </w:p>
        </w:tc>
        <w:tc>
          <w:tcPr>
            <w:tcW w:w="6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40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740" w:type="dxa"/>
            <w:vAlign w:val="bottom"/>
            <w:tcBorders>
              <w:top w:val="single" w:sz="8" w:color="auto"/>
            </w:tcBorders>
            <w:shd w:val="clear" w:color="auto" w:fill="CCEEFF"/>
          </w:tcPr>
          <w:p>
            <w:pPr>
              <w:spacing w:after="0"/>
              <w:rPr>
                <w:sz w:val="15"/>
                <w:szCs w:val="15"/>
                <w:color w:val="auto"/>
              </w:rPr>
            </w:pPr>
          </w:p>
        </w:tc>
        <w:tc>
          <w:tcPr>
            <w:tcW w:w="16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auto"/>
            </w:tcBorders>
            <w:shd w:val="clear" w:color="auto" w:fill="CCEEFF"/>
          </w:tcPr>
          <w:p>
            <w:pPr>
              <w:spacing w:after="0"/>
              <w:rPr>
                <w:sz w:val="15"/>
                <w:szCs w:val="15"/>
                <w:color w:val="auto"/>
              </w:rPr>
            </w:pPr>
          </w:p>
        </w:tc>
        <w:tc>
          <w:tcPr>
            <w:tcW w:w="500" w:type="dxa"/>
            <w:vAlign w:val="bottom"/>
            <w:tcBorders>
              <w:top w:val="single" w:sz="8" w:color="auto"/>
            </w:tcBorders>
            <w:shd w:val="clear" w:color="auto" w:fill="CCEEFF"/>
          </w:tcPr>
          <w:p>
            <w:pPr>
              <w:spacing w:after="0"/>
              <w:rPr>
                <w:sz w:val="15"/>
                <w:szCs w:val="15"/>
                <w:color w:val="auto"/>
              </w:rPr>
            </w:pPr>
          </w:p>
        </w:tc>
        <w:tc>
          <w:tcPr>
            <w:tcW w:w="140" w:type="dxa"/>
            <w:vAlign w:val="bottom"/>
            <w:tcBorders>
              <w:top w:val="single" w:sz="8" w:color="CCEEFF"/>
            </w:tcBorders>
            <w:shd w:val="clear" w:color="auto" w:fill="CCEEFF"/>
          </w:tcPr>
          <w:p>
            <w:pPr>
              <w:spacing w:after="0"/>
              <w:rPr>
                <w:sz w:val="15"/>
                <w:szCs w:val="15"/>
                <w:color w:val="auto"/>
              </w:rPr>
            </w:pPr>
          </w:p>
        </w:tc>
        <w:tc>
          <w:tcPr>
            <w:tcW w:w="62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6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spacing w:after="0"/>
              <w:rPr>
                <w:sz w:val="15"/>
                <w:szCs w:val="15"/>
                <w:color w:val="auto"/>
              </w:rPr>
            </w:pPr>
          </w:p>
        </w:tc>
        <w:tc>
          <w:tcPr>
            <w:tcW w:w="34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560" w:type="dxa"/>
            <w:vAlign w:val="bottom"/>
            <w:tcBorders>
              <w:top w:val="single" w:sz="8" w:color="auto"/>
            </w:tcBorders>
            <w:shd w:val="clear" w:color="auto" w:fill="CCEEFF"/>
          </w:tcPr>
          <w:p>
            <w:pPr>
              <w:spacing w:after="0"/>
              <w:rPr>
                <w:sz w:val="15"/>
                <w:szCs w:val="15"/>
                <w:color w:val="auto"/>
              </w:rPr>
            </w:pPr>
          </w:p>
        </w:tc>
        <w:tc>
          <w:tcPr>
            <w:tcW w:w="14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76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40" w:type="dxa"/>
            <w:vAlign w:val="bottom"/>
            <w:tcBorders>
              <w:top w:val="single" w:sz="8" w:color="CCEEFF"/>
            </w:tcBorders>
            <w:shd w:val="clear" w:color="auto" w:fill="CCEEFF"/>
          </w:tcPr>
          <w:p>
            <w:pPr>
              <w:spacing w:after="0"/>
              <w:rPr>
                <w:sz w:val="15"/>
                <w:szCs w:val="15"/>
                <w:color w:val="auto"/>
              </w:rPr>
            </w:pPr>
          </w:p>
        </w:tc>
        <w:tc>
          <w:tcPr>
            <w:tcW w:w="220" w:type="dxa"/>
            <w:vAlign w:val="bottom"/>
            <w:tcBorders>
              <w:top w:val="single" w:sz="8" w:color="auto"/>
            </w:tcBorders>
            <w:shd w:val="clear" w:color="auto" w:fill="CCEEFF"/>
          </w:tcPr>
          <w:p>
            <w:pPr>
              <w:spacing w:after="0"/>
              <w:rPr>
                <w:sz w:val="15"/>
                <w:szCs w:val="15"/>
                <w:color w:val="auto"/>
              </w:rPr>
            </w:pPr>
          </w:p>
        </w:tc>
        <w:tc>
          <w:tcPr>
            <w:tcW w:w="74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4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auto"/>
            </w:tcBorders>
            <w:shd w:val="clear" w:color="auto" w:fill="CCEEFF"/>
          </w:tcPr>
          <w:p>
            <w:pPr>
              <w:spacing w:after="0"/>
              <w:rPr>
                <w:sz w:val="15"/>
                <w:szCs w:val="15"/>
                <w:color w:val="auto"/>
              </w:rPr>
            </w:pPr>
          </w:p>
        </w:tc>
        <w:tc>
          <w:tcPr>
            <w:tcW w:w="66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1260" w:type="dxa"/>
            <w:vAlign w:val="bottom"/>
            <w:shd w:val="clear" w:color="auto" w:fill="CCEEFF"/>
          </w:tcPr>
          <w:p>
            <w:pPr>
              <w:ind w:left="160"/>
              <w:spacing w:after="0"/>
              <w:rPr>
                <w:sz w:val="20"/>
                <w:szCs w:val="20"/>
                <w:color w:val="auto"/>
              </w:rPr>
            </w:pPr>
            <w:r>
              <w:rPr>
                <w:rFonts w:ascii="Arial" w:cs="Arial" w:eastAsia="Arial" w:hAnsi="Arial"/>
                <w:sz w:val="16"/>
                <w:szCs w:val="16"/>
                <w:color w:val="auto"/>
              </w:rPr>
              <w:t>December 31,</w:t>
            </w:r>
          </w:p>
        </w:tc>
        <w:tc>
          <w:tcPr>
            <w:tcW w:w="8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260" w:type="dxa"/>
            <w:vAlign w:val="bottom"/>
            <w:shd w:val="clear" w:color="auto" w:fill="CCEEFF"/>
          </w:tcPr>
          <w:p>
            <w:pPr>
              <w:ind w:left="160"/>
              <w:spacing w:after="0"/>
              <w:rPr>
                <w:sz w:val="20"/>
                <w:szCs w:val="20"/>
                <w:color w:val="auto"/>
              </w:rPr>
            </w:pPr>
            <w:r>
              <w:rPr>
                <w:rFonts w:ascii="Arial" w:cs="Arial" w:eastAsia="Arial" w:hAnsi="Arial"/>
                <w:sz w:val="16"/>
                <w:szCs w:val="16"/>
                <w:color w:val="auto"/>
              </w:rPr>
              <w:t>2018</w:t>
            </w:r>
          </w:p>
        </w:tc>
        <w:tc>
          <w:tcPr>
            <w:tcW w:w="8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1260" w:type="dxa"/>
            <w:vAlign w:val="bottom"/>
            <w:shd w:val="clear" w:color="auto" w:fill="CCEEFF"/>
          </w:tcPr>
          <w:p>
            <w:pPr>
              <w:ind w:left="160"/>
              <w:spacing w:after="0"/>
              <w:rPr>
                <w:sz w:val="20"/>
                <w:szCs w:val="20"/>
                <w:color w:val="auto"/>
              </w:rPr>
            </w:pPr>
            <w:r>
              <w:rPr>
                <w:rFonts w:ascii="Arial" w:cs="Arial" w:eastAsia="Arial" w:hAnsi="Arial"/>
                <w:sz w:val="16"/>
                <w:szCs w:val="16"/>
                <w:color w:val="auto"/>
              </w:rPr>
              <w:t>(Predecessor)</w:t>
            </w: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gridSpan w:val="2"/>
            <w:shd w:val="clear" w:color="auto" w:fill="CCEEFF"/>
          </w:tcPr>
          <w:p>
            <w:pPr>
              <w:ind w:left="400"/>
              <w:spacing w:after="0"/>
              <w:rPr>
                <w:sz w:val="20"/>
                <w:szCs w:val="20"/>
                <w:color w:val="auto"/>
              </w:rPr>
            </w:pPr>
            <w:r>
              <w:rPr>
                <w:rFonts w:ascii="Arial" w:cs="Arial" w:eastAsia="Arial" w:hAnsi="Arial"/>
                <w:sz w:val="16"/>
                <w:szCs w:val="16"/>
                <w:color w:val="auto"/>
              </w:rPr>
              <w:t>—</w:t>
            </w:r>
          </w:p>
        </w:tc>
        <w:tc>
          <w:tcPr>
            <w:tcW w:w="600" w:type="dxa"/>
            <w:vAlign w:val="bottom"/>
            <w:gridSpan w:val="2"/>
            <w:shd w:val="clear" w:color="auto" w:fill="CCEEFF"/>
          </w:tcPr>
          <w:p>
            <w:pPr>
              <w:ind w:left="320"/>
              <w:spacing w:after="0"/>
              <w:rPr>
                <w:sz w:val="20"/>
                <w:szCs w:val="20"/>
                <w:color w:val="auto"/>
              </w:rPr>
            </w:pPr>
            <w:r>
              <w:rPr>
                <w:rFonts w:ascii="Arial" w:cs="Arial" w:eastAsia="Arial" w:hAnsi="Arial"/>
                <w:sz w:val="16"/>
                <w:szCs w:val="16"/>
                <w:color w:val="auto"/>
              </w:rPr>
              <w:t>—</w:t>
            </w:r>
          </w:p>
        </w:tc>
        <w:tc>
          <w:tcPr>
            <w:tcW w:w="160" w:type="dxa"/>
            <w:vAlign w:val="bottom"/>
            <w:gridSpan w:val="2"/>
            <w:shd w:val="clear" w:color="auto" w:fill="CCEEFF"/>
          </w:tcPr>
          <w:p>
            <w:pPr>
              <w:ind w:left="60"/>
              <w:spacing w:after="0"/>
              <w:rPr>
                <w:sz w:val="20"/>
                <w:szCs w:val="20"/>
                <w:color w:val="auto"/>
              </w:rPr>
            </w:pPr>
            <w:r>
              <w:rPr>
                <w:rFonts w:ascii="Arial" w:cs="Arial" w:eastAsia="Arial" w:hAnsi="Arial"/>
                <w:sz w:val="16"/>
                <w:szCs w:val="16"/>
                <w:color w:val="auto"/>
                <w:w w:val="89"/>
              </w:rPr>
              <w:t>$</w:t>
            </w:r>
          </w:p>
        </w:tc>
        <w:tc>
          <w:tcPr>
            <w:tcW w:w="400" w:type="dxa"/>
            <w:vAlign w:val="bottom"/>
            <w:shd w:val="clear" w:color="auto" w:fill="CCEEFF"/>
          </w:tcPr>
          <w:p>
            <w:pPr>
              <w:ind w:left="160"/>
              <w:spacing w:after="0"/>
              <w:rPr>
                <w:sz w:val="20"/>
                <w:szCs w:val="20"/>
                <w:color w:val="auto"/>
              </w:rPr>
            </w:pPr>
            <w:r>
              <w:rPr>
                <w:rFonts w:ascii="Arial" w:cs="Arial" w:eastAsia="Arial" w:hAnsi="Arial"/>
                <w:sz w:val="16"/>
                <w:szCs w:val="16"/>
                <w:color w:val="auto"/>
              </w:rPr>
              <w:t>—</w:t>
            </w: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7,750,000</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20"/>
                <w:szCs w:val="20"/>
                <w:color w:val="auto"/>
              </w:rPr>
            </w:pPr>
            <w:r>
              <w:rPr>
                <w:rFonts w:ascii="Arial" w:cs="Arial" w:eastAsia="Arial" w:hAnsi="Arial"/>
                <w:sz w:val="15"/>
                <w:szCs w:val="15"/>
                <w:color w:val="auto"/>
                <w:w w:val="71"/>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8"/>
              </w:rPr>
              <w:t>77,500</w:t>
            </w:r>
          </w:p>
        </w:tc>
        <w:tc>
          <w:tcPr>
            <w:tcW w:w="1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88,716</w:t>
            </w:r>
          </w:p>
        </w:tc>
        <w:tc>
          <w:tcPr>
            <w:tcW w:w="220" w:type="dxa"/>
            <w:vAlign w:val="bottom"/>
            <w:gridSpan w:val="2"/>
            <w:shd w:val="clear" w:color="auto" w:fill="CCEEFF"/>
          </w:tcPr>
          <w:p>
            <w:pPr>
              <w:ind w:left="60"/>
              <w:spacing w:after="0"/>
              <w:rPr>
                <w:sz w:val="20"/>
                <w:szCs w:val="20"/>
                <w:color w:val="auto"/>
              </w:rPr>
            </w:pPr>
            <w:r>
              <w:rPr>
                <w:rFonts w:ascii="Arial" w:cs="Arial" w:eastAsia="Arial" w:hAnsi="Arial"/>
                <w:sz w:val="16"/>
                <w:szCs w:val="16"/>
                <w:color w:val="auto"/>
              </w:rPr>
              <w:t>$</w:t>
            </w:r>
          </w:p>
        </w:tc>
        <w:tc>
          <w:tcPr>
            <w:tcW w:w="340" w:type="dxa"/>
            <w:vAlign w:val="bottom"/>
            <w:shd w:val="clear" w:color="auto" w:fill="CCEEFF"/>
          </w:tcPr>
          <w:p>
            <w:pPr>
              <w:ind w:left="100"/>
              <w:spacing w:after="0"/>
              <w:rPr>
                <w:sz w:val="20"/>
                <w:szCs w:val="20"/>
                <w:color w:val="auto"/>
              </w:rPr>
            </w:pPr>
            <w:r>
              <w:rPr>
                <w:rFonts w:ascii="Arial" w:cs="Arial" w:eastAsia="Arial" w:hAnsi="Arial"/>
                <w:sz w:val="16"/>
                <w:szCs w:val="16"/>
                <w:color w:val="auto"/>
              </w:rPr>
              <w:t>—</w:t>
            </w:r>
          </w:p>
        </w:tc>
        <w:tc>
          <w:tcPr>
            <w:tcW w:w="200" w:type="dxa"/>
            <w:vAlign w:val="bottom"/>
            <w:gridSpan w:val="2"/>
            <w:shd w:val="clear" w:color="auto" w:fill="CCEEFF"/>
          </w:tcPr>
          <w:p>
            <w:pPr>
              <w:ind w:left="100"/>
              <w:spacing w:after="0"/>
              <w:rPr>
                <w:sz w:val="20"/>
                <w:szCs w:val="20"/>
                <w:color w:val="auto"/>
              </w:rPr>
            </w:pPr>
            <w:r>
              <w:rPr>
                <w:rFonts w:ascii="Arial" w:cs="Arial" w:eastAsia="Arial" w:hAnsi="Arial"/>
                <w:sz w:val="16"/>
                <w:szCs w:val="16"/>
                <w:color w:val="auto"/>
                <w:w w:val="89"/>
              </w:rPr>
              <w:t>$</w:t>
            </w:r>
          </w:p>
        </w:tc>
        <w:tc>
          <w:tcPr>
            <w:tcW w:w="70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(42,598)</w:t>
            </w:r>
          </w:p>
        </w:tc>
        <w:tc>
          <w:tcPr>
            <w:tcW w:w="120" w:type="dxa"/>
            <w:vAlign w:val="bottom"/>
            <w:shd w:val="clear" w:color="auto" w:fill="CCEEFF"/>
          </w:tcPr>
          <w:p>
            <w:pPr>
              <w:spacing w:after="0"/>
              <w:rPr>
                <w:sz w:val="20"/>
                <w:szCs w:val="20"/>
                <w:color w:val="auto"/>
              </w:rPr>
            </w:pPr>
            <w:r>
              <w:rPr>
                <w:rFonts w:ascii="Arial" w:cs="Arial" w:eastAsia="Arial" w:hAnsi="Arial"/>
                <w:sz w:val="16"/>
                <w:szCs w:val="16"/>
                <w:color w:val="auto"/>
              </w:rPr>
              <w:t>$</w:t>
            </w: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38,925</w:t>
            </w:r>
          </w:p>
        </w:tc>
        <w:tc>
          <w:tcPr>
            <w:tcW w:w="26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w:t>
            </w:r>
          </w:p>
        </w:tc>
        <w:tc>
          <w:tcPr>
            <w:tcW w:w="840" w:type="dxa"/>
            <w:vAlign w:val="bottom"/>
            <w:gridSpan w:val="2"/>
            <w:shd w:val="clear" w:color="auto" w:fill="CCEEFF"/>
          </w:tcPr>
          <w:p>
            <w:pPr>
              <w:ind w:left="500"/>
              <w:spacing w:after="0"/>
              <w:rPr>
                <w:sz w:val="20"/>
                <w:szCs w:val="20"/>
                <w:color w:val="auto"/>
              </w:rPr>
            </w:pPr>
            <w:r>
              <w:rPr>
                <w:rFonts w:ascii="Arial" w:cs="Arial" w:eastAsia="Arial" w:hAnsi="Arial"/>
                <w:sz w:val="16"/>
                <w:szCs w:val="16"/>
                <w:color w:val="auto"/>
              </w:rPr>
              <w:t>—</w:t>
            </w:r>
          </w:p>
        </w:tc>
        <w:tc>
          <w:tcPr>
            <w:tcW w:w="1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73,827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1260" w:type="dxa"/>
            <w:vAlign w:val="bottom"/>
          </w:tcPr>
          <w:p>
            <w:pPr>
              <w:spacing w:after="0"/>
              <w:rPr>
                <w:sz w:val="20"/>
                <w:szCs w:val="20"/>
                <w:color w:val="auto"/>
              </w:rPr>
            </w:pPr>
            <w:r>
              <w:rPr>
                <w:rFonts w:ascii="Arial" w:cs="Arial" w:eastAsia="Arial" w:hAnsi="Arial"/>
                <w:sz w:val="16"/>
                <w:szCs w:val="16"/>
                <w:color w:val="auto"/>
              </w:rPr>
              <w:t>Net income</w:t>
            </w:r>
          </w:p>
        </w:tc>
        <w:tc>
          <w:tcPr>
            <w:tcW w:w="9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7"/>
                <w:szCs w:val="17"/>
                <w:color w:val="auto"/>
              </w:rPr>
            </w:pPr>
          </w:p>
        </w:tc>
        <w:tc>
          <w:tcPr>
            <w:tcW w:w="740" w:type="dxa"/>
            <w:vAlign w:val="bottom"/>
            <w:gridSpan w:val="2"/>
          </w:tcPr>
          <w:p>
            <w:pPr>
              <w:ind w:left="400"/>
              <w:spacing w:after="0"/>
              <w:rPr>
                <w:sz w:val="20"/>
                <w:szCs w:val="20"/>
                <w:color w:val="auto"/>
              </w:rPr>
            </w:pPr>
            <w:r>
              <w:rPr>
                <w:rFonts w:ascii="Arial" w:cs="Arial" w:eastAsia="Arial" w:hAnsi="Arial"/>
                <w:sz w:val="16"/>
                <w:szCs w:val="16"/>
                <w:color w:val="auto"/>
              </w:rPr>
              <w:t>—</w:t>
            </w:r>
          </w:p>
        </w:tc>
        <w:tc>
          <w:tcPr>
            <w:tcW w:w="600" w:type="dxa"/>
            <w:vAlign w:val="bottom"/>
            <w:gridSpan w:val="2"/>
          </w:tcPr>
          <w:p>
            <w:pPr>
              <w:ind w:left="320"/>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0" w:type="dxa"/>
            <w:vAlign w:val="bottom"/>
          </w:tcPr>
          <w:p>
            <w:pPr>
              <w:ind w:left="16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7"/>
                <w:szCs w:val="17"/>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7"/>
                <w:szCs w:val="17"/>
                <w:color w:val="auto"/>
              </w:rPr>
            </w:pPr>
          </w:p>
        </w:tc>
        <w:tc>
          <w:tcPr>
            <w:tcW w:w="6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7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40" w:type="dxa"/>
            <w:vAlign w:val="bottom"/>
          </w:tcPr>
          <w:p>
            <w:pPr>
              <w:ind w:left="10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6"/>
                <w:szCs w:val="16"/>
                <w:color w:val="auto"/>
              </w:rPr>
              <w:t>12,868</w:t>
            </w:r>
          </w:p>
        </w:tc>
        <w:tc>
          <w:tcPr>
            <w:tcW w:w="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40" w:type="dxa"/>
            <w:vAlign w:val="bottom"/>
            <w:gridSpan w:val="2"/>
          </w:tcPr>
          <w:p>
            <w:pPr>
              <w:ind w:left="500"/>
              <w:spacing w:after="0"/>
              <w:rPr>
                <w:sz w:val="20"/>
                <w:szCs w:val="20"/>
                <w:color w:val="auto"/>
              </w:rPr>
            </w:pPr>
            <w:r>
              <w:rPr>
                <w:rFonts w:ascii="Arial" w:cs="Arial" w:eastAsia="Arial" w:hAnsi="Arial"/>
                <w:sz w:val="16"/>
                <w:szCs w:val="16"/>
                <w:color w:val="auto"/>
              </w:rPr>
              <w:t>—</w:t>
            </w: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12,868</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3"/>
        </w:trPr>
        <w:tc>
          <w:tcPr>
            <w:tcW w:w="1260" w:type="dxa"/>
            <w:vAlign w:val="bottom"/>
            <w:shd w:val="clear" w:color="auto" w:fill="CCEEFF"/>
          </w:tcPr>
          <w:p>
            <w:pPr>
              <w:spacing w:after="0"/>
              <w:rPr>
                <w:sz w:val="20"/>
                <w:szCs w:val="20"/>
                <w:color w:val="auto"/>
              </w:rPr>
            </w:pPr>
            <w:r>
              <w:rPr>
                <w:rFonts w:ascii="Arial" w:cs="Arial" w:eastAsia="Arial" w:hAnsi="Arial"/>
                <w:sz w:val="16"/>
                <w:szCs w:val="16"/>
                <w:color w:val="auto"/>
              </w:rPr>
              <w:t>Adoption of ASC</w:t>
            </w:r>
          </w:p>
        </w:tc>
        <w:tc>
          <w:tcPr>
            <w:tcW w:w="8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1260" w:type="dxa"/>
            <w:vAlign w:val="bottom"/>
            <w:shd w:val="clear" w:color="auto" w:fill="CCEEFF"/>
          </w:tcPr>
          <w:p>
            <w:pPr>
              <w:ind w:left="160"/>
              <w:spacing w:after="0"/>
              <w:rPr>
                <w:sz w:val="20"/>
                <w:szCs w:val="20"/>
                <w:color w:val="auto"/>
              </w:rPr>
            </w:pPr>
            <w:r>
              <w:rPr>
                <w:rFonts w:ascii="Arial" w:cs="Arial" w:eastAsia="Arial" w:hAnsi="Arial"/>
                <w:sz w:val="16"/>
                <w:szCs w:val="16"/>
                <w:color w:val="auto"/>
              </w:rPr>
              <w:t>606 (See Note</w:t>
            </w:r>
          </w:p>
        </w:tc>
        <w:tc>
          <w:tcPr>
            <w:tcW w:w="8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1260" w:type="dxa"/>
            <w:vAlign w:val="bottom"/>
            <w:shd w:val="clear" w:color="auto" w:fill="CCEEFF"/>
          </w:tcPr>
          <w:p>
            <w:pPr>
              <w:ind w:left="160"/>
              <w:spacing w:after="0"/>
              <w:rPr>
                <w:sz w:val="20"/>
                <w:szCs w:val="20"/>
                <w:color w:val="auto"/>
              </w:rPr>
            </w:pPr>
            <w:r>
              <w:rPr>
                <w:rFonts w:ascii="Arial" w:cs="Arial" w:eastAsia="Arial" w:hAnsi="Arial"/>
                <w:sz w:val="16"/>
                <w:szCs w:val="16"/>
                <w:color w:val="auto"/>
              </w:rPr>
              <w:t>2)</w:t>
            </w: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ind w:left="400"/>
              <w:spacing w:after="0"/>
              <w:rPr>
                <w:sz w:val="20"/>
                <w:szCs w:val="20"/>
                <w:color w:val="auto"/>
              </w:rPr>
            </w:pPr>
            <w:r>
              <w:rPr>
                <w:rFonts w:ascii="Arial" w:cs="Arial" w:eastAsia="Arial" w:hAnsi="Arial"/>
                <w:sz w:val="16"/>
                <w:szCs w:val="16"/>
                <w:color w:val="auto"/>
              </w:rPr>
              <w:t>—</w:t>
            </w:r>
          </w:p>
        </w:tc>
        <w:tc>
          <w:tcPr>
            <w:tcW w:w="600" w:type="dxa"/>
            <w:vAlign w:val="bottom"/>
            <w:gridSpan w:val="2"/>
            <w:shd w:val="clear" w:color="auto" w:fill="CCEEFF"/>
          </w:tcPr>
          <w:p>
            <w:pPr>
              <w:ind w:left="320"/>
              <w:spacing w:after="0"/>
              <w:rPr>
                <w:sz w:val="20"/>
                <w:szCs w:val="20"/>
                <w:color w:val="auto"/>
              </w:rPr>
            </w:pPr>
            <w:r>
              <w:rPr>
                <w:rFonts w:ascii="Arial" w:cs="Arial" w:eastAsia="Arial" w:hAnsi="Arial"/>
                <w:sz w:val="16"/>
                <w:szCs w:val="16"/>
                <w:color w:val="auto"/>
              </w:rPr>
              <w:t>—</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ind w:left="16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7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40" w:type="dxa"/>
            <w:vAlign w:val="bottom"/>
            <w:shd w:val="clear" w:color="auto" w:fill="CCEEFF"/>
          </w:tcPr>
          <w:p>
            <w:pPr>
              <w:ind w:left="10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5,415</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ind w:left="500"/>
              <w:spacing w:after="0"/>
              <w:rPr>
                <w:sz w:val="20"/>
                <w:szCs w:val="20"/>
                <w:color w:val="auto"/>
              </w:rPr>
            </w:pPr>
            <w:r>
              <w:rPr>
                <w:rFonts w:ascii="Arial" w:cs="Arial" w:eastAsia="Arial" w:hAnsi="Arial"/>
                <w:sz w:val="16"/>
                <w:szCs w:val="16"/>
                <w:color w:val="auto"/>
              </w:rPr>
              <w:t>—</w:t>
            </w: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5,415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3"/>
        </w:trPr>
        <w:tc>
          <w:tcPr>
            <w:tcW w:w="1260" w:type="dxa"/>
            <w:vAlign w:val="bottom"/>
          </w:tcPr>
          <w:p>
            <w:pPr>
              <w:spacing w:after="0"/>
              <w:rPr>
                <w:sz w:val="20"/>
                <w:szCs w:val="20"/>
                <w:color w:val="auto"/>
              </w:rPr>
            </w:pPr>
            <w:r>
              <w:rPr>
                <w:rFonts w:ascii="Arial" w:cs="Arial" w:eastAsia="Arial" w:hAnsi="Arial"/>
                <w:sz w:val="16"/>
                <w:szCs w:val="16"/>
                <w:color w:val="auto"/>
              </w:rPr>
              <w:t>Unit-based</w:t>
            </w:r>
          </w:p>
        </w:tc>
        <w:tc>
          <w:tcPr>
            <w:tcW w:w="8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1260" w:type="dxa"/>
            <w:vAlign w:val="bottom"/>
          </w:tcPr>
          <w:p>
            <w:pPr>
              <w:ind w:left="160"/>
              <w:spacing w:after="0"/>
              <w:rPr>
                <w:sz w:val="20"/>
                <w:szCs w:val="20"/>
                <w:color w:val="auto"/>
              </w:rPr>
            </w:pPr>
            <w:r>
              <w:rPr>
                <w:rFonts w:ascii="Arial" w:cs="Arial" w:eastAsia="Arial" w:hAnsi="Arial"/>
                <w:sz w:val="16"/>
                <w:szCs w:val="16"/>
                <w:color w:val="auto"/>
              </w:rPr>
              <w:t>compensation</w:t>
            </w:r>
          </w:p>
        </w:tc>
        <w:tc>
          <w:tcPr>
            <w:tcW w:w="9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8"/>
                <w:szCs w:val="18"/>
                <w:color w:val="auto"/>
              </w:rPr>
            </w:pPr>
          </w:p>
        </w:tc>
        <w:tc>
          <w:tcPr>
            <w:tcW w:w="740" w:type="dxa"/>
            <w:vAlign w:val="bottom"/>
            <w:gridSpan w:val="2"/>
          </w:tcPr>
          <w:p>
            <w:pPr>
              <w:ind w:left="400"/>
              <w:spacing w:after="0"/>
              <w:rPr>
                <w:sz w:val="20"/>
                <w:szCs w:val="20"/>
                <w:color w:val="auto"/>
              </w:rPr>
            </w:pPr>
            <w:r>
              <w:rPr>
                <w:rFonts w:ascii="Arial" w:cs="Arial" w:eastAsia="Arial" w:hAnsi="Arial"/>
                <w:sz w:val="16"/>
                <w:szCs w:val="16"/>
                <w:color w:val="auto"/>
              </w:rPr>
              <w:t>—</w:t>
            </w:r>
          </w:p>
        </w:tc>
        <w:tc>
          <w:tcPr>
            <w:tcW w:w="600" w:type="dxa"/>
            <w:vAlign w:val="bottom"/>
            <w:gridSpan w:val="2"/>
          </w:tcPr>
          <w:p>
            <w:pPr>
              <w:ind w:left="320"/>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ind w:left="16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8"/>
                <w:szCs w:val="18"/>
                <w:color w:val="auto"/>
              </w:rPr>
            </w:pPr>
          </w:p>
        </w:tc>
        <w:tc>
          <w:tcPr>
            <w:tcW w:w="6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7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40" w:type="dxa"/>
            <w:vAlign w:val="bottom"/>
          </w:tcPr>
          <w:p>
            <w:pPr>
              <w:ind w:left="10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5,807</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gridSpan w:val="2"/>
          </w:tcPr>
          <w:p>
            <w:pPr>
              <w:ind w:left="500"/>
              <w:spacing w:after="0"/>
              <w:rPr>
                <w:sz w:val="20"/>
                <w:szCs w:val="20"/>
                <w:color w:val="auto"/>
              </w:rPr>
            </w:pPr>
            <w:r>
              <w:rPr>
                <w:rFonts w:ascii="Arial" w:cs="Arial" w:eastAsia="Arial" w:hAnsi="Arial"/>
                <w:sz w:val="16"/>
                <w:szCs w:val="16"/>
                <w:color w:val="auto"/>
              </w:rPr>
              <w:t>—</w:t>
            </w: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5,807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1260" w:type="dxa"/>
            <w:vAlign w:val="bottom"/>
            <w:shd w:val="clear" w:color="auto" w:fill="CCEEFF"/>
          </w:tcPr>
          <w:p>
            <w:pPr>
              <w:spacing w:after="0"/>
              <w:rPr>
                <w:sz w:val="20"/>
                <w:szCs w:val="20"/>
                <w:color w:val="auto"/>
              </w:rPr>
            </w:pPr>
            <w:r>
              <w:rPr>
                <w:rFonts w:ascii="Arial" w:cs="Arial" w:eastAsia="Arial" w:hAnsi="Arial"/>
                <w:sz w:val="16"/>
                <w:szCs w:val="16"/>
                <w:color w:val="auto"/>
              </w:rPr>
              <w:t>Distribution to</w:t>
            </w:r>
          </w:p>
        </w:tc>
        <w:tc>
          <w:tcPr>
            <w:tcW w:w="8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1260" w:type="dxa"/>
            <w:vAlign w:val="bottom"/>
            <w:shd w:val="clear" w:color="auto" w:fill="CCEEFF"/>
          </w:tcPr>
          <w:p>
            <w:pPr>
              <w:ind w:left="160"/>
              <w:spacing w:after="0"/>
              <w:rPr>
                <w:sz w:val="20"/>
                <w:szCs w:val="20"/>
                <w:color w:val="auto"/>
              </w:rPr>
            </w:pPr>
            <w:r>
              <w:rPr>
                <w:rFonts w:ascii="Arial" w:cs="Arial" w:eastAsia="Arial" w:hAnsi="Arial"/>
                <w:sz w:val="16"/>
                <w:szCs w:val="16"/>
                <w:color w:val="auto"/>
              </w:rPr>
              <w:t>members</w:t>
            </w: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ind w:left="400"/>
              <w:spacing w:after="0"/>
              <w:rPr>
                <w:sz w:val="20"/>
                <w:szCs w:val="20"/>
                <w:color w:val="auto"/>
              </w:rPr>
            </w:pPr>
            <w:r>
              <w:rPr>
                <w:rFonts w:ascii="Arial" w:cs="Arial" w:eastAsia="Arial" w:hAnsi="Arial"/>
                <w:sz w:val="16"/>
                <w:szCs w:val="16"/>
                <w:color w:val="auto"/>
              </w:rPr>
              <w:t>—</w:t>
            </w:r>
          </w:p>
        </w:tc>
        <w:tc>
          <w:tcPr>
            <w:tcW w:w="600" w:type="dxa"/>
            <w:vAlign w:val="bottom"/>
            <w:gridSpan w:val="2"/>
            <w:shd w:val="clear" w:color="auto" w:fill="CCEEFF"/>
          </w:tcPr>
          <w:p>
            <w:pPr>
              <w:ind w:left="320"/>
              <w:spacing w:after="0"/>
              <w:rPr>
                <w:sz w:val="20"/>
                <w:szCs w:val="20"/>
                <w:color w:val="auto"/>
              </w:rPr>
            </w:pPr>
            <w:r>
              <w:rPr>
                <w:rFonts w:ascii="Arial" w:cs="Arial" w:eastAsia="Arial" w:hAnsi="Arial"/>
                <w:sz w:val="16"/>
                <w:szCs w:val="16"/>
                <w:color w:val="auto"/>
              </w:rPr>
              <w:t>—</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ind w:left="16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7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40" w:type="dxa"/>
            <w:vAlign w:val="bottom"/>
            <w:shd w:val="clear" w:color="auto" w:fill="CCEEFF"/>
          </w:tcPr>
          <w:p>
            <w:pPr>
              <w:ind w:left="10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(468)</w:t>
            </w: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ind w:left="500"/>
              <w:spacing w:after="0"/>
              <w:rPr>
                <w:sz w:val="20"/>
                <w:szCs w:val="20"/>
                <w:color w:val="auto"/>
              </w:rPr>
            </w:pPr>
            <w:r>
              <w:rPr>
                <w:rFonts w:ascii="Arial" w:cs="Arial" w:eastAsia="Arial" w:hAnsi="Arial"/>
                <w:sz w:val="16"/>
                <w:szCs w:val="16"/>
                <w:color w:val="auto"/>
              </w:rPr>
              <w:t>—</w:t>
            </w: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(468)</w:t>
            </w:r>
          </w:p>
        </w:tc>
        <w:tc>
          <w:tcPr>
            <w:tcW w:w="0" w:type="dxa"/>
            <w:vAlign w:val="bottom"/>
          </w:tcPr>
          <w:p>
            <w:pPr>
              <w:spacing w:after="0"/>
              <w:rPr>
                <w:sz w:val="1"/>
                <w:szCs w:val="1"/>
                <w:color w:val="auto"/>
              </w:rPr>
            </w:pPr>
          </w:p>
        </w:tc>
      </w:tr>
      <w:tr>
        <w:trPr>
          <w:trHeight w:val="193"/>
        </w:trPr>
        <w:tc>
          <w:tcPr>
            <w:tcW w:w="1260" w:type="dxa"/>
            <w:vAlign w:val="bottom"/>
          </w:tcPr>
          <w:p>
            <w:pPr>
              <w:spacing w:after="0"/>
              <w:rPr>
                <w:sz w:val="20"/>
                <w:szCs w:val="20"/>
                <w:color w:val="auto"/>
              </w:rPr>
            </w:pPr>
            <w:r>
              <w:rPr>
                <w:rFonts w:ascii="Arial" w:cs="Arial" w:eastAsia="Arial" w:hAnsi="Arial"/>
                <w:sz w:val="16"/>
                <w:szCs w:val="16"/>
                <w:color w:val="auto"/>
                <w:w w:val="94"/>
              </w:rPr>
              <w:t>Vesting of Class B</w:t>
            </w:r>
          </w:p>
        </w:tc>
        <w:tc>
          <w:tcPr>
            <w:tcW w:w="8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9"/>
        </w:trPr>
        <w:tc>
          <w:tcPr>
            <w:tcW w:w="1260" w:type="dxa"/>
            <w:vAlign w:val="bottom"/>
          </w:tcPr>
          <w:p>
            <w:pPr>
              <w:ind w:left="160"/>
              <w:spacing w:after="0"/>
              <w:rPr>
                <w:sz w:val="20"/>
                <w:szCs w:val="20"/>
                <w:color w:val="auto"/>
              </w:rPr>
            </w:pPr>
            <w:r>
              <w:rPr>
                <w:rFonts w:ascii="Arial" w:cs="Arial" w:eastAsia="Arial" w:hAnsi="Arial"/>
                <w:sz w:val="16"/>
                <w:szCs w:val="16"/>
                <w:color w:val="auto"/>
              </w:rPr>
              <w:t>Units</w:t>
            </w:r>
          </w:p>
        </w:tc>
        <w:tc>
          <w:tcPr>
            <w:tcW w:w="9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9"/>
                <w:szCs w:val="19"/>
                <w:color w:val="auto"/>
              </w:rPr>
            </w:pPr>
          </w:p>
        </w:tc>
        <w:tc>
          <w:tcPr>
            <w:tcW w:w="740" w:type="dxa"/>
            <w:vAlign w:val="bottom"/>
            <w:gridSpan w:val="2"/>
          </w:tcPr>
          <w:p>
            <w:pPr>
              <w:ind w:left="400"/>
              <w:spacing w:after="0"/>
              <w:rPr>
                <w:sz w:val="20"/>
                <w:szCs w:val="20"/>
                <w:color w:val="auto"/>
              </w:rPr>
            </w:pPr>
            <w:r>
              <w:rPr>
                <w:rFonts w:ascii="Arial" w:cs="Arial" w:eastAsia="Arial" w:hAnsi="Arial"/>
                <w:sz w:val="16"/>
                <w:szCs w:val="16"/>
                <w:color w:val="auto"/>
              </w:rPr>
              <w:t>—</w:t>
            </w:r>
          </w:p>
        </w:tc>
        <w:tc>
          <w:tcPr>
            <w:tcW w:w="600" w:type="dxa"/>
            <w:vAlign w:val="bottom"/>
            <w:gridSpan w:val="2"/>
          </w:tcPr>
          <w:p>
            <w:pPr>
              <w:ind w:left="320"/>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ind w:left="16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9"/>
                <w:szCs w:val="19"/>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9"/>
                <w:szCs w:val="19"/>
                <w:color w:val="auto"/>
              </w:rPr>
            </w:pPr>
          </w:p>
        </w:tc>
        <w:tc>
          <w:tcPr>
            <w:tcW w:w="6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720" w:type="dxa"/>
            <w:vAlign w:val="bottom"/>
            <w:gridSpan w:val="2"/>
          </w:tcPr>
          <w:p>
            <w:pPr>
              <w:jc w:val="right"/>
              <w:ind w:right="100"/>
              <w:spacing w:after="0"/>
              <w:rPr>
                <w:sz w:val="20"/>
                <w:szCs w:val="20"/>
                <w:color w:val="auto"/>
              </w:rPr>
            </w:pPr>
            <w:r>
              <w:rPr>
                <w:rFonts w:ascii="Arial" w:cs="Arial" w:eastAsia="Arial" w:hAnsi="Arial"/>
                <w:sz w:val="16"/>
                <w:szCs w:val="16"/>
                <w:color w:val="auto"/>
              </w:rPr>
              <w:t>180,137</w:t>
            </w: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40" w:type="dxa"/>
            <w:vAlign w:val="bottom"/>
          </w:tcPr>
          <w:p>
            <w:pPr>
              <w:ind w:left="10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9"/>
                <w:szCs w:val="19"/>
                <w:color w:val="auto"/>
              </w:rPr>
            </w:pPr>
          </w:p>
        </w:tc>
        <w:tc>
          <w:tcPr>
            <w:tcW w:w="8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40" w:type="dxa"/>
            <w:vAlign w:val="bottom"/>
            <w:gridSpan w:val="2"/>
          </w:tcPr>
          <w:p>
            <w:pPr>
              <w:ind w:left="500"/>
              <w:spacing w:after="0"/>
              <w:rPr>
                <w:sz w:val="20"/>
                <w:szCs w:val="20"/>
                <w:color w:val="auto"/>
              </w:rPr>
            </w:pPr>
            <w:r>
              <w:rPr>
                <w:rFonts w:ascii="Arial" w:cs="Arial" w:eastAsia="Arial" w:hAnsi="Arial"/>
                <w:sz w:val="16"/>
                <w:szCs w:val="16"/>
                <w:color w:val="auto"/>
              </w:rPr>
              <w:t>—</w:t>
            </w: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93"/>
        </w:trPr>
        <w:tc>
          <w:tcPr>
            <w:tcW w:w="1260" w:type="dxa"/>
            <w:vAlign w:val="bottom"/>
            <w:shd w:val="clear" w:color="auto" w:fill="CCEEFF"/>
          </w:tcPr>
          <w:p>
            <w:pPr>
              <w:spacing w:after="0"/>
              <w:rPr>
                <w:sz w:val="20"/>
                <w:szCs w:val="20"/>
                <w:color w:val="auto"/>
              </w:rPr>
            </w:pPr>
            <w:r>
              <w:rPr>
                <w:rFonts w:ascii="Arial" w:cs="Arial" w:eastAsia="Arial" w:hAnsi="Arial"/>
                <w:sz w:val="16"/>
                <w:szCs w:val="16"/>
                <w:color w:val="auto"/>
              </w:rPr>
              <w:t>Balance at</w:t>
            </w:r>
          </w:p>
        </w:tc>
        <w:tc>
          <w:tcPr>
            <w:tcW w:w="840" w:type="dxa"/>
            <w:vAlign w:val="bottom"/>
            <w:tcBorders>
              <w:top w:val="single" w:sz="8" w:color="auto"/>
            </w:tcBorders>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0" w:type="dxa"/>
            <w:vAlign w:val="bottom"/>
            <w:tcBorders>
              <w:top w:val="single" w:sz="8" w:color="auto"/>
            </w:tcBorders>
            <w:shd w:val="clear" w:color="auto" w:fill="CCEEFF"/>
          </w:tcPr>
          <w:p>
            <w:pPr>
              <w:spacing w:after="0"/>
              <w:rPr>
                <w:sz w:val="16"/>
                <w:szCs w:val="16"/>
                <w:color w:val="auto"/>
              </w:rPr>
            </w:pPr>
          </w:p>
        </w:tc>
        <w:tc>
          <w:tcPr>
            <w:tcW w:w="660" w:type="dxa"/>
            <w:vAlign w:val="bottom"/>
            <w:tcBorders>
              <w:top w:val="single" w:sz="8" w:color="auto"/>
            </w:tcBorders>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60" w:type="dxa"/>
            <w:vAlign w:val="bottom"/>
            <w:tcBorders>
              <w:top w:val="single" w:sz="8" w:color="auto"/>
            </w:tcBorders>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400" w:type="dxa"/>
            <w:vAlign w:val="bottom"/>
            <w:tcBorders>
              <w:top w:val="single" w:sz="8" w:color="auto"/>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40" w:type="dxa"/>
            <w:vAlign w:val="bottom"/>
            <w:tcBorders>
              <w:top w:val="single" w:sz="8" w:color="auto"/>
            </w:tcBorders>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0" w:type="dxa"/>
            <w:vAlign w:val="bottom"/>
            <w:tcBorders>
              <w:top w:val="single" w:sz="8" w:color="auto"/>
            </w:tcBorders>
            <w:shd w:val="clear" w:color="auto" w:fill="CCEEFF"/>
          </w:tcPr>
          <w:p>
            <w:pPr>
              <w:spacing w:after="0"/>
              <w:rPr>
                <w:sz w:val="16"/>
                <w:szCs w:val="16"/>
                <w:color w:val="auto"/>
              </w:rPr>
            </w:pPr>
          </w:p>
        </w:tc>
        <w:tc>
          <w:tcPr>
            <w:tcW w:w="500" w:type="dxa"/>
            <w:vAlign w:val="bottom"/>
            <w:tcBorders>
              <w:top w:val="single" w:sz="8" w:color="auto"/>
            </w:tcBorders>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20" w:type="dxa"/>
            <w:vAlign w:val="bottom"/>
            <w:tcBorders>
              <w:top w:val="single" w:sz="8" w:color="auto"/>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60" w:type="dxa"/>
            <w:vAlign w:val="bottom"/>
            <w:tcBorders>
              <w:top w:val="single" w:sz="8" w:color="auto"/>
            </w:tcBorders>
            <w:shd w:val="clear" w:color="auto" w:fill="CCEEFF"/>
          </w:tcPr>
          <w:p>
            <w:pPr>
              <w:spacing w:after="0"/>
              <w:rPr>
                <w:sz w:val="16"/>
                <w:szCs w:val="16"/>
                <w:color w:val="auto"/>
              </w:rPr>
            </w:pPr>
          </w:p>
        </w:tc>
        <w:tc>
          <w:tcPr>
            <w:tcW w:w="340" w:type="dxa"/>
            <w:vAlign w:val="bottom"/>
            <w:tcBorders>
              <w:top w:val="single" w:sz="8" w:color="auto"/>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560" w:type="dxa"/>
            <w:vAlign w:val="bottom"/>
            <w:tcBorders>
              <w:top w:val="single" w:sz="8" w:color="auto"/>
            </w:tcBorders>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760" w:type="dxa"/>
            <w:vAlign w:val="bottom"/>
            <w:tcBorders>
              <w:top w:val="single" w:sz="8" w:color="auto"/>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220" w:type="dxa"/>
            <w:vAlign w:val="bottom"/>
            <w:tcBorders>
              <w:top w:val="single" w:sz="8" w:color="auto"/>
            </w:tcBorders>
            <w:shd w:val="clear" w:color="auto" w:fill="CCEEFF"/>
          </w:tcPr>
          <w:p>
            <w:pPr>
              <w:spacing w:after="0"/>
              <w:rPr>
                <w:sz w:val="16"/>
                <w:szCs w:val="16"/>
                <w:color w:val="auto"/>
              </w:rPr>
            </w:pPr>
          </w:p>
        </w:tc>
        <w:tc>
          <w:tcPr>
            <w:tcW w:w="740" w:type="dxa"/>
            <w:vAlign w:val="bottom"/>
            <w:tcBorders>
              <w:top w:val="single" w:sz="8" w:color="auto"/>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80" w:type="dxa"/>
            <w:vAlign w:val="bottom"/>
            <w:tcBorders>
              <w:top w:val="single" w:sz="8" w:color="auto"/>
            </w:tcBorders>
            <w:shd w:val="clear" w:color="auto" w:fill="CCEEFF"/>
          </w:tcPr>
          <w:p>
            <w:pPr>
              <w:spacing w:after="0"/>
              <w:rPr>
                <w:sz w:val="16"/>
                <w:szCs w:val="16"/>
                <w:color w:val="auto"/>
              </w:rPr>
            </w:pPr>
          </w:p>
        </w:tc>
        <w:tc>
          <w:tcPr>
            <w:tcW w:w="660" w:type="dxa"/>
            <w:vAlign w:val="bottom"/>
            <w:tcBorders>
              <w:top w:val="single" w:sz="8" w:color="auto"/>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1260" w:type="dxa"/>
            <w:vAlign w:val="bottom"/>
            <w:shd w:val="clear" w:color="auto" w:fill="CCEEFF"/>
          </w:tcPr>
          <w:p>
            <w:pPr>
              <w:ind w:left="160"/>
              <w:spacing w:after="0"/>
              <w:rPr>
                <w:sz w:val="20"/>
                <w:szCs w:val="20"/>
                <w:color w:val="auto"/>
              </w:rPr>
            </w:pPr>
            <w:r>
              <w:rPr>
                <w:rFonts w:ascii="Arial" w:cs="Arial" w:eastAsia="Arial" w:hAnsi="Arial"/>
                <w:sz w:val="16"/>
                <w:szCs w:val="16"/>
                <w:color w:val="auto"/>
              </w:rPr>
              <w:t>July 15, 2019</w:t>
            </w:r>
          </w:p>
        </w:tc>
        <w:tc>
          <w:tcPr>
            <w:tcW w:w="8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1260" w:type="dxa"/>
            <w:vAlign w:val="bottom"/>
            <w:tcBorders>
              <w:bottom w:val="single" w:sz="8" w:color="auto"/>
            </w:tcBorders>
            <w:shd w:val="clear" w:color="auto" w:fill="CCEEFF"/>
          </w:tcPr>
          <w:p>
            <w:pPr>
              <w:ind w:left="160"/>
              <w:spacing w:after="0"/>
              <w:rPr>
                <w:sz w:val="20"/>
                <w:szCs w:val="20"/>
                <w:color w:val="auto"/>
              </w:rPr>
            </w:pPr>
            <w:r>
              <w:rPr>
                <w:rFonts w:ascii="Arial" w:cs="Arial" w:eastAsia="Arial" w:hAnsi="Arial"/>
                <w:sz w:val="16"/>
                <w:szCs w:val="16"/>
                <w:color w:val="auto"/>
              </w:rPr>
              <w:t>(Predecessor)</w:t>
            </w:r>
          </w:p>
        </w:tc>
        <w:tc>
          <w:tcPr>
            <w:tcW w:w="920" w:type="dxa"/>
            <w:vAlign w:val="bottom"/>
            <w:tcBorders>
              <w:bottom w:val="single" w:sz="8" w:color="auto"/>
            </w:tcBorders>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tcBorders>
              <w:bottom w:val="single" w:sz="8" w:color="auto"/>
            </w:tcBorders>
            <w:gridSpan w:val="2"/>
            <w:shd w:val="clear" w:color="auto" w:fill="CCEEFF"/>
          </w:tcPr>
          <w:p>
            <w:pPr>
              <w:ind w:left="400"/>
              <w:spacing w:after="0"/>
              <w:rPr>
                <w:sz w:val="20"/>
                <w:szCs w:val="20"/>
                <w:color w:val="auto"/>
              </w:rPr>
            </w:pPr>
            <w:r>
              <w:rPr>
                <w:rFonts w:ascii="Arial" w:cs="Arial" w:eastAsia="Arial" w:hAnsi="Arial"/>
                <w:sz w:val="16"/>
                <w:szCs w:val="16"/>
                <w:color w:val="auto"/>
              </w:rPr>
              <w:t>—</w:t>
            </w:r>
          </w:p>
        </w:tc>
        <w:tc>
          <w:tcPr>
            <w:tcW w:w="600" w:type="dxa"/>
            <w:vAlign w:val="bottom"/>
            <w:tcBorders>
              <w:bottom w:val="single" w:sz="8" w:color="auto"/>
            </w:tcBorders>
            <w:gridSpan w:val="2"/>
            <w:shd w:val="clear" w:color="auto" w:fill="CCEEFF"/>
          </w:tcPr>
          <w:p>
            <w:pPr>
              <w:ind w:left="32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auto"/>
            </w:tcBorders>
            <w:gridSpan w:val="2"/>
            <w:shd w:val="clear" w:color="auto" w:fill="CCEEFF"/>
          </w:tcPr>
          <w:p>
            <w:pPr>
              <w:ind w:left="60"/>
              <w:spacing w:after="0"/>
              <w:rPr>
                <w:sz w:val="20"/>
                <w:szCs w:val="20"/>
                <w:color w:val="auto"/>
              </w:rPr>
            </w:pPr>
            <w:r>
              <w:rPr>
                <w:rFonts w:ascii="Arial" w:cs="Arial" w:eastAsia="Arial" w:hAnsi="Arial"/>
                <w:sz w:val="16"/>
                <w:szCs w:val="16"/>
                <w:color w:val="auto"/>
                <w:w w:val="89"/>
              </w:rPr>
              <w:t>$</w:t>
            </w:r>
          </w:p>
        </w:tc>
        <w:tc>
          <w:tcPr>
            <w:tcW w:w="400" w:type="dxa"/>
            <w:vAlign w:val="bottom"/>
            <w:tcBorders>
              <w:bottom w:val="single" w:sz="8" w:color="auto"/>
            </w:tcBorders>
            <w:shd w:val="clear" w:color="auto" w:fill="CCEEFF"/>
          </w:tcPr>
          <w:p>
            <w:pPr>
              <w:ind w:left="160"/>
              <w:spacing w:after="0"/>
              <w:rPr>
                <w:sz w:val="20"/>
                <w:szCs w:val="20"/>
                <w:color w:val="auto"/>
              </w:rPr>
            </w:pPr>
            <w:r>
              <w:rPr>
                <w:rFonts w:ascii="Arial" w:cs="Arial" w:eastAsia="Arial" w:hAnsi="Arial"/>
                <w:sz w:val="16"/>
                <w:szCs w:val="16"/>
                <w:color w:val="auto"/>
              </w:rPr>
              <w:t>—</w:t>
            </w:r>
          </w:p>
        </w:tc>
        <w:tc>
          <w:tcPr>
            <w:tcW w:w="84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6"/>
                <w:szCs w:val="16"/>
                <w:color w:val="auto"/>
              </w:rPr>
              <w:t>7,750,000</w:t>
            </w:r>
          </w:p>
        </w:tc>
        <w:tc>
          <w:tcPr>
            <w:tcW w:w="160" w:type="dxa"/>
            <w:vAlign w:val="bottom"/>
            <w:tcBorders>
              <w:bottom w:val="single" w:sz="8" w:color="auto"/>
            </w:tcBorders>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5"/>
                <w:szCs w:val="15"/>
                <w:color w:val="auto"/>
                <w:w w:val="71"/>
              </w:rPr>
              <w:t>$</w:t>
            </w: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98"/>
              </w:rPr>
              <w:t>77,500</w:t>
            </w:r>
          </w:p>
        </w:tc>
        <w:tc>
          <w:tcPr>
            <w:tcW w:w="14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268,853</w:t>
            </w:r>
          </w:p>
        </w:tc>
        <w:tc>
          <w:tcPr>
            <w:tcW w:w="220" w:type="dxa"/>
            <w:vAlign w:val="bottom"/>
            <w:tcBorders>
              <w:bottom w:val="single" w:sz="8" w:color="auto"/>
            </w:tcBorders>
            <w:gridSpan w:val="2"/>
            <w:shd w:val="clear" w:color="auto" w:fill="CCEEFF"/>
          </w:tcPr>
          <w:p>
            <w:pPr>
              <w:ind w:left="60"/>
              <w:spacing w:after="0"/>
              <w:rPr>
                <w:sz w:val="20"/>
                <w:szCs w:val="20"/>
                <w:color w:val="auto"/>
              </w:rPr>
            </w:pPr>
            <w:r>
              <w:rPr>
                <w:rFonts w:ascii="Arial" w:cs="Arial" w:eastAsia="Arial" w:hAnsi="Arial"/>
                <w:sz w:val="16"/>
                <w:szCs w:val="16"/>
                <w:color w:val="auto"/>
              </w:rPr>
              <w:t>$</w:t>
            </w:r>
          </w:p>
        </w:tc>
        <w:tc>
          <w:tcPr>
            <w:tcW w:w="340" w:type="dxa"/>
            <w:vAlign w:val="bottom"/>
            <w:tcBorders>
              <w:bottom w:val="single" w:sz="8" w:color="auto"/>
            </w:tcBorders>
            <w:shd w:val="clear" w:color="auto" w:fill="CCEEFF"/>
          </w:tcPr>
          <w:p>
            <w:pPr>
              <w:ind w:left="10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auto"/>
            </w:tcBorders>
            <w:gridSpan w:val="2"/>
            <w:shd w:val="clear" w:color="auto" w:fill="CCEEFF"/>
          </w:tcPr>
          <w:p>
            <w:pPr>
              <w:ind w:left="100"/>
              <w:spacing w:after="0"/>
              <w:rPr>
                <w:sz w:val="20"/>
                <w:szCs w:val="20"/>
                <w:color w:val="auto"/>
              </w:rPr>
            </w:pPr>
            <w:r>
              <w:rPr>
                <w:rFonts w:ascii="Arial" w:cs="Arial" w:eastAsia="Arial" w:hAnsi="Arial"/>
                <w:sz w:val="16"/>
                <w:szCs w:val="16"/>
                <w:color w:val="auto"/>
                <w:w w:val="89"/>
              </w:rPr>
              <w:t>$</w:t>
            </w:r>
          </w:p>
        </w:tc>
        <w:tc>
          <w:tcPr>
            <w:tcW w:w="700" w:type="dxa"/>
            <w:vAlign w:val="bottom"/>
            <w:tcBorders>
              <w:bottom w:val="single" w:sz="8" w:color="auto"/>
            </w:tcBorders>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(31,844)</w:t>
            </w:r>
          </w:p>
        </w:tc>
        <w:tc>
          <w:tcPr>
            <w:tcW w:w="12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6"/>
                <w:szCs w:val="16"/>
                <w:color w:val="auto"/>
              </w:rPr>
              <w:t>$</w:t>
            </w:r>
          </w:p>
        </w:tc>
        <w:tc>
          <w:tcPr>
            <w:tcW w:w="860" w:type="dxa"/>
            <w:vAlign w:val="bottom"/>
            <w:tcBorders>
              <w:bottom w:val="single" w:sz="8" w:color="auto"/>
            </w:tcBorders>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51,793</w:t>
            </w:r>
          </w:p>
        </w:tc>
        <w:tc>
          <w:tcPr>
            <w:tcW w:w="260" w:type="dxa"/>
            <w:vAlign w:val="bottom"/>
            <w:tcBorders>
              <w:bottom w:val="single" w:sz="8" w:color="auto"/>
            </w:tcBorders>
            <w:gridSpan w:val="2"/>
            <w:shd w:val="clear" w:color="auto" w:fill="CCEEFF"/>
          </w:tcPr>
          <w:p>
            <w:pPr>
              <w:ind w:left="40"/>
              <w:spacing w:after="0"/>
              <w:rPr>
                <w:sz w:val="20"/>
                <w:szCs w:val="20"/>
                <w:color w:val="auto"/>
              </w:rPr>
            </w:pPr>
            <w:r>
              <w:rPr>
                <w:rFonts w:ascii="Arial" w:cs="Arial" w:eastAsia="Arial" w:hAnsi="Arial"/>
                <w:sz w:val="16"/>
                <w:szCs w:val="16"/>
                <w:color w:val="auto"/>
              </w:rPr>
              <w:t>$</w:t>
            </w:r>
          </w:p>
        </w:tc>
        <w:tc>
          <w:tcPr>
            <w:tcW w:w="840" w:type="dxa"/>
            <w:vAlign w:val="bottom"/>
            <w:tcBorders>
              <w:bottom w:val="single" w:sz="8" w:color="auto"/>
            </w:tcBorders>
            <w:gridSpan w:val="2"/>
            <w:shd w:val="clear" w:color="auto" w:fill="CCEEFF"/>
          </w:tcPr>
          <w:p>
            <w:pPr>
              <w:ind w:left="50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97,449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70"/>
        </w:trPr>
        <w:tc>
          <w:tcPr>
            <w:tcW w:w="1260" w:type="dxa"/>
            <w:vAlign w:val="bottom"/>
          </w:tcPr>
          <w:p>
            <w:pPr>
              <w:spacing w:after="0"/>
              <w:rPr>
                <w:sz w:val="20"/>
                <w:szCs w:val="20"/>
                <w:color w:val="auto"/>
              </w:rPr>
            </w:pPr>
            <w:r>
              <w:rPr>
                <w:rFonts w:ascii="Arial" w:cs="Arial" w:eastAsia="Arial" w:hAnsi="Arial"/>
                <w:sz w:val="16"/>
                <w:szCs w:val="16"/>
                <w:color w:val="auto"/>
              </w:rPr>
              <w:t>Recapitalization</w:t>
            </w:r>
          </w:p>
        </w:tc>
        <w:tc>
          <w:tcPr>
            <w:tcW w:w="8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09"/>
        </w:trPr>
        <w:tc>
          <w:tcPr>
            <w:tcW w:w="1260" w:type="dxa"/>
            <w:vAlign w:val="bottom"/>
          </w:tcPr>
          <w:p>
            <w:pPr>
              <w:ind w:left="160"/>
              <w:spacing w:after="0"/>
              <w:rPr>
                <w:sz w:val="20"/>
                <w:szCs w:val="20"/>
                <w:color w:val="auto"/>
              </w:rPr>
            </w:pPr>
            <w:r>
              <w:rPr>
                <w:rFonts w:ascii="Arial" w:cs="Arial" w:eastAsia="Arial" w:hAnsi="Arial"/>
                <w:sz w:val="16"/>
                <w:szCs w:val="16"/>
                <w:color w:val="auto"/>
              </w:rPr>
              <w:t>(See Note 12)</w:t>
            </w:r>
          </w:p>
        </w:tc>
        <w:tc>
          <w:tcPr>
            <w:tcW w:w="9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gridSpan w:val="2"/>
          </w:tcPr>
          <w:p>
            <w:pPr>
              <w:ind w:left="400"/>
              <w:spacing w:after="0"/>
              <w:rPr>
                <w:sz w:val="20"/>
                <w:szCs w:val="20"/>
                <w:color w:val="auto"/>
              </w:rPr>
            </w:pPr>
            <w:r>
              <w:rPr>
                <w:rFonts w:ascii="Arial" w:cs="Arial" w:eastAsia="Arial" w:hAnsi="Arial"/>
                <w:sz w:val="16"/>
                <w:szCs w:val="16"/>
                <w:color w:val="auto"/>
              </w:rPr>
              <w:t>—</w:t>
            </w:r>
          </w:p>
        </w:tc>
        <w:tc>
          <w:tcPr>
            <w:tcW w:w="600" w:type="dxa"/>
            <w:vAlign w:val="bottom"/>
            <w:gridSpan w:val="2"/>
          </w:tcPr>
          <w:p>
            <w:pPr>
              <w:ind w:left="320"/>
              <w:spacing w:after="0"/>
              <w:rPr>
                <w:sz w:val="20"/>
                <w:szCs w:val="20"/>
                <w:color w:val="auto"/>
              </w:rPr>
            </w:pPr>
            <w:r>
              <w:rPr>
                <w:rFonts w:ascii="Arial" w:cs="Arial" w:eastAsia="Arial" w:hAnsi="Arial"/>
                <w:sz w:val="16"/>
                <w:szCs w:val="16"/>
                <w:color w:val="auto"/>
              </w:rPr>
              <w:t>—</w:t>
            </w:r>
          </w:p>
        </w:tc>
        <w:tc>
          <w:tcPr>
            <w:tcW w:w="160" w:type="dxa"/>
            <w:vAlign w:val="bottom"/>
            <w:gridSpan w:val="2"/>
          </w:tcPr>
          <w:p>
            <w:pPr>
              <w:ind w:left="60"/>
              <w:spacing w:after="0"/>
              <w:rPr>
                <w:sz w:val="20"/>
                <w:szCs w:val="20"/>
                <w:color w:val="auto"/>
              </w:rPr>
            </w:pPr>
            <w:r>
              <w:rPr>
                <w:rFonts w:ascii="Arial" w:cs="Arial" w:eastAsia="Arial" w:hAnsi="Arial"/>
                <w:sz w:val="16"/>
                <w:szCs w:val="16"/>
                <w:color w:val="auto"/>
                <w:w w:val="89"/>
              </w:rPr>
              <w:t>$</w:t>
            </w:r>
          </w:p>
        </w:tc>
        <w:tc>
          <w:tcPr>
            <w:tcW w:w="400" w:type="dxa"/>
            <w:vAlign w:val="bottom"/>
          </w:tcPr>
          <w:p>
            <w:pPr>
              <w:ind w:left="160"/>
              <w:spacing w:after="0"/>
              <w:rPr>
                <w:sz w:val="20"/>
                <w:szCs w:val="20"/>
                <w:color w:val="auto"/>
              </w:rPr>
            </w:pPr>
            <w:r>
              <w:rPr>
                <w:rFonts w:ascii="Arial" w:cs="Arial" w:eastAsia="Arial" w:hAnsi="Arial"/>
                <w:sz w:val="16"/>
                <w:szCs w:val="16"/>
                <w:color w:val="auto"/>
              </w:rPr>
              <w:t>—</w:t>
            </w:r>
          </w:p>
        </w:tc>
        <w:tc>
          <w:tcPr>
            <w:tcW w:w="1000" w:type="dxa"/>
            <w:vAlign w:val="bottom"/>
            <w:gridSpan w:val="3"/>
          </w:tcPr>
          <w:p>
            <w:pPr>
              <w:jc w:val="right"/>
              <w:ind w:right="100"/>
              <w:spacing w:after="0"/>
              <w:rPr>
                <w:sz w:val="20"/>
                <w:szCs w:val="20"/>
                <w:color w:val="auto"/>
              </w:rPr>
            </w:pPr>
            <w:r>
              <w:rPr>
                <w:rFonts w:ascii="Arial" w:cs="Arial" w:eastAsia="Arial" w:hAnsi="Arial"/>
                <w:sz w:val="16"/>
                <w:szCs w:val="16"/>
                <w:color w:val="auto"/>
              </w:rPr>
              <w:t>(7,750,000)</w:t>
            </w:r>
          </w:p>
        </w:tc>
        <w:tc>
          <w:tcPr>
            <w:tcW w:w="80" w:type="dxa"/>
            <w:vAlign w:val="bottom"/>
          </w:tcPr>
          <w:p>
            <w:pPr>
              <w:spacing w:after="0"/>
              <w:rPr>
                <w:sz w:val="20"/>
                <w:szCs w:val="20"/>
                <w:color w:val="auto"/>
              </w:rPr>
            </w:pPr>
            <w:r>
              <w:rPr>
                <w:rFonts w:ascii="Arial" w:cs="Arial" w:eastAsia="Arial" w:hAnsi="Arial"/>
                <w:sz w:val="15"/>
                <w:szCs w:val="15"/>
                <w:color w:val="auto"/>
                <w:w w:val="71"/>
              </w:rPr>
              <w:t>$</w:t>
            </w:r>
          </w:p>
        </w:tc>
        <w:tc>
          <w:tcPr>
            <w:tcW w:w="640" w:type="dxa"/>
            <w:vAlign w:val="bottom"/>
            <w:gridSpan w:val="2"/>
          </w:tcPr>
          <w:p>
            <w:pPr>
              <w:jc w:val="right"/>
              <w:ind w:right="100"/>
              <w:spacing w:after="0"/>
              <w:rPr>
                <w:sz w:val="20"/>
                <w:szCs w:val="20"/>
                <w:color w:val="auto"/>
              </w:rPr>
            </w:pPr>
            <w:r>
              <w:rPr>
                <w:rFonts w:ascii="Arial" w:cs="Arial" w:eastAsia="Arial" w:hAnsi="Arial"/>
                <w:sz w:val="16"/>
                <w:szCs w:val="16"/>
                <w:color w:val="auto"/>
                <w:w w:val="87"/>
              </w:rPr>
              <w:t>(77,500)</w:t>
            </w:r>
          </w:p>
        </w:tc>
        <w:tc>
          <w:tcPr>
            <w:tcW w:w="720" w:type="dxa"/>
            <w:vAlign w:val="bottom"/>
            <w:gridSpan w:val="2"/>
          </w:tcPr>
          <w:p>
            <w:pPr>
              <w:jc w:val="right"/>
              <w:ind w:right="40"/>
              <w:spacing w:after="0"/>
              <w:rPr>
                <w:sz w:val="20"/>
                <w:szCs w:val="20"/>
                <w:color w:val="auto"/>
              </w:rPr>
            </w:pPr>
            <w:r>
              <w:rPr>
                <w:rFonts w:ascii="Arial" w:cs="Arial" w:eastAsia="Arial" w:hAnsi="Arial"/>
                <w:sz w:val="16"/>
                <w:szCs w:val="16"/>
                <w:color w:val="auto"/>
                <w:w w:val="96"/>
              </w:rPr>
              <w:t>(268,853)</w:t>
            </w:r>
          </w:p>
        </w:tc>
        <w:tc>
          <w:tcPr>
            <w:tcW w:w="220" w:type="dxa"/>
            <w:vAlign w:val="bottom"/>
            <w:gridSpan w:val="2"/>
          </w:tcPr>
          <w:p>
            <w:pPr>
              <w:ind w:left="60"/>
              <w:spacing w:after="0"/>
              <w:rPr>
                <w:sz w:val="20"/>
                <w:szCs w:val="20"/>
                <w:color w:val="auto"/>
              </w:rPr>
            </w:pPr>
            <w:r>
              <w:rPr>
                <w:rFonts w:ascii="Arial" w:cs="Arial" w:eastAsia="Arial" w:hAnsi="Arial"/>
                <w:sz w:val="16"/>
                <w:szCs w:val="16"/>
                <w:color w:val="auto"/>
              </w:rPr>
              <w:t>$</w:t>
            </w:r>
          </w:p>
        </w:tc>
        <w:tc>
          <w:tcPr>
            <w:tcW w:w="340" w:type="dxa"/>
            <w:vAlign w:val="bottom"/>
          </w:tcPr>
          <w:p>
            <w:pPr>
              <w:ind w:left="100"/>
              <w:spacing w:after="0"/>
              <w:rPr>
                <w:sz w:val="20"/>
                <w:szCs w:val="20"/>
                <w:color w:val="auto"/>
              </w:rPr>
            </w:pPr>
            <w:r>
              <w:rPr>
                <w:rFonts w:ascii="Arial" w:cs="Arial" w:eastAsia="Arial" w:hAnsi="Arial"/>
                <w:sz w:val="16"/>
                <w:szCs w:val="16"/>
                <w:color w:val="auto"/>
              </w:rPr>
              <w:t>—</w:t>
            </w:r>
          </w:p>
        </w:tc>
        <w:tc>
          <w:tcPr>
            <w:tcW w:w="200" w:type="dxa"/>
            <w:vAlign w:val="bottom"/>
            <w:gridSpan w:val="2"/>
          </w:tcPr>
          <w:p>
            <w:pPr>
              <w:ind w:left="100"/>
              <w:spacing w:after="0"/>
              <w:rPr>
                <w:sz w:val="20"/>
                <w:szCs w:val="20"/>
                <w:color w:val="auto"/>
              </w:rPr>
            </w:pPr>
            <w:r>
              <w:rPr>
                <w:rFonts w:ascii="Arial" w:cs="Arial" w:eastAsia="Arial" w:hAnsi="Arial"/>
                <w:sz w:val="16"/>
                <w:szCs w:val="16"/>
                <w:color w:val="auto"/>
                <w:w w:val="89"/>
              </w:rPr>
              <w:t>$</w:t>
            </w:r>
          </w:p>
        </w:tc>
        <w:tc>
          <w:tcPr>
            <w:tcW w:w="560" w:type="dxa"/>
            <w:vAlign w:val="bottom"/>
          </w:tcPr>
          <w:p>
            <w:pPr>
              <w:jc w:val="right"/>
              <w:spacing w:after="0"/>
              <w:rPr>
                <w:sz w:val="20"/>
                <w:szCs w:val="20"/>
                <w:color w:val="auto"/>
              </w:rPr>
            </w:pPr>
            <w:r>
              <w:rPr>
                <w:rFonts w:ascii="Arial" w:cs="Arial" w:eastAsia="Arial" w:hAnsi="Arial"/>
                <w:sz w:val="16"/>
                <w:szCs w:val="16"/>
                <w:color w:val="auto"/>
              </w:rPr>
              <w:t>31,844</w:t>
            </w:r>
          </w:p>
        </w:tc>
        <w:tc>
          <w:tcPr>
            <w:tcW w:w="140" w:type="dxa"/>
            <w:vAlign w:val="bottom"/>
          </w:tcPr>
          <w:p>
            <w:pPr>
              <w:spacing w:after="0"/>
              <w:rPr>
                <w:sz w:val="18"/>
                <w:szCs w:val="18"/>
                <w:color w:val="auto"/>
              </w:rPr>
            </w:pPr>
          </w:p>
        </w:tc>
        <w:tc>
          <w:tcPr>
            <w:tcW w:w="120" w:type="dxa"/>
            <w:vAlign w:val="bottom"/>
          </w:tcPr>
          <w:p>
            <w:pPr>
              <w:spacing w:after="0"/>
              <w:rPr>
                <w:sz w:val="20"/>
                <w:szCs w:val="20"/>
                <w:color w:val="auto"/>
              </w:rPr>
            </w:pPr>
            <w:r>
              <w:rPr>
                <w:rFonts w:ascii="Arial" w:cs="Arial" w:eastAsia="Arial" w:hAnsi="Arial"/>
                <w:sz w:val="16"/>
                <w:szCs w:val="16"/>
                <w:color w:val="auto"/>
              </w:rPr>
              <w:t>$</w:t>
            </w:r>
          </w:p>
        </w:tc>
        <w:tc>
          <w:tcPr>
            <w:tcW w:w="860" w:type="dxa"/>
            <w:vAlign w:val="bottom"/>
            <w:gridSpan w:val="2"/>
          </w:tcPr>
          <w:p>
            <w:pPr>
              <w:jc w:val="right"/>
              <w:ind w:right="60"/>
              <w:spacing w:after="0"/>
              <w:rPr>
                <w:sz w:val="20"/>
                <w:szCs w:val="20"/>
                <w:color w:val="auto"/>
              </w:rPr>
            </w:pPr>
            <w:r>
              <w:rPr>
                <w:rFonts w:ascii="Arial" w:cs="Arial" w:eastAsia="Arial" w:hAnsi="Arial"/>
                <w:sz w:val="16"/>
                <w:szCs w:val="16"/>
                <w:color w:val="auto"/>
              </w:rPr>
              <w:t>(51,793)</w:t>
            </w:r>
          </w:p>
        </w:tc>
        <w:tc>
          <w:tcPr>
            <w:tcW w:w="260" w:type="dxa"/>
            <w:vAlign w:val="bottom"/>
            <w:gridSpan w:val="2"/>
          </w:tcPr>
          <w:p>
            <w:pPr>
              <w:ind w:left="40"/>
              <w:spacing w:after="0"/>
              <w:rPr>
                <w:sz w:val="20"/>
                <w:szCs w:val="20"/>
                <w:color w:val="auto"/>
              </w:rPr>
            </w:pPr>
            <w:r>
              <w:rPr>
                <w:rFonts w:ascii="Arial" w:cs="Arial" w:eastAsia="Arial" w:hAnsi="Arial"/>
                <w:sz w:val="16"/>
                <w:szCs w:val="16"/>
                <w:color w:val="auto"/>
              </w:rPr>
              <w:t>$</w:t>
            </w:r>
          </w:p>
        </w:tc>
        <w:tc>
          <w:tcPr>
            <w:tcW w:w="840" w:type="dxa"/>
            <w:vAlign w:val="bottom"/>
            <w:gridSpan w:val="2"/>
          </w:tcPr>
          <w:p>
            <w:pPr>
              <w:ind w:left="500"/>
              <w:spacing w:after="0"/>
              <w:rPr>
                <w:sz w:val="20"/>
                <w:szCs w:val="20"/>
                <w:color w:val="auto"/>
              </w:rPr>
            </w:pPr>
            <w:r>
              <w:rPr>
                <w:rFonts w:ascii="Arial" w:cs="Arial" w:eastAsia="Arial" w:hAnsi="Arial"/>
                <w:sz w:val="16"/>
                <w:szCs w:val="16"/>
                <w:color w:val="auto"/>
              </w:rPr>
              <w:t>—</w:t>
            </w:r>
          </w:p>
        </w:tc>
        <w:tc>
          <w:tcPr>
            <w:tcW w:w="12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760" w:type="dxa"/>
            <w:vAlign w:val="bottom"/>
            <w:gridSpan w:val="2"/>
          </w:tcPr>
          <w:p>
            <w:pPr>
              <w:jc w:val="right"/>
              <w:ind w:right="40"/>
              <w:spacing w:after="0"/>
              <w:rPr>
                <w:sz w:val="20"/>
                <w:szCs w:val="20"/>
                <w:color w:val="auto"/>
              </w:rPr>
            </w:pPr>
            <w:r>
              <w:rPr>
                <w:rFonts w:ascii="Arial" w:cs="Arial" w:eastAsia="Arial" w:hAnsi="Arial"/>
                <w:sz w:val="16"/>
                <w:szCs w:val="16"/>
                <w:color w:val="auto"/>
              </w:rPr>
              <w:t>(97,449)</w:t>
            </w:r>
          </w:p>
        </w:tc>
        <w:tc>
          <w:tcPr>
            <w:tcW w:w="0" w:type="dxa"/>
            <w:vAlign w:val="bottom"/>
          </w:tcPr>
          <w:p>
            <w:pPr>
              <w:spacing w:after="0"/>
              <w:rPr>
                <w:sz w:val="1"/>
                <w:szCs w:val="1"/>
                <w:color w:val="auto"/>
              </w:rPr>
            </w:pPr>
          </w:p>
        </w:tc>
      </w:tr>
      <w:tr>
        <w:trPr>
          <w:trHeight w:val="196"/>
        </w:trPr>
        <w:tc>
          <w:tcPr>
            <w:tcW w:w="1260" w:type="dxa"/>
            <w:vAlign w:val="bottom"/>
            <w:shd w:val="clear" w:color="auto" w:fill="CCEEFF"/>
          </w:tcPr>
          <w:p>
            <w:pPr>
              <w:spacing w:after="0"/>
              <w:rPr>
                <w:sz w:val="20"/>
                <w:szCs w:val="20"/>
                <w:color w:val="auto"/>
              </w:rPr>
            </w:pPr>
            <w:r>
              <w:rPr>
                <w:rFonts w:ascii="Arial" w:cs="Arial" w:eastAsia="Arial" w:hAnsi="Arial"/>
                <w:sz w:val="16"/>
                <w:szCs w:val="16"/>
                <w:color w:val="auto"/>
              </w:rPr>
              <w:t>Capital</w:t>
            </w:r>
          </w:p>
        </w:tc>
        <w:tc>
          <w:tcPr>
            <w:tcW w:w="8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260" w:type="dxa"/>
            <w:vAlign w:val="bottom"/>
            <w:shd w:val="clear" w:color="auto" w:fill="CCEEFF"/>
          </w:tcPr>
          <w:p>
            <w:pPr>
              <w:ind w:left="160"/>
              <w:spacing w:after="0"/>
              <w:rPr>
                <w:sz w:val="20"/>
                <w:szCs w:val="20"/>
                <w:color w:val="auto"/>
              </w:rPr>
            </w:pPr>
            <w:r>
              <w:rPr>
                <w:rFonts w:ascii="Arial" w:cs="Arial" w:eastAsia="Arial" w:hAnsi="Arial"/>
                <w:sz w:val="16"/>
                <w:szCs w:val="16"/>
                <w:color w:val="auto"/>
              </w:rPr>
              <w:t>contribution</w:t>
            </w:r>
          </w:p>
        </w:tc>
        <w:tc>
          <w:tcPr>
            <w:tcW w:w="8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260" w:type="dxa"/>
            <w:vAlign w:val="bottom"/>
            <w:shd w:val="clear" w:color="auto" w:fill="CCEEFF"/>
          </w:tcPr>
          <w:p>
            <w:pPr>
              <w:ind w:left="160"/>
              <w:spacing w:after="0"/>
              <w:rPr>
                <w:sz w:val="20"/>
                <w:szCs w:val="20"/>
                <w:color w:val="auto"/>
              </w:rPr>
            </w:pPr>
            <w:r>
              <w:rPr>
                <w:rFonts w:ascii="Arial" w:cs="Arial" w:eastAsia="Arial" w:hAnsi="Arial"/>
                <w:sz w:val="16"/>
                <w:szCs w:val="16"/>
                <w:color w:val="auto"/>
                <w:w w:val="92"/>
              </w:rPr>
              <w:t>(See Note 3 and</w:t>
            </w:r>
          </w:p>
        </w:tc>
        <w:tc>
          <w:tcPr>
            <w:tcW w:w="8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1260" w:type="dxa"/>
            <w:vAlign w:val="bottom"/>
            <w:shd w:val="clear" w:color="auto" w:fill="CCEEFF"/>
          </w:tcPr>
          <w:p>
            <w:pPr>
              <w:ind w:left="160"/>
              <w:spacing w:after="0"/>
              <w:rPr>
                <w:sz w:val="20"/>
                <w:szCs w:val="20"/>
                <w:color w:val="auto"/>
              </w:rPr>
            </w:pPr>
            <w:r>
              <w:rPr>
                <w:rFonts w:ascii="Arial" w:cs="Arial" w:eastAsia="Arial" w:hAnsi="Arial"/>
                <w:sz w:val="16"/>
                <w:szCs w:val="16"/>
                <w:color w:val="auto"/>
              </w:rPr>
              <w:t>12)</w:t>
            </w:r>
          </w:p>
        </w:tc>
        <w:tc>
          <w:tcPr>
            <w:tcW w:w="92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w w:val="92"/>
              </w:rPr>
              <w:t>126,725,743</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u w:val="single" w:color="auto"/>
                <w:color w:val="auto"/>
                <w:w w:val="71"/>
              </w:rPr>
              <w:t>$</w:t>
            </w:r>
          </w:p>
        </w:tc>
        <w:tc>
          <w:tcPr>
            <w:tcW w:w="74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w w:val="89"/>
              </w:rPr>
              <w:t>1,267,257</w:t>
            </w:r>
          </w:p>
        </w:tc>
        <w:tc>
          <w:tcPr>
            <w:tcW w:w="600" w:type="dxa"/>
            <w:vAlign w:val="bottom"/>
            <w:gridSpan w:val="2"/>
            <w:shd w:val="clear" w:color="auto" w:fill="CCEEFF"/>
          </w:tcPr>
          <w:p>
            <w:pPr>
              <w:ind w:left="320"/>
              <w:spacing w:after="0"/>
              <w:rPr>
                <w:sz w:val="20"/>
                <w:szCs w:val="20"/>
                <w:color w:val="auto"/>
              </w:rPr>
            </w:pPr>
            <w:r>
              <w:rPr>
                <w:rFonts w:ascii="Arial" w:cs="Arial" w:eastAsia="Arial" w:hAnsi="Arial"/>
                <w:sz w:val="16"/>
                <w:szCs w:val="16"/>
                <w:color w:val="auto"/>
              </w:rPr>
              <w:t>—</w:t>
            </w:r>
          </w:p>
        </w:tc>
        <w:tc>
          <w:tcPr>
            <w:tcW w:w="160" w:type="dxa"/>
            <w:vAlign w:val="bottom"/>
            <w:gridSpan w:val="2"/>
            <w:shd w:val="clear" w:color="auto" w:fill="CCEEFF"/>
          </w:tcPr>
          <w:p>
            <w:pPr>
              <w:ind w:left="60"/>
              <w:spacing w:after="0"/>
              <w:rPr>
                <w:sz w:val="20"/>
                <w:szCs w:val="20"/>
                <w:color w:val="auto"/>
              </w:rPr>
            </w:pPr>
            <w:r>
              <w:rPr>
                <w:rFonts w:ascii="Arial" w:cs="Arial" w:eastAsia="Arial" w:hAnsi="Arial"/>
                <w:sz w:val="16"/>
                <w:szCs w:val="16"/>
                <w:color w:val="auto"/>
                <w:w w:val="89"/>
              </w:rPr>
              <w:t>$</w:t>
            </w:r>
          </w:p>
        </w:tc>
        <w:tc>
          <w:tcPr>
            <w:tcW w:w="400" w:type="dxa"/>
            <w:vAlign w:val="bottom"/>
            <w:shd w:val="clear" w:color="auto" w:fill="CCEEFF"/>
          </w:tcPr>
          <w:p>
            <w:pPr>
              <w:ind w:left="16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20"/>
                <w:szCs w:val="20"/>
                <w:color w:val="auto"/>
              </w:rPr>
            </w:pPr>
            <w:r>
              <w:rPr>
                <w:rFonts w:ascii="Arial" w:cs="Arial" w:eastAsia="Arial" w:hAnsi="Arial"/>
                <w:sz w:val="15"/>
                <w:szCs w:val="15"/>
                <w:color w:val="auto"/>
                <w:w w:val="71"/>
              </w:rPr>
              <w:t>$</w:t>
            </w:r>
          </w:p>
        </w:tc>
        <w:tc>
          <w:tcPr>
            <w:tcW w:w="64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7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20" w:type="dxa"/>
            <w:vAlign w:val="bottom"/>
            <w:gridSpan w:val="2"/>
            <w:shd w:val="clear" w:color="auto" w:fill="CCEEFF"/>
          </w:tcPr>
          <w:p>
            <w:pPr>
              <w:ind w:left="60"/>
              <w:spacing w:after="0"/>
              <w:rPr>
                <w:sz w:val="20"/>
                <w:szCs w:val="20"/>
                <w:color w:val="auto"/>
              </w:rPr>
            </w:pPr>
            <w:r>
              <w:rPr>
                <w:rFonts w:ascii="Arial" w:cs="Arial" w:eastAsia="Arial" w:hAnsi="Arial"/>
                <w:sz w:val="16"/>
                <w:szCs w:val="16"/>
                <w:color w:val="auto"/>
              </w:rPr>
              <w:t>$</w:t>
            </w:r>
          </w:p>
        </w:tc>
        <w:tc>
          <w:tcPr>
            <w:tcW w:w="340" w:type="dxa"/>
            <w:vAlign w:val="bottom"/>
            <w:shd w:val="clear" w:color="auto" w:fill="CCEEFF"/>
          </w:tcPr>
          <w:p>
            <w:pPr>
              <w:ind w:left="10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ind w:left="500"/>
              <w:spacing w:after="0"/>
              <w:rPr>
                <w:sz w:val="20"/>
                <w:szCs w:val="20"/>
                <w:color w:val="auto"/>
              </w:rPr>
            </w:pPr>
            <w:r>
              <w:rPr>
                <w:rFonts w:ascii="Arial" w:cs="Arial" w:eastAsia="Arial" w:hAnsi="Arial"/>
                <w:sz w:val="16"/>
                <w:szCs w:val="16"/>
                <w:color w:val="auto"/>
              </w:rPr>
              <w:t>—</w:t>
            </w:r>
          </w:p>
        </w:tc>
        <w:tc>
          <w:tcPr>
            <w:tcW w:w="120" w:type="dxa"/>
            <w:vAlign w:val="bottom"/>
            <w:gridSpan w:val="2"/>
            <w:shd w:val="clear" w:color="auto" w:fill="CCEEFF"/>
          </w:tcPr>
          <w:p>
            <w:pPr>
              <w:jc w:val="right"/>
              <w:spacing w:after="0"/>
              <w:rPr>
                <w:sz w:val="20"/>
                <w:szCs w:val="20"/>
                <w:color w:val="auto"/>
              </w:rPr>
            </w:pPr>
            <w:r>
              <w:rPr>
                <w:rFonts w:ascii="Arial" w:cs="Arial" w:eastAsia="Arial" w:hAnsi="Arial"/>
                <w:sz w:val="16"/>
                <w:szCs w:val="16"/>
                <w:u w:val="single" w:color="auto"/>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1,267,257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0"/>
        </w:trPr>
        <w:tc>
          <w:tcPr>
            <w:tcW w:w="1260" w:type="dxa"/>
            <w:vAlign w:val="bottom"/>
          </w:tcPr>
          <w:p>
            <w:pPr>
              <w:spacing w:after="0"/>
              <w:rPr>
                <w:sz w:val="20"/>
                <w:szCs w:val="20"/>
                <w:color w:val="auto"/>
              </w:rPr>
            </w:pPr>
            <w:r>
              <w:rPr>
                <w:rFonts w:ascii="Arial" w:cs="Arial" w:eastAsia="Arial" w:hAnsi="Arial"/>
                <w:sz w:val="16"/>
                <w:szCs w:val="16"/>
                <w:color w:val="auto"/>
              </w:rPr>
              <w:t>Balance at</w:t>
            </w:r>
          </w:p>
        </w:tc>
        <w:tc>
          <w:tcPr>
            <w:tcW w:w="840" w:type="dxa"/>
            <w:vAlign w:val="bottom"/>
            <w:tcBorders>
              <w:top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660" w:type="dxa"/>
            <w:vAlign w:val="bottom"/>
            <w:tcBorders>
              <w:top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560" w:type="dxa"/>
            <w:vAlign w:val="bottom"/>
            <w:tcBorders>
              <w:top w:val="single" w:sz="8" w:color="auto"/>
            </w:tcBorders>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40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Borders>
              <w:top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500" w:type="dxa"/>
            <w:vAlign w:val="bottom"/>
            <w:tcBorders>
              <w:top w:val="single" w:sz="8" w:color="auto"/>
            </w:tcBorders>
          </w:tcPr>
          <w:p>
            <w:pPr>
              <w:spacing w:after="0"/>
              <w:rPr>
                <w:sz w:val="17"/>
                <w:szCs w:val="17"/>
                <w:color w:val="auto"/>
              </w:rPr>
            </w:pPr>
          </w:p>
        </w:tc>
        <w:tc>
          <w:tcPr>
            <w:tcW w:w="140" w:type="dxa"/>
            <w:vAlign w:val="bottom"/>
          </w:tcPr>
          <w:p>
            <w:pPr>
              <w:spacing w:after="0"/>
              <w:rPr>
                <w:sz w:val="17"/>
                <w:szCs w:val="17"/>
                <w:color w:val="auto"/>
              </w:rPr>
            </w:pPr>
          </w:p>
        </w:tc>
        <w:tc>
          <w:tcPr>
            <w:tcW w:w="62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34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560" w:type="dxa"/>
            <w:vAlign w:val="bottom"/>
            <w:tcBorders>
              <w:top w:val="single" w:sz="8" w:color="auto"/>
            </w:tcBorders>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76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74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66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260" w:type="dxa"/>
            <w:vAlign w:val="bottom"/>
          </w:tcPr>
          <w:p>
            <w:pPr>
              <w:ind w:left="160"/>
              <w:spacing w:after="0"/>
              <w:rPr>
                <w:sz w:val="20"/>
                <w:szCs w:val="20"/>
                <w:color w:val="auto"/>
              </w:rPr>
            </w:pPr>
            <w:r>
              <w:rPr>
                <w:rFonts w:ascii="Arial" w:cs="Arial" w:eastAsia="Arial" w:hAnsi="Arial"/>
                <w:sz w:val="16"/>
                <w:szCs w:val="16"/>
                <w:color w:val="auto"/>
              </w:rPr>
              <w:t>July 16, 2019</w:t>
            </w:r>
          </w:p>
        </w:tc>
        <w:tc>
          <w:tcPr>
            <w:tcW w:w="8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1260" w:type="dxa"/>
            <w:vAlign w:val="bottom"/>
          </w:tcPr>
          <w:p>
            <w:pPr>
              <w:ind w:left="160"/>
              <w:spacing w:after="0"/>
              <w:rPr>
                <w:sz w:val="20"/>
                <w:szCs w:val="20"/>
                <w:color w:val="auto"/>
              </w:rPr>
            </w:pPr>
            <w:r>
              <w:rPr>
                <w:rFonts w:ascii="Arial" w:cs="Arial" w:eastAsia="Arial" w:hAnsi="Arial"/>
                <w:sz w:val="16"/>
                <w:szCs w:val="16"/>
                <w:color w:val="auto"/>
              </w:rPr>
              <w:t>(Successor)</w:t>
            </w:r>
          </w:p>
        </w:tc>
        <w:tc>
          <w:tcPr>
            <w:tcW w:w="920" w:type="dxa"/>
            <w:vAlign w:val="bottom"/>
            <w:gridSpan w:val="2"/>
          </w:tcPr>
          <w:p>
            <w:pPr>
              <w:jc w:val="right"/>
              <w:ind w:right="80"/>
              <w:spacing w:after="0"/>
              <w:rPr>
                <w:sz w:val="20"/>
                <w:szCs w:val="20"/>
                <w:color w:val="auto"/>
              </w:rPr>
            </w:pPr>
            <w:r>
              <w:rPr>
                <w:rFonts w:ascii="Arial" w:cs="Arial" w:eastAsia="Arial" w:hAnsi="Arial"/>
                <w:sz w:val="16"/>
                <w:szCs w:val="16"/>
                <w:color w:val="auto"/>
                <w:w w:val="92"/>
              </w:rPr>
              <w:t>126,725,743</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gridSpan w:val="2"/>
          </w:tcPr>
          <w:p>
            <w:pPr>
              <w:jc w:val="right"/>
              <w:ind w:right="80"/>
              <w:spacing w:after="0"/>
              <w:rPr>
                <w:sz w:val="20"/>
                <w:szCs w:val="20"/>
                <w:color w:val="auto"/>
              </w:rPr>
            </w:pPr>
            <w:r>
              <w:rPr>
                <w:rFonts w:ascii="Arial" w:cs="Arial" w:eastAsia="Arial" w:hAnsi="Arial"/>
                <w:sz w:val="16"/>
                <w:szCs w:val="16"/>
                <w:color w:val="auto"/>
                <w:w w:val="89"/>
              </w:rPr>
              <w:t>1,267,257</w:t>
            </w:r>
          </w:p>
        </w:tc>
        <w:tc>
          <w:tcPr>
            <w:tcW w:w="600" w:type="dxa"/>
            <w:vAlign w:val="bottom"/>
            <w:gridSpan w:val="2"/>
          </w:tcPr>
          <w:p>
            <w:pPr>
              <w:ind w:left="320"/>
              <w:spacing w:after="0"/>
              <w:rPr>
                <w:sz w:val="20"/>
                <w:szCs w:val="20"/>
                <w:color w:val="auto"/>
              </w:rPr>
            </w:pPr>
            <w:r>
              <w:rPr>
                <w:rFonts w:ascii="Arial" w:cs="Arial" w:eastAsia="Arial" w:hAnsi="Arial"/>
                <w:sz w:val="16"/>
                <w:szCs w:val="16"/>
                <w:color w:val="auto"/>
              </w:rPr>
              <w:t>—</w:t>
            </w:r>
          </w:p>
        </w:tc>
        <w:tc>
          <w:tcPr>
            <w:tcW w:w="160" w:type="dxa"/>
            <w:vAlign w:val="bottom"/>
            <w:gridSpan w:val="2"/>
          </w:tcPr>
          <w:p>
            <w:pPr>
              <w:ind w:left="60"/>
              <w:spacing w:after="0"/>
              <w:rPr>
                <w:sz w:val="20"/>
                <w:szCs w:val="20"/>
                <w:color w:val="auto"/>
              </w:rPr>
            </w:pPr>
            <w:r>
              <w:rPr>
                <w:rFonts w:ascii="Arial" w:cs="Arial" w:eastAsia="Arial" w:hAnsi="Arial"/>
                <w:sz w:val="16"/>
                <w:szCs w:val="16"/>
                <w:color w:val="auto"/>
                <w:w w:val="89"/>
              </w:rPr>
              <w:t>$</w:t>
            </w:r>
          </w:p>
        </w:tc>
        <w:tc>
          <w:tcPr>
            <w:tcW w:w="400" w:type="dxa"/>
            <w:vAlign w:val="bottom"/>
          </w:tcPr>
          <w:p>
            <w:pPr>
              <w:ind w:left="16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20"/>
                <w:szCs w:val="20"/>
                <w:color w:val="auto"/>
              </w:rPr>
            </w:pPr>
            <w:r>
              <w:rPr>
                <w:rFonts w:ascii="Arial" w:cs="Arial" w:eastAsia="Arial" w:hAnsi="Arial"/>
                <w:sz w:val="15"/>
                <w:szCs w:val="15"/>
                <w:color w:val="auto"/>
                <w:w w:val="71"/>
              </w:rPr>
              <w:t>$</w:t>
            </w:r>
          </w:p>
        </w:tc>
        <w:tc>
          <w:tcPr>
            <w:tcW w:w="6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7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20" w:type="dxa"/>
            <w:vAlign w:val="bottom"/>
            <w:gridSpan w:val="2"/>
          </w:tcPr>
          <w:p>
            <w:pPr>
              <w:ind w:left="60"/>
              <w:spacing w:after="0"/>
              <w:rPr>
                <w:sz w:val="20"/>
                <w:szCs w:val="20"/>
                <w:color w:val="auto"/>
              </w:rPr>
            </w:pPr>
            <w:r>
              <w:rPr>
                <w:rFonts w:ascii="Arial" w:cs="Arial" w:eastAsia="Arial" w:hAnsi="Arial"/>
                <w:sz w:val="16"/>
                <w:szCs w:val="16"/>
                <w:color w:val="auto"/>
              </w:rPr>
              <w:t>$</w:t>
            </w:r>
          </w:p>
        </w:tc>
        <w:tc>
          <w:tcPr>
            <w:tcW w:w="340" w:type="dxa"/>
            <w:vAlign w:val="bottom"/>
          </w:tcPr>
          <w:p>
            <w:pPr>
              <w:ind w:left="100"/>
              <w:spacing w:after="0"/>
              <w:rPr>
                <w:sz w:val="20"/>
                <w:szCs w:val="20"/>
                <w:color w:val="auto"/>
              </w:rPr>
            </w:pPr>
            <w:r>
              <w:rPr>
                <w:rFonts w:ascii="Arial" w:cs="Arial" w:eastAsia="Arial" w:hAnsi="Arial"/>
                <w:sz w:val="16"/>
                <w:szCs w:val="16"/>
                <w:color w:val="auto"/>
              </w:rPr>
              <w:t>—</w:t>
            </w:r>
          </w:p>
        </w:tc>
        <w:tc>
          <w:tcPr>
            <w:tcW w:w="200" w:type="dxa"/>
            <w:vAlign w:val="bottom"/>
            <w:gridSpan w:val="2"/>
          </w:tcPr>
          <w:p>
            <w:pPr>
              <w:ind w:left="100"/>
              <w:spacing w:after="0"/>
              <w:rPr>
                <w:sz w:val="20"/>
                <w:szCs w:val="20"/>
                <w:color w:val="auto"/>
              </w:rPr>
            </w:pPr>
            <w:r>
              <w:rPr>
                <w:rFonts w:ascii="Arial" w:cs="Arial" w:eastAsia="Arial" w:hAnsi="Arial"/>
                <w:sz w:val="16"/>
                <w:szCs w:val="16"/>
                <w:color w:val="auto"/>
                <w:w w:val="89"/>
              </w:rPr>
              <w:t>$</w:t>
            </w:r>
          </w:p>
        </w:tc>
        <w:tc>
          <w:tcPr>
            <w:tcW w:w="7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r>
              <w:rPr>
                <w:rFonts w:ascii="Arial" w:cs="Arial" w:eastAsia="Arial" w:hAnsi="Arial"/>
                <w:sz w:val="16"/>
                <w:szCs w:val="16"/>
                <w:color w:val="auto"/>
              </w:rPr>
              <w:t>$</w:t>
            </w:r>
          </w:p>
        </w:tc>
        <w:tc>
          <w:tcPr>
            <w:tcW w:w="8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60" w:type="dxa"/>
            <w:vAlign w:val="bottom"/>
            <w:gridSpan w:val="2"/>
          </w:tcPr>
          <w:p>
            <w:pPr>
              <w:ind w:left="40"/>
              <w:spacing w:after="0"/>
              <w:rPr>
                <w:sz w:val="20"/>
                <w:szCs w:val="20"/>
                <w:color w:val="auto"/>
              </w:rPr>
            </w:pPr>
            <w:r>
              <w:rPr>
                <w:rFonts w:ascii="Arial" w:cs="Arial" w:eastAsia="Arial" w:hAnsi="Arial"/>
                <w:sz w:val="16"/>
                <w:szCs w:val="16"/>
                <w:color w:val="auto"/>
              </w:rPr>
              <w:t>$</w:t>
            </w:r>
          </w:p>
        </w:tc>
        <w:tc>
          <w:tcPr>
            <w:tcW w:w="840" w:type="dxa"/>
            <w:vAlign w:val="bottom"/>
            <w:gridSpan w:val="2"/>
          </w:tcPr>
          <w:p>
            <w:pPr>
              <w:ind w:left="500"/>
              <w:spacing w:after="0"/>
              <w:rPr>
                <w:sz w:val="20"/>
                <w:szCs w:val="20"/>
                <w:color w:val="auto"/>
              </w:rPr>
            </w:pPr>
            <w:r>
              <w:rPr>
                <w:rFonts w:ascii="Arial" w:cs="Arial" w:eastAsia="Arial" w:hAnsi="Arial"/>
                <w:sz w:val="16"/>
                <w:szCs w:val="16"/>
                <w:color w:val="auto"/>
              </w:rPr>
              <w:t>—</w:t>
            </w:r>
          </w:p>
        </w:tc>
        <w:tc>
          <w:tcPr>
            <w:tcW w:w="12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660" w:type="dxa"/>
            <w:vAlign w:val="bottom"/>
          </w:tcPr>
          <w:p>
            <w:pPr>
              <w:jc w:val="right"/>
              <w:spacing w:after="0"/>
              <w:rPr>
                <w:sz w:val="20"/>
                <w:szCs w:val="20"/>
                <w:color w:val="auto"/>
              </w:rPr>
            </w:pPr>
            <w:r>
              <w:rPr>
                <w:rFonts w:ascii="Arial" w:cs="Arial" w:eastAsia="Arial" w:hAnsi="Arial"/>
                <w:sz w:val="16"/>
                <w:szCs w:val="16"/>
                <w:color w:val="auto"/>
                <w:w w:val="89"/>
              </w:rPr>
              <w:t>1,267,257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6"/>
        </w:trPr>
        <w:tc>
          <w:tcPr>
            <w:tcW w:w="1260" w:type="dxa"/>
            <w:vAlign w:val="bottom"/>
            <w:shd w:val="clear" w:color="auto" w:fill="CCEEFF"/>
          </w:tcPr>
          <w:p>
            <w:pPr>
              <w:spacing w:after="0"/>
              <w:rPr>
                <w:sz w:val="20"/>
                <w:szCs w:val="20"/>
                <w:color w:val="auto"/>
              </w:rPr>
            </w:pPr>
            <w:r>
              <w:rPr>
                <w:rFonts w:ascii="Arial" w:cs="Arial" w:eastAsia="Arial" w:hAnsi="Arial"/>
                <w:sz w:val="16"/>
                <w:szCs w:val="16"/>
                <w:color w:val="auto"/>
              </w:rPr>
              <w:t>Net loss</w:t>
            </w: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7"/>
                <w:szCs w:val="17"/>
                <w:color w:val="auto"/>
              </w:rPr>
            </w:pPr>
          </w:p>
        </w:tc>
        <w:tc>
          <w:tcPr>
            <w:tcW w:w="740" w:type="dxa"/>
            <w:vAlign w:val="bottom"/>
            <w:gridSpan w:val="2"/>
            <w:shd w:val="clear" w:color="auto" w:fill="CCEEFF"/>
          </w:tcPr>
          <w:p>
            <w:pPr>
              <w:ind w:left="400"/>
              <w:spacing w:after="0"/>
              <w:rPr>
                <w:sz w:val="20"/>
                <w:szCs w:val="20"/>
                <w:color w:val="auto"/>
              </w:rPr>
            </w:pPr>
            <w:r>
              <w:rPr>
                <w:rFonts w:ascii="Arial" w:cs="Arial" w:eastAsia="Arial" w:hAnsi="Arial"/>
                <w:sz w:val="16"/>
                <w:szCs w:val="16"/>
                <w:color w:val="auto"/>
              </w:rPr>
              <w:t>—</w:t>
            </w:r>
          </w:p>
        </w:tc>
        <w:tc>
          <w:tcPr>
            <w:tcW w:w="600" w:type="dxa"/>
            <w:vAlign w:val="bottom"/>
            <w:gridSpan w:val="2"/>
            <w:shd w:val="clear" w:color="auto" w:fill="CCEEFF"/>
          </w:tcPr>
          <w:p>
            <w:pPr>
              <w:ind w:left="320"/>
              <w:spacing w:after="0"/>
              <w:rPr>
                <w:sz w:val="20"/>
                <w:szCs w:val="20"/>
                <w:color w:val="auto"/>
              </w:rPr>
            </w:pPr>
            <w:r>
              <w:rPr>
                <w:rFonts w:ascii="Arial" w:cs="Arial" w:eastAsia="Arial" w:hAnsi="Arial"/>
                <w:sz w:val="16"/>
                <w:szCs w:val="16"/>
                <w:color w:val="auto"/>
              </w:rPr>
              <w:t>—</w:t>
            </w: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0" w:type="dxa"/>
            <w:vAlign w:val="bottom"/>
            <w:shd w:val="clear" w:color="auto" w:fill="CCEEFF"/>
          </w:tcPr>
          <w:p>
            <w:pPr>
              <w:ind w:left="16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7"/>
                <w:szCs w:val="17"/>
                <w:color w:val="auto"/>
              </w:rPr>
            </w:pPr>
          </w:p>
        </w:tc>
        <w:tc>
          <w:tcPr>
            <w:tcW w:w="64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7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340" w:type="dxa"/>
            <w:vAlign w:val="bottom"/>
            <w:shd w:val="clear" w:color="auto" w:fill="CCEEFF"/>
          </w:tcPr>
          <w:p>
            <w:pPr>
              <w:ind w:left="10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0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(49,266)</w:t>
            </w:r>
          </w:p>
        </w:tc>
        <w:tc>
          <w:tcPr>
            <w:tcW w:w="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40" w:type="dxa"/>
            <w:vAlign w:val="bottom"/>
            <w:gridSpan w:val="2"/>
            <w:shd w:val="clear" w:color="auto" w:fill="CCEEFF"/>
          </w:tcPr>
          <w:p>
            <w:pPr>
              <w:ind w:left="500"/>
              <w:spacing w:after="0"/>
              <w:rPr>
                <w:sz w:val="20"/>
                <w:szCs w:val="20"/>
                <w:color w:val="auto"/>
              </w:rPr>
            </w:pPr>
            <w:r>
              <w:rPr>
                <w:rFonts w:ascii="Arial" w:cs="Arial" w:eastAsia="Arial" w:hAnsi="Arial"/>
                <w:sz w:val="16"/>
                <w:szCs w:val="16"/>
                <w:color w:val="auto"/>
              </w:rPr>
              <w:t>—</w:t>
            </w:r>
          </w:p>
        </w:tc>
        <w:tc>
          <w:tcPr>
            <w:tcW w:w="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(49,266)</w:t>
            </w:r>
          </w:p>
        </w:tc>
        <w:tc>
          <w:tcPr>
            <w:tcW w:w="0" w:type="dxa"/>
            <w:vAlign w:val="bottom"/>
          </w:tcPr>
          <w:p>
            <w:pPr>
              <w:spacing w:after="0"/>
              <w:rPr>
                <w:sz w:val="1"/>
                <w:szCs w:val="1"/>
                <w:color w:val="auto"/>
              </w:rPr>
            </w:pPr>
          </w:p>
        </w:tc>
      </w:tr>
      <w:tr>
        <w:trPr>
          <w:trHeight w:val="193"/>
        </w:trPr>
        <w:tc>
          <w:tcPr>
            <w:tcW w:w="1260" w:type="dxa"/>
            <w:vAlign w:val="bottom"/>
          </w:tcPr>
          <w:p>
            <w:pPr>
              <w:spacing w:after="0"/>
              <w:rPr>
                <w:sz w:val="20"/>
                <w:szCs w:val="20"/>
                <w:color w:val="auto"/>
              </w:rPr>
            </w:pPr>
            <w:r>
              <w:rPr>
                <w:rFonts w:ascii="Arial" w:cs="Arial" w:eastAsia="Arial" w:hAnsi="Arial"/>
                <w:sz w:val="16"/>
                <w:szCs w:val="16"/>
                <w:color w:val="auto"/>
              </w:rPr>
              <w:t>Distribution to</w:t>
            </w:r>
          </w:p>
        </w:tc>
        <w:tc>
          <w:tcPr>
            <w:tcW w:w="8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1260" w:type="dxa"/>
            <w:vAlign w:val="bottom"/>
          </w:tcPr>
          <w:p>
            <w:pPr>
              <w:ind w:left="160"/>
              <w:spacing w:after="0"/>
              <w:rPr>
                <w:sz w:val="20"/>
                <w:szCs w:val="20"/>
                <w:color w:val="auto"/>
              </w:rPr>
            </w:pPr>
            <w:r>
              <w:rPr>
                <w:rFonts w:ascii="Arial" w:cs="Arial" w:eastAsia="Arial" w:hAnsi="Arial"/>
                <w:sz w:val="16"/>
                <w:szCs w:val="16"/>
                <w:color w:val="auto"/>
              </w:rPr>
              <w:t>members</w:t>
            </w:r>
          </w:p>
        </w:tc>
        <w:tc>
          <w:tcPr>
            <w:tcW w:w="9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8"/>
                <w:szCs w:val="18"/>
                <w:color w:val="auto"/>
              </w:rPr>
            </w:pPr>
          </w:p>
        </w:tc>
        <w:tc>
          <w:tcPr>
            <w:tcW w:w="740" w:type="dxa"/>
            <w:vAlign w:val="bottom"/>
            <w:gridSpan w:val="2"/>
          </w:tcPr>
          <w:p>
            <w:pPr>
              <w:ind w:left="400"/>
              <w:spacing w:after="0"/>
              <w:rPr>
                <w:sz w:val="20"/>
                <w:szCs w:val="20"/>
                <w:color w:val="auto"/>
              </w:rPr>
            </w:pPr>
            <w:r>
              <w:rPr>
                <w:rFonts w:ascii="Arial" w:cs="Arial" w:eastAsia="Arial" w:hAnsi="Arial"/>
                <w:sz w:val="16"/>
                <w:szCs w:val="16"/>
                <w:color w:val="auto"/>
              </w:rPr>
              <w:t>—</w:t>
            </w:r>
          </w:p>
        </w:tc>
        <w:tc>
          <w:tcPr>
            <w:tcW w:w="600" w:type="dxa"/>
            <w:vAlign w:val="bottom"/>
            <w:gridSpan w:val="2"/>
          </w:tcPr>
          <w:p>
            <w:pPr>
              <w:ind w:left="320"/>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ind w:left="16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8"/>
                <w:szCs w:val="18"/>
                <w:color w:val="auto"/>
              </w:rPr>
            </w:pPr>
          </w:p>
        </w:tc>
        <w:tc>
          <w:tcPr>
            <w:tcW w:w="6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7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40" w:type="dxa"/>
            <w:vAlign w:val="bottom"/>
          </w:tcPr>
          <w:p>
            <w:pPr>
              <w:ind w:left="10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860" w:type="dxa"/>
            <w:vAlign w:val="bottom"/>
            <w:gridSpan w:val="2"/>
          </w:tcPr>
          <w:p>
            <w:pPr>
              <w:jc w:val="right"/>
              <w:ind w:right="60"/>
              <w:spacing w:after="0"/>
              <w:rPr>
                <w:sz w:val="20"/>
                <w:szCs w:val="20"/>
                <w:color w:val="auto"/>
              </w:rPr>
            </w:pPr>
            <w:r>
              <w:rPr>
                <w:rFonts w:ascii="Arial" w:cs="Arial" w:eastAsia="Arial" w:hAnsi="Arial"/>
                <w:sz w:val="16"/>
                <w:szCs w:val="16"/>
                <w:color w:val="auto"/>
              </w:rPr>
              <w:t>(6,492)</w:t>
            </w:r>
          </w:p>
        </w:tc>
        <w:tc>
          <w:tcPr>
            <w:tcW w:w="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gridSpan w:val="2"/>
          </w:tcPr>
          <w:p>
            <w:pPr>
              <w:ind w:left="500"/>
              <w:spacing w:after="0"/>
              <w:rPr>
                <w:sz w:val="20"/>
                <w:szCs w:val="20"/>
                <w:color w:val="auto"/>
              </w:rPr>
            </w:pPr>
            <w:r>
              <w:rPr>
                <w:rFonts w:ascii="Arial" w:cs="Arial" w:eastAsia="Arial" w:hAnsi="Arial"/>
                <w:sz w:val="16"/>
                <w:szCs w:val="16"/>
                <w:color w:val="auto"/>
              </w:rPr>
              <w:t>—</w:t>
            </w: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6"/>
                <w:szCs w:val="16"/>
                <w:color w:val="auto"/>
              </w:rPr>
              <w:t>(6,492)</w:t>
            </w:r>
          </w:p>
        </w:tc>
        <w:tc>
          <w:tcPr>
            <w:tcW w:w="0" w:type="dxa"/>
            <w:vAlign w:val="bottom"/>
          </w:tcPr>
          <w:p>
            <w:pPr>
              <w:spacing w:after="0"/>
              <w:rPr>
                <w:sz w:val="1"/>
                <w:szCs w:val="1"/>
                <w:color w:val="auto"/>
              </w:rPr>
            </w:pPr>
          </w:p>
        </w:tc>
      </w:tr>
      <w:tr>
        <w:trPr>
          <w:trHeight w:val="196"/>
        </w:trPr>
        <w:tc>
          <w:tcPr>
            <w:tcW w:w="1260" w:type="dxa"/>
            <w:vAlign w:val="bottom"/>
            <w:shd w:val="clear" w:color="auto" w:fill="CCEEFF"/>
          </w:tcPr>
          <w:p>
            <w:pPr>
              <w:spacing w:after="0"/>
              <w:rPr>
                <w:sz w:val="20"/>
                <w:szCs w:val="20"/>
                <w:color w:val="auto"/>
              </w:rPr>
            </w:pPr>
            <w:r>
              <w:rPr>
                <w:rFonts w:ascii="Arial" w:cs="Arial" w:eastAsia="Arial" w:hAnsi="Arial"/>
                <w:sz w:val="16"/>
                <w:szCs w:val="16"/>
                <w:color w:val="auto"/>
              </w:rPr>
              <w:t>Unit-based</w:t>
            </w:r>
          </w:p>
        </w:tc>
        <w:tc>
          <w:tcPr>
            <w:tcW w:w="8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1260" w:type="dxa"/>
            <w:vAlign w:val="bottom"/>
            <w:shd w:val="clear" w:color="auto" w:fill="CCEEFF"/>
          </w:tcPr>
          <w:p>
            <w:pPr>
              <w:ind w:left="160"/>
              <w:spacing w:after="0"/>
              <w:rPr>
                <w:sz w:val="20"/>
                <w:szCs w:val="20"/>
                <w:color w:val="auto"/>
              </w:rPr>
            </w:pPr>
            <w:r>
              <w:rPr>
                <w:rFonts w:ascii="Arial" w:cs="Arial" w:eastAsia="Arial" w:hAnsi="Arial"/>
                <w:sz w:val="16"/>
                <w:szCs w:val="16"/>
                <w:color w:val="auto"/>
              </w:rPr>
              <w:t>compensation</w:t>
            </w: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ind w:left="400"/>
              <w:spacing w:after="0"/>
              <w:rPr>
                <w:sz w:val="20"/>
                <w:szCs w:val="20"/>
                <w:color w:val="auto"/>
              </w:rPr>
            </w:pPr>
            <w:r>
              <w:rPr>
                <w:rFonts w:ascii="Arial" w:cs="Arial" w:eastAsia="Arial" w:hAnsi="Arial"/>
                <w:sz w:val="16"/>
                <w:szCs w:val="16"/>
                <w:color w:val="auto"/>
              </w:rPr>
              <w:t>—</w:t>
            </w:r>
          </w:p>
        </w:tc>
        <w:tc>
          <w:tcPr>
            <w:tcW w:w="600" w:type="dxa"/>
            <w:vAlign w:val="bottom"/>
            <w:gridSpan w:val="2"/>
            <w:shd w:val="clear" w:color="auto" w:fill="CCEEFF"/>
          </w:tcPr>
          <w:p>
            <w:pPr>
              <w:ind w:left="320"/>
              <w:spacing w:after="0"/>
              <w:rPr>
                <w:sz w:val="20"/>
                <w:szCs w:val="20"/>
                <w:color w:val="auto"/>
              </w:rPr>
            </w:pPr>
            <w:r>
              <w:rPr>
                <w:rFonts w:ascii="Arial" w:cs="Arial" w:eastAsia="Arial" w:hAnsi="Arial"/>
                <w:sz w:val="16"/>
                <w:szCs w:val="16"/>
                <w:color w:val="auto"/>
              </w:rPr>
              <w:t>—</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ind w:left="160"/>
              <w:spacing w:after="0"/>
              <w:rPr>
                <w:sz w:val="20"/>
                <w:szCs w:val="20"/>
                <w:color w:val="auto"/>
              </w:rPr>
            </w:pPr>
            <w:r>
              <w:rPr>
                <w:rFonts w:ascii="Arial" w:cs="Arial" w:eastAsia="Arial" w:hAnsi="Arial"/>
                <w:sz w:val="16"/>
                <w:szCs w:val="16"/>
                <w:color w:val="auto"/>
                <w:w w:val="82"/>
              </w:rPr>
              <w:t>744</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7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40" w:type="dxa"/>
            <w:vAlign w:val="bottom"/>
            <w:shd w:val="clear" w:color="auto" w:fill="CCEEFF"/>
          </w:tcPr>
          <w:p>
            <w:pPr>
              <w:ind w:left="10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ind w:left="500"/>
              <w:spacing w:after="0"/>
              <w:rPr>
                <w:sz w:val="20"/>
                <w:szCs w:val="20"/>
                <w:color w:val="auto"/>
              </w:rPr>
            </w:pPr>
            <w:r>
              <w:rPr>
                <w:rFonts w:ascii="Arial" w:cs="Arial" w:eastAsia="Arial" w:hAnsi="Arial"/>
                <w:sz w:val="16"/>
                <w:szCs w:val="16"/>
                <w:color w:val="auto"/>
              </w:rPr>
              <w:t>—</w:t>
            </w: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744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3"/>
        </w:trPr>
        <w:tc>
          <w:tcPr>
            <w:tcW w:w="1260" w:type="dxa"/>
            <w:vAlign w:val="bottom"/>
          </w:tcPr>
          <w:p>
            <w:pPr>
              <w:spacing w:after="0"/>
              <w:rPr>
                <w:sz w:val="20"/>
                <w:szCs w:val="20"/>
                <w:color w:val="auto"/>
              </w:rPr>
            </w:pPr>
            <w:r>
              <w:rPr>
                <w:rFonts w:ascii="Arial" w:cs="Arial" w:eastAsia="Arial" w:hAnsi="Arial"/>
                <w:sz w:val="16"/>
                <w:szCs w:val="16"/>
                <w:color w:val="auto"/>
              </w:rPr>
              <w:t>Capital</w:t>
            </w:r>
          </w:p>
        </w:tc>
        <w:tc>
          <w:tcPr>
            <w:tcW w:w="8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9"/>
        </w:trPr>
        <w:tc>
          <w:tcPr>
            <w:tcW w:w="1260" w:type="dxa"/>
            <w:vAlign w:val="bottom"/>
          </w:tcPr>
          <w:p>
            <w:pPr>
              <w:ind w:left="160"/>
              <w:spacing w:after="0"/>
              <w:rPr>
                <w:sz w:val="20"/>
                <w:szCs w:val="20"/>
                <w:color w:val="auto"/>
              </w:rPr>
            </w:pPr>
            <w:r>
              <w:rPr>
                <w:rFonts w:ascii="Arial" w:cs="Arial" w:eastAsia="Arial" w:hAnsi="Arial"/>
                <w:sz w:val="16"/>
                <w:szCs w:val="16"/>
                <w:color w:val="auto"/>
              </w:rPr>
              <w:t>contributions</w:t>
            </w:r>
          </w:p>
        </w:tc>
        <w:tc>
          <w:tcPr>
            <w:tcW w:w="920" w:type="dxa"/>
            <w:vAlign w:val="bottom"/>
            <w:gridSpan w:val="2"/>
          </w:tcPr>
          <w:p>
            <w:pPr>
              <w:jc w:val="right"/>
              <w:ind w:right="80"/>
              <w:spacing w:after="0"/>
              <w:rPr>
                <w:sz w:val="20"/>
                <w:szCs w:val="20"/>
                <w:color w:val="auto"/>
              </w:rPr>
            </w:pPr>
            <w:r>
              <w:rPr>
                <w:rFonts w:ascii="Arial" w:cs="Arial" w:eastAsia="Arial" w:hAnsi="Arial"/>
                <w:sz w:val="16"/>
                <w:szCs w:val="16"/>
                <w:color w:val="auto"/>
              </w:rPr>
              <w:t>399,692</w:t>
            </w:r>
          </w:p>
        </w:tc>
        <w:tc>
          <w:tcPr>
            <w:tcW w:w="80" w:type="dxa"/>
            <w:vAlign w:val="bottom"/>
          </w:tcPr>
          <w:p>
            <w:pPr>
              <w:spacing w:after="0"/>
              <w:rPr>
                <w:sz w:val="19"/>
                <w:szCs w:val="19"/>
                <w:color w:val="auto"/>
              </w:rPr>
            </w:pPr>
          </w:p>
        </w:tc>
        <w:tc>
          <w:tcPr>
            <w:tcW w:w="740" w:type="dxa"/>
            <w:vAlign w:val="bottom"/>
            <w:gridSpan w:val="2"/>
          </w:tcPr>
          <w:p>
            <w:pPr>
              <w:jc w:val="right"/>
              <w:ind w:right="80"/>
              <w:spacing w:after="0"/>
              <w:rPr>
                <w:sz w:val="20"/>
                <w:szCs w:val="20"/>
                <w:color w:val="auto"/>
              </w:rPr>
            </w:pPr>
            <w:r>
              <w:rPr>
                <w:rFonts w:ascii="Arial" w:cs="Arial" w:eastAsia="Arial" w:hAnsi="Arial"/>
                <w:sz w:val="16"/>
                <w:szCs w:val="16"/>
                <w:color w:val="auto"/>
              </w:rPr>
              <w:t>3,997</w:t>
            </w:r>
          </w:p>
        </w:tc>
        <w:tc>
          <w:tcPr>
            <w:tcW w:w="600" w:type="dxa"/>
            <w:vAlign w:val="bottom"/>
            <w:gridSpan w:val="2"/>
          </w:tcPr>
          <w:p>
            <w:pPr>
              <w:ind w:left="320"/>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ind w:left="16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9"/>
                <w:szCs w:val="19"/>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9"/>
                <w:szCs w:val="19"/>
                <w:color w:val="auto"/>
              </w:rPr>
            </w:pPr>
          </w:p>
        </w:tc>
        <w:tc>
          <w:tcPr>
            <w:tcW w:w="6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7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40" w:type="dxa"/>
            <w:vAlign w:val="bottom"/>
          </w:tcPr>
          <w:p>
            <w:pPr>
              <w:ind w:left="10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9"/>
                <w:szCs w:val="19"/>
                <w:color w:val="auto"/>
              </w:rPr>
            </w:pPr>
          </w:p>
        </w:tc>
        <w:tc>
          <w:tcPr>
            <w:tcW w:w="8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40" w:type="dxa"/>
            <w:vAlign w:val="bottom"/>
            <w:gridSpan w:val="2"/>
          </w:tcPr>
          <w:p>
            <w:pPr>
              <w:ind w:left="500"/>
              <w:spacing w:after="0"/>
              <w:rPr>
                <w:sz w:val="20"/>
                <w:szCs w:val="20"/>
                <w:color w:val="auto"/>
              </w:rPr>
            </w:pPr>
            <w:r>
              <w:rPr>
                <w:rFonts w:ascii="Arial" w:cs="Arial" w:eastAsia="Arial" w:hAnsi="Arial"/>
                <w:sz w:val="16"/>
                <w:szCs w:val="16"/>
                <w:color w:val="auto"/>
              </w:rPr>
              <w:t>—</w:t>
            </w: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3,997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3"/>
        </w:trPr>
        <w:tc>
          <w:tcPr>
            <w:tcW w:w="1260" w:type="dxa"/>
            <w:vAlign w:val="bottom"/>
            <w:shd w:val="clear" w:color="auto" w:fill="CCEEFF"/>
          </w:tcPr>
          <w:p>
            <w:pPr>
              <w:spacing w:after="0"/>
              <w:rPr>
                <w:sz w:val="20"/>
                <w:szCs w:val="20"/>
                <w:color w:val="auto"/>
              </w:rPr>
            </w:pPr>
            <w:r>
              <w:rPr>
                <w:rFonts w:ascii="Arial" w:cs="Arial" w:eastAsia="Arial" w:hAnsi="Arial"/>
                <w:sz w:val="16"/>
                <w:szCs w:val="16"/>
                <w:color w:val="auto"/>
              </w:rPr>
              <w:t>Balance at</w:t>
            </w:r>
          </w:p>
        </w:tc>
        <w:tc>
          <w:tcPr>
            <w:tcW w:w="840" w:type="dxa"/>
            <w:vAlign w:val="bottom"/>
            <w:tcBorders>
              <w:top w:val="single" w:sz="8" w:color="auto"/>
            </w:tcBorders>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0" w:type="dxa"/>
            <w:vAlign w:val="bottom"/>
            <w:tcBorders>
              <w:top w:val="single" w:sz="8" w:color="auto"/>
            </w:tcBorders>
            <w:shd w:val="clear" w:color="auto" w:fill="CCEEFF"/>
          </w:tcPr>
          <w:p>
            <w:pPr>
              <w:spacing w:after="0"/>
              <w:rPr>
                <w:sz w:val="16"/>
                <w:szCs w:val="16"/>
                <w:color w:val="auto"/>
              </w:rPr>
            </w:pPr>
          </w:p>
        </w:tc>
        <w:tc>
          <w:tcPr>
            <w:tcW w:w="660" w:type="dxa"/>
            <w:vAlign w:val="bottom"/>
            <w:tcBorders>
              <w:top w:val="single" w:sz="8" w:color="auto"/>
            </w:tcBorders>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60" w:type="dxa"/>
            <w:vAlign w:val="bottom"/>
            <w:tcBorders>
              <w:top w:val="single" w:sz="8" w:color="auto"/>
            </w:tcBorders>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400" w:type="dxa"/>
            <w:vAlign w:val="bottom"/>
            <w:tcBorders>
              <w:top w:val="single" w:sz="8" w:color="auto"/>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40" w:type="dxa"/>
            <w:vAlign w:val="bottom"/>
            <w:tcBorders>
              <w:top w:val="single" w:sz="8" w:color="auto"/>
            </w:tcBorders>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0" w:type="dxa"/>
            <w:vAlign w:val="bottom"/>
            <w:tcBorders>
              <w:top w:val="single" w:sz="8" w:color="auto"/>
            </w:tcBorders>
            <w:shd w:val="clear" w:color="auto" w:fill="CCEEFF"/>
          </w:tcPr>
          <w:p>
            <w:pPr>
              <w:spacing w:after="0"/>
              <w:rPr>
                <w:sz w:val="16"/>
                <w:szCs w:val="16"/>
                <w:color w:val="auto"/>
              </w:rPr>
            </w:pPr>
          </w:p>
        </w:tc>
        <w:tc>
          <w:tcPr>
            <w:tcW w:w="500" w:type="dxa"/>
            <w:vAlign w:val="bottom"/>
            <w:tcBorders>
              <w:top w:val="single" w:sz="8" w:color="auto"/>
            </w:tcBorders>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20" w:type="dxa"/>
            <w:vAlign w:val="bottom"/>
            <w:tcBorders>
              <w:top w:val="single" w:sz="8" w:color="auto"/>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60" w:type="dxa"/>
            <w:vAlign w:val="bottom"/>
            <w:tcBorders>
              <w:top w:val="single" w:sz="8" w:color="auto"/>
            </w:tcBorders>
            <w:shd w:val="clear" w:color="auto" w:fill="CCEEFF"/>
          </w:tcPr>
          <w:p>
            <w:pPr>
              <w:spacing w:after="0"/>
              <w:rPr>
                <w:sz w:val="16"/>
                <w:szCs w:val="16"/>
                <w:color w:val="auto"/>
              </w:rPr>
            </w:pPr>
          </w:p>
        </w:tc>
        <w:tc>
          <w:tcPr>
            <w:tcW w:w="340" w:type="dxa"/>
            <w:vAlign w:val="bottom"/>
            <w:tcBorders>
              <w:top w:val="single" w:sz="8" w:color="auto"/>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560" w:type="dxa"/>
            <w:vAlign w:val="bottom"/>
            <w:tcBorders>
              <w:top w:val="single" w:sz="8" w:color="auto"/>
            </w:tcBorders>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760" w:type="dxa"/>
            <w:vAlign w:val="bottom"/>
            <w:tcBorders>
              <w:top w:val="single" w:sz="8" w:color="auto"/>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220" w:type="dxa"/>
            <w:vAlign w:val="bottom"/>
            <w:tcBorders>
              <w:top w:val="single" w:sz="8" w:color="auto"/>
            </w:tcBorders>
            <w:shd w:val="clear" w:color="auto" w:fill="CCEEFF"/>
          </w:tcPr>
          <w:p>
            <w:pPr>
              <w:spacing w:after="0"/>
              <w:rPr>
                <w:sz w:val="16"/>
                <w:szCs w:val="16"/>
                <w:color w:val="auto"/>
              </w:rPr>
            </w:pPr>
          </w:p>
        </w:tc>
        <w:tc>
          <w:tcPr>
            <w:tcW w:w="740" w:type="dxa"/>
            <w:vAlign w:val="bottom"/>
            <w:tcBorders>
              <w:top w:val="single" w:sz="8" w:color="auto"/>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80" w:type="dxa"/>
            <w:vAlign w:val="bottom"/>
            <w:tcBorders>
              <w:top w:val="single" w:sz="8" w:color="auto"/>
            </w:tcBorders>
            <w:shd w:val="clear" w:color="auto" w:fill="CCEEFF"/>
          </w:tcPr>
          <w:p>
            <w:pPr>
              <w:spacing w:after="0"/>
              <w:rPr>
                <w:sz w:val="16"/>
                <w:szCs w:val="16"/>
                <w:color w:val="auto"/>
              </w:rPr>
            </w:pPr>
          </w:p>
        </w:tc>
        <w:tc>
          <w:tcPr>
            <w:tcW w:w="660" w:type="dxa"/>
            <w:vAlign w:val="bottom"/>
            <w:tcBorders>
              <w:top w:val="single" w:sz="8" w:color="auto"/>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1260" w:type="dxa"/>
            <w:vAlign w:val="bottom"/>
            <w:shd w:val="clear" w:color="auto" w:fill="CCEEFF"/>
          </w:tcPr>
          <w:p>
            <w:pPr>
              <w:ind w:left="160"/>
              <w:spacing w:after="0"/>
              <w:rPr>
                <w:sz w:val="20"/>
                <w:szCs w:val="20"/>
                <w:color w:val="auto"/>
              </w:rPr>
            </w:pPr>
            <w:r>
              <w:rPr>
                <w:rFonts w:ascii="Arial" w:cs="Arial" w:eastAsia="Arial" w:hAnsi="Arial"/>
                <w:sz w:val="16"/>
                <w:szCs w:val="16"/>
                <w:color w:val="auto"/>
              </w:rPr>
              <w:t>December 31,</w:t>
            </w:r>
          </w:p>
        </w:tc>
        <w:tc>
          <w:tcPr>
            <w:tcW w:w="8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260" w:type="dxa"/>
            <w:vAlign w:val="bottom"/>
            <w:shd w:val="clear" w:color="auto" w:fill="CCEEFF"/>
          </w:tcPr>
          <w:p>
            <w:pPr>
              <w:ind w:left="160"/>
              <w:spacing w:after="0"/>
              <w:rPr>
                <w:sz w:val="20"/>
                <w:szCs w:val="20"/>
                <w:color w:val="auto"/>
              </w:rPr>
            </w:pPr>
            <w:r>
              <w:rPr>
                <w:rFonts w:ascii="Arial" w:cs="Arial" w:eastAsia="Arial" w:hAnsi="Arial"/>
                <w:sz w:val="16"/>
                <w:szCs w:val="16"/>
                <w:color w:val="auto"/>
              </w:rPr>
              <w:t>2019</w:t>
            </w:r>
          </w:p>
        </w:tc>
        <w:tc>
          <w:tcPr>
            <w:tcW w:w="8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1260" w:type="dxa"/>
            <w:vAlign w:val="bottom"/>
            <w:shd w:val="clear" w:color="auto" w:fill="CCEEFF"/>
          </w:tcPr>
          <w:p>
            <w:pPr>
              <w:ind w:left="160"/>
              <w:spacing w:after="0"/>
              <w:rPr>
                <w:sz w:val="20"/>
                <w:szCs w:val="20"/>
                <w:color w:val="auto"/>
              </w:rPr>
            </w:pPr>
            <w:r>
              <w:rPr>
                <w:rFonts w:ascii="Arial" w:cs="Arial" w:eastAsia="Arial" w:hAnsi="Arial"/>
                <w:sz w:val="16"/>
                <w:szCs w:val="16"/>
                <w:color w:val="auto"/>
              </w:rPr>
              <w:t>(Successor)</w:t>
            </w:r>
          </w:p>
        </w:tc>
        <w:tc>
          <w:tcPr>
            <w:tcW w:w="92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w w:val="92"/>
              </w:rPr>
              <w:t>127,125,435</w:t>
            </w:r>
          </w:p>
        </w:tc>
        <w:tc>
          <w:tcPr>
            <w:tcW w:w="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w w:val="89"/>
              </w:rPr>
              <w:t>1,271,254</w:t>
            </w:r>
          </w:p>
        </w:tc>
        <w:tc>
          <w:tcPr>
            <w:tcW w:w="600" w:type="dxa"/>
            <w:vAlign w:val="bottom"/>
            <w:gridSpan w:val="2"/>
            <w:shd w:val="clear" w:color="auto" w:fill="CCEEFF"/>
          </w:tcPr>
          <w:p>
            <w:pPr>
              <w:ind w:left="320"/>
              <w:spacing w:after="0"/>
              <w:rPr>
                <w:sz w:val="20"/>
                <w:szCs w:val="20"/>
                <w:color w:val="auto"/>
              </w:rPr>
            </w:pPr>
            <w:r>
              <w:rPr>
                <w:rFonts w:ascii="Arial" w:cs="Arial" w:eastAsia="Arial" w:hAnsi="Arial"/>
                <w:sz w:val="16"/>
                <w:szCs w:val="16"/>
                <w:color w:val="auto"/>
              </w:rPr>
              <w:t>—</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ind w:left="160"/>
              <w:spacing w:after="0"/>
              <w:rPr>
                <w:sz w:val="20"/>
                <w:szCs w:val="20"/>
                <w:color w:val="auto"/>
              </w:rPr>
            </w:pPr>
            <w:r>
              <w:rPr>
                <w:rFonts w:ascii="Arial" w:cs="Arial" w:eastAsia="Arial" w:hAnsi="Arial"/>
                <w:sz w:val="16"/>
                <w:szCs w:val="16"/>
                <w:color w:val="auto"/>
                <w:w w:val="82"/>
              </w:rPr>
              <w:t>744</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7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40" w:type="dxa"/>
            <w:vAlign w:val="bottom"/>
            <w:shd w:val="clear" w:color="auto" w:fill="CCEEFF"/>
          </w:tcPr>
          <w:p>
            <w:pPr>
              <w:ind w:left="10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(55,758)</w:t>
            </w:r>
          </w:p>
        </w:tc>
        <w:tc>
          <w:tcPr>
            <w:tcW w:w="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ind w:left="500"/>
              <w:spacing w:after="0"/>
              <w:rPr>
                <w:sz w:val="20"/>
                <w:szCs w:val="20"/>
                <w:color w:val="auto"/>
              </w:rPr>
            </w:pPr>
            <w:r>
              <w:rPr>
                <w:rFonts w:ascii="Arial" w:cs="Arial" w:eastAsia="Arial" w:hAnsi="Arial"/>
                <w:sz w:val="16"/>
                <w:szCs w:val="16"/>
                <w:color w:val="auto"/>
              </w:rPr>
              <w:t>—</w:t>
            </w: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1,216,240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260" w:type="dxa"/>
            <w:vAlign w:val="bottom"/>
            <w:vMerge w:val="restart"/>
          </w:tcPr>
          <w:p>
            <w:pPr>
              <w:spacing w:after="0"/>
              <w:rPr>
                <w:sz w:val="20"/>
                <w:szCs w:val="20"/>
                <w:color w:val="auto"/>
              </w:rPr>
            </w:pPr>
            <w:r>
              <w:rPr>
                <w:rFonts w:ascii="Arial" w:cs="Arial" w:eastAsia="Arial" w:hAnsi="Arial"/>
                <w:sz w:val="16"/>
                <w:szCs w:val="16"/>
                <w:color w:val="auto"/>
              </w:rPr>
              <w:t>Net loss</w:t>
            </w:r>
          </w:p>
        </w:tc>
        <w:tc>
          <w:tcPr>
            <w:tcW w:w="8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7"/>
        </w:trPr>
        <w:tc>
          <w:tcPr>
            <w:tcW w:w="1260" w:type="dxa"/>
            <w:vAlign w:val="bottom"/>
            <w:vMerge w:val="continue"/>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60" w:type="dxa"/>
            <w:vAlign w:val="bottom"/>
          </w:tcPr>
          <w:p>
            <w:pPr>
              <w:ind w:left="40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7"/>
                <w:szCs w:val="17"/>
                <w:color w:val="auto"/>
              </w:rPr>
            </w:pPr>
          </w:p>
        </w:tc>
        <w:tc>
          <w:tcPr>
            <w:tcW w:w="560" w:type="dxa"/>
            <w:vAlign w:val="bottom"/>
          </w:tcPr>
          <w:p>
            <w:pPr>
              <w:ind w:left="320"/>
              <w:spacing w:after="0"/>
              <w:rPr>
                <w:sz w:val="20"/>
                <w:szCs w:val="20"/>
                <w:color w:val="auto"/>
              </w:rPr>
            </w:pPr>
            <w:r>
              <w:rPr>
                <w:rFonts w:ascii="Arial" w:cs="Arial" w:eastAsia="Arial" w:hAnsi="Arial"/>
                <w:sz w:val="16"/>
                <w:szCs w:val="16"/>
                <w:color w:val="auto"/>
              </w:rPr>
              <w:t>—</w:t>
            </w: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0" w:type="dxa"/>
            <w:vAlign w:val="bottom"/>
          </w:tcPr>
          <w:p>
            <w:pPr>
              <w:ind w:left="16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00" w:type="dxa"/>
            <w:vAlign w:val="bottom"/>
          </w:tcPr>
          <w:p>
            <w:pPr>
              <w:jc w:val="right"/>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40" w:type="dxa"/>
            <w:vAlign w:val="bottom"/>
          </w:tcPr>
          <w:p>
            <w:pPr>
              <w:ind w:left="10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gridSpan w:val="2"/>
          </w:tcPr>
          <w:p>
            <w:pPr>
              <w:jc w:val="right"/>
              <w:ind w:right="60"/>
              <w:spacing w:after="0"/>
              <w:rPr>
                <w:sz w:val="20"/>
                <w:szCs w:val="20"/>
                <w:color w:val="auto"/>
              </w:rPr>
            </w:pPr>
            <w:r>
              <w:rPr>
                <w:rFonts w:ascii="Arial" w:cs="Arial" w:eastAsia="Arial" w:hAnsi="Arial"/>
                <w:sz w:val="16"/>
                <w:szCs w:val="16"/>
                <w:color w:val="auto"/>
              </w:rPr>
              <w:t>(51,157)</w:t>
            </w:r>
          </w:p>
        </w:tc>
        <w:tc>
          <w:tcPr>
            <w:tcW w:w="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40" w:type="dxa"/>
            <w:vAlign w:val="bottom"/>
            <w:gridSpan w:val="2"/>
          </w:tcPr>
          <w:p>
            <w:pPr>
              <w:ind w:left="500"/>
              <w:spacing w:after="0"/>
              <w:rPr>
                <w:sz w:val="20"/>
                <w:szCs w:val="20"/>
                <w:color w:val="auto"/>
              </w:rPr>
            </w:pPr>
            <w:r>
              <w:rPr>
                <w:rFonts w:ascii="Arial" w:cs="Arial" w:eastAsia="Arial" w:hAnsi="Arial"/>
                <w:sz w:val="16"/>
                <w:szCs w:val="16"/>
                <w:color w:val="auto"/>
              </w:rPr>
              <w:t>—</w:t>
            </w: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6"/>
                <w:szCs w:val="16"/>
                <w:color w:val="auto"/>
              </w:rPr>
              <w:t>(51,157)</w:t>
            </w:r>
          </w:p>
        </w:tc>
        <w:tc>
          <w:tcPr>
            <w:tcW w:w="0" w:type="dxa"/>
            <w:vAlign w:val="bottom"/>
          </w:tcPr>
          <w:p>
            <w:pPr>
              <w:spacing w:after="0"/>
              <w:rPr>
                <w:sz w:val="1"/>
                <w:szCs w:val="1"/>
                <w:color w:val="auto"/>
              </w:rPr>
            </w:pPr>
          </w:p>
        </w:tc>
      </w:tr>
      <w:tr>
        <w:trPr>
          <w:trHeight w:val="196"/>
        </w:trPr>
        <w:tc>
          <w:tcPr>
            <w:tcW w:w="1260" w:type="dxa"/>
            <w:vAlign w:val="bottom"/>
            <w:shd w:val="clear" w:color="auto" w:fill="CCEEFF"/>
          </w:tcPr>
          <w:p>
            <w:pPr>
              <w:spacing w:after="0"/>
              <w:rPr>
                <w:sz w:val="20"/>
                <w:szCs w:val="20"/>
                <w:color w:val="auto"/>
              </w:rPr>
            </w:pPr>
            <w:r>
              <w:rPr>
                <w:rFonts w:ascii="Arial" w:cs="Arial" w:eastAsia="Arial" w:hAnsi="Arial"/>
                <w:sz w:val="16"/>
                <w:szCs w:val="16"/>
                <w:color w:val="auto"/>
              </w:rPr>
              <w:t>Distribution to</w:t>
            </w:r>
          </w:p>
        </w:tc>
        <w:tc>
          <w:tcPr>
            <w:tcW w:w="8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1260" w:type="dxa"/>
            <w:vAlign w:val="bottom"/>
            <w:shd w:val="clear" w:color="auto" w:fill="CCEEFF"/>
          </w:tcPr>
          <w:p>
            <w:pPr>
              <w:ind w:left="160"/>
              <w:spacing w:after="0"/>
              <w:rPr>
                <w:sz w:val="20"/>
                <w:szCs w:val="20"/>
                <w:color w:val="auto"/>
              </w:rPr>
            </w:pPr>
            <w:r>
              <w:rPr>
                <w:rFonts w:ascii="Arial" w:cs="Arial" w:eastAsia="Arial" w:hAnsi="Arial"/>
                <w:sz w:val="16"/>
                <w:szCs w:val="16"/>
                <w:color w:val="auto"/>
              </w:rPr>
              <w:t>members</w:t>
            </w: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ind w:left="400"/>
              <w:spacing w:after="0"/>
              <w:rPr>
                <w:sz w:val="20"/>
                <w:szCs w:val="20"/>
                <w:color w:val="auto"/>
              </w:rPr>
            </w:pPr>
            <w:r>
              <w:rPr>
                <w:rFonts w:ascii="Arial" w:cs="Arial" w:eastAsia="Arial" w:hAnsi="Arial"/>
                <w:sz w:val="16"/>
                <w:szCs w:val="16"/>
                <w:color w:val="auto"/>
              </w:rPr>
              <w:t>—</w:t>
            </w:r>
          </w:p>
        </w:tc>
        <w:tc>
          <w:tcPr>
            <w:tcW w:w="600" w:type="dxa"/>
            <w:vAlign w:val="bottom"/>
            <w:gridSpan w:val="2"/>
            <w:shd w:val="clear" w:color="auto" w:fill="CCEEFF"/>
          </w:tcPr>
          <w:p>
            <w:pPr>
              <w:ind w:left="320"/>
              <w:spacing w:after="0"/>
              <w:rPr>
                <w:sz w:val="20"/>
                <w:szCs w:val="20"/>
                <w:color w:val="auto"/>
              </w:rPr>
            </w:pPr>
            <w:r>
              <w:rPr>
                <w:rFonts w:ascii="Arial" w:cs="Arial" w:eastAsia="Arial" w:hAnsi="Arial"/>
                <w:sz w:val="16"/>
                <w:szCs w:val="16"/>
                <w:color w:val="auto"/>
              </w:rPr>
              <w:t>—</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ind w:left="16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7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40" w:type="dxa"/>
            <w:vAlign w:val="bottom"/>
            <w:shd w:val="clear" w:color="auto" w:fill="CCEEFF"/>
          </w:tcPr>
          <w:p>
            <w:pPr>
              <w:ind w:left="10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(2,940)</w:t>
            </w:r>
          </w:p>
        </w:tc>
        <w:tc>
          <w:tcPr>
            <w:tcW w:w="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ind w:left="500"/>
              <w:spacing w:after="0"/>
              <w:rPr>
                <w:sz w:val="20"/>
                <w:szCs w:val="20"/>
                <w:color w:val="auto"/>
              </w:rPr>
            </w:pPr>
            <w:r>
              <w:rPr>
                <w:rFonts w:ascii="Arial" w:cs="Arial" w:eastAsia="Arial" w:hAnsi="Arial"/>
                <w:sz w:val="16"/>
                <w:szCs w:val="16"/>
                <w:color w:val="auto"/>
              </w:rPr>
              <w:t>—</w:t>
            </w: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(2,940)</w:t>
            </w:r>
          </w:p>
        </w:tc>
        <w:tc>
          <w:tcPr>
            <w:tcW w:w="0" w:type="dxa"/>
            <w:vAlign w:val="bottom"/>
          </w:tcPr>
          <w:p>
            <w:pPr>
              <w:spacing w:after="0"/>
              <w:rPr>
                <w:sz w:val="1"/>
                <w:szCs w:val="1"/>
                <w:color w:val="auto"/>
              </w:rPr>
            </w:pPr>
          </w:p>
        </w:tc>
      </w:tr>
      <w:tr>
        <w:trPr>
          <w:trHeight w:val="193"/>
        </w:trPr>
        <w:tc>
          <w:tcPr>
            <w:tcW w:w="1260" w:type="dxa"/>
            <w:vAlign w:val="bottom"/>
          </w:tcPr>
          <w:p>
            <w:pPr>
              <w:spacing w:after="0"/>
              <w:rPr>
                <w:sz w:val="20"/>
                <w:szCs w:val="20"/>
                <w:color w:val="auto"/>
              </w:rPr>
            </w:pPr>
            <w:r>
              <w:rPr>
                <w:rFonts w:ascii="Arial" w:cs="Arial" w:eastAsia="Arial" w:hAnsi="Arial"/>
                <w:sz w:val="16"/>
                <w:szCs w:val="16"/>
                <w:color w:val="auto"/>
              </w:rPr>
              <w:t>Capital</w:t>
            </w:r>
          </w:p>
        </w:tc>
        <w:tc>
          <w:tcPr>
            <w:tcW w:w="8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1260" w:type="dxa"/>
            <w:vAlign w:val="bottom"/>
          </w:tcPr>
          <w:p>
            <w:pPr>
              <w:ind w:left="160"/>
              <w:spacing w:after="0"/>
              <w:rPr>
                <w:sz w:val="20"/>
                <w:szCs w:val="20"/>
                <w:color w:val="auto"/>
              </w:rPr>
            </w:pPr>
            <w:r>
              <w:rPr>
                <w:rFonts w:ascii="Arial" w:cs="Arial" w:eastAsia="Arial" w:hAnsi="Arial"/>
                <w:sz w:val="16"/>
                <w:szCs w:val="16"/>
                <w:color w:val="auto"/>
              </w:rPr>
              <w:t>contributions</w:t>
            </w:r>
          </w:p>
        </w:tc>
        <w:tc>
          <w:tcPr>
            <w:tcW w:w="920" w:type="dxa"/>
            <w:vAlign w:val="bottom"/>
            <w:gridSpan w:val="2"/>
          </w:tcPr>
          <w:p>
            <w:pPr>
              <w:jc w:val="right"/>
              <w:ind w:right="80"/>
              <w:spacing w:after="0"/>
              <w:rPr>
                <w:sz w:val="20"/>
                <w:szCs w:val="20"/>
                <w:color w:val="auto"/>
              </w:rPr>
            </w:pPr>
            <w:r>
              <w:rPr>
                <w:rFonts w:ascii="Arial" w:cs="Arial" w:eastAsia="Arial" w:hAnsi="Arial"/>
                <w:sz w:val="16"/>
                <w:szCs w:val="16"/>
                <w:color w:val="auto"/>
              </w:rPr>
              <w:t>3,120,555</w:t>
            </w:r>
          </w:p>
        </w:tc>
        <w:tc>
          <w:tcPr>
            <w:tcW w:w="80" w:type="dxa"/>
            <w:vAlign w:val="bottom"/>
          </w:tcPr>
          <w:p>
            <w:pPr>
              <w:spacing w:after="0"/>
              <w:rPr>
                <w:sz w:val="18"/>
                <w:szCs w:val="18"/>
                <w:color w:val="auto"/>
              </w:rPr>
            </w:pPr>
          </w:p>
        </w:tc>
        <w:tc>
          <w:tcPr>
            <w:tcW w:w="740" w:type="dxa"/>
            <w:vAlign w:val="bottom"/>
            <w:gridSpan w:val="2"/>
          </w:tcPr>
          <w:p>
            <w:pPr>
              <w:jc w:val="right"/>
              <w:ind w:right="80"/>
              <w:spacing w:after="0"/>
              <w:rPr>
                <w:sz w:val="20"/>
                <w:szCs w:val="20"/>
                <w:color w:val="auto"/>
              </w:rPr>
            </w:pPr>
            <w:r>
              <w:rPr>
                <w:rFonts w:ascii="Arial" w:cs="Arial" w:eastAsia="Arial" w:hAnsi="Arial"/>
                <w:sz w:val="16"/>
                <w:szCs w:val="16"/>
                <w:color w:val="auto"/>
              </w:rPr>
              <w:t>31,804</w:t>
            </w:r>
          </w:p>
        </w:tc>
        <w:tc>
          <w:tcPr>
            <w:tcW w:w="600" w:type="dxa"/>
            <w:vAlign w:val="bottom"/>
            <w:gridSpan w:val="2"/>
          </w:tcPr>
          <w:p>
            <w:pPr>
              <w:ind w:left="320"/>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ind w:left="16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8"/>
                <w:szCs w:val="18"/>
                <w:color w:val="auto"/>
              </w:rPr>
            </w:pPr>
          </w:p>
        </w:tc>
        <w:tc>
          <w:tcPr>
            <w:tcW w:w="6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7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40" w:type="dxa"/>
            <w:vAlign w:val="bottom"/>
          </w:tcPr>
          <w:p>
            <w:pPr>
              <w:ind w:left="10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8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gridSpan w:val="2"/>
          </w:tcPr>
          <w:p>
            <w:pPr>
              <w:ind w:left="500"/>
              <w:spacing w:after="0"/>
              <w:rPr>
                <w:sz w:val="20"/>
                <w:szCs w:val="20"/>
                <w:color w:val="auto"/>
              </w:rPr>
            </w:pPr>
            <w:r>
              <w:rPr>
                <w:rFonts w:ascii="Arial" w:cs="Arial" w:eastAsia="Arial" w:hAnsi="Arial"/>
                <w:sz w:val="16"/>
                <w:szCs w:val="16"/>
                <w:color w:val="auto"/>
              </w:rPr>
              <w:t>—</w:t>
            </w: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31,804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1260" w:type="dxa"/>
            <w:vAlign w:val="bottom"/>
            <w:shd w:val="clear" w:color="auto" w:fill="CCEEFF"/>
          </w:tcPr>
          <w:p>
            <w:pPr>
              <w:spacing w:after="0"/>
              <w:rPr>
                <w:sz w:val="20"/>
                <w:szCs w:val="20"/>
                <w:color w:val="auto"/>
              </w:rPr>
            </w:pPr>
            <w:r>
              <w:rPr>
                <w:rFonts w:ascii="Arial" w:cs="Arial" w:eastAsia="Arial" w:hAnsi="Arial"/>
                <w:sz w:val="16"/>
                <w:szCs w:val="16"/>
                <w:color w:val="auto"/>
                <w:w w:val="94"/>
              </w:rPr>
              <w:t>Vesting of Class B</w:t>
            </w:r>
          </w:p>
        </w:tc>
        <w:tc>
          <w:tcPr>
            <w:tcW w:w="8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260" w:type="dxa"/>
            <w:vAlign w:val="bottom"/>
            <w:shd w:val="clear" w:color="auto" w:fill="CCEEFF"/>
          </w:tcPr>
          <w:p>
            <w:pPr>
              <w:ind w:left="160"/>
              <w:spacing w:after="0"/>
              <w:rPr>
                <w:sz w:val="20"/>
                <w:szCs w:val="20"/>
                <w:color w:val="auto"/>
              </w:rPr>
            </w:pPr>
            <w:r>
              <w:rPr>
                <w:rFonts w:ascii="Arial" w:cs="Arial" w:eastAsia="Arial" w:hAnsi="Arial"/>
                <w:sz w:val="16"/>
                <w:szCs w:val="16"/>
                <w:color w:val="auto"/>
              </w:rPr>
              <w:t>Units and unit-</w:t>
            </w:r>
          </w:p>
        </w:tc>
        <w:tc>
          <w:tcPr>
            <w:tcW w:w="8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1260" w:type="dxa"/>
            <w:vAlign w:val="bottom"/>
            <w:shd w:val="clear" w:color="auto" w:fill="CCEEFF"/>
          </w:tcPr>
          <w:p>
            <w:pPr>
              <w:ind w:left="160"/>
              <w:spacing w:after="0"/>
              <w:rPr>
                <w:sz w:val="20"/>
                <w:szCs w:val="20"/>
                <w:color w:val="auto"/>
              </w:rPr>
            </w:pPr>
            <w:r>
              <w:rPr>
                <w:rFonts w:ascii="Arial" w:cs="Arial" w:eastAsia="Arial" w:hAnsi="Arial"/>
                <w:sz w:val="16"/>
                <w:szCs w:val="16"/>
                <w:color w:val="auto"/>
              </w:rPr>
              <w:t>based</w:t>
            </w:r>
          </w:p>
        </w:tc>
        <w:tc>
          <w:tcPr>
            <w:tcW w:w="8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1260" w:type="dxa"/>
            <w:vAlign w:val="bottom"/>
            <w:shd w:val="clear" w:color="auto" w:fill="CCEEFF"/>
          </w:tcPr>
          <w:p>
            <w:pPr>
              <w:ind w:left="160"/>
              <w:spacing w:after="0"/>
              <w:rPr>
                <w:sz w:val="20"/>
                <w:szCs w:val="20"/>
                <w:color w:val="auto"/>
              </w:rPr>
            </w:pPr>
            <w:r>
              <w:rPr>
                <w:rFonts w:ascii="Arial" w:cs="Arial" w:eastAsia="Arial" w:hAnsi="Arial"/>
                <w:sz w:val="16"/>
                <w:szCs w:val="16"/>
                <w:color w:val="auto"/>
              </w:rPr>
              <w:t>compensation</w:t>
            </w: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ind w:left="400"/>
              <w:spacing w:after="0"/>
              <w:rPr>
                <w:sz w:val="20"/>
                <w:szCs w:val="20"/>
                <w:color w:val="auto"/>
              </w:rPr>
            </w:pPr>
            <w:r>
              <w:rPr>
                <w:rFonts w:ascii="Arial" w:cs="Arial" w:eastAsia="Arial" w:hAnsi="Arial"/>
                <w:sz w:val="16"/>
                <w:szCs w:val="16"/>
                <w:color w:val="auto"/>
              </w:rPr>
              <w:t>—</w:t>
            </w:r>
          </w:p>
        </w:tc>
        <w:tc>
          <w:tcPr>
            <w:tcW w:w="600" w:type="dxa"/>
            <w:vAlign w:val="bottom"/>
            <w:gridSpan w:val="2"/>
            <w:shd w:val="clear" w:color="auto" w:fill="CCEEFF"/>
          </w:tcPr>
          <w:p>
            <w:pPr>
              <w:jc w:val="center"/>
              <w:spacing w:after="0"/>
              <w:rPr>
                <w:sz w:val="20"/>
                <w:szCs w:val="20"/>
                <w:color w:val="auto"/>
              </w:rPr>
            </w:pPr>
            <w:r>
              <w:rPr>
                <w:rFonts w:ascii="Arial" w:cs="Arial" w:eastAsia="Arial" w:hAnsi="Arial"/>
                <w:sz w:val="16"/>
                <w:szCs w:val="16"/>
                <w:color w:val="auto"/>
                <w:w w:val="89"/>
              </w:rPr>
              <w:t>474,920</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ind w:left="40"/>
              <w:spacing w:after="0"/>
              <w:rPr>
                <w:sz w:val="20"/>
                <w:szCs w:val="20"/>
                <w:color w:val="auto"/>
              </w:rPr>
            </w:pPr>
            <w:r>
              <w:rPr>
                <w:rFonts w:ascii="Arial" w:cs="Arial" w:eastAsia="Arial" w:hAnsi="Arial"/>
                <w:sz w:val="16"/>
                <w:szCs w:val="16"/>
                <w:color w:val="auto"/>
                <w:w w:val="84"/>
              </w:rPr>
              <w:t>1,747</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7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40" w:type="dxa"/>
            <w:vAlign w:val="bottom"/>
            <w:shd w:val="clear" w:color="auto" w:fill="CCEEFF"/>
          </w:tcPr>
          <w:p>
            <w:pPr>
              <w:ind w:left="10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ind w:left="500"/>
              <w:spacing w:after="0"/>
              <w:rPr>
                <w:sz w:val="20"/>
                <w:szCs w:val="20"/>
                <w:color w:val="auto"/>
              </w:rPr>
            </w:pPr>
            <w:r>
              <w:rPr>
                <w:rFonts w:ascii="Arial" w:cs="Arial" w:eastAsia="Arial" w:hAnsi="Arial"/>
                <w:sz w:val="16"/>
                <w:szCs w:val="16"/>
                <w:color w:val="auto"/>
              </w:rPr>
              <w:t>—</w:t>
            </w: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1,747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3"/>
        </w:trPr>
        <w:tc>
          <w:tcPr>
            <w:tcW w:w="1260" w:type="dxa"/>
            <w:vAlign w:val="bottom"/>
          </w:tcPr>
          <w:p>
            <w:pPr>
              <w:spacing w:after="0"/>
              <w:rPr>
                <w:sz w:val="20"/>
                <w:szCs w:val="20"/>
                <w:color w:val="auto"/>
              </w:rPr>
            </w:pPr>
            <w:r>
              <w:rPr>
                <w:rFonts w:ascii="Arial" w:cs="Arial" w:eastAsia="Arial" w:hAnsi="Arial"/>
                <w:sz w:val="16"/>
                <w:szCs w:val="16"/>
                <w:color w:val="auto"/>
              </w:rPr>
              <w:t>Comprehensive</w:t>
            </w:r>
          </w:p>
        </w:tc>
        <w:tc>
          <w:tcPr>
            <w:tcW w:w="8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9"/>
        </w:trPr>
        <w:tc>
          <w:tcPr>
            <w:tcW w:w="1260" w:type="dxa"/>
            <w:vAlign w:val="bottom"/>
          </w:tcPr>
          <w:p>
            <w:pPr>
              <w:ind w:left="160"/>
              <w:spacing w:after="0"/>
              <w:rPr>
                <w:sz w:val="20"/>
                <w:szCs w:val="20"/>
                <w:color w:val="auto"/>
              </w:rPr>
            </w:pPr>
            <w:r>
              <w:rPr>
                <w:rFonts w:ascii="Arial" w:cs="Arial" w:eastAsia="Arial" w:hAnsi="Arial"/>
                <w:sz w:val="16"/>
                <w:szCs w:val="16"/>
                <w:color w:val="auto"/>
              </w:rPr>
              <w:t>loss</w:t>
            </w:r>
          </w:p>
        </w:tc>
        <w:tc>
          <w:tcPr>
            <w:tcW w:w="9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9"/>
                <w:szCs w:val="19"/>
                <w:color w:val="auto"/>
              </w:rPr>
            </w:pPr>
          </w:p>
        </w:tc>
        <w:tc>
          <w:tcPr>
            <w:tcW w:w="740" w:type="dxa"/>
            <w:vAlign w:val="bottom"/>
            <w:gridSpan w:val="2"/>
          </w:tcPr>
          <w:p>
            <w:pPr>
              <w:ind w:left="400"/>
              <w:spacing w:after="0"/>
              <w:rPr>
                <w:sz w:val="20"/>
                <w:szCs w:val="20"/>
                <w:color w:val="auto"/>
              </w:rPr>
            </w:pPr>
            <w:r>
              <w:rPr>
                <w:rFonts w:ascii="Arial" w:cs="Arial" w:eastAsia="Arial" w:hAnsi="Arial"/>
                <w:sz w:val="16"/>
                <w:szCs w:val="16"/>
                <w:color w:val="auto"/>
              </w:rPr>
              <w:t>—</w:t>
            </w:r>
          </w:p>
        </w:tc>
        <w:tc>
          <w:tcPr>
            <w:tcW w:w="600" w:type="dxa"/>
            <w:vAlign w:val="bottom"/>
            <w:gridSpan w:val="2"/>
          </w:tcPr>
          <w:p>
            <w:pPr>
              <w:ind w:left="320"/>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ind w:left="16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9"/>
                <w:szCs w:val="19"/>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9"/>
                <w:szCs w:val="19"/>
                <w:color w:val="auto"/>
              </w:rPr>
            </w:pPr>
          </w:p>
        </w:tc>
        <w:tc>
          <w:tcPr>
            <w:tcW w:w="6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7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40" w:type="dxa"/>
            <w:vAlign w:val="bottom"/>
          </w:tcPr>
          <w:p>
            <w:pPr>
              <w:ind w:left="10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9"/>
                <w:szCs w:val="19"/>
                <w:color w:val="auto"/>
              </w:rPr>
            </w:pPr>
          </w:p>
        </w:tc>
        <w:tc>
          <w:tcPr>
            <w:tcW w:w="8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40" w:type="dxa"/>
            <w:vAlign w:val="bottom"/>
            <w:gridSpan w:val="2"/>
          </w:tcPr>
          <w:p>
            <w:pPr>
              <w:ind w:left="440"/>
              <w:spacing w:after="0"/>
              <w:rPr>
                <w:sz w:val="20"/>
                <w:szCs w:val="20"/>
                <w:color w:val="auto"/>
              </w:rPr>
            </w:pPr>
            <w:r>
              <w:rPr>
                <w:rFonts w:ascii="Arial" w:cs="Arial" w:eastAsia="Arial" w:hAnsi="Arial"/>
                <w:sz w:val="16"/>
                <w:szCs w:val="16"/>
                <w:color w:val="auto"/>
              </w:rPr>
              <w:t>(131)</w:t>
            </w: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6"/>
                <w:szCs w:val="16"/>
                <w:color w:val="auto"/>
              </w:rPr>
              <w:t>(131)</w:t>
            </w:r>
          </w:p>
        </w:tc>
        <w:tc>
          <w:tcPr>
            <w:tcW w:w="0" w:type="dxa"/>
            <w:vAlign w:val="bottom"/>
          </w:tcPr>
          <w:p>
            <w:pPr>
              <w:spacing w:after="0"/>
              <w:rPr>
                <w:sz w:val="1"/>
                <w:szCs w:val="1"/>
                <w:color w:val="auto"/>
              </w:rPr>
            </w:pPr>
          </w:p>
        </w:tc>
      </w:tr>
      <w:tr>
        <w:trPr>
          <w:trHeight w:val="193"/>
        </w:trPr>
        <w:tc>
          <w:tcPr>
            <w:tcW w:w="1260" w:type="dxa"/>
            <w:vAlign w:val="bottom"/>
            <w:shd w:val="clear" w:color="auto" w:fill="CCEEFF"/>
          </w:tcPr>
          <w:p>
            <w:pPr>
              <w:spacing w:after="0"/>
              <w:rPr>
                <w:sz w:val="20"/>
                <w:szCs w:val="20"/>
                <w:color w:val="auto"/>
              </w:rPr>
            </w:pPr>
            <w:r>
              <w:rPr>
                <w:rFonts w:ascii="Arial" w:cs="Arial" w:eastAsia="Arial" w:hAnsi="Arial"/>
                <w:sz w:val="16"/>
                <w:szCs w:val="16"/>
                <w:color w:val="auto"/>
              </w:rPr>
              <w:t>Balance at</w:t>
            </w:r>
          </w:p>
        </w:tc>
        <w:tc>
          <w:tcPr>
            <w:tcW w:w="840" w:type="dxa"/>
            <w:vAlign w:val="bottom"/>
            <w:tcBorders>
              <w:top w:val="single" w:sz="8" w:color="auto"/>
            </w:tcBorders>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0" w:type="dxa"/>
            <w:vAlign w:val="bottom"/>
            <w:tcBorders>
              <w:top w:val="single" w:sz="8" w:color="auto"/>
            </w:tcBorders>
            <w:shd w:val="clear" w:color="auto" w:fill="CCEEFF"/>
          </w:tcPr>
          <w:p>
            <w:pPr>
              <w:spacing w:after="0"/>
              <w:rPr>
                <w:sz w:val="16"/>
                <w:szCs w:val="16"/>
                <w:color w:val="auto"/>
              </w:rPr>
            </w:pPr>
          </w:p>
        </w:tc>
        <w:tc>
          <w:tcPr>
            <w:tcW w:w="660" w:type="dxa"/>
            <w:vAlign w:val="bottom"/>
            <w:tcBorders>
              <w:top w:val="single" w:sz="8" w:color="auto"/>
            </w:tcBorders>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60" w:type="dxa"/>
            <w:vAlign w:val="bottom"/>
            <w:tcBorders>
              <w:top w:val="single" w:sz="8" w:color="auto"/>
            </w:tcBorders>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400" w:type="dxa"/>
            <w:vAlign w:val="bottom"/>
            <w:tcBorders>
              <w:top w:val="single" w:sz="8" w:color="auto"/>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40" w:type="dxa"/>
            <w:vAlign w:val="bottom"/>
            <w:tcBorders>
              <w:top w:val="single" w:sz="8" w:color="auto"/>
            </w:tcBorders>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0" w:type="dxa"/>
            <w:vAlign w:val="bottom"/>
            <w:tcBorders>
              <w:top w:val="single" w:sz="8" w:color="auto"/>
            </w:tcBorders>
            <w:shd w:val="clear" w:color="auto" w:fill="CCEEFF"/>
          </w:tcPr>
          <w:p>
            <w:pPr>
              <w:spacing w:after="0"/>
              <w:rPr>
                <w:sz w:val="16"/>
                <w:szCs w:val="16"/>
                <w:color w:val="auto"/>
              </w:rPr>
            </w:pPr>
          </w:p>
        </w:tc>
        <w:tc>
          <w:tcPr>
            <w:tcW w:w="500" w:type="dxa"/>
            <w:vAlign w:val="bottom"/>
            <w:tcBorders>
              <w:top w:val="single" w:sz="8" w:color="auto"/>
            </w:tcBorders>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20" w:type="dxa"/>
            <w:vAlign w:val="bottom"/>
            <w:tcBorders>
              <w:top w:val="single" w:sz="8" w:color="auto"/>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60" w:type="dxa"/>
            <w:vAlign w:val="bottom"/>
            <w:tcBorders>
              <w:top w:val="single" w:sz="8" w:color="auto"/>
            </w:tcBorders>
            <w:shd w:val="clear" w:color="auto" w:fill="CCEEFF"/>
          </w:tcPr>
          <w:p>
            <w:pPr>
              <w:spacing w:after="0"/>
              <w:rPr>
                <w:sz w:val="16"/>
                <w:szCs w:val="16"/>
                <w:color w:val="auto"/>
              </w:rPr>
            </w:pPr>
          </w:p>
        </w:tc>
        <w:tc>
          <w:tcPr>
            <w:tcW w:w="340" w:type="dxa"/>
            <w:vAlign w:val="bottom"/>
            <w:tcBorders>
              <w:top w:val="single" w:sz="8" w:color="auto"/>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560" w:type="dxa"/>
            <w:vAlign w:val="bottom"/>
            <w:tcBorders>
              <w:top w:val="single" w:sz="8" w:color="auto"/>
            </w:tcBorders>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760" w:type="dxa"/>
            <w:vAlign w:val="bottom"/>
            <w:tcBorders>
              <w:top w:val="single" w:sz="8" w:color="auto"/>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220" w:type="dxa"/>
            <w:vAlign w:val="bottom"/>
            <w:tcBorders>
              <w:top w:val="single" w:sz="8" w:color="auto"/>
            </w:tcBorders>
            <w:shd w:val="clear" w:color="auto" w:fill="CCEEFF"/>
          </w:tcPr>
          <w:p>
            <w:pPr>
              <w:spacing w:after="0"/>
              <w:rPr>
                <w:sz w:val="16"/>
                <w:szCs w:val="16"/>
                <w:color w:val="auto"/>
              </w:rPr>
            </w:pPr>
          </w:p>
        </w:tc>
        <w:tc>
          <w:tcPr>
            <w:tcW w:w="740" w:type="dxa"/>
            <w:vAlign w:val="bottom"/>
            <w:tcBorders>
              <w:top w:val="single" w:sz="8" w:color="auto"/>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80" w:type="dxa"/>
            <w:vAlign w:val="bottom"/>
            <w:tcBorders>
              <w:top w:val="single" w:sz="8" w:color="auto"/>
            </w:tcBorders>
            <w:shd w:val="clear" w:color="auto" w:fill="CCEEFF"/>
          </w:tcPr>
          <w:p>
            <w:pPr>
              <w:spacing w:after="0"/>
              <w:rPr>
                <w:sz w:val="16"/>
                <w:szCs w:val="16"/>
                <w:color w:val="auto"/>
              </w:rPr>
            </w:pPr>
          </w:p>
        </w:tc>
        <w:tc>
          <w:tcPr>
            <w:tcW w:w="660" w:type="dxa"/>
            <w:vAlign w:val="bottom"/>
            <w:tcBorders>
              <w:top w:val="single" w:sz="8" w:color="auto"/>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1260" w:type="dxa"/>
            <w:vAlign w:val="bottom"/>
            <w:shd w:val="clear" w:color="auto" w:fill="CCEEFF"/>
          </w:tcPr>
          <w:p>
            <w:pPr>
              <w:ind w:left="160"/>
              <w:spacing w:after="0"/>
              <w:rPr>
                <w:sz w:val="20"/>
                <w:szCs w:val="20"/>
                <w:color w:val="auto"/>
              </w:rPr>
            </w:pPr>
            <w:r>
              <w:rPr>
                <w:rFonts w:ascii="Arial" w:cs="Arial" w:eastAsia="Arial" w:hAnsi="Arial"/>
                <w:sz w:val="16"/>
                <w:szCs w:val="16"/>
                <w:color w:val="auto"/>
              </w:rPr>
              <w:t>December 31,</w:t>
            </w:r>
          </w:p>
        </w:tc>
        <w:tc>
          <w:tcPr>
            <w:tcW w:w="8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260" w:type="dxa"/>
            <w:vAlign w:val="bottom"/>
            <w:shd w:val="clear" w:color="auto" w:fill="CCEEFF"/>
          </w:tcPr>
          <w:p>
            <w:pPr>
              <w:ind w:left="160"/>
              <w:spacing w:after="0"/>
              <w:rPr>
                <w:sz w:val="20"/>
                <w:szCs w:val="20"/>
                <w:color w:val="auto"/>
              </w:rPr>
            </w:pPr>
            <w:r>
              <w:rPr>
                <w:rFonts w:ascii="Arial" w:cs="Arial" w:eastAsia="Arial" w:hAnsi="Arial"/>
                <w:sz w:val="16"/>
                <w:szCs w:val="16"/>
                <w:color w:val="auto"/>
              </w:rPr>
              <w:t>2020</w:t>
            </w:r>
          </w:p>
        </w:tc>
        <w:tc>
          <w:tcPr>
            <w:tcW w:w="8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1260" w:type="dxa"/>
            <w:vAlign w:val="bottom"/>
            <w:shd w:val="clear" w:color="auto" w:fill="CCEEFF"/>
          </w:tcPr>
          <w:p>
            <w:pPr>
              <w:ind w:left="160"/>
              <w:spacing w:after="0"/>
              <w:rPr>
                <w:sz w:val="20"/>
                <w:szCs w:val="20"/>
                <w:color w:val="auto"/>
              </w:rPr>
            </w:pPr>
            <w:r>
              <w:rPr>
                <w:rFonts w:ascii="Arial" w:cs="Arial" w:eastAsia="Arial" w:hAnsi="Arial"/>
                <w:sz w:val="16"/>
                <w:szCs w:val="16"/>
                <w:color w:val="auto"/>
              </w:rPr>
              <w:t>(Successor)</w:t>
            </w:r>
          </w:p>
        </w:tc>
        <w:tc>
          <w:tcPr>
            <w:tcW w:w="92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w w:val="92"/>
              </w:rPr>
              <w:t>130,245,990</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u w:val="single" w:color="auto"/>
                <w:color w:val="auto"/>
                <w:w w:val="71"/>
              </w:rPr>
              <w:t>$</w:t>
            </w:r>
          </w:p>
        </w:tc>
        <w:tc>
          <w:tcPr>
            <w:tcW w:w="74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w w:val="89"/>
              </w:rPr>
              <w:t>1,303,058</w:t>
            </w:r>
          </w:p>
        </w:tc>
        <w:tc>
          <w:tcPr>
            <w:tcW w:w="600" w:type="dxa"/>
            <w:vAlign w:val="bottom"/>
            <w:gridSpan w:val="2"/>
            <w:shd w:val="clear" w:color="auto" w:fill="CCEEFF"/>
          </w:tcPr>
          <w:p>
            <w:pPr>
              <w:jc w:val="center"/>
              <w:spacing w:after="0"/>
              <w:rPr>
                <w:sz w:val="20"/>
                <w:szCs w:val="20"/>
                <w:color w:val="auto"/>
              </w:rPr>
            </w:pPr>
            <w:r>
              <w:rPr>
                <w:rFonts w:ascii="Arial" w:cs="Arial" w:eastAsia="Arial" w:hAnsi="Arial"/>
                <w:sz w:val="16"/>
                <w:szCs w:val="16"/>
                <w:color w:val="auto"/>
                <w:w w:val="89"/>
              </w:rPr>
              <w:t>474,920</w:t>
            </w:r>
          </w:p>
        </w:tc>
        <w:tc>
          <w:tcPr>
            <w:tcW w:w="160" w:type="dxa"/>
            <w:vAlign w:val="bottom"/>
            <w:gridSpan w:val="2"/>
            <w:shd w:val="clear" w:color="auto" w:fill="CCEEFF"/>
          </w:tcPr>
          <w:p>
            <w:pPr>
              <w:ind w:left="60"/>
              <w:spacing w:after="0"/>
              <w:rPr>
                <w:sz w:val="20"/>
                <w:szCs w:val="20"/>
                <w:color w:val="auto"/>
              </w:rPr>
            </w:pPr>
            <w:r>
              <w:rPr>
                <w:rFonts w:ascii="Arial" w:cs="Arial" w:eastAsia="Arial" w:hAnsi="Arial"/>
                <w:sz w:val="16"/>
                <w:szCs w:val="16"/>
                <w:color w:val="auto"/>
                <w:w w:val="89"/>
              </w:rPr>
              <w:t>$</w:t>
            </w:r>
          </w:p>
        </w:tc>
        <w:tc>
          <w:tcPr>
            <w:tcW w:w="400" w:type="dxa"/>
            <w:vAlign w:val="bottom"/>
            <w:shd w:val="clear" w:color="auto" w:fill="CCEEFF"/>
          </w:tcPr>
          <w:p>
            <w:pPr>
              <w:ind w:left="40"/>
              <w:spacing w:after="0"/>
              <w:rPr>
                <w:sz w:val="20"/>
                <w:szCs w:val="20"/>
                <w:color w:val="auto"/>
              </w:rPr>
            </w:pPr>
            <w:r>
              <w:rPr>
                <w:rFonts w:ascii="Arial" w:cs="Arial" w:eastAsia="Arial" w:hAnsi="Arial"/>
                <w:sz w:val="16"/>
                <w:szCs w:val="16"/>
                <w:color w:val="auto"/>
                <w:w w:val="84"/>
              </w:rPr>
              <w:t>2,491</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20"/>
                <w:szCs w:val="20"/>
                <w:color w:val="auto"/>
              </w:rPr>
            </w:pPr>
            <w:r>
              <w:rPr>
                <w:rFonts w:ascii="Arial" w:cs="Arial" w:eastAsia="Arial" w:hAnsi="Arial"/>
                <w:sz w:val="15"/>
                <w:szCs w:val="15"/>
                <w:color w:val="auto"/>
                <w:w w:val="71"/>
              </w:rPr>
              <w:t>$</w:t>
            </w:r>
          </w:p>
        </w:tc>
        <w:tc>
          <w:tcPr>
            <w:tcW w:w="64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7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20" w:type="dxa"/>
            <w:vAlign w:val="bottom"/>
            <w:gridSpan w:val="2"/>
            <w:shd w:val="clear" w:color="auto" w:fill="CCEEFF"/>
          </w:tcPr>
          <w:p>
            <w:pPr>
              <w:ind w:left="60"/>
              <w:spacing w:after="0"/>
              <w:rPr>
                <w:sz w:val="20"/>
                <w:szCs w:val="20"/>
                <w:color w:val="auto"/>
              </w:rPr>
            </w:pPr>
            <w:r>
              <w:rPr>
                <w:rFonts w:ascii="Arial" w:cs="Arial" w:eastAsia="Arial" w:hAnsi="Arial"/>
                <w:sz w:val="16"/>
                <w:szCs w:val="16"/>
                <w:color w:val="auto"/>
              </w:rPr>
              <w:t>$</w:t>
            </w:r>
          </w:p>
        </w:tc>
        <w:tc>
          <w:tcPr>
            <w:tcW w:w="340" w:type="dxa"/>
            <w:vAlign w:val="bottom"/>
            <w:shd w:val="clear" w:color="auto" w:fill="CCEEFF"/>
          </w:tcPr>
          <w:p>
            <w:pPr>
              <w:ind w:left="100"/>
              <w:spacing w:after="0"/>
              <w:rPr>
                <w:sz w:val="20"/>
                <w:szCs w:val="20"/>
                <w:color w:val="auto"/>
              </w:rPr>
            </w:pPr>
            <w:r>
              <w:rPr>
                <w:rFonts w:ascii="Arial" w:cs="Arial" w:eastAsia="Arial" w:hAnsi="Arial"/>
                <w:sz w:val="16"/>
                <w:szCs w:val="16"/>
                <w:color w:val="auto"/>
              </w:rPr>
              <w:t>—</w:t>
            </w:r>
          </w:p>
        </w:tc>
        <w:tc>
          <w:tcPr>
            <w:tcW w:w="200" w:type="dxa"/>
            <w:vAlign w:val="bottom"/>
            <w:gridSpan w:val="2"/>
            <w:shd w:val="clear" w:color="auto" w:fill="CCEEFF"/>
          </w:tcPr>
          <w:p>
            <w:pPr>
              <w:ind w:left="100"/>
              <w:spacing w:after="0"/>
              <w:rPr>
                <w:sz w:val="20"/>
                <w:szCs w:val="20"/>
                <w:color w:val="auto"/>
              </w:rPr>
            </w:pPr>
            <w:r>
              <w:rPr>
                <w:rFonts w:ascii="Arial" w:cs="Arial" w:eastAsia="Arial" w:hAnsi="Arial"/>
                <w:sz w:val="16"/>
                <w:szCs w:val="16"/>
                <w:color w:val="auto"/>
                <w:w w:val="89"/>
              </w:rPr>
              <w:t>$</w:t>
            </w:r>
          </w:p>
        </w:tc>
        <w:tc>
          <w:tcPr>
            <w:tcW w:w="70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20"/>
                <w:szCs w:val="20"/>
                <w:color w:val="auto"/>
              </w:rPr>
            </w:pPr>
            <w:r>
              <w:rPr>
                <w:rFonts w:ascii="Arial" w:cs="Arial" w:eastAsia="Arial" w:hAnsi="Arial"/>
                <w:sz w:val="16"/>
                <w:szCs w:val="16"/>
                <w:color w:val="auto"/>
              </w:rPr>
              <w:t>$</w:t>
            </w:r>
          </w:p>
        </w:tc>
        <w:tc>
          <w:tcPr>
            <w:tcW w:w="86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(109,855)</w:t>
            </w:r>
          </w:p>
        </w:tc>
        <w:tc>
          <w:tcPr>
            <w:tcW w:w="26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w:t>
            </w:r>
          </w:p>
        </w:tc>
        <w:tc>
          <w:tcPr>
            <w:tcW w:w="840" w:type="dxa"/>
            <w:vAlign w:val="bottom"/>
            <w:gridSpan w:val="2"/>
            <w:shd w:val="clear" w:color="auto" w:fill="CCEEFF"/>
          </w:tcPr>
          <w:p>
            <w:pPr>
              <w:ind w:left="440"/>
              <w:spacing w:after="0"/>
              <w:rPr>
                <w:sz w:val="20"/>
                <w:szCs w:val="20"/>
                <w:color w:val="auto"/>
              </w:rPr>
            </w:pPr>
            <w:r>
              <w:rPr>
                <w:rFonts w:ascii="Arial" w:cs="Arial" w:eastAsia="Arial" w:hAnsi="Arial"/>
                <w:sz w:val="16"/>
                <w:szCs w:val="16"/>
                <w:color w:val="auto"/>
              </w:rPr>
              <w:t>(131)</w:t>
            </w:r>
          </w:p>
        </w:tc>
        <w:tc>
          <w:tcPr>
            <w:tcW w:w="120" w:type="dxa"/>
            <w:vAlign w:val="bottom"/>
            <w:gridSpan w:val="2"/>
            <w:shd w:val="clear" w:color="auto" w:fill="CCEEFF"/>
          </w:tcPr>
          <w:p>
            <w:pPr>
              <w:jc w:val="right"/>
              <w:spacing w:after="0"/>
              <w:rPr>
                <w:sz w:val="20"/>
                <w:szCs w:val="20"/>
                <w:color w:val="auto"/>
              </w:rPr>
            </w:pPr>
            <w:r>
              <w:rPr>
                <w:rFonts w:ascii="Arial" w:cs="Arial" w:eastAsia="Arial" w:hAnsi="Arial"/>
                <w:sz w:val="16"/>
                <w:szCs w:val="16"/>
                <w:u w:val="single" w:color="auto"/>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1,195,563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26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left="3980"/>
        <w:spacing w:after="0"/>
        <w:rPr>
          <w:sz w:val="20"/>
          <w:szCs w:val="20"/>
          <w:color w:val="auto"/>
        </w:rPr>
      </w:pPr>
      <w:r>
        <w:rPr>
          <w:rFonts w:ascii="Arial" w:cs="Arial" w:eastAsia="Arial" w:hAnsi="Arial"/>
          <w:sz w:val="18"/>
          <w:szCs w:val="18"/>
          <w:color w:val="auto"/>
        </w:rPr>
        <w:t>See notes to consolidated financial statements</w:t>
      </w:r>
    </w:p>
    <w:p>
      <w:pPr>
        <w:spacing w:after="0" w:line="158"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F-11</w:t>
      </w:r>
    </w:p>
    <w:p>
      <w:pPr>
        <w:sectPr>
          <w:pgSz w:w="11900" w:h="16838" w:orient="portrait"/>
          <w:cols w:equalWidth="0" w:num="1">
            <w:col w:w="11140"/>
          </w:cols>
          <w:pgMar w:left="320" w:top="459" w:right="439" w:bottom="1440" w:gutter="0" w:footer="0" w:header="0"/>
        </w:sectPr>
      </w:pPr>
    </w:p>
    <w:bookmarkStart w:id="217" w:name="page218"/>
    <w:bookmarkEnd w:id="2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2">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Confidential Treatment Requested by Definitive Healthcare Corp.</w:t>
      </w:r>
    </w:p>
    <w:p>
      <w:pPr>
        <w:spacing w:after="0" w:line="27"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Pursuant to 17 C.F.R. Section 200.83</w:t>
      </w:r>
    </w:p>
    <w:p>
      <w:pPr>
        <w:spacing w:after="0" w:line="139"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AIDH TOPCO, LLC</w:t>
      </w:r>
    </w:p>
    <w:p>
      <w:pPr>
        <w:spacing w:after="0" w:line="22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21" w:lineRule="exact"/>
        <w:rPr>
          <w:sz w:val="20"/>
          <w:szCs w:val="20"/>
          <w:color w:val="auto"/>
        </w:rPr>
      </w:pPr>
    </w:p>
    <w:p>
      <w:pPr>
        <w:jc w:val="center"/>
        <w:ind w:right="-99"/>
        <w:spacing w:after="0"/>
        <w:rPr>
          <w:sz w:val="20"/>
          <w:szCs w:val="20"/>
          <w:color w:val="auto"/>
        </w:rPr>
      </w:pPr>
      <w:r>
        <w:rPr>
          <w:rFonts w:ascii="Arial" w:cs="Arial" w:eastAsia="Arial" w:hAnsi="Arial"/>
          <w:sz w:val="14"/>
          <w:szCs w:val="14"/>
          <w:i w:val="1"/>
          <w:iCs w:val="1"/>
          <w:color w:val="auto"/>
        </w:rPr>
        <w:t>(amounts in thousands)</w:t>
      </w:r>
    </w:p>
    <w:p>
      <w:pPr>
        <w:spacing w:after="0" w:line="202" w:lineRule="exact"/>
        <w:rPr>
          <w:sz w:val="20"/>
          <w:szCs w:val="20"/>
          <w:color w:val="auto"/>
        </w:rPr>
      </w:pPr>
    </w:p>
    <w:tbl>
      <w:tblPr>
        <w:tblLayout w:type="fixed"/>
        <w:tblInd w:w="120" w:type="dxa"/>
        <w:tblCellMar>
          <w:top w:w="0" w:type="dxa"/>
          <w:left w:w="0" w:type="dxa"/>
          <w:bottom w:w="0" w:type="dxa"/>
          <w:right w:w="0" w:type="dxa"/>
        </w:tblCellMar>
      </w:tblPr>
      <w:tr>
        <w:trPr>
          <w:trHeight w:val="35"/>
        </w:trPr>
        <w:tc>
          <w:tcPr>
            <w:tcW w:w="6860" w:type="dxa"/>
            <w:vAlign w:val="bottom"/>
          </w:tcPr>
          <w:p>
            <w:pPr>
              <w:spacing w:after="0"/>
              <w:rPr>
                <w:sz w:val="3"/>
                <w:szCs w:val="3"/>
                <w:color w:val="auto"/>
              </w:rPr>
            </w:pPr>
          </w:p>
        </w:tc>
        <w:tc>
          <w:tcPr>
            <w:tcW w:w="180" w:type="dxa"/>
            <w:vAlign w:val="bottom"/>
          </w:tcPr>
          <w:p>
            <w:pPr>
              <w:spacing w:after="0"/>
              <w:rPr>
                <w:sz w:val="3"/>
                <w:szCs w:val="3"/>
                <w:color w:val="auto"/>
              </w:rPr>
            </w:pPr>
          </w:p>
        </w:tc>
        <w:tc>
          <w:tcPr>
            <w:tcW w:w="2020" w:type="dxa"/>
            <w:vAlign w:val="bottom"/>
            <w:gridSpan w:val="4"/>
            <w:vMerge w:val="restart"/>
          </w:tcPr>
          <w:p>
            <w:pPr>
              <w:jc w:val="right"/>
              <w:ind w:right="391"/>
              <w:spacing w:after="0"/>
              <w:rPr>
                <w:sz w:val="20"/>
                <w:szCs w:val="20"/>
                <w:color w:val="auto"/>
              </w:rPr>
            </w:pPr>
            <w:r>
              <w:rPr>
                <w:rFonts w:ascii="Arial" w:cs="Arial" w:eastAsia="Arial" w:hAnsi="Arial"/>
                <w:sz w:val="14"/>
                <w:szCs w:val="14"/>
                <w:b w:val="1"/>
                <w:bCs w:val="1"/>
                <w:color w:val="auto"/>
              </w:rPr>
              <w:t>Successor Company</w:t>
            </w:r>
          </w:p>
        </w:tc>
        <w:tc>
          <w:tcPr>
            <w:tcW w:w="220" w:type="dxa"/>
            <w:vAlign w:val="bottom"/>
            <w:vMerge w:val="restart"/>
          </w:tcPr>
          <w:p>
            <w:pPr>
              <w:spacing w:after="0"/>
              <w:rPr>
                <w:sz w:val="3"/>
                <w:szCs w:val="3"/>
                <w:color w:val="auto"/>
              </w:rPr>
            </w:pPr>
          </w:p>
        </w:tc>
        <w:tc>
          <w:tcPr>
            <w:tcW w:w="4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14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w w:val="87"/>
              </w:rPr>
              <w:t>Predecessor</w:t>
            </w:r>
          </w:p>
        </w:tc>
        <w:tc>
          <w:tcPr>
            <w:tcW w:w="0" w:type="dxa"/>
            <w:vAlign w:val="bottom"/>
          </w:tcPr>
          <w:p>
            <w:pPr>
              <w:spacing w:after="0" w:line="20" w:lineRule="exact"/>
              <w:rPr>
                <w:sz w:val="1"/>
                <w:szCs w:val="1"/>
                <w:color w:val="auto"/>
              </w:rPr>
            </w:pPr>
          </w:p>
        </w:tc>
      </w:tr>
      <w:tr>
        <w:trPr>
          <w:trHeight w:val="126"/>
        </w:trPr>
        <w:tc>
          <w:tcPr>
            <w:tcW w:w="68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2020" w:type="dxa"/>
            <w:vAlign w:val="bottom"/>
            <w:gridSpan w:val="4"/>
            <w:vMerge w:val="continue"/>
          </w:tcPr>
          <w:p>
            <w:pPr>
              <w:spacing w:after="0"/>
              <w:rPr>
                <w:sz w:val="10"/>
                <w:szCs w:val="10"/>
                <w:color w:val="auto"/>
              </w:rPr>
            </w:pPr>
          </w:p>
        </w:tc>
        <w:tc>
          <w:tcPr>
            <w:tcW w:w="220" w:type="dxa"/>
            <w:vAlign w:val="bottom"/>
            <w:vMerge w:val="continue"/>
          </w:tcPr>
          <w:p>
            <w:pPr>
              <w:spacing w:after="0"/>
              <w:rPr>
                <w:sz w:val="10"/>
                <w:szCs w:val="10"/>
                <w:color w:val="auto"/>
              </w:rPr>
            </w:pPr>
          </w:p>
        </w:tc>
        <w:tc>
          <w:tcPr>
            <w:tcW w:w="480" w:type="dxa"/>
            <w:vAlign w:val="bottom"/>
            <w:tcBorders>
              <w:left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114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686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2020" w:type="dxa"/>
            <w:vAlign w:val="bottom"/>
            <w:tcBorders>
              <w:bottom w:val="single" w:sz="8" w:color="auto"/>
            </w:tcBorders>
            <w:gridSpan w:val="4"/>
            <w:vMerge w:val="continue"/>
          </w:tcPr>
          <w:p>
            <w:pPr>
              <w:spacing w:after="0"/>
              <w:rPr>
                <w:sz w:val="14"/>
                <w:szCs w:val="14"/>
                <w:color w:val="auto"/>
              </w:rPr>
            </w:pPr>
          </w:p>
        </w:tc>
        <w:tc>
          <w:tcPr>
            <w:tcW w:w="220" w:type="dxa"/>
            <w:vAlign w:val="bottom"/>
            <w:vMerge w:val="continue"/>
          </w:tcPr>
          <w:p>
            <w:pPr>
              <w:spacing w:after="0"/>
              <w:rPr>
                <w:sz w:val="14"/>
                <w:szCs w:val="14"/>
                <w:color w:val="auto"/>
              </w:rPr>
            </w:pPr>
          </w:p>
        </w:tc>
        <w:tc>
          <w:tcPr>
            <w:tcW w:w="480" w:type="dxa"/>
            <w:vAlign w:val="bottom"/>
            <w:tcBorders>
              <w:left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center"/>
              <w:ind w:right="12"/>
              <w:spacing w:after="0"/>
              <w:rPr>
                <w:sz w:val="20"/>
                <w:szCs w:val="20"/>
                <w:color w:val="auto"/>
              </w:rPr>
            </w:pPr>
            <w:r>
              <w:rPr>
                <w:rFonts w:ascii="Arial" w:cs="Arial" w:eastAsia="Arial" w:hAnsi="Arial"/>
                <w:sz w:val="14"/>
                <w:szCs w:val="14"/>
                <w:b w:val="1"/>
                <w:bCs w:val="1"/>
                <w:color w:val="auto"/>
                <w:w w:val="93"/>
              </w:rPr>
              <w:t>Company</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6860" w:type="dxa"/>
            <w:vAlign w:val="bottom"/>
          </w:tcPr>
          <w:p>
            <w:pPr>
              <w:spacing w:after="0"/>
              <w:rPr>
                <w:sz w:val="10"/>
                <w:szCs w:val="10"/>
                <w:color w:val="auto"/>
              </w:rPr>
            </w:pPr>
          </w:p>
        </w:tc>
        <w:tc>
          <w:tcPr>
            <w:tcW w:w="1240" w:type="dxa"/>
            <w:vAlign w:val="bottom"/>
            <w:gridSpan w:val="3"/>
            <w:vMerge w:val="restart"/>
          </w:tcPr>
          <w:p>
            <w:pPr>
              <w:jc w:val="right"/>
              <w:ind w:right="460"/>
              <w:spacing w:after="0"/>
              <w:rPr>
                <w:sz w:val="20"/>
                <w:szCs w:val="20"/>
                <w:color w:val="auto"/>
              </w:rPr>
            </w:pPr>
            <w:r>
              <w:rPr>
                <w:rFonts w:ascii="Arial" w:cs="Arial" w:eastAsia="Arial" w:hAnsi="Arial"/>
                <w:sz w:val="14"/>
                <w:szCs w:val="14"/>
                <w:b w:val="1"/>
                <w:bCs w:val="1"/>
                <w:color w:val="auto"/>
                <w:w w:val="98"/>
              </w:rPr>
              <w:t>Year Ended</w:t>
            </w:r>
          </w:p>
        </w:tc>
        <w:tc>
          <w:tcPr>
            <w:tcW w:w="100" w:type="dxa"/>
            <w:vAlign w:val="bottom"/>
          </w:tcPr>
          <w:p>
            <w:pPr>
              <w:spacing w:after="0"/>
              <w:rPr>
                <w:sz w:val="10"/>
                <w:szCs w:val="10"/>
                <w:color w:val="auto"/>
              </w:rPr>
            </w:pPr>
          </w:p>
        </w:tc>
        <w:tc>
          <w:tcPr>
            <w:tcW w:w="860" w:type="dxa"/>
            <w:vAlign w:val="bottom"/>
          </w:tcPr>
          <w:p>
            <w:pPr>
              <w:jc w:val="center"/>
              <w:spacing w:after="0" w:line="119" w:lineRule="exact"/>
              <w:rPr>
                <w:sz w:val="20"/>
                <w:szCs w:val="20"/>
                <w:color w:val="auto"/>
              </w:rPr>
            </w:pPr>
            <w:r>
              <w:rPr>
                <w:rFonts w:ascii="Arial" w:cs="Arial" w:eastAsia="Arial" w:hAnsi="Arial"/>
                <w:sz w:val="13"/>
                <w:szCs w:val="13"/>
                <w:b w:val="1"/>
                <w:bCs w:val="1"/>
                <w:color w:val="auto"/>
              </w:rPr>
              <w:t>Period from</w:t>
            </w:r>
          </w:p>
        </w:tc>
        <w:tc>
          <w:tcPr>
            <w:tcW w:w="220" w:type="dxa"/>
            <w:vAlign w:val="bottom"/>
          </w:tcPr>
          <w:p>
            <w:pPr>
              <w:spacing w:after="0"/>
              <w:rPr>
                <w:sz w:val="10"/>
                <w:szCs w:val="10"/>
                <w:color w:val="auto"/>
              </w:rPr>
            </w:pPr>
          </w:p>
        </w:tc>
        <w:tc>
          <w:tcPr>
            <w:tcW w:w="480" w:type="dxa"/>
            <w:vAlign w:val="bottom"/>
            <w:tcBorders>
              <w:left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114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w w:val="94"/>
              </w:rPr>
              <w:t>Period from</w:t>
            </w:r>
          </w:p>
        </w:tc>
        <w:tc>
          <w:tcPr>
            <w:tcW w:w="0" w:type="dxa"/>
            <w:vAlign w:val="bottom"/>
          </w:tcPr>
          <w:p>
            <w:pPr>
              <w:spacing w:after="0"/>
              <w:rPr>
                <w:sz w:val="1"/>
                <w:szCs w:val="1"/>
                <w:color w:val="auto"/>
              </w:rPr>
            </w:pPr>
          </w:p>
        </w:tc>
      </w:tr>
      <w:tr>
        <w:trPr>
          <w:trHeight w:val="148"/>
        </w:trPr>
        <w:tc>
          <w:tcPr>
            <w:tcW w:w="6860" w:type="dxa"/>
            <w:vAlign w:val="bottom"/>
          </w:tcPr>
          <w:p>
            <w:pPr>
              <w:spacing w:after="0"/>
              <w:rPr>
                <w:sz w:val="12"/>
                <w:szCs w:val="12"/>
                <w:color w:val="auto"/>
              </w:rPr>
            </w:pPr>
          </w:p>
        </w:tc>
        <w:tc>
          <w:tcPr>
            <w:tcW w:w="1240" w:type="dxa"/>
            <w:vAlign w:val="bottom"/>
            <w:gridSpan w:val="3"/>
            <w:vMerge w:val="continue"/>
          </w:tcPr>
          <w:p>
            <w:pPr>
              <w:spacing w:after="0"/>
              <w:rPr>
                <w:sz w:val="12"/>
                <w:szCs w:val="12"/>
                <w:color w:val="auto"/>
              </w:rPr>
            </w:pPr>
          </w:p>
        </w:tc>
        <w:tc>
          <w:tcPr>
            <w:tcW w:w="1180" w:type="dxa"/>
            <w:vAlign w:val="bottom"/>
            <w:gridSpan w:val="3"/>
          </w:tcPr>
          <w:p>
            <w:pPr>
              <w:jc w:val="center"/>
              <w:ind w:right="220"/>
              <w:spacing w:after="0" w:line="149" w:lineRule="exact"/>
              <w:rPr>
                <w:sz w:val="20"/>
                <w:szCs w:val="20"/>
                <w:color w:val="auto"/>
              </w:rPr>
            </w:pPr>
            <w:r>
              <w:rPr>
                <w:rFonts w:ascii="Arial" w:cs="Arial" w:eastAsia="Arial" w:hAnsi="Arial"/>
                <w:sz w:val="14"/>
                <w:szCs w:val="14"/>
                <w:b w:val="1"/>
                <w:bCs w:val="1"/>
                <w:color w:val="auto"/>
                <w:w w:val="92"/>
              </w:rPr>
              <w:t>July 16, 2019 to</w:t>
            </w:r>
          </w:p>
        </w:tc>
        <w:tc>
          <w:tcPr>
            <w:tcW w:w="480" w:type="dxa"/>
            <w:vAlign w:val="bottom"/>
            <w:tcBorders>
              <w:left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114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6860" w:type="dxa"/>
            <w:vAlign w:val="bottom"/>
          </w:tcPr>
          <w:p>
            <w:pPr>
              <w:spacing w:after="0"/>
              <w:rPr>
                <w:sz w:val="12"/>
                <w:szCs w:val="12"/>
                <w:color w:val="auto"/>
              </w:rPr>
            </w:pPr>
          </w:p>
        </w:tc>
        <w:tc>
          <w:tcPr>
            <w:tcW w:w="124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December 31,</w:t>
            </w:r>
          </w:p>
        </w:tc>
        <w:tc>
          <w:tcPr>
            <w:tcW w:w="1180" w:type="dxa"/>
            <w:vAlign w:val="bottom"/>
            <w:gridSpan w:val="3"/>
          </w:tcPr>
          <w:p>
            <w:pPr>
              <w:jc w:val="center"/>
              <w:ind w:right="220"/>
              <w:spacing w:after="0" w:line="149" w:lineRule="exact"/>
              <w:rPr>
                <w:sz w:val="20"/>
                <w:szCs w:val="20"/>
                <w:color w:val="auto"/>
              </w:rPr>
            </w:pPr>
            <w:r>
              <w:rPr>
                <w:rFonts w:ascii="Arial" w:cs="Arial" w:eastAsia="Arial" w:hAnsi="Arial"/>
                <w:sz w:val="14"/>
                <w:szCs w:val="14"/>
                <w:b w:val="1"/>
                <w:bCs w:val="1"/>
                <w:color w:val="auto"/>
                <w:w w:val="92"/>
              </w:rPr>
              <w:t>December 31,</w:t>
            </w:r>
          </w:p>
        </w:tc>
        <w:tc>
          <w:tcPr>
            <w:tcW w:w="480" w:type="dxa"/>
            <w:vAlign w:val="bottom"/>
            <w:tcBorders>
              <w:left w:val="single" w:sz="8" w:color="auto"/>
            </w:tcBorders>
          </w:tcPr>
          <w:p>
            <w:pPr>
              <w:spacing w:after="0"/>
              <w:rPr>
                <w:sz w:val="12"/>
                <w:szCs w:val="12"/>
                <w:color w:val="auto"/>
              </w:rPr>
            </w:pPr>
          </w:p>
        </w:tc>
        <w:tc>
          <w:tcPr>
            <w:tcW w:w="1260" w:type="dxa"/>
            <w:vAlign w:val="bottom"/>
            <w:gridSpan w:val="3"/>
          </w:tcPr>
          <w:p>
            <w:pPr>
              <w:jc w:val="center"/>
              <w:ind w:right="120"/>
              <w:spacing w:after="0" w:line="149" w:lineRule="exact"/>
              <w:rPr>
                <w:sz w:val="20"/>
                <w:szCs w:val="20"/>
                <w:color w:val="auto"/>
              </w:rPr>
            </w:pPr>
            <w:r>
              <w:rPr>
                <w:rFonts w:ascii="Arial" w:cs="Arial" w:eastAsia="Arial" w:hAnsi="Arial"/>
                <w:sz w:val="14"/>
                <w:szCs w:val="14"/>
                <w:b w:val="1"/>
                <w:bCs w:val="1"/>
                <w:color w:val="auto"/>
                <w:w w:val="93"/>
              </w:rPr>
              <w:t>January 1, 2019 to</w:t>
            </w:r>
          </w:p>
        </w:tc>
        <w:tc>
          <w:tcPr>
            <w:tcW w:w="0" w:type="dxa"/>
            <w:vAlign w:val="bottom"/>
          </w:tcPr>
          <w:p>
            <w:pPr>
              <w:spacing w:after="0"/>
              <w:rPr>
                <w:sz w:val="1"/>
                <w:szCs w:val="1"/>
                <w:color w:val="auto"/>
              </w:rPr>
            </w:pPr>
          </w:p>
        </w:tc>
      </w:tr>
      <w:tr>
        <w:trPr>
          <w:trHeight w:val="171"/>
        </w:trPr>
        <w:tc>
          <w:tcPr>
            <w:tcW w:w="68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60" w:type="dxa"/>
            <w:vAlign w:val="bottom"/>
          </w:tcPr>
          <w:p>
            <w:pPr>
              <w:jc w:val="right"/>
              <w:ind w:right="191"/>
              <w:spacing w:after="0"/>
              <w:rPr>
                <w:sz w:val="20"/>
                <w:szCs w:val="20"/>
                <w:color w:val="auto"/>
              </w:rPr>
            </w:pPr>
            <w:r>
              <w:rPr>
                <w:rFonts w:ascii="Arial" w:cs="Arial" w:eastAsia="Arial" w:hAnsi="Arial"/>
                <w:sz w:val="14"/>
                <w:szCs w:val="14"/>
                <w:b w:val="1"/>
                <w:bCs w:val="1"/>
                <w:color w:val="auto"/>
              </w:rPr>
              <w:t>2020</w:t>
            </w:r>
          </w:p>
        </w:tc>
        <w:tc>
          <w:tcPr>
            <w:tcW w:w="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tcPr>
          <w:p>
            <w:pPr>
              <w:jc w:val="center"/>
              <w:ind w:right="11"/>
              <w:spacing w:after="0"/>
              <w:rPr>
                <w:sz w:val="20"/>
                <w:szCs w:val="20"/>
                <w:color w:val="auto"/>
              </w:rPr>
            </w:pPr>
            <w:r>
              <w:rPr>
                <w:rFonts w:ascii="Arial" w:cs="Arial" w:eastAsia="Arial" w:hAnsi="Arial"/>
                <w:sz w:val="14"/>
                <w:szCs w:val="14"/>
                <w:b w:val="1"/>
                <w:bCs w:val="1"/>
                <w:color w:val="auto"/>
                <w:w w:val="89"/>
              </w:rPr>
              <w:t>2019</w:t>
            </w:r>
          </w:p>
        </w:tc>
        <w:tc>
          <w:tcPr>
            <w:tcW w:w="220" w:type="dxa"/>
            <w:vAlign w:val="bottom"/>
          </w:tcPr>
          <w:p>
            <w:pPr>
              <w:spacing w:after="0"/>
              <w:rPr>
                <w:sz w:val="14"/>
                <w:szCs w:val="14"/>
                <w:color w:val="auto"/>
              </w:rPr>
            </w:pPr>
          </w:p>
        </w:tc>
        <w:tc>
          <w:tcPr>
            <w:tcW w:w="480" w:type="dxa"/>
            <w:vAlign w:val="bottom"/>
            <w:tcBorders>
              <w:left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11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4"/>
              </w:rPr>
              <w:t>July 15, 2019</w:t>
            </w:r>
          </w:p>
        </w:tc>
        <w:tc>
          <w:tcPr>
            <w:tcW w:w="0" w:type="dxa"/>
            <w:vAlign w:val="bottom"/>
          </w:tcPr>
          <w:p>
            <w:pPr>
              <w:spacing w:after="0"/>
              <w:rPr>
                <w:sz w:val="1"/>
                <w:szCs w:val="1"/>
                <w:color w:val="auto"/>
              </w:rPr>
            </w:pPr>
          </w:p>
        </w:tc>
      </w:tr>
      <w:tr>
        <w:trPr>
          <w:trHeight w:val="196"/>
        </w:trPr>
        <w:tc>
          <w:tcPr>
            <w:tcW w:w="686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Cash flows provided by (used in) operating activities:</w:t>
            </w:r>
          </w:p>
        </w:tc>
        <w:tc>
          <w:tcPr>
            <w:tcW w:w="180" w:type="dxa"/>
            <w:vAlign w:val="bottom"/>
            <w:tcBorders>
              <w:top w:val="single" w:sz="8" w:color="auto"/>
            </w:tcBorders>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spacing w:after="0"/>
              <w:rPr>
                <w:sz w:val="17"/>
                <w:szCs w:val="17"/>
                <w:color w:val="auto"/>
              </w:rPr>
            </w:pPr>
          </w:p>
        </w:tc>
        <w:tc>
          <w:tcPr>
            <w:tcW w:w="4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86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480" w:type="dxa"/>
            <w:vAlign w:val="bottom"/>
            <w:tcBorders>
              <w:top w:val="single" w:sz="8" w:color="CCEEFF"/>
              <w:left w:val="single" w:sz="8" w:color="auto"/>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102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860" w:type="dxa"/>
            <w:vAlign w:val="bottom"/>
          </w:tcPr>
          <w:p>
            <w:pPr>
              <w:ind w:left="360"/>
              <w:spacing w:after="0"/>
              <w:rPr>
                <w:sz w:val="20"/>
                <w:szCs w:val="20"/>
                <w:color w:val="auto"/>
              </w:rPr>
            </w:pPr>
            <w:r>
              <w:rPr>
                <w:rFonts w:ascii="Arial" w:cs="Arial" w:eastAsia="Arial" w:hAnsi="Arial"/>
                <w:sz w:val="18"/>
                <w:szCs w:val="18"/>
                <w:color w:val="auto"/>
              </w:rPr>
              <w:t>Net (loss) income</w:t>
            </w: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340"/>
              <w:spacing w:after="0"/>
              <w:rPr>
                <w:sz w:val="20"/>
                <w:szCs w:val="20"/>
                <w:color w:val="auto"/>
              </w:rPr>
            </w:pPr>
            <w:r>
              <w:rPr>
                <w:rFonts w:ascii="Arial" w:cs="Arial" w:eastAsia="Arial" w:hAnsi="Arial"/>
                <w:sz w:val="18"/>
                <w:szCs w:val="18"/>
                <w:color w:val="auto"/>
              </w:rPr>
              <w:t>(51,157)</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80" w:type="dxa"/>
            <w:vAlign w:val="bottom"/>
            <w:gridSpan w:val="2"/>
          </w:tcPr>
          <w:p>
            <w:pPr>
              <w:jc w:val="right"/>
              <w:ind w:right="160"/>
              <w:spacing w:after="0"/>
              <w:rPr>
                <w:sz w:val="20"/>
                <w:szCs w:val="20"/>
                <w:color w:val="auto"/>
              </w:rPr>
            </w:pPr>
            <w:r>
              <w:rPr>
                <w:rFonts w:ascii="Arial" w:cs="Arial" w:eastAsia="Arial" w:hAnsi="Arial"/>
                <w:sz w:val="18"/>
                <w:szCs w:val="18"/>
                <w:color w:val="auto"/>
              </w:rPr>
              <w:t>(49,266)</w:t>
            </w:r>
          </w:p>
        </w:tc>
        <w:tc>
          <w:tcPr>
            <w:tcW w:w="600" w:type="dxa"/>
            <w:vAlign w:val="bottom"/>
            <w:tcBorders>
              <w:left w:val="single" w:sz="8" w:color="auto"/>
            </w:tcBorders>
            <w:gridSpan w:val="2"/>
          </w:tcPr>
          <w:p>
            <w:pPr>
              <w:jc w:val="right"/>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120"/>
              <w:spacing w:after="0"/>
              <w:rPr>
                <w:sz w:val="20"/>
                <w:szCs w:val="20"/>
                <w:color w:val="auto"/>
              </w:rPr>
            </w:pPr>
            <w:r>
              <w:rPr>
                <w:rFonts w:ascii="Arial" w:cs="Arial" w:eastAsia="Arial" w:hAnsi="Arial"/>
                <w:sz w:val="18"/>
                <w:szCs w:val="18"/>
                <w:color w:val="auto"/>
              </w:rPr>
              <w:t>12,868</w:t>
            </w:r>
          </w:p>
        </w:tc>
        <w:tc>
          <w:tcPr>
            <w:tcW w:w="0" w:type="dxa"/>
            <w:vAlign w:val="bottom"/>
          </w:tcPr>
          <w:p>
            <w:pPr>
              <w:spacing w:after="0"/>
              <w:rPr>
                <w:sz w:val="1"/>
                <w:szCs w:val="1"/>
                <w:color w:val="auto"/>
              </w:rPr>
            </w:pPr>
          </w:p>
        </w:tc>
      </w:tr>
      <w:tr>
        <w:trPr>
          <w:trHeight w:val="202"/>
        </w:trPr>
        <w:tc>
          <w:tcPr>
            <w:tcW w:w="686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9"/>
              </w:rPr>
              <w:t>Adjustments to reconcile net (loss) income to net cash provided by (used in) operating</w:t>
            </w:r>
          </w:p>
        </w:tc>
        <w:tc>
          <w:tcPr>
            <w:tcW w:w="1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480" w:type="dxa"/>
            <w:vAlign w:val="bottom"/>
            <w:tcBorders>
              <w:left w:val="single" w:sz="8" w:color="auto"/>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68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activities:</w:t>
            </w:r>
          </w:p>
        </w:tc>
        <w:tc>
          <w:tcPr>
            <w:tcW w:w="180" w:type="dxa"/>
            <w:vAlign w:val="bottom"/>
            <w:shd w:val="clear" w:color="auto" w:fill="CCEEFF"/>
          </w:tcPr>
          <w:p>
            <w:pPr>
              <w:spacing w:after="0"/>
              <w:rPr>
                <w:sz w:val="20"/>
                <w:szCs w:val="20"/>
                <w:color w:val="auto"/>
              </w:rPr>
            </w:pPr>
          </w:p>
        </w:tc>
        <w:tc>
          <w:tcPr>
            <w:tcW w:w="66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6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480" w:type="dxa"/>
            <w:vAlign w:val="bottom"/>
            <w:tcBorders>
              <w:left w:val="single" w:sz="8" w:color="auto"/>
            </w:tcBorders>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6860" w:type="dxa"/>
            <w:vAlign w:val="bottom"/>
          </w:tcPr>
          <w:p>
            <w:pPr>
              <w:ind w:left="1080"/>
              <w:spacing w:after="0"/>
              <w:rPr>
                <w:sz w:val="20"/>
                <w:szCs w:val="20"/>
                <w:color w:val="auto"/>
              </w:rPr>
            </w:pPr>
            <w:r>
              <w:rPr>
                <w:rFonts w:ascii="Arial" w:cs="Arial" w:eastAsia="Arial" w:hAnsi="Arial"/>
                <w:sz w:val="18"/>
                <w:szCs w:val="18"/>
                <w:color w:val="auto"/>
              </w:rPr>
              <w:t>Depreciation and amortization</w:t>
            </w:r>
          </w:p>
        </w:tc>
        <w:tc>
          <w:tcPr>
            <w:tcW w:w="180" w:type="dxa"/>
            <w:vAlign w:val="bottom"/>
          </w:tcPr>
          <w:p>
            <w:pPr>
              <w:spacing w:after="0"/>
              <w:rPr>
                <w:sz w:val="18"/>
                <w:szCs w:val="18"/>
                <w:color w:val="auto"/>
              </w:rPr>
            </w:pPr>
          </w:p>
        </w:tc>
        <w:tc>
          <w:tcPr>
            <w:tcW w:w="1060" w:type="dxa"/>
            <w:vAlign w:val="bottom"/>
            <w:gridSpan w:val="2"/>
          </w:tcPr>
          <w:p>
            <w:pPr>
              <w:jc w:val="right"/>
              <w:ind w:right="400"/>
              <w:spacing w:after="0"/>
              <w:rPr>
                <w:sz w:val="20"/>
                <w:szCs w:val="20"/>
                <w:color w:val="auto"/>
              </w:rPr>
            </w:pPr>
            <w:r>
              <w:rPr>
                <w:rFonts w:ascii="Arial" w:cs="Arial" w:eastAsia="Arial" w:hAnsi="Arial"/>
                <w:sz w:val="18"/>
                <w:szCs w:val="18"/>
                <w:color w:val="auto"/>
              </w:rPr>
              <w:t>1,152</w:t>
            </w:r>
          </w:p>
        </w:tc>
        <w:tc>
          <w:tcPr>
            <w:tcW w:w="10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456</w:t>
            </w:r>
          </w:p>
        </w:tc>
        <w:tc>
          <w:tcPr>
            <w:tcW w:w="480" w:type="dxa"/>
            <w:vAlign w:val="bottom"/>
            <w:tcBorders>
              <w:left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gridSpan w:val="2"/>
          </w:tcPr>
          <w:p>
            <w:pPr>
              <w:jc w:val="right"/>
              <w:ind w:right="120"/>
              <w:spacing w:after="0"/>
              <w:rPr>
                <w:sz w:val="20"/>
                <w:szCs w:val="20"/>
                <w:color w:val="auto"/>
              </w:rPr>
            </w:pPr>
            <w:r>
              <w:rPr>
                <w:rFonts w:ascii="Arial" w:cs="Arial" w:eastAsia="Arial" w:hAnsi="Arial"/>
                <w:sz w:val="18"/>
                <w:szCs w:val="18"/>
                <w:color w:val="auto"/>
              </w:rPr>
              <w:t>423</w:t>
            </w:r>
          </w:p>
        </w:tc>
        <w:tc>
          <w:tcPr>
            <w:tcW w:w="0" w:type="dxa"/>
            <w:vAlign w:val="bottom"/>
          </w:tcPr>
          <w:p>
            <w:pPr>
              <w:spacing w:after="0"/>
              <w:rPr>
                <w:sz w:val="1"/>
                <w:szCs w:val="1"/>
                <w:color w:val="auto"/>
              </w:rPr>
            </w:pPr>
          </w:p>
        </w:tc>
      </w:tr>
      <w:tr>
        <w:trPr>
          <w:trHeight w:val="216"/>
        </w:trPr>
        <w:tc>
          <w:tcPr>
            <w:tcW w:w="6860" w:type="dxa"/>
            <w:vAlign w:val="bottom"/>
            <w:shd w:val="clear" w:color="auto" w:fill="CCEEFF"/>
          </w:tcPr>
          <w:p>
            <w:pPr>
              <w:ind w:left="1080"/>
              <w:spacing w:after="0"/>
              <w:rPr>
                <w:sz w:val="20"/>
                <w:szCs w:val="20"/>
                <w:color w:val="auto"/>
              </w:rPr>
            </w:pPr>
            <w:r>
              <w:rPr>
                <w:rFonts w:ascii="Arial" w:cs="Arial" w:eastAsia="Arial" w:hAnsi="Arial"/>
                <w:sz w:val="18"/>
                <w:szCs w:val="18"/>
                <w:color w:val="auto"/>
              </w:rPr>
              <w:t>Amortization of intangible assets</w:t>
            </w:r>
          </w:p>
        </w:tc>
        <w:tc>
          <w:tcPr>
            <w:tcW w:w="1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58,429</w:t>
            </w: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30,617</w:t>
            </w:r>
          </w:p>
        </w:tc>
        <w:tc>
          <w:tcPr>
            <w:tcW w:w="480" w:type="dxa"/>
            <w:vAlign w:val="bottom"/>
            <w:tcBorders>
              <w:left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2,042</w:t>
            </w:r>
          </w:p>
        </w:tc>
        <w:tc>
          <w:tcPr>
            <w:tcW w:w="0" w:type="dxa"/>
            <w:vAlign w:val="bottom"/>
          </w:tcPr>
          <w:p>
            <w:pPr>
              <w:spacing w:after="0"/>
              <w:rPr>
                <w:sz w:val="1"/>
                <w:szCs w:val="1"/>
                <w:color w:val="auto"/>
              </w:rPr>
            </w:pPr>
          </w:p>
        </w:tc>
      </w:tr>
      <w:tr>
        <w:trPr>
          <w:trHeight w:val="216"/>
        </w:trPr>
        <w:tc>
          <w:tcPr>
            <w:tcW w:w="6860" w:type="dxa"/>
            <w:vAlign w:val="bottom"/>
          </w:tcPr>
          <w:p>
            <w:pPr>
              <w:ind w:left="1080"/>
              <w:spacing w:after="0"/>
              <w:rPr>
                <w:sz w:val="20"/>
                <w:szCs w:val="20"/>
                <w:color w:val="auto"/>
              </w:rPr>
            </w:pPr>
            <w:r>
              <w:rPr>
                <w:rFonts w:ascii="Arial" w:cs="Arial" w:eastAsia="Arial" w:hAnsi="Arial"/>
                <w:sz w:val="18"/>
                <w:szCs w:val="18"/>
                <w:color w:val="auto"/>
              </w:rPr>
              <w:t>Amortization of deferred contract costs</w:t>
            </w:r>
          </w:p>
        </w:tc>
        <w:tc>
          <w:tcPr>
            <w:tcW w:w="180" w:type="dxa"/>
            <w:vAlign w:val="bottom"/>
          </w:tcPr>
          <w:p>
            <w:pPr>
              <w:spacing w:after="0"/>
              <w:rPr>
                <w:sz w:val="18"/>
                <w:szCs w:val="18"/>
                <w:color w:val="auto"/>
              </w:rPr>
            </w:pPr>
          </w:p>
        </w:tc>
        <w:tc>
          <w:tcPr>
            <w:tcW w:w="1060" w:type="dxa"/>
            <w:vAlign w:val="bottom"/>
            <w:gridSpan w:val="2"/>
          </w:tcPr>
          <w:p>
            <w:pPr>
              <w:jc w:val="right"/>
              <w:ind w:right="400"/>
              <w:spacing w:after="0"/>
              <w:rPr>
                <w:sz w:val="20"/>
                <w:szCs w:val="20"/>
                <w:color w:val="auto"/>
              </w:rPr>
            </w:pPr>
            <w:r>
              <w:rPr>
                <w:rFonts w:ascii="Arial" w:cs="Arial" w:eastAsia="Arial" w:hAnsi="Arial"/>
                <w:sz w:val="18"/>
                <w:szCs w:val="18"/>
                <w:color w:val="auto"/>
              </w:rPr>
              <w:t>1,671</w:t>
            </w:r>
          </w:p>
        </w:tc>
        <w:tc>
          <w:tcPr>
            <w:tcW w:w="10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189</w:t>
            </w:r>
          </w:p>
        </w:tc>
        <w:tc>
          <w:tcPr>
            <w:tcW w:w="480" w:type="dxa"/>
            <w:vAlign w:val="bottom"/>
            <w:tcBorders>
              <w:left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gridSpan w:val="2"/>
          </w:tcPr>
          <w:p>
            <w:pPr>
              <w:jc w:val="right"/>
              <w:ind w:right="120"/>
              <w:spacing w:after="0"/>
              <w:rPr>
                <w:sz w:val="20"/>
                <w:szCs w:val="20"/>
                <w:color w:val="auto"/>
              </w:rPr>
            </w:pPr>
            <w:r>
              <w:rPr>
                <w:rFonts w:ascii="Arial" w:cs="Arial" w:eastAsia="Arial" w:hAnsi="Arial"/>
                <w:sz w:val="18"/>
                <w:szCs w:val="18"/>
                <w:color w:val="auto"/>
              </w:rPr>
              <w:t>824</w:t>
            </w:r>
          </w:p>
        </w:tc>
        <w:tc>
          <w:tcPr>
            <w:tcW w:w="0" w:type="dxa"/>
            <w:vAlign w:val="bottom"/>
          </w:tcPr>
          <w:p>
            <w:pPr>
              <w:spacing w:after="0"/>
              <w:rPr>
                <w:sz w:val="1"/>
                <w:szCs w:val="1"/>
                <w:color w:val="auto"/>
              </w:rPr>
            </w:pPr>
          </w:p>
        </w:tc>
      </w:tr>
      <w:tr>
        <w:trPr>
          <w:trHeight w:val="216"/>
        </w:trPr>
        <w:tc>
          <w:tcPr>
            <w:tcW w:w="6860" w:type="dxa"/>
            <w:vAlign w:val="bottom"/>
            <w:shd w:val="clear" w:color="auto" w:fill="CCEEFF"/>
          </w:tcPr>
          <w:p>
            <w:pPr>
              <w:ind w:left="1080"/>
              <w:spacing w:after="0"/>
              <w:rPr>
                <w:sz w:val="20"/>
                <w:szCs w:val="20"/>
                <w:color w:val="auto"/>
              </w:rPr>
            </w:pPr>
            <w:r>
              <w:rPr>
                <w:rFonts w:ascii="Arial" w:cs="Arial" w:eastAsia="Arial" w:hAnsi="Arial"/>
                <w:sz w:val="18"/>
                <w:szCs w:val="18"/>
                <w:color w:val="auto"/>
              </w:rPr>
              <w:t>Unit-based compensation</w:t>
            </w:r>
          </w:p>
        </w:tc>
        <w:tc>
          <w:tcPr>
            <w:tcW w:w="1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1,747</w:t>
            </w: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744</w:t>
            </w:r>
          </w:p>
        </w:tc>
        <w:tc>
          <w:tcPr>
            <w:tcW w:w="480" w:type="dxa"/>
            <w:vAlign w:val="bottom"/>
            <w:tcBorders>
              <w:left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5,807</w:t>
            </w:r>
          </w:p>
        </w:tc>
        <w:tc>
          <w:tcPr>
            <w:tcW w:w="0" w:type="dxa"/>
            <w:vAlign w:val="bottom"/>
          </w:tcPr>
          <w:p>
            <w:pPr>
              <w:spacing w:after="0"/>
              <w:rPr>
                <w:sz w:val="1"/>
                <w:szCs w:val="1"/>
                <w:color w:val="auto"/>
              </w:rPr>
            </w:pPr>
          </w:p>
        </w:tc>
      </w:tr>
      <w:tr>
        <w:trPr>
          <w:trHeight w:val="216"/>
        </w:trPr>
        <w:tc>
          <w:tcPr>
            <w:tcW w:w="6860" w:type="dxa"/>
            <w:vAlign w:val="bottom"/>
          </w:tcPr>
          <w:p>
            <w:pPr>
              <w:ind w:left="1080"/>
              <w:spacing w:after="0"/>
              <w:rPr>
                <w:sz w:val="20"/>
                <w:szCs w:val="20"/>
                <w:color w:val="auto"/>
              </w:rPr>
            </w:pPr>
            <w:r>
              <w:rPr>
                <w:rFonts w:ascii="Arial" w:cs="Arial" w:eastAsia="Arial" w:hAnsi="Arial"/>
                <w:sz w:val="18"/>
                <w:szCs w:val="18"/>
                <w:color w:val="auto"/>
              </w:rPr>
              <w:t>Noncash paid in kind interest expense</w:t>
            </w:r>
          </w:p>
        </w:tc>
        <w:tc>
          <w:tcPr>
            <w:tcW w:w="180" w:type="dxa"/>
            <w:vAlign w:val="bottom"/>
          </w:tcPr>
          <w:p>
            <w:pPr>
              <w:spacing w:after="0"/>
              <w:rPr>
                <w:sz w:val="18"/>
                <w:szCs w:val="18"/>
                <w:color w:val="auto"/>
              </w:rPr>
            </w:pPr>
          </w:p>
        </w:tc>
        <w:tc>
          <w:tcPr>
            <w:tcW w:w="1060" w:type="dxa"/>
            <w:vAlign w:val="bottom"/>
            <w:gridSpan w:val="2"/>
          </w:tcPr>
          <w:p>
            <w:pPr>
              <w:jc w:val="right"/>
              <w:ind w:right="400"/>
              <w:spacing w:after="0"/>
              <w:rPr>
                <w:sz w:val="20"/>
                <w:szCs w:val="20"/>
                <w:color w:val="auto"/>
              </w:rPr>
            </w:pPr>
            <w:r>
              <w:rPr>
                <w:rFonts w:ascii="Arial" w:cs="Arial" w:eastAsia="Arial" w:hAnsi="Arial"/>
                <w:sz w:val="18"/>
                <w:szCs w:val="18"/>
                <w:color w:val="auto"/>
              </w:rPr>
              <w:t>7,371</w:t>
            </w:r>
          </w:p>
        </w:tc>
        <w:tc>
          <w:tcPr>
            <w:tcW w:w="10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3,041</w:t>
            </w:r>
          </w:p>
        </w:tc>
        <w:tc>
          <w:tcPr>
            <w:tcW w:w="480" w:type="dxa"/>
            <w:vAlign w:val="bottom"/>
            <w:tcBorders>
              <w:left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860" w:type="dxa"/>
            <w:vAlign w:val="bottom"/>
            <w:shd w:val="clear" w:color="auto" w:fill="CCEEFF"/>
          </w:tcPr>
          <w:p>
            <w:pPr>
              <w:ind w:left="1080"/>
              <w:spacing w:after="0"/>
              <w:rPr>
                <w:sz w:val="20"/>
                <w:szCs w:val="20"/>
                <w:color w:val="auto"/>
              </w:rPr>
            </w:pPr>
            <w:r>
              <w:rPr>
                <w:rFonts w:ascii="Arial" w:cs="Arial" w:eastAsia="Arial" w:hAnsi="Arial"/>
                <w:sz w:val="18"/>
                <w:szCs w:val="18"/>
                <w:color w:val="auto"/>
              </w:rPr>
              <w:t>Amortization of debt issuance costs</w:t>
            </w:r>
          </w:p>
        </w:tc>
        <w:tc>
          <w:tcPr>
            <w:tcW w:w="1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2,061</w:t>
            </w: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1,082</w:t>
            </w:r>
          </w:p>
        </w:tc>
        <w:tc>
          <w:tcPr>
            <w:tcW w:w="480" w:type="dxa"/>
            <w:vAlign w:val="bottom"/>
            <w:tcBorders>
              <w:left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860" w:type="dxa"/>
            <w:vAlign w:val="bottom"/>
          </w:tcPr>
          <w:p>
            <w:pPr>
              <w:ind w:left="1080"/>
              <w:spacing w:after="0"/>
              <w:rPr>
                <w:sz w:val="20"/>
                <w:szCs w:val="20"/>
                <w:color w:val="auto"/>
              </w:rPr>
            </w:pPr>
            <w:r>
              <w:rPr>
                <w:rFonts w:ascii="Arial" w:cs="Arial" w:eastAsia="Arial" w:hAnsi="Arial"/>
                <w:sz w:val="18"/>
                <w:szCs w:val="18"/>
                <w:color w:val="auto"/>
              </w:rPr>
              <w:t>Changes in fair value of contingent consideration</w:t>
            </w:r>
          </w:p>
        </w:tc>
        <w:tc>
          <w:tcPr>
            <w:tcW w:w="180" w:type="dxa"/>
            <w:vAlign w:val="bottom"/>
          </w:tcPr>
          <w:p>
            <w:pPr>
              <w:spacing w:after="0"/>
              <w:rPr>
                <w:sz w:val="18"/>
                <w:szCs w:val="18"/>
                <w:color w:val="auto"/>
              </w:rPr>
            </w:pPr>
          </w:p>
        </w:tc>
        <w:tc>
          <w:tcPr>
            <w:tcW w:w="1060" w:type="dxa"/>
            <w:vAlign w:val="bottom"/>
            <w:gridSpan w:val="2"/>
          </w:tcPr>
          <w:p>
            <w:pPr>
              <w:jc w:val="right"/>
              <w:ind w:right="400"/>
              <w:spacing w:after="0"/>
              <w:rPr>
                <w:sz w:val="20"/>
                <w:szCs w:val="20"/>
                <w:color w:val="auto"/>
              </w:rPr>
            </w:pPr>
            <w:r>
              <w:rPr>
                <w:rFonts w:ascii="Arial" w:cs="Arial" w:eastAsia="Arial" w:hAnsi="Arial"/>
                <w:sz w:val="18"/>
                <w:szCs w:val="18"/>
                <w:color w:val="auto"/>
              </w:rPr>
              <w:t>2,636</w:t>
            </w:r>
          </w:p>
        </w:tc>
        <w:tc>
          <w:tcPr>
            <w:tcW w:w="100" w:type="dxa"/>
            <w:vAlign w:val="bottom"/>
          </w:tcPr>
          <w:p>
            <w:pPr>
              <w:spacing w:after="0"/>
              <w:rPr>
                <w:sz w:val="18"/>
                <w:szCs w:val="18"/>
                <w:color w:val="auto"/>
              </w:rPr>
            </w:pPr>
          </w:p>
        </w:tc>
        <w:tc>
          <w:tcPr>
            <w:tcW w:w="108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480" w:type="dxa"/>
            <w:vAlign w:val="bottom"/>
            <w:tcBorders>
              <w:left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860" w:type="dxa"/>
            <w:vAlign w:val="bottom"/>
            <w:shd w:val="clear" w:color="auto" w:fill="CCEEFF"/>
          </w:tcPr>
          <w:p>
            <w:pPr>
              <w:ind w:left="1080"/>
              <w:spacing w:after="0"/>
              <w:rPr>
                <w:sz w:val="20"/>
                <w:szCs w:val="20"/>
                <w:color w:val="auto"/>
              </w:rPr>
            </w:pPr>
            <w:r>
              <w:rPr>
                <w:rFonts w:ascii="Arial" w:cs="Arial" w:eastAsia="Arial" w:hAnsi="Arial"/>
                <w:sz w:val="18"/>
                <w:szCs w:val="18"/>
                <w:color w:val="auto"/>
              </w:rPr>
              <w:t>Provision for doubtful accounts receivable</w:t>
            </w:r>
          </w:p>
        </w:tc>
        <w:tc>
          <w:tcPr>
            <w:tcW w:w="1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895</w:t>
            </w: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333</w:t>
            </w:r>
          </w:p>
        </w:tc>
        <w:tc>
          <w:tcPr>
            <w:tcW w:w="480" w:type="dxa"/>
            <w:vAlign w:val="bottom"/>
            <w:tcBorders>
              <w:left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860" w:type="dxa"/>
            <w:vAlign w:val="bottom"/>
          </w:tcPr>
          <w:p>
            <w:pPr>
              <w:ind w:left="360"/>
              <w:spacing w:after="0"/>
              <w:rPr>
                <w:sz w:val="20"/>
                <w:szCs w:val="20"/>
                <w:color w:val="auto"/>
              </w:rPr>
            </w:pPr>
            <w:r>
              <w:rPr>
                <w:rFonts w:ascii="Arial" w:cs="Arial" w:eastAsia="Arial" w:hAnsi="Arial"/>
                <w:sz w:val="18"/>
                <w:szCs w:val="18"/>
                <w:color w:val="auto"/>
              </w:rPr>
              <w:t>Changes in operating assets and liabilities:</w:t>
            </w:r>
          </w:p>
        </w:tc>
        <w:tc>
          <w:tcPr>
            <w:tcW w:w="1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80" w:type="dxa"/>
            <w:vAlign w:val="bottom"/>
            <w:tcBorders>
              <w:left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60" w:type="dxa"/>
            <w:vAlign w:val="bottom"/>
            <w:shd w:val="clear" w:color="auto" w:fill="CCEEFF"/>
          </w:tcPr>
          <w:p>
            <w:pPr>
              <w:ind w:left="1080"/>
              <w:spacing w:after="0"/>
              <w:rPr>
                <w:sz w:val="20"/>
                <w:szCs w:val="20"/>
                <w:color w:val="auto"/>
              </w:rPr>
            </w:pPr>
            <w:r>
              <w:rPr>
                <w:rFonts w:ascii="Arial" w:cs="Arial" w:eastAsia="Arial" w:hAnsi="Arial"/>
                <w:sz w:val="18"/>
                <w:szCs w:val="18"/>
                <w:color w:val="auto"/>
              </w:rPr>
              <w:t>Accounts receivable</w:t>
            </w:r>
          </w:p>
        </w:tc>
        <w:tc>
          <w:tcPr>
            <w:tcW w:w="1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(8,294)</w:t>
            </w: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(12,494)</w:t>
            </w:r>
          </w:p>
        </w:tc>
        <w:tc>
          <w:tcPr>
            <w:tcW w:w="480" w:type="dxa"/>
            <w:vAlign w:val="bottom"/>
            <w:tcBorders>
              <w:left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3,872</w:t>
            </w:r>
          </w:p>
        </w:tc>
        <w:tc>
          <w:tcPr>
            <w:tcW w:w="0" w:type="dxa"/>
            <w:vAlign w:val="bottom"/>
          </w:tcPr>
          <w:p>
            <w:pPr>
              <w:spacing w:after="0"/>
              <w:rPr>
                <w:sz w:val="1"/>
                <w:szCs w:val="1"/>
                <w:color w:val="auto"/>
              </w:rPr>
            </w:pPr>
          </w:p>
        </w:tc>
      </w:tr>
      <w:tr>
        <w:trPr>
          <w:trHeight w:val="216"/>
        </w:trPr>
        <w:tc>
          <w:tcPr>
            <w:tcW w:w="6860" w:type="dxa"/>
            <w:vAlign w:val="bottom"/>
          </w:tcPr>
          <w:p>
            <w:pPr>
              <w:ind w:left="1080"/>
              <w:spacing w:after="0"/>
              <w:rPr>
                <w:sz w:val="20"/>
                <w:szCs w:val="20"/>
                <w:color w:val="auto"/>
              </w:rPr>
            </w:pPr>
            <w:r>
              <w:rPr>
                <w:rFonts w:ascii="Arial" w:cs="Arial" w:eastAsia="Arial" w:hAnsi="Arial"/>
                <w:sz w:val="18"/>
                <w:szCs w:val="18"/>
                <w:color w:val="auto"/>
              </w:rPr>
              <w:t>Prepaid expenses and other current assets</w:t>
            </w:r>
          </w:p>
        </w:tc>
        <w:tc>
          <w:tcPr>
            <w:tcW w:w="180" w:type="dxa"/>
            <w:vAlign w:val="bottom"/>
          </w:tcPr>
          <w:p>
            <w:pPr>
              <w:spacing w:after="0"/>
              <w:rPr>
                <w:sz w:val="18"/>
                <w:szCs w:val="18"/>
                <w:color w:val="auto"/>
              </w:rPr>
            </w:pPr>
          </w:p>
        </w:tc>
        <w:tc>
          <w:tcPr>
            <w:tcW w:w="1060" w:type="dxa"/>
            <w:vAlign w:val="bottom"/>
            <w:gridSpan w:val="2"/>
          </w:tcPr>
          <w:p>
            <w:pPr>
              <w:jc w:val="right"/>
              <w:ind w:right="340"/>
              <w:spacing w:after="0"/>
              <w:rPr>
                <w:sz w:val="20"/>
                <w:szCs w:val="20"/>
                <w:color w:val="auto"/>
              </w:rPr>
            </w:pPr>
            <w:r>
              <w:rPr>
                <w:rFonts w:ascii="Arial" w:cs="Arial" w:eastAsia="Arial" w:hAnsi="Arial"/>
                <w:sz w:val="18"/>
                <w:szCs w:val="18"/>
                <w:color w:val="auto"/>
              </w:rPr>
              <w:t>(709)</w:t>
            </w:r>
          </w:p>
        </w:tc>
        <w:tc>
          <w:tcPr>
            <w:tcW w:w="10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39</w:t>
            </w:r>
          </w:p>
        </w:tc>
        <w:tc>
          <w:tcPr>
            <w:tcW w:w="480" w:type="dxa"/>
            <w:vAlign w:val="bottom"/>
            <w:tcBorders>
              <w:left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gridSpan w:val="2"/>
          </w:tcPr>
          <w:p>
            <w:pPr>
              <w:jc w:val="right"/>
              <w:ind w:right="60"/>
              <w:spacing w:after="0"/>
              <w:rPr>
                <w:sz w:val="20"/>
                <w:szCs w:val="20"/>
                <w:color w:val="auto"/>
              </w:rPr>
            </w:pPr>
            <w:r>
              <w:rPr>
                <w:rFonts w:ascii="Arial" w:cs="Arial" w:eastAsia="Arial" w:hAnsi="Arial"/>
                <w:sz w:val="18"/>
                <w:szCs w:val="18"/>
                <w:color w:val="auto"/>
              </w:rPr>
              <w:t>(203)</w:t>
            </w:r>
          </w:p>
        </w:tc>
        <w:tc>
          <w:tcPr>
            <w:tcW w:w="0" w:type="dxa"/>
            <w:vAlign w:val="bottom"/>
          </w:tcPr>
          <w:p>
            <w:pPr>
              <w:spacing w:after="0"/>
              <w:rPr>
                <w:sz w:val="1"/>
                <w:szCs w:val="1"/>
                <w:color w:val="auto"/>
              </w:rPr>
            </w:pPr>
          </w:p>
        </w:tc>
      </w:tr>
      <w:tr>
        <w:trPr>
          <w:trHeight w:val="216"/>
        </w:trPr>
        <w:tc>
          <w:tcPr>
            <w:tcW w:w="6860" w:type="dxa"/>
            <w:vAlign w:val="bottom"/>
            <w:shd w:val="clear" w:color="auto" w:fill="CCEEFF"/>
          </w:tcPr>
          <w:p>
            <w:pPr>
              <w:ind w:left="1080"/>
              <w:spacing w:after="0"/>
              <w:rPr>
                <w:sz w:val="20"/>
                <w:szCs w:val="20"/>
                <w:color w:val="auto"/>
              </w:rPr>
            </w:pPr>
            <w:r>
              <w:rPr>
                <w:rFonts w:ascii="Arial" w:cs="Arial" w:eastAsia="Arial" w:hAnsi="Arial"/>
                <w:sz w:val="18"/>
                <w:szCs w:val="18"/>
                <w:color w:val="auto"/>
              </w:rPr>
              <w:t>Deferred contract costs</w:t>
            </w:r>
          </w:p>
        </w:tc>
        <w:tc>
          <w:tcPr>
            <w:tcW w:w="1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(7,685)</w:t>
            </w: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(3,075)</w:t>
            </w:r>
          </w:p>
        </w:tc>
        <w:tc>
          <w:tcPr>
            <w:tcW w:w="480" w:type="dxa"/>
            <w:vAlign w:val="bottom"/>
            <w:tcBorders>
              <w:left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(2,239)</w:t>
            </w:r>
          </w:p>
        </w:tc>
        <w:tc>
          <w:tcPr>
            <w:tcW w:w="0" w:type="dxa"/>
            <w:vAlign w:val="bottom"/>
          </w:tcPr>
          <w:p>
            <w:pPr>
              <w:spacing w:after="0"/>
              <w:rPr>
                <w:sz w:val="1"/>
                <w:szCs w:val="1"/>
                <w:color w:val="auto"/>
              </w:rPr>
            </w:pPr>
          </w:p>
        </w:tc>
      </w:tr>
      <w:tr>
        <w:trPr>
          <w:trHeight w:val="216"/>
        </w:trPr>
        <w:tc>
          <w:tcPr>
            <w:tcW w:w="6860" w:type="dxa"/>
            <w:vAlign w:val="bottom"/>
          </w:tcPr>
          <w:p>
            <w:pPr>
              <w:ind w:left="1080"/>
              <w:spacing w:after="0"/>
              <w:rPr>
                <w:sz w:val="20"/>
                <w:szCs w:val="20"/>
                <w:color w:val="auto"/>
              </w:rPr>
            </w:pPr>
            <w:r>
              <w:rPr>
                <w:rFonts w:ascii="Arial" w:cs="Arial" w:eastAsia="Arial" w:hAnsi="Arial"/>
                <w:sz w:val="18"/>
                <w:szCs w:val="18"/>
                <w:color w:val="auto"/>
              </w:rPr>
              <w:t>Accounts payable, accrued expenses and other current liabilities</w:t>
            </w:r>
          </w:p>
        </w:tc>
        <w:tc>
          <w:tcPr>
            <w:tcW w:w="180" w:type="dxa"/>
            <w:vAlign w:val="bottom"/>
          </w:tcPr>
          <w:p>
            <w:pPr>
              <w:spacing w:after="0"/>
              <w:rPr>
                <w:sz w:val="18"/>
                <w:szCs w:val="18"/>
                <w:color w:val="auto"/>
              </w:rPr>
            </w:pPr>
          </w:p>
        </w:tc>
        <w:tc>
          <w:tcPr>
            <w:tcW w:w="1060" w:type="dxa"/>
            <w:vAlign w:val="bottom"/>
            <w:gridSpan w:val="2"/>
          </w:tcPr>
          <w:p>
            <w:pPr>
              <w:jc w:val="right"/>
              <w:ind w:right="400"/>
              <w:spacing w:after="0"/>
              <w:rPr>
                <w:sz w:val="20"/>
                <w:szCs w:val="20"/>
                <w:color w:val="auto"/>
              </w:rPr>
            </w:pPr>
            <w:r>
              <w:rPr>
                <w:rFonts w:ascii="Arial" w:cs="Arial" w:eastAsia="Arial" w:hAnsi="Arial"/>
                <w:sz w:val="18"/>
                <w:szCs w:val="18"/>
                <w:color w:val="auto"/>
              </w:rPr>
              <w:t>2,996</w:t>
            </w:r>
          </w:p>
        </w:tc>
        <w:tc>
          <w:tcPr>
            <w:tcW w:w="10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7,396</w:t>
            </w:r>
          </w:p>
        </w:tc>
        <w:tc>
          <w:tcPr>
            <w:tcW w:w="480" w:type="dxa"/>
            <w:vAlign w:val="bottom"/>
            <w:tcBorders>
              <w:left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gridSpan w:val="2"/>
          </w:tcPr>
          <w:p>
            <w:pPr>
              <w:jc w:val="right"/>
              <w:ind w:right="120"/>
              <w:spacing w:after="0"/>
              <w:rPr>
                <w:sz w:val="20"/>
                <w:szCs w:val="20"/>
                <w:color w:val="auto"/>
              </w:rPr>
            </w:pPr>
            <w:r>
              <w:rPr>
                <w:rFonts w:ascii="Arial" w:cs="Arial" w:eastAsia="Arial" w:hAnsi="Arial"/>
                <w:sz w:val="18"/>
                <w:szCs w:val="18"/>
                <w:color w:val="auto"/>
              </w:rPr>
              <w:t>557</w:t>
            </w:r>
          </w:p>
        </w:tc>
        <w:tc>
          <w:tcPr>
            <w:tcW w:w="0" w:type="dxa"/>
            <w:vAlign w:val="bottom"/>
          </w:tcPr>
          <w:p>
            <w:pPr>
              <w:spacing w:after="0"/>
              <w:rPr>
                <w:sz w:val="1"/>
                <w:szCs w:val="1"/>
                <w:color w:val="auto"/>
              </w:rPr>
            </w:pPr>
          </w:p>
        </w:tc>
      </w:tr>
      <w:tr>
        <w:trPr>
          <w:trHeight w:val="216"/>
        </w:trPr>
        <w:tc>
          <w:tcPr>
            <w:tcW w:w="6860" w:type="dxa"/>
            <w:vAlign w:val="bottom"/>
            <w:shd w:val="clear" w:color="auto" w:fill="CCEEFF"/>
          </w:tcPr>
          <w:p>
            <w:pPr>
              <w:ind w:left="1080"/>
              <w:spacing w:after="0"/>
              <w:rPr>
                <w:sz w:val="20"/>
                <w:szCs w:val="20"/>
                <w:color w:val="auto"/>
              </w:rPr>
            </w:pPr>
            <w:r>
              <w:rPr>
                <w:rFonts w:ascii="Arial" w:cs="Arial" w:eastAsia="Arial" w:hAnsi="Arial"/>
                <w:sz w:val="18"/>
                <w:szCs w:val="18"/>
                <w:color w:val="auto"/>
              </w:rPr>
              <w:t>Deferred revenue</w:t>
            </w:r>
          </w:p>
        </w:tc>
        <w:tc>
          <w:tcPr>
            <w:tcW w:w="1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12,104</w:t>
            </w: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13,805</w:t>
            </w:r>
          </w:p>
        </w:tc>
        <w:tc>
          <w:tcPr>
            <w:tcW w:w="480" w:type="dxa"/>
            <w:vAlign w:val="bottom"/>
            <w:tcBorders>
              <w:left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4,776</w:t>
            </w:r>
          </w:p>
        </w:tc>
        <w:tc>
          <w:tcPr>
            <w:tcW w:w="0" w:type="dxa"/>
            <w:vAlign w:val="bottom"/>
          </w:tcPr>
          <w:p>
            <w:pPr>
              <w:spacing w:after="0"/>
              <w:rPr>
                <w:sz w:val="1"/>
                <w:szCs w:val="1"/>
                <w:color w:val="auto"/>
              </w:rPr>
            </w:pPr>
          </w:p>
        </w:tc>
      </w:tr>
      <w:tr>
        <w:trPr>
          <w:trHeight w:val="230"/>
        </w:trPr>
        <w:tc>
          <w:tcPr>
            <w:tcW w:w="6860" w:type="dxa"/>
            <w:vAlign w:val="bottom"/>
          </w:tcPr>
          <w:p>
            <w:pPr>
              <w:spacing w:after="0"/>
              <w:rPr>
                <w:sz w:val="20"/>
                <w:szCs w:val="20"/>
                <w:color w:val="auto"/>
              </w:rPr>
            </w:pPr>
            <w:r>
              <w:rPr>
                <w:rFonts w:ascii="Arial" w:cs="Arial" w:eastAsia="Arial" w:hAnsi="Arial"/>
                <w:sz w:val="18"/>
                <w:szCs w:val="18"/>
                <w:color w:val="auto"/>
              </w:rPr>
              <w:t>Net cash provided by (used in) operating activities</w:t>
            </w:r>
          </w:p>
        </w:tc>
        <w:tc>
          <w:tcPr>
            <w:tcW w:w="180" w:type="dxa"/>
            <w:vAlign w:val="bottom"/>
            <w:tcBorders>
              <w:top w:val="single" w:sz="8" w:color="auto"/>
              <w:bottom w:val="single" w:sz="8" w:color="auto"/>
            </w:tcBorders>
          </w:tcPr>
          <w:p>
            <w:pPr>
              <w:spacing w:after="0"/>
              <w:rPr>
                <w:sz w:val="20"/>
                <w:szCs w:val="20"/>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23,217</w:t>
            </w:r>
          </w:p>
        </w:tc>
        <w:tc>
          <w:tcPr>
            <w:tcW w:w="40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(7,133)</w:t>
            </w:r>
          </w:p>
        </w:tc>
        <w:tc>
          <w:tcPr>
            <w:tcW w:w="220" w:type="dxa"/>
            <w:vAlign w:val="bottom"/>
          </w:tcPr>
          <w:p>
            <w:pPr>
              <w:spacing w:after="0"/>
              <w:rPr>
                <w:sz w:val="20"/>
                <w:szCs w:val="20"/>
                <w:color w:val="auto"/>
              </w:rPr>
            </w:pPr>
          </w:p>
        </w:tc>
        <w:tc>
          <w:tcPr>
            <w:tcW w:w="480" w:type="dxa"/>
            <w:vAlign w:val="bottom"/>
            <w:tcBorders>
              <w:left w:val="single" w:sz="8" w:color="auto"/>
            </w:tcBorders>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28,727</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68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flows used in investing activities:</w:t>
            </w: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80" w:type="dxa"/>
            <w:vAlign w:val="bottom"/>
            <w:tcBorders>
              <w:left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60" w:type="dxa"/>
            <w:vAlign w:val="bottom"/>
          </w:tcPr>
          <w:p>
            <w:pPr>
              <w:ind w:left="360"/>
              <w:spacing w:after="0"/>
              <w:rPr>
                <w:sz w:val="20"/>
                <w:szCs w:val="20"/>
                <w:color w:val="auto"/>
              </w:rPr>
            </w:pPr>
            <w:r>
              <w:rPr>
                <w:rFonts w:ascii="Arial" w:cs="Arial" w:eastAsia="Arial" w:hAnsi="Arial"/>
                <w:sz w:val="18"/>
                <w:szCs w:val="18"/>
                <w:color w:val="auto"/>
              </w:rPr>
              <w:t>Purchases of property and equipment</w:t>
            </w:r>
          </w:p>
        </w:tc>
        <w:tc>
          <w:tcPr>
            <w:tcW w:w="180" w:type="dxa"/>
            <w:vAlign w:val="bottom"/>
          </w:tcPr>
          <w:p>
            <w:pPr>
              <w:spacing w:after="0"/>
              <w:rPr>
                <w:sz w:val="18"/>
                <w:szCs w:val="18"/>
                <w:color w:val="auto"/>
              </w:rPr>
            </w:pPr>
          </w:p>
        </w:tc>
        <w:tc>
          <w:tcPr>
            <w:tcW w:w="1060" w:type="dxa"/>
            <w:vAlign w:val="bottom"/>
            <w:gridSpan w:val="2"/>
          </w:tcPr>
          <w:p>
            <w:pPr>
              <w:jc w:val="right"/>
              <w:ind w:right="340"/>
              <w:spacing w:after="0"/>
              <w:rPr>
                <w:sz w:val="20"/>
                <w:szCs w:val="20"/>
                <w:color w:val="auto"/>
              </w:rPr>
            </w:pPr>
            <w:r>
              <w:rPr>
                <w:rFonts w:ascii="Arial" w:cs="Arial" w:eastAsia="Arial" w:hAnsi="Arial"/>
                <w:sz w:val="18"/>
                <w:szCs w:val="18"/>
                <w:color w:val="auto"/>
              </w:rPr>
              <w:t>(1,395)</w:t>
            </w:r>
          </w:p>
        </w:tc>
        <w:tc>
          <w:tcPr>
            <w:tcW w:w="100" w:type="dxa"/>
            <w:vAlign w:val="bottom"/>
          </w:tcPr>
          <w:p>
            <w:pPr>
              <w:spacing w:after="0"/>
              <w:rPr>
                <w:sz w:val="18"/>
                <w:szCs w:val="18"/>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8"/>
                <w:szCs w:val="18"/>
                <w:color w:val="auto"/>
              </w:rPr>
              <w:t>(1,171)</w:t>
            </w:r>
          </w:p>
        </w:tc>
        <w:tc>
          <w:tcPr>
            <w:tcW w:w="480" w:type="dxa"/>
            <w:vAlign w:val="bottom"/>
            <w:tcBorders>
              <w:left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gridSpan w:val="2"/>
          </w:tcPr>
          <w:p>
            <w:pPr>
              <w:jc w:val="right"/>
              <w:ind w:right="60"/>
              <w:spacing w:after="0"/>
              <w:rPr>
                <w:sz w:val="20"/>
                <w:szCs w:val="20"/>
                <w:color w:val="auto"/>
              </w:rPr>
            </w:pPr>
            <w:r>
              <w:rPr>
                <w:rFonts w:ascii="Arial" w:cs="Arial" w:eastAsia="Arial" w:hAnsi="Arial"/>
                <w:sz w:val="18"/>
                <w:szCs w:val="18"/>
                <w:color w:val="auto"/>
              </w:rPr>
              <w:t>(729)</w:t>
            </w:r>
          </w:p>
        </w:tc>
        <w:tc>
          <w:tcPr>
            <w:tcW w:w="0" w:type="dxa"/>
            <w:vAlign w:val="bottom"/>
          </w:tcPr>
          <w:p>
            <w:pPr>
              <w:spacing w:after="0"/>
              <w:rPr>
                <w:sz w:val="1"/>
                <w:szCs w:val="1"/>
                <w:color w:val="auto"/>
              </w:rPr>
            </w:pPr>
          </w:p>
        </w:tc>
      </w:tr>
      <w:tr>
        <w:trPr>
          <w:trHeight w:val="216"/>
        </w:trPr>
        <w:tc>
          <w:tcPr>
            <w:tcW w:w="68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Acquisitions, net of cash acquired</w:t>
            </w:r>
          </w:p>
        </w:tc>
        <w:tc>
          <w:tcPr>
            <w:tcW w:w="1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(22,467)</w:t>
            </w: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7"/>
              </w:rPr>
              <w:t>(1,108,197)</w:t>
            </w:r>
          </w:p>
        </w:tc>
        <w:tc>
          <w:tcPr>
            <w:tcW w:w="480" w:type="dxa"/>
            <w:vAlign w:val="bottom"/>
            <w:tcBorders>
              <w:left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(29,831)</w:t>
            </w:r>
          </w:p>
        </w:tc>
        <w:tc>
          <w:tcPr>
            <w:tcW w:w="0" w:type="dxa"/>
            <w:vAlign w:val="bottom"/>
          </w:tcPr>
          <w:p>
            <w:pPr>
              <w:spacing w:after="0"/>
              <w:rPr>
                <w:sz w:val="1"/>
                <w:szCs w:val="1"/>
                <w:color w:val="auto"/>
              </w:rPr>
            </w:pPr>
          </w:p>
        </w:tc>
      </w:tr>
      <w:tr>
        <w:trPr>
          <w:trHeight w:val="230"/>
        </w:trPr>
        <w:tc>
          <w:tcPr>
            <w:tcW w:w="6860" w:type="dxa"/>
            <w:vAlign w:val="bottom"/>
          </w:tcPr>
          <w:p>
            <w:pPr>
              <w:spacing w:after="0"/>
              <w:rPr>
                <w:sz w:val="20"/>
                <w:szCs w:val="20"/>
                <w:color w:val="auto"/>
              </w:rPr>
            </w:pPr>
            <w:r>
              <w:rPr>
                <w:rFonts w:ascii="Arial" w:cs="Arial" w:eastAsia="Arial" w:hAnsi="Arial"/>
                <w:sz w:val="18"/>
                <w:szCs w:val="18"/>
                <w:color w:val="auto"/>
              </w:rPr>
              <w:t>Net cash used in investing activities</w:t>
            </w:r>
          </w:p>
        </w:tc>
        <w:tc>
          <w:tcPr>
            <w:tcW w:w="180" w:type="dxa"/>
            <w:vAlign w:val="bottom"/>
            <w:tcBorders>
              <w:top w:val="single" w:sz="8" w:color="auto"/>
              <w:bottom w:val="single" w:sz="8" w:color="auto"/>
            </w:tcBorders>
          </w:tcPr>
          <w:p>
            <w:pPr>
              <w:spacing w:after="0"/>
              <w:rPr>
                <w:sz w:val="20"/>
                <w:szCs w:val="20"/>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5"/>
              </w:rPr>
              <w:t>(23,862)</w:t>
            </w:r>
          </w:p>
        </w:tc>
        <w:tc>
          <w:tcPr>
            <w:tcW w:w="40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1"/>
              </w:rPr>
              <w:t>(1,109,368)</w:t>
            </w:r>
          </w:p>
        </w:tc>
        <w:tc>
          <w:tcPr>
            <w:tcW w:w="220" w:type="dxa"/>
            <w:vAlign w:val="bottom"/>
          </w:tcPr>
          <w:p>
            <w:pPr>
              <w:spacing w:after="0"/>
              <w:rPr>
                <w:sz w:val="20"/>
                <w:szCs w:val="20"/>
                <w:color w:val="auto"/>
              </w:rPr>
            </w:pPr>
          </w:p>
        </w:tc>
        <w:tc>
          <w:tcPr>
            <w:tcW w:w="480" w:type="dxa"/>
            <w:vAlign w:val="bottom"/>
            <w:tcBorders>
              <w:left w:val="single" w:sz="8" w:color="auto"/>
            </w:tcBorders>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(30,560)</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68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flows provided by (used in) financing activities:</w:t>
            </w: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80" w:type="dxa"/>
            <w:vAlign w:val="bottom"/>
            <w:tcBorders>
              <w:left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60" w:type="dxa"/>
            <w:vAlign w:val="bottom"/>
          </w:tcPr>
          <w:p>
            <w:pPr>
              <w:ind w:left="360"/>
              <w:spacing w:after="0"/>
              <w:rPr>
                <w:sz w:val="20"/>
                <w:szCs w:val="20"/>
                <w:color w:val="auto"/>
              </w:rPr>
            </w:pPr>
            <w:r>
              <w:rPr>
                <w:rFonts w:ascii="Arial" w:cs="Arial" w:eastAsia="Arial" w:hAnsi="Arial"/>
                <w:sz w:val="18"/>
                <w:szCs w:val="18"/>
                <w:color w:val="auto"/>
              </w:rPr>
              <w:t>Proceeds from Term Loan</w:t>
            </w:r>
          </w:p>
        </w:tc>
        <w:tc>
          <w:tcPr>
            <w:tcW w:w="180" w:type="dxa"/>
            <w:vAlign w:val="bottom"/>
          </w:tcPr>
          <w:p>
            <w:pPr>
              <w:spacing w:after="0"/>
              <w:rPr>
                <w:sz w:val="18"/>
                <w:szCs w:val="18"/>
                <w:color w:val="auto"/>
              </w:rPr>
            </w:pPr>
          </w:p>
        </w:tc>
        <w:tc>
          <w:tcPr>
            <w:tcW w:w="1060" w:type="dxa"/>
            <w:vAlign w:val="bottom"/>
            <w:gridSpan w:val="2"/>
          </w:tcPr>
          <w:p>
            <w:pPr>
              <w:jc w:val="right"/>
              <w:ind w:right="5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450,000</w:t>
            </w:r>
          </w:p>
        </w:tc>
        <w:tc>
          <w:tcPr>
            <w:tcW w:w="480" w:type="dxa"/>
            <w:vAlign w:val="bottom"/>
            <w:tcBorders>
              <w:left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8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Proceeds from Delayed Draw Term Loan</w:t>
            </w:r>
          </w:p>
        </w:tc>
        <w:tc>
          <w:tcPr>
            <w:tcW w:w="1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18,000</w:t>
            </w: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480" w:type="dxa"/>
            <w:vAlign w:val="bottom"/>
            <w:tcBorders>
              <w:left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860" w:type="dxa"/>
            <w:vAlign w:val="bottom"/>
          </w:tcPr>
          <w:p>
            <w:pPr>
              <w:ind w:left="360"/>
              <w:spacing w:after="0"/>
              <w:rPr>
                <w:sz w:val="20"/>
                <w:szCs w:val="20"/>
                <w:color w:val="auto"/>
              </w:rPr>
            </w:pPr>
            <w:r>
              <w:rPr>
                <w:rFonts w:ascii="Arial" w:cs="Arial" w:eastAsia="Arial" w:hAnsi="Arial"/>
                <w:sz w:val="18"/>
                <w:szCs w:val="18"/>
                <w:color w:val="auto"/>
              </w:rPr>
              <w:t>Proceeds from Revolving Line of Credit</w:t>
            </w:r>
          </w:p>
        </w:tc>
        <w:tc>
          <w:tcPr>
            <w:tcW w:w="180" w:type="dxa"/>
            <w:vAlign w:val="bottom"/>
          </w:tcPr>
          <w:p>
            <w:pPr>
              <w:spacing w:after="0"/>
              <w:rPr>
                <w:sz w:val="18"/>
                <w:szCs w:val="18"/>
                <w:color w:val="auto"/>
              </w:rPr>
            </w:pPr>
          </w:p>
        </w:tc>
        <w:tc>
          <w:tcPr>
            <w:tcW w:w="1060" w:type="dxa"/>
            <w:vAlign w:val="bottom"/>
            <w:gridSpan w:val="2"/>
          </w:tcPr>
          <w:p>
            <w:pPr>
              <w:jc w:val="right"/>
              <w:ind w:right="400"/>
              <w:spacing w:after="0"/>
              <w:rPr>
                <w:sz w:val="20"/>
                <w:szCs w:val="20"/>
                <w:color w:val="auto"/>
              </w:rPr>
            </w:pPr>
            <w:r>
              <w:rPr>
                <w:rFonts w:ascii="Arial" w:cs="Arial" w:eastAsia="Arial" w:hAnsi="Arial"/>
                <w:sz w:val="18"/>
                <w:szCs w:val="18"/>
                <w:color w:val="auto"/>
              </w:rPr>
              <w:t>25,000</w:t>
            </w:r>
          </w:p>
        </w:tc>
        <w:tc>
          <w:tcPr>
            <w:tcW w:w="100" w:type="dxa"/>
            <w:vAlign w:val="bottom"/>
          </w:tcPr>
          <w:p>
            <w:pPr>
              <w:spacing w:after="0"/>
              <w:rPr>
                <w:sz w:val="18"/>
                <w:szCs w:val="18"/>
                <w:color w:val="auto"/>
              </w:rPr>
            </w:pPr>
          </w:p>
        </w:tc>
        <w:tc>
          <w:tcPr>
            <w:tcW w:w="108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480" w:type="dxa"/>
            <w:vAlign w:val="bottom"/>
            <w:tcBorders>
              <w:left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Repayments on Term Loan and Delayed Draw Term Loan</w:t>
            </w:r>
          </w:p>
        </w:tc>
        <w:tc>
          <w:tcPr>
            <w:tcW w:w="1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(4,545)</w:t>
            </w: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(1,125)</w:t>
            </w:r>
          </w:p>
        </w:tc>
        <w:tc>
          <w:tcPr>
            <w:tcW w:w="480" w:type="dxa"/>
            <w:vAlign w:val="bottom"/>
            <w:tcBorders>
              <w:left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860" w:type="dxa"/>
            <w:vAlign w:val="bottom"/>
          </w:tcPr>
          <w:p>
            <w:pPr>
              <w:ind w:left="360"/>
              <w:spacing w:after="0"/>
              <w:rPr>
                <w:sz w:val="20"/>
                <w:szCs w:val="20"/>
                <w:color w:val="auto"/>
              </w:rPr>
            </w:pPr>
            <w:r>
              <w:rPr>
                <w:rFonts w:ascii="Arial" w:cs="Arial" w:eastAsia="Arial" w:hAnsi="Arial"/>
                <w:sz w:val="18"/>
                <w:szCs w:val="18"/>
                <w:color w:val="auto"/>
              </w:rPr>
              <w:t>Repayments on Revolving Line of Credit</w:t>
            </w:r>
          </w:p>
        </w:tc>
        <w:tc>
          <w:tcPr>
            <w:tcW w:w="180" w:type="dxa"/>
            <w:vAlign w:val="bottom"/>
          </w:tcPr>
          <w:p>
            <w:pPr>
              <w:spacing w:after="0"/>
              <w:rPr>
                <w:sz w:val="18"/>
                <w:szCs w:val="18"/>
                <w:color w:val="auto"/>
              </w:rPr>
            </w:pPr>
          </w:p>
        </w:tc>
        <w:tc>
          <w:tcPr>
            <w:tcW w:w="1060" w:type="dxa"/>
            <w:vAlign w:val="bottom"/>
            <w:gridSpan w:val="2"/>
          </w:tcPr>
          <w:p>
            <w:pPr>
              <w:jc w:val="right"/>
              <w:ind w:right="340"/>
              <w:spacing w:after="0"/>
              <w:rPr>
                <w:sz w:val="20"/>
                <w:szCs w:val="20"/>
                <w:color w:val="auto"/>
              </w:rPr>
            </w:pPr>
            <w:r>
              <w:rPr>
                <w:rFonts w:ascii="Arial" w:cs="Arial" w:eastAsia="Arial" w:hAnsi="Arial"/>
                <w:sz w:val="18"/>
                <w:szCs w:val="18"/>
                <w:color w:val="auto"/>
              </w:rPr>
              <w:t>(25,000)</w:t>
            </w:r>
          </w:p>
        </w:tc>
        <w:tc>
          <w:tcPr>
            <w:tcW w:w="100" w:type="dxa"/>
            <w:vAlign w:val="bottom"/>
          </w:tcPr>
          <w:p>
            <w:pPr>
              <w:spacing w:after="0"/>
              <w:rPr>
                <w:sz w:val="18"/>
                <w:szCs w:val="18"/>
                <w:color w:val="auto"/>
              </w:rPr>
            </w:pPr>
          </w:p>
        </w:tc>
        <w:tc>
          <w:tcPr>
            <w:tcW w:w="108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480" w:type="dxa"/>
            <w:vAlign w:val="bottom"/>
            <w:tcBorders>
              <w:left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Payment of debt issuance costs</w:t>
            </w:r>
          </w:p>
        </w:tc>
        <w:tc>
          <w:tcPr>
            <w:tcW w:w="1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(225)</w:t>
            </w: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(14,255)</w:t>
            </w:r>
          </w:p>
        </w:tc>
        <w:tc>
          <w:tcPr>
            <w:tcW w:w="480" w:type="dxa"/>
            <w:vAlign w:val="bottom"/>
            <w:tcBorders>
              <w:left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860" w:type="dxa"/>
            <w:vAlign w:val="bottom"/>
          </w:tcPr>
          <w:p>
            <w:pPr>
              <w:ind w:left="360"/>
              <w:spacing w:after="0"/>
              <w:rPr>
                <w:sz w:val="20"/>
                <w:szCs w:val="20"/>
                <w:color w:val="auto"/>
              </w:rPr>
            </w:pPr>
            <w:r>
              <w:rPr>
                <w:rFonts w:ascii="Arial" w:cs="Arial" w:eastAsia="Arial" w:hAnsi="Arial"/>
                <w:sz w:val="18"/>
                <w:szCs w:val="18"/>
                <w:color w:val="auto"/>
              </w:rPr>
              <w:t>Members distributions</w:t>
            </w:r>
          </w:p>
        </w:tc>
        <w:tc>
          <w:tcPr>
            <w:tcW w:w="180" w:type="dxa"/>
            <w:vAlign w:val="bottom"/>
          </w:tcPr>
          <w:p>
            <w:pPr>
              <w:spacing w:after="0"/>
              <w:rPr>
                <w:sz w:val="18"/>
                <w:szCs w:val="18"/>
                <w:color w:val="auto"/>
              </w:rPr>
            </w:pPr>
          </w:p>
        </w:tc>
        <w:tc>
          <w:tcPr>
            <w:tcW w:w="1060" w:type="dxa"/>
            <w:vAlign w:val="bottom"/>
            <w:gridSpan w:val="2"/>
          </w:tcPr>
          <w:p>
            <w:pPr>
              <w:jc w:val="right"/>
              <w:ind w:right="340"/>
              <w:spacing w:after="0"/>
              <w:rPr>
                <w:sz w:val="20"/>
                <w:szCs w:val="20"/>
                <w:color w:val="auto"/>
              </w:rPr>
            </w:pPr>
            <w:r>
              <w:rPr>
                <w:rFonts w:ascii="Arial" w:cs="Arial" w:eastAsia="Arial" w:hAnsi="Arial"/>
                <w:sz w:val="18"/>
                <w:szCs w:val="18"/>
                <w:color w:val="auto"/>
              </w:rPr>
              <w:t>(2,940)</w:t>
            </w:r>
          </w:p>
        </w:tc>
        <w:tc>
          <w:tcPr>
            <w:tcW w:w="100" w:type="dxa"/>
            <w:vAlign w:val="bottom"/>
          </w:tcPr>
          <w:p>
            <w:pPr>
              <w:spacing w:after="0"/>
              <w:rPr>
                <w:sz w:val="18"/>
                <w:szCs w:val="18"/>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8"/>
                <w:szCs w:val="18"/>
                <w:color w:val="auto"/>
              </w:rPr>
              <w:t>(6,492)</w:t>
            </w:r>
          </w:p>
        </w:tc>
        <w:tc>
          <w:tcPr>
            <w:tcW w:w="480" w:type="dxa"/>
            <w:vAlign w:val="bottom"/>
            <w:tcBorders>
              <w:left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gridSpan w:val="2"/>
          </w:tcPr>
          <w:p>
            <w:pPr>
              <w:jc w:val="right"/>
              <w:ind w:right="60"/>
              <w:spacing w:after="0"/>
              <w:rPr>
                <w:sz w:val="20"/>
                <w:szCs w:val="20"/>
                <w:color w:val="auto"/>
              </w:rPr>
            </w:pPr>
            <w:r>
              <w:rPr>
                <w:rFonts w:ascii="Arial" w:cs="Arial" w:eastAsia="Arial" w:hAnsi="Arial"/>
                <w:sz w:val="18"/>
                <w:szCs w:val="18"/>
                <w:color w:val="auto"/>
              </w:rPr>
              <w:t>(468)</w:t>
            </w:r>
          </w:p>
        </w:tc>
        <w:tc>
          <w:tcPr>
            <w:tcW w:w="0" w:type="dxa"/>
            <w:vAlign w:val="bottom"/>
          </w:tcPr>
          <w:p>
            <w:pPr>
              <w:spacing w:after="0"/>
              <w:rPr>
                <w:sz w:val="1"/>
                <w:szCs w:val="1"/>
                <w:color w:val="auto"/>
              </w:rPr>
            </w:pPr>
          </w:p>
        </w:tc>
      </w:tr>
      <w:tr>
        <w:trPr>
          <w:trHeight w:val="216"/>
        </w:trPr>
        <w:tc>
          <w:tcPr>
            <w:tcW w:w="68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Members contributions</w:t>
            </w:r>
          </w:p>
        </w:tc>
        <w:tc>
          <w:tcPr>
            <w:tcW w:w="1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6,365</w:t>
            </w: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696,991</w:t>
            </w:r>
          </w:p>
        </w:tc>
        <w:tc>
          <w:tcPr>
            <w:tcW w:w="480" w:type="dxa"/>
            <w:vAlign w:val="bottom"/>
            <w:tcBorders>
              <w:left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6860" w:type="dxa"/>
            <w:vAlign w:val="bottom"/>
          </w:tcPr>
          <w:p>
            <w:pPr>
              <w:spacing w:after="0"/>
              <w:rPr>
                <w:sz w:val="20"/>
                <w:szCs w:val="20"/>
                <w:color w:val="auto"/>
              </w:rPr>
            </w:pPr>
            <w:r>
              <w:rPr>
                <w:rFonts w:ascii="Arial" w:cs="Arial" w:eastAsia="Arial" w:hAnsi="Arial"/>
                <w:sz w:val="18"/>
                <w:szCs w:val="18"/>
                <w:color w:val="auto"/>
              </w:rPr>
              <w:t>Net cash provided by (used in) financing activities</w:t>
            </w:r>
          </w:p>
        </w:tc>
        <w:tc>
          <w:tcPr>
            <w:tcW w:w="180" w:type="dxa"/>
            <w:vAlign w:val="bottom"/>
            <w:tcBorders>
              <w:top w:val="single" w:sz="8" w:color="auto"/>
              <w:bottom w:val="single" w:sz="8" w:color="auto"/>
            </w:tcBorders>
          </w:tcPr>
          <w:p>
            <w:pPr>
              <w:spacing w:after="0"/>
              <w:rPr>
                <w:sz w:val="20"/>
                <w:szCs w:val="20"/>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16,655</w:t>
            </w:r>
          </w:p>
        </w:tc>
        <w:tc>
          <w:tcPr>
            <w:tcW w:w="40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1,125,119</w:t>
            </w:r>
          </w:p>
        </w:tc>
        <w:tc>
          <w:tcPr>
            <w:tcW w:w="220" w:type="dxa"/>
            <w:vAlign w:val="bottom"/>
          </w:tcPr>
          <w:p>
            <w:pPr>
              <w:spacing w:after="0"/>
              <w:rPr>
                <w:sz w:val="20"/>
                <w:szCs w:val="20"/>
                <w:color w:val="auto"/>
              </w:rPr>
            </w:pPr>
          </w:p>
        </w:tc>
        <w:tc>
          <w:tcPr>
            <w:tcW w:w="480" w:type="dxa"/>
            <w:vAlign w:val="bottom"/>
            <w:tcBorders>
              <w:left w:val="single" w:sz="8" w:color="auto"/>
            </w:tcBorders>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(468)</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6860" w:type="dxa"/>
            <w:vAlign w:val="bottom"/>
            <w:shd w:val="clear" w:color="auto" w:fill="CCEEFF"/>
          </w:tcPr>
          <w:p>
            <w:pPr>
              <w:spacing w:after="0"/>
              <w:rPr>
                <w:sz w:val="20"/>
                <w:szCs w:val="20"/>
                <w:color w:val="auto"/>
              </w:rPr>
            </w:pPr>
            <w:r>
              <w:rPr>
                <w:rFonts w:ascii="Arial" w:cs="Arial" w:eastAsia="Arial" w:hAnsi="Arial"/>
                <w:sz w:val="18"/>
                <w:szCs w:val="18"/>
                <w:color w:val="auto"/>
              </w:rPr>
              <w:t>Net increase (decrease) in cash and cash equivalents</w:t>
            </w:r>
          </w:p>
        </w:tc>
        <w:tc>
          <w:tcPr>
            <w:tcW w:w="1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16,010</w:t>
            </w: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8,618</w:t>
            </w:r>
          </w:p>
        </w:tc>
        <w:tc>
          <w:tcPr>
            <w:tcW w:w="480" w:type="dxa"/>
            <w:vAlign w:val="bottom"/>
            <w:tcBorders>
              <w:left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(2,301)</w:t>
            </w:r>
          </w:p>
        </w:tc>
        <w:tc>
          <w:tcPr>
            <w:tcW w:w="0" w:type="dxa"/>
            <w:vAlign w:val="bottom"/>
          </w:tcPr>
          <w:p>
            <w:pPr>
              <w:spacing w:after="0"/>
              <w:rPr>
                <w:sz w:val="1"/>
                <w:szCs w:val="1"/>
                <w:color w:val="auto"/>
              </w:rPr>
            </w:pPr>
          </w:p>
        </w:tc>
      </w:tr>
      <w:tr>
        <w:trPr>
          <w:trHeight w:val="216"/>
        </w:trPr>
        <w:tc>
          <w:tcPr>
            <w:tcW w:w="6860" w:type="dxa"/>
            <w:vAlign w:val="bottom"/>
          </w:tcPr>
          <w:p>
            <w:pPr>
              <w:ind w:left="360"/>
              <w:spacing w:after="0"/>
              <w:rPr>
                <w:sz w:val="20"/>
                <w:szCs w:val="20"/>
                <w:color w:val="auto"/>
              </w:rPr>
            </w:pPr>
            <w:r>
              <w:rPr>
                <w:rFonts w:ascii="Arial" w:cs="Arial" w:eastAsia="Arial" w:hAnsi="Arial"/>
                <w:sz w:val="18"/>
                <w:szCs w:val="18"/>
                <w:color w:val="auto"/>
              </w:rPr>
              <w:t>Effect of exchange rate changes on cash and cash equivalents</w:t>
            </w:r>
          </w:p>
        </w:tc>
        <w:tc>
          <w:tcPr>
            <w:tcW w:w="180" w:type="dxa"/>
            <w:vAlign w:val="bottom"/>
          </w:tcPr>
          <w:p>
            <w:pPr>
              <w:spacing w:after="0"/>
              <w:rPr>
                <w:sz w:val="18"/>
                <w:szCs w:val="18"/>
                <w:color w:val="auto"/>
              </w:rPr>
            </w:pPr>
          </w:p>
        </w:tc>
        <w:tc>
          <w:tcPr>
            <w:tcW w:w="1060" w:type="dxa"/>
            <w:vAlign w:val="bottom"/>
            <w:gridSpan w:val="2"/>
          </w:tcPr>
          <w:p>
            <w:pPr>
              <w:jc w:val="right"/>
              <w:ind w:right="400"/>
              <w:spacing w:after="0"/>
              <w:rPr>
                <w:sz w:val="20"/>
                <w:szCs w:val="20"/>
                <w:color w:val="auto"/>
              </w:rPr>
            </w:pPr>
            <w:r>
              <w:rPr>
                <w:rFonts w:ascii="Arial" w:cs="Arial" w:eastAsia="Arial" w:hAnsi="Arial"/>
                <w:sz w:val="18"/>
                <w:szCs w:val="18"/>
                <w:color w:val="auto"/>
              </w:rPr>
              <w:t>146</w:t>
            </w:r>
          </w:p>
        </w:tc>
        <w:tc>
          <w:tcPr>
            <w:tcW w:w="100" w:type="dxa"/>
            <w:vAlign w:val="bottom"/>
          </w:tcPr>
          <w:p>
            <w:pPr>
              <w:spacing w:after="0"/>
              <w:rPr>
                <w:sz w:val="18"/>
                <w:szCs w:val="18"/>
                <w:color w:val="auto"/>
              </w:rPr>
            </w:pPr>
          </w:p>
        </w:tc>
        <w:tc>
          <w:tcPr>
            <w:tcW w:w="108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480" w:type="dxa"/>
            <w:vAlign w:val="bottom"/>
            <w:tcBorders>
              <w:left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8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Cash and cash equivalents, beginning of period</w:t>
            </w:r>
          </w:p>
        </w:tc>
        <w:tc>
          <w:tcPr>
            <w:tcW w:w="1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8,618</w:t>
            </w: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480" w:type="dxa"/>
            <w:vAlign w:val="bottom"/>
            <w:tcBorders>
              <w:left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19,359</w:t>
            </w:r>
          </w:p>
        </w:tc>
        <w:tc>
          <w:tcPr>
            <w:tcW w:w="0" w:type="dxa"/>
            <w:vAlign w:val="bottom"/>
          </w:tcPr>
          <w:p>
            <w:pPr>
              <w:spacing w:after="0"/>
              <w:rPr>
                <w:sz w:val="1"/>
                <w:szCs w:val="1"/>
                <w:color w:val="auto"/>
              </w:rPr>
            </w:pPr>
          </w:p>
        </w:tc>
      </w:tr>
      <w:tr>
        <w:trPr>
          <w:trHeight w:val="223"/>
        </w:trPr>
        <w:tc>
          <w:tcPr>
            <w:tcW w:w="6860" w:type="dxa"/>
            <w:vAlign w:val="bottom"/>
          </w:tcPr>
          <w:p>
            <w:pPr>
              <w:ind w:left="360"/>
              <w:spacing w:after="0"/>
              <w:rPr>
                <w:sz w:val="20"/>
                <w:szCs w:val="20"/>
                <w:color w:val="auto"/>
              </w:rPr>
            </w:pPr>
            <w:r>
              <w:rPr>
                <w:rFonts w:ascii="Arial" w:cs="Arial" w:eastAsia="Arial" w:hAnsi="Arial"/>
                <w:sz w:val="18"/>
                <w:szCs w:val="18"/>
                <w:color w:val="auto"/>
              </w:rPr>
              <w:t>Cash and cash equivalents, end of period</w:t>
            </w:r>
          </w:p>
        </w:tc>
        <w:tc>
          <w:tcPr>
            <w:tcW w:w="18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24,774</w:t>
            </w:r>
          </w:p>
        </w:tc>
        <w:tc>
          <w:tcPr>
            <w:tcW w:w="40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8,618</w:t>
            </w:r>
          </w:p>
        </w:tc>
        <w:tc>
          <w:tcPr>
            <w:tcW w:w="220" w:type="dxa"/>
            <w:vAlign w:val="bottom"/>
          </w:tcPr>
          <w:p>
            <w:pPr>
              <w:spacing w:after="0"/>
              <w:rPr>
                <w:sz w:val="19"/>
                <w:szCs w:val="19"/>
                <w:color w:val="auto"/>
              </w:rPr>
            </w:pPr>
          </w:p>
        </w:tc>
        <w:tc>
          <w:tcPr>
            <w:tcW w:w="480" w:type="dxa"/>
            <w:vAlign w:val="bottom"/>
            <w:tcBorders>
              <w:left w:val="single" w:sz="8" w:color="auto"/>
            </w:tcBorders>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17,058</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860" w:type="dxa"/>
            <w:vAlign w:val="bottom"/>
            <w:vMerge w:val="restart"/>
          </w:tcPr>
          <w:p>
            <w:pPr>
              <w:ind w:left="5440"/>
              <w:spacing w:after="0"/>
              <w:rPr>
                <w:sz w:val="20"/>
                <w:szCs w:val="20"/>
                <w:color w:val="auto"/>
              </w:rPr>
            </w:pPr>
            <w:r>
              <w:rPr>
                <w:rFonts w:ascii="Arial" w:cs="Arial" w:eastAsia="Arial" w:hAnsi="Arial"/>
                <w:sz w:val="18"/>
                <w:szCs w:val="18"/>
                <w:color w:val="auto"/>
              </w:rPr>
              <w:t>F-12</w:t>
            </w:r>
          </w:p>
        </w:tc>
        <w:tc>
          <w:tcPr>
            <w:tcW w:w="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80" w:type="dxa"/>
            <w:vAlign w:val="bottom"/>
            <w:tcBorders>
              <w:left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6860" w:type="dxa"/>
            <w:vAlign w:val="bottom"/>
            <w:vMerge w:val="continue"/>
          </w:tcPr>
          <w:p>
            <w:pPr>
              <w:spacing w:after="0"/>
              <w:rPr>
                <w:sz w:val="24"/>
                <w:szCs w:val="24"/>
                <w:color w:val="auto"/>
              </w:rPr>
            </w:pPr>
          </w:p>
        </w:tc>
        <w:tc>
          <w:tcPr>
            <w:tcW w:w="1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140"/>
          </w:cols>
          <w:pgMar w:left="320" w:top="459" w:right="439" w:bottom="1440" w:gutter="0" w:footer="0" w:header="0"/>
        </w:sectPr>
      </w:pPr>
    </w:p>
    <w:bookmarkStart w:id="218" w:name="page219"/>
    <w:bookmarkEnd w:id="2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3">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Confidential Treatment Requested by Definitive Healthcare Corp.</w:t>
      </w:r>
    </w:p>
    <w:p>
      <w:pPr>
        <w:spacing w:after="0" w:line="27"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Pursuant to 17 C.F.R. Section 200.83</w:t>
      </w:r>
    </w:p>
    <w:p>
      <w:pPr>
        <w:spacing w:after="0" w:line="139"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AIDH TOPCO, LLC</w:t>
      </w:r>
    </w:p>
    <w:p>
      <w:pPr>
        <w:spacing w:after="0" w:line="22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27" w:lineRule="exact"/>
        <w:rPr>
          <w:sz w:val="20"/>
          <w:szCs w:val="20"/>
          <w:color w:val="auto"/>
        </w:rPr>
      </w:pPr>
    </w:p>
    <w:p>
      <w:pPr>
        <w:jc w:val="center"/>
        <w:ind w:right="-99"/>
        <w:spacing w:after="0"/>
        <w:rPr>
          <w:sz w:val="20"/>
          <w:szCs w:val="20"/>
          <w:color w:val="auto"/>
        </w:rPr>
      </w:pPr>
      <w:r>
        <w:rPr>
          <w:rFonts w:ascii="Arial" w:cs="Arial" w:eastAsia="Arial" w:hAnsi="Arial"/>
          <w:sz w:val="18"/>
          <w:szCs w:val="18"/>
          <w:i w:val="1"/>
          <w:iCs w:val="1"/>
          <w:color w:val="auto"/>
        </w:rPr>
        <w:t>(amounts in thousands)</w:t>
      </w:r>
    </w:p>
    <w:p>
      <w:pPr>
        <w:spacing w:after="0" w:line="217" w:lineRule="exact"/>
        <w:rPr>
          <w:sz w:val="20"/>
          <w:szCs w:val="20"/>
          <w:color w:val="auto"/>
        </w:rPr>
      </w:pPr>
    </w:p>
    <w:tbl>
      <w:tblPr>
        <w:tblLayout w:type="fixed"/>
        <w:tblInd w:w="120" w:type="dxa"/>
        <w:tblCellMar>
          <w:top w:w="0" w:type="dxa"/>
          <w:left w:w="0" w:type="dxa"/>
          <w:bottom w:w="0" w:type="dxa"/>
          <w:right w:w="0" w:type="dxa"/>
        </w:tblCellMar>
      </w:tblPr>
      <w:tr>
        <w:trPr>
          <w:trHeight w:val="35"/>
        </w:trPr>
        <w:tc>
          <w:tcPr>
            <w:tcW w:w="6280" w:type="dxa"/>
            <w:vAlign w:val="bottom"/>
          </w:tcPr>
          <w:p>
            <w:pPr>
              <w:spacing w:after="0"/>
              <w:rPr>
                <w:sz w:val="3"/>
                <w:szCs w:val="3"/>
                <w:color w:val="auto"/>
              </w:rPr>
            </w:pPr>
          </w:p>
        </w:tc>
        <w:tc>
          <w:tcPr>
            <w:tcW w:w="620" w:type="dxa"/>
            <w:vAlign w:val="bottom"/>
          </w:tcPr>
          <w:p>
            <w:pPr>
              <w:spacing w:after="0"/>
              <w:rPr>
                <w:sz w:val="3"/>
                <w:szCs w:val="3"/>
                <w:color w:val="auto"/>
              </w:rPr>
            </w:pPr>
          </w:p>
        </w:tc>
        <w:tc>
          <w:tcPr>
            <w:tcW w:w="180" w:type="dxa"/>
            <w:vAlign w:val="bottom"/>
          </w:tcPr>
          <w:p>
            <w:pPr>
              <w:spacing w:after="0"/>
              <w:rPr>
                <w:sz w:val="3"/>
                <w:szCs w:val="3"/>
                <w:color w:val="auto"/>
              </w:rPr>
            </w:pPr>
          </w:p>
        </w:tc>
        <w:tc>
          <w:tcPr>
            <w:tcW w:w="2020" w:type="dxa"/>
            <w:vAlign w:val="bottom"/>
            <w:gridSpan w:val="5"/>
            <w:vMerge w:val="restart"/>
          </w:tcPr>
          <w:p>
            <w:pPr>
              <w:jc w:val="right"/>
              <w:ind w:right="394"/>
              <w:spacing w:after="0"/>
              <w:rPr>
                <w:sz w:val="20"/>
                <w:szCs w:val="20"/>
                <w:color w:val="auto"/>
              </w:rPr>
            </w:pPr>
            <w:r>
              <w:rPr>
                <w:rFonts w:ascii="Arial" w:cs="Arial" w:eastAsia="Arial" w:hAnsi="Arial"/>
                <w:sz w:val="14"/>
                <w:szCs w:val="14"/>
                <w:b w:val="1"/>
                <w:bCs w:val="1"/>
                <w:color w:val="auto"/>
              </w:rPr>
              <w:t>Successor Company</w:t>
            </w:r>
          </w:p>
        </w:tc>
        <w:tc>
          <w:tcPr>
            <w:tcW w:w="220" w:type="dxa"/>
            <w:vAlign w:val="bottom"/>
            <w:vMerge w:val="restart"/>
          </w:tcPr>
          <w:p>
            <w:pPr>
              <w:spacing w:after="0"/>
              <w:rPr>
                <w:sz w:val="3"/>
                <w:szCs w:val="3"/>
                <w:color w:val="auto"/>
              </w:rPr>
            </w:pPr>
          </w:p>
        </w:tc>
        <w:tc>
          <w:tcPr>
            <w:tcW w:w="50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80" w:type="dxa"/>
            <w:vAlign w:val="bottom"/>
            <w:gridSpan w:val="2"/>
            <w:vMerge w:val="restart"/>
          </w:tcPr>
          <w:p>
            <w:pPr>
              <w:jc w:val="center"/>
              <w:ind w:right="180"/>
              <w:spacing w:after="0"/>
              <w:rPr>
                <w:sz w:val="20"/>
                <w:szCs w:val="20"/>
                <w:color w:val="auto"/>
              </w:rPr>
            </w:pPr>
            <w:r>
              <w:rPr>
                <w:rFonts w:ascii="Arial" w:cs="Arial" w:eastAsia="Arial" w:hAnsi="Arial"/>
                <w:sz w:val="14"/>
                <w:szCs w:val="14"/>
                <w:b w:val="1"/>
                <w:bCs w:val="1"/>
                <w:color w:val="auto"/>
                <w:w w:val="87"/>
              </w:rPr>
              <w:t>Predecessor</w:t>
            </w:r>
          </w:p>
        </w:tc>
        <w:tc>
          <w:tcPr>
            <w:tcW w:w="0" w:type="dxa"/>
            <w:vAlign w:val="bottom"/>
          </w:tcPr>
          <w:p>
            <w:pPr>
              <w:spacing w:after="0" w:line="20" w:lineRule="exact"/>
              <w:rPr>
                <w:sz w:val="1"/>
                <w:szCs w:val="1"/>
                <w:color w:val="auto"/>
              </w:rPr>
            </w:pPr>
          </w:p>
        </w:tc>
      </w:tr>
      <w:tr>
        <w:trPr>
          <w:trHeight w:val="126"/>
        </w:trPr>
        <w:tc>
          <w:tcPr>
            <w:tcW w:w="62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2020" w:type="dxa"/>
            <w:vAlign w:val="bottom"/>
            <w:gridSpan w:val="5"/>
            <w:vMerge w:val="continue"/>
          </w:tcPr>
          <w:p>
            <w:pPr>
              <w:spacing w:after="0"/>
              <w:rPr>
                <w:sz w:val="10"/>
                <w:szCs w:val="10"/>
                <w:color w:val="auto"/>
              </w:rPr>
            </w:pPr>
          </w:p>
        </w:tc>
        <w:tc>
          <w:tcPr>
            <w:tcW w:w="220" w:type="dxa"/>
            <w:vAlign w:val="bottom"/>
            <w:vMerge w:val="continue"/>
          </w:tcPr>
          <w:p>
            <w:pPr>
              <w:spacing w:after="0"/>
              <w:rPr>
                <w:sz w:val="10"/>
                <w:szCs w:val="10"/>
                <w:color w:val="auto"/>
              </w:rPr>
            </w:pPr>
          </w:p>
        </w:tc>
        <w:tc>
          <w:tcPr>
            <w:tcW w:w="500" w:type="dxa"/>
            <w:vAlign w:val="bottom"/>
            <w:tcBorders>
              <w:left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108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62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2020" w:type="dxa"/>
            <w:vAlign w:val="bottom"/>
            <w:tcBorders>
              <w:bottom w:val="single" w:sz="8" w:color="auto"/>
            </w:tcBorders>
            <w:gridSpan w:val="5"/>
            <w:vMerge w:val="continue"/>
          </w:tcPr>
          <w:p>
            <w:pPr>
              <w:spacing w:after="0"/>
              <w:rPr>
                <w:sz w:val="14"/>
                <w:szCs w:val="14"/>
                <w:color w:val="auto"/>
              </w:rPr>
            </w:pPr>
          </w:p>
        </w:tc>
        <w:tc>
          <w:tcPr>
            <w:tcW w:w="220" w:type="dxa"/>
            <w:vAlign w:val="bottom"/>
            <w:vMerge w:val="continue"/>
          </w:tcPr>
          <w:p>
            <w:pPr>
              <w:spacing w:after="0"/>
              <w:rPr>
                <w:sz w:val="14"/>
                <w:szCs w:val="14"/>
                <w:color w:val="auto"/>
              </w:rPr>
            </w:pPr>
          </w:p>
        </w:tc>
        <w:tc>
          <w:tcPr>
            <w:tcW w:w="500" w:type="dxa"/>
            <w:vAlign w:val="bottom"/>
            <w:tcBorders>
              <w:left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center"/>
              <w:ind w:right="56"/>
              <w:spacing w:after="0"/>
              <w:rPr>
                <w:sz w:val="20"/>
                <w:szCs w:val="20"/>
                <w:color w:val="auto"/>
              </w:rPr>
            </w:pPr>
            <w:r>
              <w:rPr>
                <w:rFonts w:ascii="Arial" w:cs="Arial" w:eastAsia="Arial" w:hAnsi="Arial"/>
                <w:sz w:val="14"/>
                <w:szCs w:val="14"/>
                <w:b w:val="1"/>
                <w:bCs w:val="1"/>
                <w:color w:val="auto"/>
                <w:w w:val="93"/>
              </w:rPr>
              <w:t>Company</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62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060" w:type="dxa"/>
            <w:vAlign w:val="bottom"/>
            <w:gridSpan w:val="3"/>
            <w:vMerge w:val="restart"/>
          </w:tcPr>
          <w:p>
            <w:pPr>
              <w:jc w:val="right"/>
              <w:ind w:right="280"/>
              <w:spacing w:after="0"/>
              <w:rPr>
                <w:sz w:val="20"/>
                <w:szCs w:val="20"/>
                <w:color w:val="auto"/>
              </w:rPr>
            </w:pPr>
            <w:r>
              <w:rPr>
                <w:rFonts w:ascii="Arial" w:cs="Arial" w:eastAsia="Arial" w:hAnsi="Arial"/>
                <w:sz w:val="14"/>
                <w:szCs w:val="14"/>
                <w:b w:val="1"/>
                <w:bCs w:val="1"/>
                <w:color w:val="auto"/>
                <w:w w:val="98"/>
              </w:rPr>
              <w:t>Year Ended</w:t>
            </w:r>
          </w:p>
        </w:tc>
        <w:tc>
          <w:tcPr>
            <w:tcW w:w="1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60" w:type="dxa"/>
            <w:vAlign w:val="bottom"/>
          </w:tcPr>
          <w:p>
            <w:pPr>
              <w:jc w:val="center"/>
              <w:spacing w:after="0" w:line="119" w:lineRule="exact"/>
              <w:rPr>
                <w:sz w:val="20"/>
                <w:szCs w:val="20"/>
                <w:color w:val="auto"/>
              </w:rPr>
            </w:pPr>
            <w:r>
              <w:rPr>
                <w:rFonts w:ascii="Arial" w:cs="Arial" w:eastAsia="Arial" w:hAnsi="Arial"/>
                <w:sz w:val="13"/>
                <w:szCs w:val="13"/>
                <w:b w:val="1"/>
                <w:bCs w:val="1"/>
                <w:color w:val="auto"/>
              </w:rPr>
              <w:t>Period from</w:t>
            </w:r>
          </w:p>
        </w:tc>
        <w:tc>
          <w:tcPr>
            <w:tcW w:w="220" w:type="dxa"/>
            <w:vAlign w:val="bottom"/>
          </w:tcPr>
          <w:p>
            <w:pPr>
              <w:spacing w:after="0"/>
              <w:rPr>
                <w:sz w:val="10"/>
                <w:szCs w:val="10"/>
                <w:color w:val="auto"/>
              </w:rPr>
            </w:pPr>
          </w:p>
        </w:tc>
        <w:tc>
          <w:tcPr>
            <w:tcW w:w="500" w:type="dxa"/>
            <w:vAlign w:val="bottom"/>
            <w:tcBorders>
              <w:left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1080" w:type="dxa"/>
            <w:vAlign w:val="bottom"/>
            <w:gridSpan w:val="2"/>
            <w:vMerge w:val="restart"/>
          </w:tcPr>
          <w:p>
            <w:pPr>
              <w:jc w:val="center"/>
              <w:ind w:right="180"/>
              <w:spacing w:after="0"/>
              <w:rPr>
                <w:sz w:val="20"/>
                <w:szCs w:val="20"/>
                <w:color w:val="auto"/>
              </w:rPr>
            </w:pPr>
            <w:r>
              <w:rPr>
                <w:rFonts w:ascii="Arial" w:cs="Arial" w:eastAsia="Arial" w:hAnsi="Arial"/>
                <w:sz w:val="14"/>
                <w:szCs w:val="14"/>
                <w:b w:val="1"/>
                <w:bCs w:val="1"/>
                <w:color w:val="auto"/>
                <w:w w:val="94"/>
              </w:rPr>
              <w:t>Period from</w:t>
            </w:r>
          </w:p>
        </w:tc>
        <w:tc>
          <w:tcPr>
            <w:tcW w:w="0" w:type="dxa"/>
            <w:vAlign w:val="bottom"/>
          </w:tcPr>
          <w:p>
            <w:pPr>
              <w:spacing w:after="0"/>
              <w:rPr>
                <w:sz w:val="1"/>
                <w:szCs w:val="1"/>
                <w:color w:val="auto"/>
              </w:rPr>
            </w:pPr>
          </w:p>
        </w:tc>
      </w:tr>
      <w:tr>
        <w:trPr>
          <w:trHeight w:val="148"/>
        </w:trPr>
        <w:tc>
          <w:tcPr>
            <w:tcW w:w="62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60" w:type="dxa"/>
            <w:vAlign w:val="bottom"/>
            <w:gridSpan w:val="3"/>
            <w:vMerge w:val="continue"/>
          </w:tcPr>
          <w:p>
            <w:pPr>
              <w:spacing w:after="0"/>
              <w:rPr>
                <w:sz w:val="12"/>
                <w:szCs w:val="12"/>
                <w:color w:val="auto"/>
              </w:rPr>
            </w:pPr>
          </w:p>
        </w:tc>
        <w:tc>
          <w:tcPr>
            <w:tcW w:w="180" w:type="dxa"/>
            <w:vAlign w:val="bottom"/>
          </w:tcPr>
          <w:p>
            <w:pPr>
              <w:spacing w:after="0"/>
              <w:rPr>
                <w:sz w:val="12"/>
                <w:szCs w:val="12"/>
                <w:color w:val="auto"/>
              </w:rPr>
            </w:pPr>
          </w:p>
        </w:tc>
        <w:tc>
          <w:tcPr>
            <w:tcW w:w="118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July 16, 2019 to</w:t>
            </w:r>
          </w:p>
        </w:tc>
        <w:tc>
          <w:tcPr>
            <w:tcW w:w="500" w:type="dxa"/>
            <w:vAlign w:val="bottom"/>
            <w:tcBorders>
              <w:left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108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62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6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December 31,</w:t>
            </w:r>
          </w:p>
        </w:tc>
        <w:tc>
          <w:tcPr>
            <w:tcW w:w="180" w:type="dxa"/>
            <w:vAlign w:val="bottom"/>
          </w:tcPr>
          <w:p>
            <w:pPr>
              <w:spacing w:after="0"/>
              <w:rPr>
                <w:sz w:val="12"/>
                <w:szCs w:val="12"/>
                <w:color w:val="auto"/>
              </w:rPr>
            </w:pPr>
          </w:p>
        </w:tc>
        <w:tc>
          <w:tcPr>
            <w:tcW w:w="1180" w:type="dxa"/>
            <w:vAlign w:val="bottom"/>
            <w:gridSpan w:val="3"/>
          </w:tcPr>
          <w:p>
            <w:pPr>
              <w:jc w:val="center"/>
              <w:ind w:right="220"/>
              <w:spacing w:after="0" w:line="149" w:lineRule="exact"/>
              <w:rPr>
                <w:sz w:val="20"/>
                <w:szCs w:val="20"/>
                <w:color w:val="auto"/>
              </w:rPr>
            </w:pPr>
            <w:r>
              <w:rPr>
                <w:rFonts w:ascii="Arial" w:cs="Arial" w:eastAsia="Arial" w:hAnsi="Arial"/>
                <w:sz w:val="14"/>
                <w:szCs w:val="14"/>
                <w:b w:val="1"/>
                <w:bCs w:val="1"/>
                <w:color w:val="auto"/>
                <w:w w:val="92"/>
              </w:rPr>
              <w:t>December 31,</w:t>
            </w:r>
          </w:p>
        </w:tc>
        <w:tc>
          <w:tcPr>
            <w:tcW w:w="500" w:type="dxa"/>
            <w:vAlign w:val="bottom"/>
            <w:tcBorders>
              <w:left w:val="single" w:sz="8" w:color="auto"/>
            </w:tcBorders>
          </w:tcPr>
          <w:p>
            <w:pPr>
              <w:spacing w:after="0"/>
              <w:rPr>
                <w:sz w:val="12"/>
                <w:szCs w:val="12"/>
                <w:color w:val="auto"/>
              </w:rPr>
            </w:pPr>
          </w:p>
        </w:tc>
        <w:tc>
          <w:tcPr>
            <w:tcW w:w="120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w w:val="97"/>
              </w:rPr>
              <w:t>January 1, 2019 to</w:t>
            </w:r>
          </w:p>
        </w:tc>
        <w:tc>
          <w:tcPr>
            <w:tcW w:w="0" w:type="dxa"/>
            <w:vAlign w:val="bottom"/>
          </w:tcPr>
          <w:p>
            <w:pPr>
              <w:spacing w:after="0"/>
              <w:rPr>
                <w:sz w:val="1"/>
                <w:szCs w:val="1"/>
                <w:color w:val="auto"/>
              </w:rPr>
            </w:pPr>
          </w:p>
        </w:tc>
      </w:tr>
      <w:tr>
        <w:trPr>
          <w:trHeight w:val="171"/>
        </w:trPr>
        <w:tc>
          <w:tcPr>
            <w:tcW w:w="62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60" w:type="dxa"/>
            <w:vAlign w:val="bottom"/>
          </w:tcPr>
          <w:p>
            <w:pPr>
              <w:jc w:val="right"/>
              <w:ind w:right="194"/>
              <w:spacing w:after="0"/>
              <w:rPr>
                <w:sz w:val="20"/>
                <w:szCs w:val="20"/>
                <w:color w:val="auto"/>
              </w:rPr>
            </w:pPr>
            <w:r>
              <w:rPr>
                <w:rFonts w:ascii="Arial" w:cs="Arial" w:eastAsia="Arial" w:hAnsi="Arial"/>
                <w:sz w:val="14"/>
                <w:szCs w:val="14"/>
                <w:b w:val="1"/>
                <w:bCs w:val="1"/>
                <w:color w:val="auto"/>
              </w:rPr>
              <w:t>2020</w:t>
            </w: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tcPr>
          <w:p>
            <w:pPr>
              <w:jc w:val="center"/>
              <w:ind w:right="14"/>
              <w:spacing w:after="0"/>
              <w:rPr>
                <w:sz w:val="20"/>
                <w:szCs w:val="20"/>
                <w:color w:val="auto"/>
              </w:rPr>
            </w:pPr>
            <w:r>
              <w:rPr>
                <w:rFonts w:ascii="Arial" w:cs="Arial" w:eastAsia="Arial" w:hAnsi="Arial"/>
                <w:sz w:val="14"/>
                <w:szCs w:val="14"/>
                <w:b w:val="1"/>
                <w:bCs w:val="1"/>
                <w:color w:val="auto"/>
                <w:w w:val="89"/>
              </w:rPr>
              <w:t>2019</w:t>
            </w:r>
          </w:p>
        </w:tc>
        <w:tc>
          <w:tcPr>
            <w:tcW w:w="220" w:type="dxa"/>
            <w:vAlign w:val="bottom"/>
          </w:tcPr>
          <w:p>
            <w:pPr>
              <w:spacing w:after="0"/>
              <w:rPr>
                <w:sz w:val="14"/>
                <w:szCs w:val="14"/>
                <w:color w:val="auto"/>
              </w:rPr>
            </w:pPr>
          </w:p>
        </w:tc>
        <w:tc>
          <w:tcPr>
            <w:tcW w:w="500" w:type="dxa"/>
            <w:vAlign w:val="bottom"/>
            <w:tcBorders>
              <w:left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108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2"/>
              </w:rPr>
              <w:t>July 15, 2019</w:t>
            </w:r>
          </w:p>
        </w:tc>
        <w:tc>
          <w:tcPr>
            <w:tcW w:w="0" w:type="dxa"/>
            <w:vAlign w:val="bottom"/>
          </w:tcPr>
          <w:p>
            <w:pPr>
              <w:spacing w:after="0"/>
              <w:rPr>
                <w:sz w:val="1"/>
                <w:szCs w:val="1"/>
                <w:color w:val="auto"/>
              </w:rPr>
            </w:pPr>
          </w:p>
        </w:tc>
      </w:tr>
      <w:tr>
        <w:trPr>
          <w:trHeight w:val="196"/>
        </w:trPr>
        <w:tc>
          <w:tcPr>
            <w:tcW w:w="628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Supplemental disclosures for cash flow information:</w:t>
            </w:r>
          </w:p>
        </w:tc>
        <w:tc>
          <w:tcPr>
            <w:tcW w:w="62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86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500" w:type="dxa"/>
            <w:vAlign w:val="bottom"/>
            <w:tcBorders>
              <w:top w:val="single" w:sz="8" w:color="CCEEFF"/>
              <w:left w:val="single" w:sz="8" w:color="auto"/>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1020" w:type="dxa"/>
            <w:vAlign w:val="bottom"/>
            <w:tcBorders>
              <w:top w:val="single" w:sz="8" w:color="auto"/>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280" w:type="dxa"/>
            <w:vAlign w:val="bottom"/>
          </w:tcPr>
          <w:p>
            <w:pPr>
              <w:ind w:left="360"/>
              <w:spacing w:after="0"/>
              <w:rPr>
                <w:sz w:val="20"/>
                <w:szCs w:val="20"/>
                <w:color w:val="auto"/>
              </w:rPr>
            </w:pPr>
            <w:r>
              <w:rPr>
                <w:rFonts w:ascii="Arial" w:cs="Arial" w:eastAsia="Arial" w:hAnsi="Arial"/>
                <w:sz w:val="18"/>
                <w:szCs w:val="18"/>
                <w:color w:val="auto"/>
              </w:rPr>
              <w:t>Cash paid during the year for:</w:t>
            </w:r>
          </w:p>
        </w:tc>
        <w:tc>
          <w:tcPr>
            <w:tcW w:w="6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00" w:type="dxa"/>
            <w:vAlign w:val="bottom"/>
            <w:tcBorders>
              <w:left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80" w:type="dxa"/>
            <w:vAlign w:val="bottom"/>
            <w:shd w:val="clear" w:color="auto" w:fill="CCEEFF"/>
          </w:tcPr>
          <w:p>
            <w:pPr>
              <w:ind w:left="720"/>
              <w:spacing w:after="0"/>
              <w:rPr>
                <w:sz w:val="20"/>
                <w:szCs w:val="20"/>
                <w:color w:val="auto"/>
              </w:rPr>
            </w:pPr>
            <w:r>
              <w:rPr>
                <w:rFonts w:ascii="Arial" w:cs="Arial" w:eastAsia="Arial" w:hAnsi="Arial"/>
                <w:sz w:val="18"/>
                <w:szCs w:val="18"/>
                <w:color w:val="auto"/>
              </w:rPr>
              <w:t>Interest</w:t>
            </w:r>
          </w:p>
        </w:tc>
        <w:tc>
          <w:tcPr>
            <w:tcW w:w="800" w:type="dxa"/>
            <w:vAlign w:val="bottom"/>
            <w:gridSpan w:val="2"/>
            <w:shd w:val="clear" w:color="auto" w:fill="CCEEFF"/>
          </w:tcPr>
          <w:p>
            <w:pPr>
              <w:ind w:left="620"/>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25,958</w:t>
            </w:r>
          </w:p>
        </w:tc>
        <w:tc>
          <w:tcPr>
            <w:tcW w:w="28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w w:val="79"/>
              </w:rPr>
              <w:t>$</w:t>
            </w: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9,939</w:t>
            </w:r>
          </w:p>
        </w:tc>
        <w:tc>
          <w:tcPr>
            <w:tcW w:w="620" w:type="dxa"/>
            <w:vAlign w:val="bottom"/>
            <w:tcBorders>
              <w:left w:val="single" w:sz="8" w:color="auto"/>
            </w:tcBorders>
            <w:gridSpan w:val="2"/>
            <w:shd w:val="clear" w:color="auto" w:fill="CCEEFF"/>
          </w:tcPr>
          <w:p>
            <w:pPr>
              <w:ind w:left="500"/>
              <w:spacing w:after="0"/>
              <w:rPr>
                <w:sz w:val="20"/>
                <w:szCs w:val="20"/>
                <w:color w:val="auto"/>
              </w:rPr>
            </w:pPr>
            <w:r>
              <w:rPr>
                <w:rFonts w:ascii="Arial" w:cs="Arial" w:eastAsia="Arial" w:hAnsi="Arial"/>
                <w:sz w:val="18"/>
                <w:szCs w:val="18"/>
                <w:color w:val="auto"/>
                <w:w w:val="99"/>
              </w:rPr>
              <w:t>$</w:t>
            </w:r>
          </w:p>
        </w:tc>
        <w:tc>
          <w:tcPr>
            <w:tcW w:w="1080" w:type="dxa"/>
            <w:vAlign w:val="bottom"/>
            <w:gridSpan w:val="2"/>
            <w:shd w:val="clear" w:color="auto" w:fill="CCEEFF"/>
          </w:tcPr>
          <w:p>
            <w:pPr>
              <w:ind w:left="740"/>
              <w:spacing w:after="0"/>
              <w:rPr>
                <w:sz w:val="20"/>
                <w:szCs w:val="20"/>
                <w:color w:val="auto"/>
              </w:rPr>
            </w:pPr>
            <w:r>
              <w:rPr>
                <w:rFonts w:ascii="Arial" w:cs="Arial" w:eastAsia="Arial" w:hAnsi="Arial"/>
                <w:sz w:val="18"/>
                <w:szCs w:val="18"/>
                <w:color w:val="auto"/>
              </w:rPr>
              <w:t>277</w:t>
            </w:r>
          </w:p>
        </w:tc>
        <w:tc>
          <w:tcPr>
            <w:tcW w:w="0" w:type="dxa"/>
            <w:vAlign w:val="bottom"/>
          </w:tcPr>
          <w:p>
            <w:pPr>
              <w:spacing w:after="0"/>
              <w:rPr>
                <w:sz w:val="1"/>
                <w:szCs w:val="1"/>
                <w:color w:val="auto"/>
              </w:rPr>
            </w:pPr>
          </w:p>
        </w:tc>
      </w:tr>
      <w:tr>
        <w:trPr>
          <w:trHeight w:val="230"/>
        </w:trPr>
        <w:tc>
          <w:tcPr>
            <w:tcW w:w="6280" w:type="dxa"/>
            <w:vAlign w:val="bottom"/>
          </w:tcPr>
          <w:p>
            <w:pPr>
              <w:ind w:left="720"/>
              <w:spacing w:after="0"/>
              <w:rPr>
                <w:sz w:val="20"/>
                <w:szCs w:val="20"/>
                <w:color w:val="auto"/>
              </w:rPr>
            </w:pPr>
            <w:r>
              <w:rPr>
                <w:rFonts w:ascii="Arial" w:cs="Arial" w:eastAsia="Arial" w:hAnsi="Arial"/>
                <w:sz w:val="18"/>
                <w:szCs w:val="18"/>
                <w:color w:val="auto"/>
              </w:rPr>
              <w:t>Income taxes</w:t>
            </w:r>
          </w:p>
        </w:tc>
        <w:tc>
          <w:tcPr>
            <w:tcW w:w="800" w:type="dxa"/>
            <w:vAlign w:val="bottom"/>
            <w:gridSpan w:val="2"/>
          </w:tcPr>
          <w:p>
            <w:pPr>
              <w:ind w:left="620"/>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280" w:type="dxa"/>
            <w:vAlign w:val="bottom"/>
            <w:gridSpan w:val="2"/>
          </w:tcPr>
          <w:p>
            <w:pPr>
              <w:ind w:left="180"/>
              <w:spacing w:after="0"/>
              <w:rPr>
                <w:sz w:val="20"/>
                <w:szCs w:val="20"/>
                <w:color w:val="auto"/>
              </w:rPr>
            </w:pPr>
            <w:r>
              <w:rPr>
                <w:rFonts w:ascii="Arial" w:cs="Arial" w:eastAsia="Arial" w:hAnsi="Arial"/>
                <w:sz w:val="18"/>
                <w:szCs w:val="18"/>
                <w:color w:val="auto"/>
                <w:w w:val="79"/>
              </w:rPr>
              <w:t>$</w:t>
            </w:r>
          </w:p>
        </w:tc>
        <w:tc>
          <w:tcPr>
            <w:tcW w:w="108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620" w:type="dxa"/>
            <w:vAlign w:val="bottom"/>
            <w:tcBorders>
              <w:left w:val="single" w:sz="8" w:color="auto"/>
            </w:tcBorders>
            <w:gridSpan w:val="2"/>
          </w:tcPr>
          <w:p>
            <w:pPr>
              <w:ind w:left="500"/>
              <w:spacing w:after="0"/>
              <w:rPr>
                <w:sz w:val="20"/>
                <w:szCs w:val="20"/>
                <w:color w:val="auto"/>
              </w:rPr>
            </w:pPr>
            <w:r>
              <w:rPr>
                <w:rFonts w:ascii="Arial" w:cs="Arial" w:eastAsia="Arial" w:hAnsi="Arial"/>
                <w:sz w:val="18"/>
                <w:szCs w:val="18"/>
                <w:color w:val="auto"/>
                <w:w w:val="99"/>
              </w:rPr>
              <w:t>$</w:t>
            </w:r>
          </w:p>
        </w:tc>
        <w:tc>
          <w:tcPr>
            <w:tcW w:w="1080" w:type="dxa"/>
            <w:vAlign w:val="bottom"/>
            <w:gridSpan w:val="2"/>
          </w:tcPr>
          <w:p>
            <w:pPr>
              <w:jc w:val="right"/>
              <w:ind w:right="60"/>
              <w:spacing w:after="0"/>
              <w:rPr>
                <w:sz w:val="20"/>
                <w:szCs w:val="20"/>
                <w:color w:val="auto"/>
              </w:rPr>
            </w:pPr>
            <w:r>
              <w:rPr>
                <w:rFonts w:ascii="Arial" w:cs="Arial" w:eastAsia="Arial" w:hAnsi="Arial"/>
                <w:sz w:val="18"/>
                <w:szCs w:val="18"/>
                <w:color w:val="auto"/>
              </w:rPr>
              <w:t>60</w:t>
            </w:r>
          </w:p>
        </w:tc>
        <w:tc>
          <w:tcPr>
            <w:tcW w:w="0" w:type="dxa"/>
            <w:vAlign w:val="bottom"/>
          </w:tcPr>
          <w:p>
            <w:pPr>
              <w:spacing w:after="0"/>
              <w:rPr>
                <w:sz w:val="1"/>
                <w:szCs w:val="1"/>
                <w:color w:val="auto"/>
              </w:rPr>
            </w:pPr>
          </w:p>
        </w:tc>
      </w:tr>
      <w:tr>
        <w:trPr>
          <w:trHeight w:val="216"/>
        </w:trPr>
        <w:tc>
          <w:tcPr>
            <w:tcW w:w="62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Supplemental noncash disclosures of investing activities:</w:t>
            </w:r>
          </w:p>
        </w:tc>
        <w:tc>
          <w:tcPr>
            <w:tcW w:w="6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00" w:type="dxa"/>
            <w:vAlign w:val="bottom"/>
            <w:tcBorders>
              <w:left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80" w:type="dxa"/>
            <w:vAlign w:val="bottom"/>
          </w:tcPr>
          <w:p>
            <w:pPr>
              <w:spacing w:after="0"/>
              <w:rPr>
                <w:sz w:val="20"/>
                <w:szCs w:val="20"/>
                <w:color w:val="auto"/>
              </w:rPr>
            </w:pPr>
            <w:r>
              <w:rPr>
                <w:rFonts w:ascii="Arial" w:cs="Arial" w:eastAsia="Arial" w:hAnsi="Arial"/>
                <w:sz w:val="18"/>
                <w:szCs w:val="18"/>
                <w:color w:val="auto"/>
              </w:rPr>
              <w:t>Accrued purchases of data</w:t>
            </w:r>
          </w:p>
        </w:tc>
        <w:tc>
          <w:tcPr>
            <w:tcW w:w="800" w:type="dxa"/>
            <w:vAlign w:val="bottom"/>
            <w:gridSpan w:val="2"/>
          </w:tcPr>
          <w:p>
            <w:pPr>
              <w:ind w:left="620"/>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220"/>
              <w:spacing w:after="0"/>
              <w:rPr>
                <w:sz w:val="20"/>
                <w:szCs w:val="20"/>
                <w:color w:val="auto"/>
              </w:rPr>
            </w:pPr>
            <w:r>
              <w:rPr>
                <w:rFonts w:ascii="Arial" w:cs="Arial" w:eastAsia="Arial" w:hAnsi="Arial"/>
                <w:sz w:val="18"/>
                <w:szCs w:val="18"/>
                <w:color w:val="auto"/>
              </w:rPr>
              <w:t>3,389</w:t>
            </w:r>
          </w:p>
        </w:tc>
        <w:tc>
          <w:tcPr>
            <w:tcW w:w="280" w:type="dxa"/>
            <w:vAlign w:val="bottom"/>
            <w:gridSpan w:val="2"/>
          </w:tcPr>
          <w:p>
            <w:pPr>
              <w:ind w:left="180"/>
              <w:spacing w:after="0"/>
              <w:rPr>
                <w:sz w:val="20"/>
                <w:szCs w:val="20"/>
                <w:color w:val="auto"/>
              </w:rPr>
            </w:pPr>
            <w:r>
              <w:rPr>
                <w:rFonts w:ascii="Arial" w:cs="Arial" w:eastAsia="Arial" w:hAnsi="Arial"/>
                <w:sz w:val="18"/>
                <w:szCs w:val="18"/>
                <w:color w:val="auto"/>
                <w:w w:val="79"/>
              </w:rPr>
              <w:t>$</w:t>
            </w:r>
          </w:p>
        </w:tc>
        <w:tc>
          <w:tcPr>
            <w:tcW w:w="108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620" w:type="dxa"/>
            <w:vAlign w:val="bottom"/>
            <w:tcBorders>
              <w:left w:val="single" w:sz="8" w:color="auto"/>
            </w:tcBorders>
            <w:gridSpan w:val="2"/>
          </w:tcPr>
          <w:p>
            <w:pPr>
              <w:ind w:left="500"/>
              <w:spacing w:after="0"/>
              <w:rPr>
                <w:sz w:val="20"/>
                <w:szCs w:val="20"/>
                <w:color w:val="auto"/>
              </w:rPr>
            </w:pPr>
            <w:r>
              <w:rPr>
                <w:rFonts w:ascii="Arial" w:cs="Arial" w:eastAsia="Arial" w:hAnsi="Arial"/>
                <w:sz w:val="18"/>
                <w:szCs w:val="18"/>
                <w:color w:val="auto"/>
                <w:w w:val="99"/>
              </w:rPr>
              <w:t>$</w:t>
            </w:r>
          </w:p>
        </w:tc>
        <w:tc>
          <w:tcPr>
            <w:tcW w:w="1080" w:type="dxa"/>
            <w:vAlign w:val="bottom"/>
            <w:gridSpan w:val="2"/>
          </w:tcPr>
          <w:p>
            <w:pPr>
              <w:ind w:left="7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2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Supplemental disclosures of investing activities:</w:t>
            </w:r>
          </w:p>
        </w:tc>
        <w:tc>
          <w:tcPr>
            <w:tcW w:w="6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00" w:type="dxa"/>
            <w:vAlign w:val="bottom"/>
            <w:tcBorders>
              <w:left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80" w:type="dxa"/>
            <w:vAlign w:val="bottom"/>
          </w:tcPr>
          <w:p>
            <w:pPr>
              <w:ind w:left="360"/>
              <w:spacing w:after="0"/>
              <w:rPr>
                <w:sz w:val="20"/>
                <w:szCs w:val="20"/>
                <w:color w:val="auto"/>
              </w:rPr>
            </w:pPr>
            <w:r>
              <w:rPr>
                <w:rFonts w:ascii="Arial" w:cs="Arial" w:eastAsia="Arial" w:hAnsi="Arial"/>
                <w:sz w:val="18"/>
                <w:szCs w:val="18"/>
                <w:color w:val="auto"/>
              </w:rPr>
              <w:t>Acquisitions:</w:t>
            </w:r>
          </w:p>
        </w:tc>
        <w:tc>
          <w:tcPr>
            <w:tcW w:w="6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00" w:type="dxa"/>
            <w:vAlign w:val="bottom"/>
            <w:tcBorders>
              <w:left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80" w:type="dxa"/>
            <w:vAlign w:val="bottom"/>
            <w:shd w:val="clear" w:color="auto" w:fill="CCEEFF"/>
          </w:tcPr>
          <w:p>
            <w:pPr>
              <w:ind w:left="720"/>
              <w:spacing w:after="0"/>
              <w:rPr>
                <w:sz w:val="20"/>
                <w:szCs w:val="20"/>
                <w:color w:val="auto"/>
              </w:rPr>
            </w:pPr>
            <w:r>
              <w:rPr>
                <w:rFonts w:ascii="Arial" w:cs="Arial" w:eastAsia="Arial" w:hAnsi="Arial"/>
                <w:sz w:val="18"/>
                <w:szCs w:val="18"/>
                <w:color w:val="auto"/>
              </w:rPr>
              <w:t>Net assets acquired, net of cash acquired</w:t>
            </w:r>
          </w:p>
        </w:tc>
        <w:tc>
          <w:tcPr>
            <w:tcW w:w="800" w:type="dxa"/>
            <w:vAlign w:val="bottom"/>
            <w:gridSpan w:val="2"/>
            <w:shd w:val="clear" w:color="auto" w:fill="CCEEFF"/>
          </w:tcPr>
          <w:p>
            <w:pPr>
              <w:ind w:left="620"/>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43,571</w:t>
            </w:r>
          </w:p>
        </w:tc>
        <w:tc>
          <w:tcPr>
            <w:tcW w:w="28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w w:val="79"/>
              </w:rPr>
              <w:t>$</w:t>
            </w: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1,689,395</w:t>
            </w:r>
          </w:p>
        </w:tc>
        <w:tc>
          <w:tcPr>
            <w:tcW w:w="620" w:type="dxa"/>
            <w:vAlign w:val="bottom"/>
            <w:tcBorders>
              <w:left w:val="single" w:sz="8" w:color="auto"/>
            </w:tcBorders>
            <w:gridSpan w:val="2"/>
            <w:shd w:val="clear" w:color="auto" w:fill="CCEEFF"/>
          </w:tcPr>
          <w:p>
            <w:pPr>
              <w:ind w:left="500"/>
              <w:spacing w:after="0"/>
              <w:rPr>
                <w:sz w:val="20"/>
                <w:szCs w:val="20"/>
                <w:color w:val="auto"/>
              </w:rPr>
            </w:pPr>
            <w:r>
              <w:rPr>
                <w:rFonts w:ascii="Arial" w:cs="Arial" w:eastAsia="Arial" w:hAnsi="Arial"/>
                <w:sz w:val="18"/>
                <w:szCs w:val="18"/>
                <w:color w:val="auto"/>
                <w:w w:val="99"/>
              </w:rPr>
              <w:t>$</w:t>
            </w:r>
          </w:p>
        </w:tc>
        <w:tc>
          <w:tcPr>
            <w:tcW w:w="10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29,831</w:t>
            </w:r>
          </w:p>
        </w:tc>
        <w:tc>
          <w:tcPr>
            <w:tcW w:w="0" w:type="dxa"/>
            <w:vAlign w:val="bottom"/>
          </w:tcPr>
          <w:p>
            <w:pPr>
              <w:spacing w:after="0"/>
              <w:rPr>
                <w:sz w:val="1"/>
                <w:szCs w:val="1"/>
                <w:color w:val="auto"/>
              </w:rPr>
            </w:pPr>
          </w:p>
        </w:tc>
      </w:tr>
      <w:tr>
        <w:trPr>
          <w:trHeight w:val="216"/>
        </w:trPr>
        <w:tc>
          <w:tcPr>
            <w:tcW w:w="6280" w:type="dxa"/>
            <w:vAlign w:val="bottom"/>
          </w:tcPr>
          <w:p>
            <w:pPr>
              <w:ind w:left="720"/>
              <w:spacing w:after="0"/>
              <w:rPr>
                <w:sz w:val="20"/>
                <w:szCs w:val="20"/>
                <w:color w:val="auto"/>
              </w:rPr>
            </w:pPr>
            <w:r>
              <w:rPr>
                <w:rFonts w:ascii="Arial" w:cs="Arial" w:eastAsia="Arial" w:hAnsi="Arial"/>
                <w:sz w:val="18"/>
                <w:szCs w:val="18"/>
                <w:color w:val="auto"/>
              </w:rPr>
              <w:t>Capital contribution</w:t>
            </w:r>
          </w:p>
        </w:tc>
        <w:tc>
          <w:tcPr>
            <w:tcW w:w="6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8"/>
                <w:szCs w:val="18"/>
                <w:color w:val="auto"/>
              </w:rPr>
              <w:t>(25,439)</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8"/>
                <w:szCs w:val="18"/>
                <w:color w:val="auto"/>
              </w:rPr>
              <w:t>(574,263)</w:t>
            </w:r>
          </w:p>
        </w:tc>
        <w:tc>
          <w:tcPr>
            <w:tcW w:w="500" w:type="dxa"/>
            <w:vAlign w:val="bottom"/>
            <w:tcBorders>
              <w:left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gridSpan w:val="2"/>
          </w:tcPr>
          <w:p>
            <w:pPr>
              <w:ind w:left="7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280" w:type="dxa"/>
            <w:vAlign w:val="bottom"/>
            <w:shd w:val="clear" w:color="auto" w:fill="CCEEFF"/>
          </w:tcPr>
          <w:p>
            <w:pPr>
              <w:ind w:left="720"/>
              <w:spacing w:after="0"/>
              <w:rPr>
                <w:sz w:val="20"/>
                <w:szCs w:val="20"/>
                <w:color w:val="auto"/>
              </w:rPr>
            </w:pPr>
            <w:r>
              <w:rPr>
                <w:rFonts w:ascii="Arial" w:cs="Arial" w:eastAsia="Arial" w:hAnsi="Arial"/>
                <w:sz w:val="18"/>
                <w:szCs w:val="18"/>
                <w:color w:val="auto"/>
              </w:rPr>
              <w:t>Contingent consideration</w:t>
            </w:r>
          </w:p>
        </w:tc>
        <w:tc>
          <w:tcPr>
            <w:tcW w:w="6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(2,600)</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500" w:type="dxa"/>
            <w:vAlign w:val="bottom"/>
            <w:tcBorders>
              <w:left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ind w:left="7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280" w:type="dxa"/>
            <w:vAlign w:val="bottom"/>
          </w:tcPr>
          <w:p>
            <w:pPr>
              <w:ind w:left="720"/>
              <w:spacing w:after="0"/>
              <w:rPr>
                <w:sz w:val="20"/>
                <w:szCs w:val="20"/>
                <w:color w:val="auto"/>
              </w:rPr>
            </w:pPr>
            <w:r>
              <w:rPr>
                <w:rFonts w:ascii="Arial" w:cs="Arial" w:eastAsia="Arial" w:hAnsi="Arial"/>
                <w:sz w:val="18"/>
                <w:szCs w:val="18"/>
                <w:color w:val="auto"/>
              </w:rPr>
              <w:t>Consideration paid to former members included in accrued expenses</w:t>
            </w:r>
          </w:p>
        </w:tc>
        <w:tc>
          <w:tcPr>
            <w:tcW w:w="6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6,935</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8"/>
                <w:szCs w:val="18"/>
                <w:color w:val="auto"/>
              </w:rPr>
              <w:t>(6,935)</w:t>
            </w:r>
          </w:p>
        </w:tc>
        <w:tc>
          <w:tcPr>
            <w:tcW w:w="500" w:type="dxa"/>
            <w:vAlign w:val="bottom"/>
            <w:tcBorders>
              <w:left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gridSpan w:val="2"/>
          </w:tcPr>
          <w:p>
            <w:pPr>
              <w:ind w:left="7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6280" w:type="dxa"/>
            <w:vAlign w:val="bottom"/>
          </w:tcPr>
          <w:p>
            <w:pPr>
              <w:spacing w:after="0"/>
              <w:rPr>
                <w:sz w:val="2"/>
                <w:szCs w:val="2"/>
                <w:color w:val="auto"/>
              </w:rPr>
            </w:pPr>
          </w:p>
        </w:tc>
        <w:tc>
          <w:tcPr>
            <w:tcW w:w="62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500" w:type="dxa"/>
            <w:vAlign w:val="bottom"/>
            <w:tcBorders>
              <w:left w:val="single" w:sz="8" w:color="auto"/>
            </w:tcBorders>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6280" w:type="dxa"/>
            <w:vAlign w:val="bottom"/>
            <w:shd w:val="clear" w:color="auto" w:fill="CCEEFF"/>
          </w:tcPr>
          <w:p>
            <w:pPr>
              <w:ind w:left="1080"/>
              <w:spacing w:after="0"/>
              <w:rPr>
                <w:sz w:val="20"/>
                <w:szCs w:val="20"/>
                <w:color w:val="auto"/>
              </w:rPr>
            </w:pPr>
            <w:r>
              <w:rPr>
                <w:rFonts w:ascii="Arial" w:cs="Arial" w:eastAsia="Arial" w:hAnsi="Arial"/>
                <w:sz w:val="18"/>
                <w:szCs w:val="18"/>
                <w:color w:val="auto"/>
              </w:rPr>
              <w:t>Net cash paid</w:t>
            </w:r>
          </w:p>
        </w:tc>
        <w:tc>
          <w:tcPr>
            <w:tcW w:w="800" w:type="dxa"/>
            <w:vAlign w:val="bottom"/>
            <w:gridSpan w:val="2"/>
            <w:shd w:val="clear" w:color="auto" w:fill="CCEEFF"/>
          </w:tcPr>
          <w:p>
            <w:pPr>
              <w:ind w:left="620"/>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22,467</w:t>
            </w:r>
          </w:p>
        </w:tc>
        <w:tc>
          <w:tcPr>
            <w:tcW w:w="28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w w:val="79"/>
              </w:rPr>
              <w:t>$</w:t>
            </w: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1,108,197</w:t>
            </w:r>
          </w:p>
        </w:tc>
        <w:tc>
          <w:tcPr>
            <w:tcW w:w="620" w:type="dxa"/>
            <w:vAlign w:val="bottom"/>
            <w:tcBorders>
              <w:left w:val="single" w:sz="8" w:color="auto"/>
            </w:tcBorders>
            <w:gridSpan w:val="2"/>
            <w:shd w:val="clear" w:color="auto" w:fill="CCEEFF"/>
          </w:tcPr>
          <w:p>
            <w:pPr>
              <w:ind w:left="500"/>
              <w:spacing w:after="0"/>
              <w:rPr>
                <w:sz w:val="20"/>
                <w:szCs w:val="20"/>
                <w:color w:val="auto"/>
              </w:rPr>
            </w:pPr>
            <w:r>
              <w:rPr>
                <w:rFonts w:ascii="Arial" w:cs="Arial" w:eastAsia="Arial" w:hAnsi="Arial"/>
                <w:sz w:val="18"/>
                <w:szCs w:val="18"/>
                <w:color w:val="auto"/>
                <w:w w:val="99"/>
              </w:rPr>
              <w:t>$</w:t>
            </w:r>
          </w:p>
        </w:tc>
        <w:tc>
          <w:tcPr>
            <w:tcW w:w="10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29,831</w:t>
            </w:r>
          </w:p>
        </w:tc>
        <w:tc>
          <w:tcPr>
            <w:tcW w:w="0" w:type="dxa"/>
            <w:vAlign w:val="bottom"/>
          </w:tcPr>
          <w:p>
            <w:pPr>
              <w:spacing w:after="0"/>
              <w:rPr>
                <w:sz w:val="1"/>
                <w:szCs w:val="1"/>
                <w:color w:val="auto"/>
              </w:rPr>
            </w:pPr>
          </w:p>
        </w:tc>
      </w:tr>
      <w:tr>
        <w:trPr>
          <w:trHeight w:val="20"/>
        </w:trPr>
        <w:tc>
          <w:tcPr>
            <w:tcW w:w="62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00" w:type="dxa"/>
            <w:vAlign w:val="bottom"/>
            <w:tcBorders>
              <w:left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3980"/>
        <w:spacing w:after="0"/>
        <w:rPr>
          <w:sz w:val="20"/>
          <w:szCs w:val="20"/>
          <w:color w:val="auto"/>
        </w:rPr>
      </w:pPr>
      <w:r>
        <w:rPr>
          <w:rFonts w:ascii="Arial" w:cs="Arial" w:eastAsia="Arial" w:hAnsi="Arial"/>
          <w:sz w:val="18"/>
          <w:szCs w:val="18"/>
          <w:color w:val="auto"/>
        </w:rPr>
        <w:t>See notes to consolidated financial statements</w:t>
      </w:r>
    </w:p>
    <w:p>
      <w:pPr>
        <w:spacing w:after="0" w:line="158"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F-13</w:t>
      </w:r>
    </w:p>
    <w:p>
      <w:pPr>
        <w:sectPr>
          <w:pgSz w:w="11900" w:h="16838" w:orient="portrait"/>
          <w:cols w:equalWidth="0" w:num="1">
            <w:col w:w="11140"/>
          </w:cols>
          <w:pgMar w:left="320" w:top="459" w:right="439" w:bottom="1440" w:gutter="0" w:footer="0" w:header="0"/>
        </w:sectPr>
      </w:pPr>
    </w:p>
    <w:bookmarkStart w:id="219" w:name="page220"/>
    <w:bookmarkEnd w:id="2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4">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279"/>
        <w:spacing w:after="0"/>
        <w:rPr>
          <w:sz w:val="20"/>
          <w:szCs w:val="20"/>
          <w:color w:val="auto"/>
        </w:rPr>
      </w:pPr>
      <w:r>
        <w:rPr>
          <w:rFonts w:ascii="Arial" w:cs="Arial" w:eastAsia="Arial" w:hAnsi="Arial"/>
          <w:sz w:val="18"/>
          <w:szCs w:val="18"/>
          <w:b w:val="1"/>
          <w:bCs w:val="1"/>
          <w:color w:val="auto"/>
        </w:rPr>
        <w:t>Confidential Treatment Requested by Definitive Healthcare Corp.</w:t>
      </w:r>
    </w:p>
    <w:p>
      <w:pPr>
        <w:spacing w:after="0" w:line="27" w:lineRule="exact"/>
        <w:rPr>
          <w:sz w:val="20"/>
          <w:szCs w:val="20"/>
          <w:color w:val="auto"/>
        </w:rPr>
      </w:pPr>
    </w:p>
    <w:p>
      <w:pPr>
        <w:jc w:val="center"/>
        <w:ind w:right="-279"/>
        <w:spacing w:after="0"/>
        <w:rPr>
          <w:sz w:val="20"/>
          <w:szCs w:val="20"/>
          <w:color w:val="auto"/>
        </w:rPr>
      </w:pPr>
      <w:r>
        <w:rPr>
          <w:rFonts w:ascii="Arial" w:cs="Arial" w:eastAsia="Arial" w:hAnsi="Arial"/>
          <w:sz w:val="18"/>
          <w:szCs w:val="18"/>
          <w:b w:val="1"/>
          <w:bCs w:val="1"/>
          <w:color w:val="auto"/>
        </w:rPr>
        <w:t>Pursuant to 17 C.F.R. Section 200.83</w:t>
      </w:r>
    </w:p>
    <w:p>
      <w:pPr>
        <w:spacing w:after="0" w:line="139" w:lineRule="exact"/>
        <w:rPr>
          <w:sz w:val="20"/>
          <w:szCs w:val="20"/>
          <w:color w:val="auto"/>
        </w:rPr>
      </w:pPr>
    </w:p>
    <w:p>
      <w:pPr>
        <w:jc w:val="center"/>
        <w:ind w:right="-279"/>
        <w:spacing w:after="0"/>
        <w:rPr>
          <w:sz w:val="20"/>
          <w:szCs w:val="20"/>
          <w:color w:val="auto"/>
        </w:rPr>
      </w:pPr>
      <w:r>
        <w:rPr>
          <w:rFonts w:ascii="Arial" w:cs="Arial" w:eastAsia="Arial" w:hAnsi="Arial"/>
          <w:sz w:val="18"/>
          <w:szCs w:val="18"/>
          <w:b w:val="1"/>
          <w:bCs w:val="1"/>
          <w:color w:val="auto"/>
        </w:rPr>
        <w:t>AIDH TOPCO, LLC</w:t>
      </w:r>
    </w:p>
    <w:p>
      <w:pPr>
        <w:spacing w:after="0" w:line="225" w:lineRule="exact"/>
        <w:rPr>
          <w:sz w:val="20"/>
          <w:szCs w:val="20"/>
          <w:color w:val="auto"/>
        </w:rPr>
      </w:pPr>
    </w:p>
    <w:p>
      <w:pPr>
        <w:jc w:val="center"/>
        <w:ind w:right="-279"/>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252" w:lineRule="exact"/>
        <w:rPr>
          <w:sz w:val="20"/>
          <w:szCs w:val="20"/>
          <w:color w:val="auto"/>
        </w:rPr>
      </w:pPr>
    </w:p>
    <w:p>
      <w:pPr>
        <w:ind w:left="540" w:hanging="424"/>
        <w:spacing w:after="0"/>
        <w:tabs>
          <w:tab w:leader="none" w:pos="540" w:val="left"/>
        </w:tabs>
        <w:numPr>
          <w:ilvl w:val="0"/>
          <w:numId w:val="180"/>
        </w:numPr>
        <w:rPr>
          <w:rFonts w:ascii="Arial" w:cs="Arial" w:eastAsia="Arial" w:hAnsi="Arial"/>
          <w:sz w:val="18"/>
          <w:szCs w:val="18"/>
          <w:b w:val="1"/>
          <w:bCs w:val="1"/>
          <w:color w:val="auto"/>
        </w:rPr>
      </w:pPr>
      <w:r>
        <w:rPr>
          <w:rFonts w:ascii="Arial" w:cs="Arial" w:eastAsia="Arial" w:hAnsi="Arial"/>
          <w:sz w:val="18"/>
          <w:szCs w:val="18"/>
          <w:b w:val="1"/>
          <w:bCs w:val="1"/>
          <w:color w:val="auto"/>
        </w:rPr>
        <w:t>Description of Business</w:t>
      </w:r>
    </w:p>
    <w:p>
      <w:pPr>
        <w:spacing w:after="0" w:line="121" w:lineRule="exact"/>
        <w:rPr>
          <w:sz w:val="20"/>
          <w:szCs w:val="20"/>
          <w:color w:val="auto"/>
        </w:rPr>
      </w:pPr>
    </w:p>
    <w:p>
      <w:pPr>
        <w:ind w:left="120" w:right="40" w:firstLine="440"/>
        <w:spacing w:after="0" w:line="275" w:lineRule="auto"/>
        <w:rPr>
          <w:sz w:val="20"/>
          <w:szCs w:val="20"/>
          <w:color w:val="auto"/>
        </w:rPr>
      </w:pPr>
      <w:r>
        <w:rPr>
          <w:rFonts w:ascii="Arial" w:cs="Arial" w:eastAsia="Arial" w:hAnsi="Arial"/>
          <w:sz w:val="17"/>
          <w:szCs w:val="17"/>
          <w:color w:val="auto"/>
        </w:rPr>
        <w:t xml:space="preserve">AIDH TopCo, LLC (together with its subsidiaries, “AIDH TopCo” or the “Company”), is a Delaware limited liability company that was formed by investment funds affiliated with Advent International Corporation (“Advent”, the “Sponsor”) for the purpose of acquiring Definitive Healthcare Holdings, LLC (“Definitive Holdco”) and its subsidiary Definitive Healthcare LLC (“Definitive”). On July 16, 2019, AIDH Buyer, LLC (“AIDH Buyer”), a wholly owned subsidiary of the Company, acquired 100% of the issued and outstanding units of Definitive Holdco for $1.7 billion (the “Definitive Holdco Acquisition”). Refer to Note 3. </w:t>
      </w:r>
      <w:r>
        <w:rPr>
          <w:rFonts w:ascii="Arial" w:cs="Arial" w:eastAsia="Arial" w:hAnsi="Arial"/>
          <w:sz w:val="17"/>
          <w:szCs w:val="17"/>
          <w:i w:val="1"/>
          <w:iCs w:val="1"/>
          <w:color w:val="auto"/>
        </w:rPr>
        <w:t>Business Combinations</w:t>
      </w:r>
      <w:r>
        <w:rPr>
          <w:rFonts w:ascii="Arial" w:cs="Arial" w:eastAsia="Arial" w:hAnsi="Arial"/>
          <w:sz w:val="17"/>
          <w:szCs w:val="17"/>
          <w:color w:val="auto"/>
        </w:rPr>
        <w:t>, for additional information.</w:t>
      </w:r>
    </w:p>
    <w:p>
      <w:pPr>
        <w:spacing w:after="0" w:line="176" w:lineRule="exact"/>
        <w:rPr>
          <w:sz w:val="20"/>
          <w:szCs w:val="20"/>
          <w:color w:val="auto"/>
        </w:rPr>
      </w:pPr>
    </w:p>
    <w:p>
      <w:pPr>
        <w:ind w:left="120" w:right="20" w:firstLine="440"/>
        <w:spacing w:after="0" w:line="279" w:lineRule="auto"/>
        <w:rPr>
          <w:sz w:val="20"/>
          <w:szCs w:val="20"/>
          <w:color w:val="auto"/>
        </w:rPr>
      </w:pPr>
      <w:r>
        <w:rPr>
          <w:rFonts w:ascii="Arial" w:cs="Arial" w:eastAsia="Arial" w:hAnsi="Arial"/>
          <w:sz w:val="17"/>
          <w:szCs w:val="17"/>
          <w:color w:val="auto"/>
        </w:rPr>
        <w:t>References to “Successor” or “Successor Company” relate to the financial position and results of operations of the Company after the Definitive Holdco Acquisition. References to “Predecessor” or “Predecessor Company” refer to the financial position and results of operations of the legacy Definitive Holdco. Definitive Holdco was formed in 2015 for the purpose of acquiring Definitive, which was founded in 2011 to provide healthcare commercial intelligence that enables all companies that compete within or sell into the healthcare ecosystem to be more successful.</w:t>
      </w:r>
    </w:p>
    <w:p>
      <w:pPr>
        <w:spacing w:after="0" w:line="171" w:lineRule="exact"/>
        <w:rPr>
          <w:sz w:val="20"/>
          <w:szCs w:val="20"/>
          <w:color w:val="auto"/>
        </w:rPr>
      </w:pPr>
    </w:p>
    <w:p>
      <w:pPr>
        <w:ind w:left="120" w:right="500" w:firstLine="440"/>
        <w:spacing w:after="0" w:line="308" w:lineRule="auto"/>
        <w:rPr>
          <w:sz w:val="20"/>
          <w:szCs w:val="20"/>
          <w:color w:val="auto"/>
        </w:rPr>
      </w:pPr>
      <w:r>
        <w:rPr>
          <w:rFonts w:ascii="Arial" w:cs="Arial" w:eastAsia="Arial" w:hAnsi="Arial"/>
          <w:sz w:val="17"/>
          <w:szCs w:val="17"/>
          <w:color w:val="auto"/>
        </w:rPr>
        <w:t>The Company provides comprehensive and up-to-date hospital and healthcare-related information and insight across the entire healthcare continuum via a multi-tenant database platform which combines proprietary and public sources to deliver insights.</w:t>
      </w:r>
    </w:p>
    <w:p>
      <w:pPr>
        <w:spacing w:after="0" w:line="146" w:lineRule="exact"/>
        <w:rPr>
          <w:sz w:val="20"/>
          <w:szCs w:val="20"/>
          <w:color w:val="auto"/>
        </w:rPr>
      </w:pPr>
    </w:p>
    <w:p>
      <w:pPr>
        <w:ind w:left="120" w:right="240" w:firstLine="440"/>
        <w:spacing w:after="0" w:line="277" w:lineRule="auto"/>
        <w:rPr>
          <w:sz w:val="20"/>
          <w:szCs w:val="20"/>
          <w:color w:val="auto"/>
        </w:rPr>
      </w:pPr>
      <w:r>
        <w:rPr>
          <w:rFonts w:ascii="Arial" w:cs="Arial" w:eastAsia="Arial" w:hAnsi="Arial"/>
          <w:sz w:val="18"/>
          <w:szCs w:val="18"/>
          <w:color w:val="auto"/>
        </w:rPr>
        <w:t>The Company’s headquarters are located in Framingham, MA, with operations in three offices throughout the United States and one office in Sweden.</w:t>
      </w:r>
    </w:p>
    <w:p>
      <w:pPr>
        <w:spacing w:after="0" w:line="170" w:lineRule="exact"/>
        <w:rPr>
          <w:sz w:val="20"/>
          <w:szCs w:val="20"/>
          <w:color w:val="auto"/>
        </w:rPr>
      </w:pPr>
    </w:p>
    <w:p>
      <w:pPr>
        <w:ind w:left="120" w:right="40" w:firstLine="440"/>
        <w:spacing w:after="0" w:line="277" w:lineRule="auto"/>
        <w:rPr>
          <w:sz w:val="20"/>
          <w:szCs w:val="20"/>
          <w:color w:val="auto"/>
        </w:rPr>
      </w:pPr>
      <w:r>
        <w:rPr>
          <w:rFonts w:ascii="Arial" w:cs="Arial" w:eastAsia="Arial" w:hAnsi="Arial"/>
          <w:sz w:val="18"/>
          <w:szCs w:val="18"/>
          <w:color w:val="auto"/>
        </w:rPr>
        <w:t xml:space="preserve">On January 16, 2019, Definitive acquired substantially all of the assets and assumed substantially all of the liabilities of HIMSS Analytics, LLC (“HIMSS”). Refer to Note 3. </w:t>
      </w:r>
      <w:r>
        <w:rPr>
          <w:rFonts w:ascii="Arial" w:cs="Arial" w:eastAsia="Arial" w:hAnsi="Arial"/>
          <w:sz w:val="18"/>
          <w:szCs w:val="18"/>
          <w:i w:val="1"/>
          <w:iCs w:val="1"/>
          <w:color w:val="auto"/>
        </w:rPr>
        <w:t>Business Combinations</w:t>
      </w:r>
      <w:r>
        <w:rPr>
          <w:rFonts w:ascii="Arial" w:cs="Arial" w:eastAsia="Arial" w:hAnsi="Arial"/>
          <w:sz w:val="18"/>
          <w:szCs w:val="18"/>
          <w:color w:val="auto"/>
        </w:rPr>
        <w:t>, for additional information.</w:t>
      </w:r>
    </w:p>
    <w:p>
      <w:pPr>
        <w:spacing w:after="0" w:line="170" w:lineRule="exact"/>
        <w:rPr>
          <w:sz w:val="20"/>
          <w:szCs w:val="20"/>
          <w:color w:val="auto"/>
        </w:rPr>
      </w:pPr>
    </w:p>
    <w:p>
      <w:pPr>
        <w:ind w:left="560"/>
        <w:spacing w:after="0"/>
        <w:rPr>
          <w:sz w:val="20"/>
          <w:szCs w:val="20"/>
          <w:color w:val="auto"/>
        </w:rPr>
      </w:pPr>
      <w:r>
        <w:rPr>
          <w:rFonts w:ascii="Arial" w:cs="Arial" w:eastAsia="Arial" w:hAnsi="Arial"/>
          <w:sz w:val="16"/>
          <w:szCs w:val="16"/>
          <w:color w:val="auto"/>
        </w:rPr>
        <w:t>On December 2, 2019, the Company acquired all of the outstanding common and preferred stock of Healthcare Sales Enablement, Inc. (“HSE”).</w:t>
      </w:r>
    </w:p>
    <w:p>
      <w:pPr>
        <w:spacing w:after="0" w:line="46" w:lineRule="exact"/>
        <w:rPr>
          <w:sz w:val="20"/>
          <w:szCs w:val="20"/>
          <w:color w:val="auto"/>
        </w:rPr>
      </w:pPr>
    </w:p>
    <w:p>
      <w:pPr>
        <w:ind w:left="120"/>
        <w:spacing w:after="0"/>
        <w:rPr>
          <w:sz w:val="20"/>
          <w:szCs w:val="20"/>
          <w:color w:val="auto"/>
        </w:rPr>
      </w:pPr>
      <w:r>
        <w:rPr>
          <w:rFonts w:ascii="Arial" w:cs="Arial" w:eastAsia="Arial" w:hAnsi="Arial"/>
          <w:sz w:val="18"/>
          <w:szCs w:val="18"/>
          <w:color w:val="auto"/>
        </w:rPr>
        <w:t xml:space="preserve">Refer to Note 3. </w:t>
      </w:r>
      <w:r>
        <w:rPr>
          <w:rFonts w:ascii="Arial" w:cs="Arial" w:eastAsia="Arial" w:hAnsi="Arial"/>
          <w:sz w:val="18"/>
          <w:szCs w:val="18"/>
          <w:i w:val="1"/>
          <w:iCs w:val="1"/>
          <w:color w:val="auto"/>
        </w:rPr>
        <w:t>Business Combinations</w:t>
      </w:r>
      <w:r>
        <w:rPr>
          <w:rFonts w:ascii="Arial" w:cs="Arial" w:eastAsia="Arial" w:hAnsi="Arial"/>
          <w:sz w:val="18"/>
          <w:szCs w:val="18"/>
          <w:color w:val="auto"/>
        </w:rPr>
        <w:t>, for additional information.</w:t>
      </w:r>
    </w:p>
    <w:p>
      <w:pPr>
        <w:spacing w:after="0" w:line="211" w:lineRule="exact"/>
        <w:rPr>
          <w:sz w:val="20"/>
          <w:szCs w:val="20"/>
          <w:color w:val="auto"/>
        </w:rPr>
      </w:pPr>
    </w:p>
    <w:p>
      <w:pPr>
        <w:ind w:left="120" w:right="80" w:firstLine="440"/>
        <w:spacing w:after="0" w:line="277" w:lineRule="auto"/>
        <w:rPr>
          <w:sz w:val="20"/>
          <w:szCs w:val="20"/>
          <w:color w:val="auto"/>
        </w:rPr>
      </w:pPr>
      <w:r>
        <w:rPr>
          <w:rFonts w:ascii="Arial" w:cs="Arial" w:eastAsia="Arial" w:hAnsi="Arial"/>
          <w:sz w:val="18"/>
          <w:szCs w:val="18"/>
          <w:color w:val="auto"/>
        </w:rPr>
        <w:t xml:space="preserve">On October 27, 2020, the Company completed the purchase of all of the outstanding shares of Monocl, a cloud-based platform with millions of expert profiles. Refer to Note 3. </w:t>
      </w:r>
      <w:r>
        <w:rPr>
          <w:rFonts w:ascii="Arial" w:cs="Arial" w:eastAsia="Arial" w:hAnsi="Arial"/>
          <w:sz w:val="18"/>
          <w:szCs w:val="18"/>
          <w:i w:val="1"/>
          <w:iCs w:val="1"/>
          <w:color w:val="auto"/>
        </w:rPr>
        <w:t>Business Combinations</w:t>
      </w:r>
      <w:r>
        <w:rPr>
          <w:rFonts w:ascii="Arial" w:cs="Arial" w:eastAsia="Arial" w:hAnsi="Arial"/>
          <w:sz w:val="18"/>
          <w:szCs w:val="18"/>
          <w:color w:val="auto"/>
        </w:rPr>
        <w:t>, for additional information.</w:t>
      </w:r>
    </w:p>
    <w:p>
      <w:pPr>
        <w:spacing w:after="0" w:line="315" w:lineRule="exact"/>
        <w:rPr>
          <w:sz w:val="20"/>
          <w:szCs w:val="20"/>
          <w:color w:val="auto"/>
        </w:rPr>
      </w:pPr>
    </w:p>
    <w:p>
      <w:pPr>
        <w:ind w:left="560" w:right="7040" w:hanging="444"/>
        <w:spacing w:after="0" w:line="378" w:lineRule="auto"/>
        <w:tabs>
          <w:tab w:leader="none" w:pos="552" w:val="left"/>
        </w:tabs>
        <w:numPr>
          <w:ilvl w:val="0"/>
          <w:numId w:val="181"/>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Summary of Significant Accounting Policies </w:t>
      </w:r>
      <w:r>
        <w:rPr>
          <w:rFonts w:ascii="Arial" w:cs="Arial" w:eastAsia="Arial" w:hAnsi="Arial"/>
          <w:sz w:val="18"/>
          <w:szCs w:val="18"/>
          <w:b w:val="1"/>
          <w:bCs w:val="1"/>
          <w:i w:val="1"/>
          <w:iCs w:val="1"/>
          <w:color w:val="auto"/>
        </w:rPr>
        <w:t>Basis of Presentation</w:t>
      </w:r>
    </w:p>
    <w:p>
      <w:pPr>
        <w:ind w:left="120" w:right="120" w:firstLine="440"/>
        <w:spacing w:after="0" w:line="279" w:lineRule="auto"/>
        <w:rPr>
          <w:sz w:val="20"/>
          <w:szCs w:val="20"/>
          <w:color w:val="auto"/>
        </w:rPr>
      </w:pPr>
      <w:r>
        <w:rPr>
          <w:rFonts w:ascii="Arial" w:cs="Arial" w:eastAsia="Arial" w:hAnsi="Arial"/>
          <w:sz w:val="17"/>
          <w:szCs w:val="17"/>
          <w:color w:val="auto"/>
        </w:rPr>
        <w:t>The consolidated financial statements have been prepared in accordance with accounting principles generally accepted in the United States (“GAAP”). The Financial Accounting Standards Board (“FASB”) establishes these principles to ensure financial condition, results of operations, and cash flows are consistently reported. Any reference in these notes to applicable accounting guidance is meant to refer to the authoritative nongovernmental GAAP as found in the FASB Accounting Standards Codification (“ASC”).</w:t>
      </w:r>
    </w:p>
    <w:p>
      <w:pPr>
        <w:spacing w:after="0" w:line="279"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Principles of Consolidation</w:t>
      </w:r>
    </w:p>
    <w:p>
      <w:pPr>
        <w:spacing w:after="0" w:line="117" w:lineRule="exact"/>
        <w:rPr>
          <w:sz w:val="20"/>
          <w:szCs w:val="20"/>
          <w:color w:val="auto"/>
        </w:rPr>
      </w:pPr>
    </w:p>
    <w:p>
      <w:pPr>
        <w:ind w:left="120" w:right="440" w:firstLine="440"/>
        <w:spacing w:after="0" w:line="277" w:lineRule="auto"/>
        <w:rPr>
          <w:sz w:val="20"/>
          <w:szCs w:val="20"/>
          <w:color w:val="auto"/>
        </w:rPr>
      </w:pPr>
      <w:r>
        <w:rPr>
          <w:rFonts w:ascii="Arial" w:cs="Arial" w:eastAsia="Arial" w:hAnsi="Arial"/>
          <w:sz w:val="18"/>
          <w:szCs w:val="18"/>
          <w:color w:val="auto"/>
        </w:rPr>
        <w:t>The consolidated financial statements include the accounts of the Company and its consolidated subsidiaries. All significant intercompany accounts and transactions have been eliminated in consolidation.</w:t>
      </w:r>
    </w:p>
    <w:p>
      <w:pPr>
        <w:spacing w:after="0" w:line="103" w:lineRule="exact"/>
        <w:rPr>
          <w:sz w:val="20"/>
          <w:szCs w:val="20"/>
          <w:color w:val="auto"/>
        </w:rPr>
      </w:pPr>
    </w:p>
    <w:p>
      <w:pPr>
        <w:jc w:val="center"/>
        <w:ind w:right="-519"/>
        <w:spacing w:after="0"/>
        <w:rPr>
          <w:sz w:val="20"/>
          <w:szCs w:val="20"/>
          <w:color w:val="auto"/>
        </w:rPr>
      </w:pPr>
      <w:r>
        <w:rPr>
          <w:rFonts w:ascii="Arial" w:cs="Arial" w:eastAsia="Arial" w:hAnsi="Arial"/>
          <w:sz w:val="18"/>
          <w:szCs w:val="18"/>
          <w:color w:val="auto"/>
        </w:rPr>
        <w:t>F-14</w:t>
      </w:r>
    </w:p>
    <w:p>
      <w:pPr>
        <w:sectPr>
          <w:pgSz w:w="11900" w:h="16838" w:orient="portrait"/>
          <w:cols w:equalWidth="0" w:num="1">
            <w:col w:w="10960"/>
          </w:cols>
          <w:pgMar w:left="320" w:top="459" w:right="619" w:bottom="1440" w:gutter="0" w:footer="0" w:header="0"/>
        </w:sectPr>
      </w:pPr>
    </w:p>
    <w:bookmarkStart w:id="220" w:name="page221"/>
    <w:bookmarkEnd w:id="2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5">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Confidential Treatment Requested by Definitive Healthcare Corp.</w:t>
      </w:r>
    </w:p>
    <w:p>
      <w:pPr>
        <w:spacing w:after="0" w:line="27"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Pursuant to 17 C.F.R. Section 200.83</w:t>
      </w:r>
    </w:p>
    <w:p>
      <w:pPr>
        <w:spacing w:after="0" w:line="143"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Use of Estimates in the Preparation of Financial Statements</w:t>
      </w:r>
    </w:p>
    <w:p>
      <w:pPr>
        <w:spacing w:after="0" w:line="117" w:lineRule="exact"/>
        <w:rPr>
          <w:sz w:val="20"/>
          <w:szCs w:val="20"/>
          <w:color w:val="auto"/>
        </w:rPr>
      </w:pPr>
    </w:p>
    <w:p>
      <w:pPr>
        <w:ind w:left="120" w:firstLine="440"/>
        <w:spacing w:after="0" w:line="275" w:lineRule="auto"/>
        <w:rPr>
          <w:sz w:val="20"/>
          <w:szCs w:val="20"/>
          <w:color w:val="auto"/>
        </w:rPr>
      </w:pPr>
      <w:r>
        <w:rPr>
          <w:rFonts w:ascii="Arial" w:cs="Arial" w:eastAsia="Arial" w:hAnsi="Arial"/>
          <w:sz w:val="17"/>
          <w:szCs w:val="17"/>
          <w:color w:val="auto"/>
        </w:rPr>
        <w:t>The preparation of consolidated financial statements in conformity with GAAP requires management to make estimates, judgements, and assumptions that affect the reported amounts of assets and liabilities and disclosure of contingent assets and liabilities at the date of the consolidated financial statements, as well as the reported amounts of revenues and expenses during the reporting period. These estimates relate, but are not limited to, revenue recognition, allowance for doubtful accounts, contingencies, valuations and useful lives of intangible assets acquired in business combinations, equity-based compensation, and income taxes. Actual results could differ from those estimates.</w:t>
      </w:r>
    </w:p>
    <w:p>
      <w:pPr>
        <w:spacing w:after="0" w:line="284"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117" w:lineRule="exact"/>
        <w:rPr>
          <w:sz w:val="20"/>
          <w:szCs w:val="20"/>
          <w:color w:val="auto"/>
        </w:rPr>
      </w:pPr>
    </w:p>
    <w:p>
      <w:pPr>
        <w:ind w:left="120" w:firstLine="440"/>
        <w:spacing w:after="0" w:line="311" w:lineRule="auto"/>
        <w:rPr>
          <w:sz w:val="20"/>
          <w:szCs w:val="20"/>
          <w:color w:val="auto"/>
        </w:rPr>
      </w:pPr>
      <w:r>
        <w:rPr>
          <w:rFonts w:ascii="Arial" w:cs="Arial" w:eastAsia="Arial" w:hAnsi="Arial"/>
          <w:sz w:val="16"/>
          <w:szCs w:val="16"/>
          <w:color w:val="auto"/>
        </w:rPr>
        <w:t>The Company derives revenue primarily from subscription license fees charged for access to the Company’s database platform, and professional services. The customer arrangements include a promise to allow customers to access subscription license to the database platform which is hosted by the Company over the contract period, without allowing the customer to take possession of the subscription license or transfer hosting to a third party.</w:t>
      </w:r>
    </w:p>
    <w:p>
      <w:pPr>
        <w:spacing w:after="0" w:line="149" w:lineRule="exact"/>
        <w:rPr>
          <w:sz w:val="20"/>
          <w:szCs w:val="20"/>
          <w:color w:val="auto"/>
        </w:rPr>
      </w:pPr>
    </w:p>
    <w:p>
      <w:pPr>
        <w:ind w:left="120" w:right="40" w:firstLine="440"/>
        <w:spacing w:after="0" w:line="263" w:lineRule="auto"/>
        <w:rPr>
          <w:sz w:val="20"/>
          <w:szCs w:val="20"/>
          <w:color w:val="auto"/>
        </w:rPr>
      </w:pPr>
      <w:r>
        <w:rPr>
          <w:rFonts w:ascii="Arial" w:cs="Arial" w:eastAsia="Arial" w:hAnsi="Arial"/>
          <w:sz w:val="18"/>
          <w:szCs w:val="18"/>
          <w:color w:val="auto"/>
        </w:rPr>
        <w:t>The Company recognizes revenue in accordance with ASC 606–</w:t>
      </w:r>
      <w:r>
        <w:rPr>
          <w:rFonts w:ascii="Arial" w:cs="Arial" w:eastAsia="Arial" w:hAnsi="Arial"/>
          <w:sz w:val="18"/>
          <w:szCs w:val="18"/>
          <w:i w:val="1"/>
          <w:iCs w:val="1"/>
          <w:color w:val="auto"/>
        </w:rPr>
        <w:t>Revenue from Contracts with Customers</w:t>
      </w:r>
      <w:r>
        <w:rPr>
          <w:rFonts w:ascii="Arial" w:cs="Arial" w:eastAsia="Arial" w:hAnsi="Arial"/>
          <w:sz w:val="18"/>
          <w:szCs w:val="18"/>
          <w:color w:val="auto"/>
        </w:rPr>
        <w:t>, which provides a five-step model for recognizing revenue from contracts with customers. Revenue is recognized upon transfer of control of promised services to customers in an amount that reflects the consideration the Company expects to receive in exchange for those services.</w:t>
      </w:r>
    </w:p>
    <w:p>
      <w:pPr>
        <w:spacing w:after="0" w:line="184" w:lineRule="exact"/>
        <w:rPr>
          <w:sz w:val="20"/>
          <w:szCs w:val="20"/>
          <w:color w:val="auto"/>
        </w:rPr>
      </w:pPr>
    </w:p>
    <w:p>
      <w:pPr>
        <w:jc w:val="both"/>
        <w:ind w:left="120" w:firstLine="440"/>
        <w:spacing w:after="0" w:line="263" w:lineRule="auto"/>
        <w:rPr>
          <w:sz w:val="20"/>
          <w:szCs w:val="20"/>
          <w:color w:val="auto"/>
        </w:rPr>
      </w:pPr>
      <w:r>
        <w:rPr>
          <w:rFonts w:ascii="Arial" w:cs="Arial" w:eastAsia="Arial" w:hAnsi="Arial"/>
          <w:sz w:val="18"/>
          <w:szCs w:val="18"/>
          <w:color w:val="auto"/>
        </w:rPr>
        <w:t>Revenue related to hosted subscription license arrangements, which often include non-distinct professional services, is recognized ratably over the contract term as the customer simultaneously receives and consumes the benefits provided by the Company’s performance. These subscription contracts typically have a term of one to three years and are non-cancellable.</w:t>
      </w:r>
    </w:p>
    <w:p>
      <w:pPr>
        <w:spacing w:after="0" w:line="184" w:lineRule="exact"/>
        <w:rPr>
          <w:sz w:val="20"/>
          <w:szCs w:val="20"/>
          <w:color w:val="auto"/>
        </w:rPr>
      </w:pPr>
    </w:p>
    <w:p>
      <w:pPr>
        <w:jc w:val="both"/>
        <w:ind w:left="120" w:right="200" w:firstLine="440"/>
        <w:spacing w:after="0" w:line="259" w:lineRule="auto"/>
        <w:rPr>
          <w:sz w:val="20"/>
          <w:szCs w:val="20"/>
          <w:color w:val="auto"/>
        </w:rPr>
      </w:pPr>
      <w:r>
        <w:rPr>
          <w:rFonts w:ascii="Arial" w:cs="Arial" w:eastAsia="Arial" w:hAnsi="Arial"/>
          <w:sz w:val="18"/>
          <w:szCs w:val="18"/>
          <w:color w:val="auto"/>
        </w:rPr>
        <w:t>The Company also enters into a limited number of contracts that can include various combinations of professional services, which are generally capable of being distinct and can be accounted for as separate performance obligations. Revenue related to these professional services is insignificant and is recognized at a point in time, when the performance obligations under the terms of the contract are satisfied and control has been transferred to the customer.</w:t>
      </w:r>
    </w:p>
    <w:p>
      <w:pPr>
        <w:spacing w:after="0" w:line="187" w:lineRule="exact"/>
        <w:rPr>
          <w:sz w:val="20"/>
          <w:szCs w:val="20"/>
          <w:color w:val="auto"/>
        </w:rPr>
      </w:pPr>
    </w:p>
    <w:p>
      <w:pPr>
        <w:ind w:left="120" w:firstLine="440"/>
        <w:spacing w:after="0" w:line="259" w:lineRule="auto"/>
        <w:rPr>
          <w:sz w:val="20"/>
          <w:szCs w:val="20"/>
          <w:color w:val="auto"/>
        </w:rPr>
      </w:pPr>
      <w:r>
        <w:rPr>
          <w:rFonts w:ascii="Arial" w:cs="Arial" w:eastAsia="Arial" w:hAnsi="Arial"/>
          <w:sz w:val="18"/>
          <w:szCs w:val="18"/>
          <w:color w:val="auto"/>
        </w:rPr>
        <w:t>When a contract contains multiple performance obligations, the contract transaction price is allocated on a relative standalone selling price (“SSP”) basis to each performance obligation. The Company typically determines SSP based on observable selling prices of its products and services. In instances where SSP is not directly observable, SSP is determined using information that may include market conditions and other observable inputs, or by using the residual approach.</w:t>
      </w:r>
    </w:p>
    <w:p>
      <w:pPr>
        <w:spacing w:after="0" w:line="187" w:lineRule="exact"/>
        <w:rPr>
          <w:sz w:val="20"/>
          <w:szCs w:val="20"/>
          <w:color w:val="auto"/>
        </w:rPr>
      </w:pPr>
    </w:p>
    <w:p>
      <w:pPr>
        <w:ind w:left="120" w:right="20" w:firstLine="440"/>
        <w:spacing w:after="0" w:line="253" w:lineRule="auto"/>
        <w:rPr>
          <w:sz w:val="20"/>
          <w:szCs w:val="20"/>
          <w:color w:val="auto"/>
        </w:rPr>
      </w:pPr>
      <w:r>
        <w:rPr>
          <w:rFonts w:ascii="Arial" w:cs="Arial" w:eastAsia="Arial" w:hAnsi="Arial"/>
          <w:sz w:val="18"/>
          <w:szCs w:val="18"/>
          <w:color w:val="auto"/>
        </w:rPr>
        <w:t>The Company accounts for an arrangement when it has approval and commitment from both parties, the rights are identified, the contract has commercial substance, and collectability of consideration is probable. The Company generally obtains written purchase contracts from its customers for a specified service at a specified price, with a specified term, which constitutes an arrangement. Revenue is recognized at the amount expected to be collected, net of any taxes collected from customers, which are subsequently remitted to governmental authorities. The timing of revenue recognition may not align with the right to invoice the customer, but the Company has determined that in such cases, a significant financing component generally does not exist. The Company has elected the practical expedient that permits an entity not to recognize a significant financing component if the time between the transfer of a good or service and payment is one year or less. Payment terms on invoiced amounts are typically 30 days. The Company does not offer rights of return for its products and services in the normal course of business, and contracts generally do not include customer acceptance clauses.</w:t>
      </w:r>
    </w:p>
    <w:p>
      <w:pPr>
        <w:spacing w:after="0" w:line="196" w:lineRule="exact"/>
        <w:rPr>
          <w:sz w:val="20"/>
          <w:szCs w:val="20"/>
          <w:color w:val="auto"/>
        </w:rPr>
      </w:pPr>
    </w:p>
    <w:p>
      <w:pPr>
        <w:ind w:left="120" w:right="80" w:firstLine="440"/>
        <w:spacing w:after="0" w:line="277" w:lineRule="auto"/>
        <w:rPr>
          <w:sz w:val="20"/>
          <w:szCs w:val="20"/>
          <w:color w:val="auto"/>
        </w:rPr>
      </w:pPr>
      <w:r>
        <w:rPr>
          <w:rFonts w:ascii="Arial" w:cs="Arial" w:eastAsia="Arial" w:hAnsi="Arial"/>
          <w:sz w:val="18"/>
          <w:szCs w:val="18"/>
          <w:color w:val="auto"/>
        </w:rPr>
        <w:t>The Company arrangements typically do not contain variable consideration. However, certain contracts with customers may include service level agreements that entitle the customer to receive service credits, and in certain</w:t>
      </w:r>
    </w:p>
    <w:p>
      <w:pPr>
        <w:spacing w:after="0" w:line="103" w:lineRule="exact"/>
        <w:rPr>
          <w:sz w:val="20"/>
          <w:szCs w:val="20"/>
          <w:color w:val="auto"/>
        </w:rPr>
      </w:pPr>
    </w:p>
    <w:p>
      <w:pPr>
        <w:jc w:val="center"/>
        <w:ind w:right="-379"/>
        <w:spacing w:after="0"/>
        <w:rPr>
          <w:sz w:val="20"/>
          <w:szCs w:val="20"/>
          <w:color w:val="auto"/>
        </w:rPr>
      </w:pPr>
      <w:r>
        <w:rPr>
          <w:rFonts w:ascii="Arial" w:cs="Arial" w:eastAsia="Arial" w:hAnsi="Arial"/>
          <w:sz w:val="18"/>
          <w:szCs w:val="18"/>
          <w:color w:val="auto"/>
        </w:rPr>
        <w:t>F-15</w:t>
      </w:r>
    </w:p>
    <w:p>
      <w:pPr>
        <w:sectPr>
          <w:pgSz w:w="11900" w:h="16838" w:orient="portrait"/>
          <w:cols w:equalWidth="0" w:num="1">
            <w:col w:w="11100"/>
          </w:cols>
          <w:pgMar w:left="320" w:top="459" w:right="479" w:bottom="1440" w:gutter="0" w:footer="0" w:header="0"/>
        </w:sectPr>
      </w:pPr>
    </w:p>
    <w:bookmarkStart w:id="221" w:name="page222"/>
    <w:bookmarkEnd w:id="2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6">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Confidential Treatment Requested by Definitive Healthcare Corp.</w:t>
      </w:r>
    </w:p>
    <w:p>
      <w:pPr>
        <w:spacing w:after="0" w:line="27"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Pursuant to 17 C.F.R. Section 200.83</w:t>
      </w:r>
    </w:p>
    <w:p>
      <w:pPr>
        <w:spacing w:after="0" w:line="143" w:lineRule="exact"/>
        <w:rPr>
          <w:sz w:val="20"/>
          <w:szCs w:val="20"/>
          <w:color w:val="auto"/>
        </w:rPr>
      </w:pPr>
    </w:p>
    <w:p>
      <w:pPr>
        <w:ind w:left="120" w:right="180"/>
        <w:spacing w:after="0" w:line="257" w:lineRule="auto"/>
        <w:rPr>
          <w:sz w:val="20"/>
          <w:szCs w:val="20"/>
          <w:color w:val="auto"/>
        </w:rPr>
      </w:pPr>
      <w:r>
        <w:rPr>
          <w:rFonts w:ascii="Arial" w:cs="Arial" w:eastAsia="Arial" w:hAnsi="Arial"/>
          <w:sz w:val="18"/>
          <w:szCs w:val="18"/>
          <w:color w:val="auto"/>
        </w:rPr>
        <w:t>cases, service refunds, when defined service levels are not met. These arrangements represent a form of variable consideration, which is considered in the calculation of the transaction price. The Company estimates the amount of variable considerations at the expected value based on its assessment of legal enforceability, anticipated performance and a review of specific transactions, historical experience and market and economic conditions. The Company historically has not experienced any significant incidents that affected the defined levels of reliability and performance as required by the contracts.</w:t>
      </w:r>
    </w:p>
    <w:p>
      <w:pPr>
        <w:spacing w:after="0" w:line="296"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Fair Value Measurements</w:t>
      </w:r>
    </w:p>
    <w:p>
      <w:pPr>
        <w:spacing w:after="0" w:line="117" w:lineRule="exact"/>
        <w:rPr>
          <w:sz w:val="20"/>
          <w:szCs w:val="20"/>
          <w:color w:val="auto"/>
        </w:rPr>
      </w:pPr>
    </w:p>
    <w:p>
      <w:pPr>
        <w:ind w:left="120" w:right="80" w:firstLine="440"/>
        <w:spacing w:after="0" w:line="257" w:lineRule="auto"/>
        <w:rPr>
          <w:sz w:val="20"/>
          <w:szCs w:val="20"/>
          <w:color w:val="auto"/>
        </w:rPr>
      </w:pPr>
      <w:r>
        <w:rPr>
          <w:rFonts w:ascii="Arial" w:cs="Arial" w:eastAsia="Arial" w:hAnsi="Arial"/>
          <w:sz w:val="18"/>
          <w:szCs w:val="18"/>
          <w:color w:val="auto"/>
        </w:rPr>
        <w:t>The Company measures assets and liabilities at fair value based on an expected exit price, which represents the amount that would be received on the sale of an asset or paid to transfer a liability in an orderly transaction between market participants. As such, fair value may be based on assumptions that market participants would use in pricing an asset or liability. The authoritative guidance on fair value measurements establishes a consistent framework for measuring fair value on either a recurring or nonrecurring basis whereby inputs, used in valuation techniques, are assigned a hierarchical level as follows:</w:t>
      </w:r>
    </w:p>
    <w:p>
      <w:pPr>
        <w:spacing w:after="0" w:line="188" w:lineRule="exact"/>
        <w:rPr>
          <w:sz w:val="20"/>
          <w:szCs w:val="20"/>
          <w:color w:val="auto"/>
        </w:rPr>
      </w:pPr>
    </w:p>
    <w:p>
      <w:pPr>
        <w:ind w:left="560" w:right="2340"/>
        <w:spacing w:after="0" w:line="258" w:lineRule="auto"/>
        <w:rPr>
          <w:sz w:val="20"/>
          <w:szCs w:val="20"/>
          <w:color w:val="auto"/>
        </w:rPr>
      </w:pPr>
      <w:r>
        <w:rPr>
          <w:rFonts w:ascii="Arial" w:cs="Arial" w:eastAsia="Arial" w:hAnsi="Arial"/>
          <w:sz w:val="18"/>
          <w:szCs w:val="18"/>
          <w:color w:val="auto"/>
        </w:rPr>
        <w:t>Level 1 - Observable inputs that reflect unadjusted quoted prices in active markets for identical assets or liabilities Level 2 - Other inputs that are directly or indirectly observable in the marketplace</w:t>
      </w:r>
    </w:p>
    <w:p>
      <w:pPr>
        <w:spacing w:after="0" w:line="1" w:lineRule="exact"/>
        <w:rPr>
          <w:sz w:val="20"/>
          <w:szCs w:val="20"/>
          <w:color w:val="auto"/>
        </w:rPr>
      </w:pPr>
    </w:p>
    <w:p>
      <w:pPr>
        <w:ind w:left="560"/>
        <w:spacing w:after="0"/>
        <w:rPr>
          <w:sz w:val="20"/>
          <w:szCs w:val="20"/>
          <w:color w:val="auto"/>
        </w:rPr>
      </w:pPr>
      <w:r>
        <w:rPr>
          <w:rFonts w:ascii="Arial" w:cs="Arial" w:eastAsia="Arial" w:hAnsi="Arial"/>
          <w:sz w:val="17"/>
          <w:szCs w:val="17"/>
          <w:color w:val="auto"/>
        </w:rPr>
        <w:t>Level 3 - Unobservable inputs that are supported by little or no market activity, including the Company’s own assumptions in determining fair</w:t>
      </w:r>
    </w:p>
    <w:p>
      <w:pPr>
        <w:spacing w:after="0" w:line="21" w:lineRule="exact"/>
        <w:rPr>
          <w:sz w:val="20"/>
          <w:szCs w:val="20"/>
          <w:color w:val="auto"/>
        </w:rPr>
      </w:pPr>
    </w:p>
    <w:p>
      <w:pPr>
        <w:ind w:left="120"/>
        <w:spacing w:after="0"/>
        <w:rPr>
          <w:sz w:val="20"/>
          <w:szCs w:val="20"/>
          <w:color w:val="auto"/>
        </w:rPr>
      </w:pPr>
      <w:r>
        <w:rPr>
          <w:rFonts w:ascii="Arial" w:cs="Arial" w:eastAsia="Arial" w:hAnsi="Arial"/>
          <w:sz w:val="18"/>
          <w:szCs w:val="18"/>
          <w:color w:val="auto"/>
        </w:rPr>
        <w:t>value.</w:t>
      </w:r>
    </w:p>
    <w:p>
      <w:pPr>
        <w:spacing w:after="0" w:line="319"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Cash and Cash Equivalents</w:t>
      </w:r>
    </w:p>
    <w:p>
      <w:pPr>
        <w:spacing w:after="0" w:line="117" w:lineRule="exact"/>
        <w:rPr>
          <w:sz w:val="20"/>
          <w:szCs w:val="20"/>
          <w:color w:val="auto"/>
        </w:rPr>
      </w:pPr>
    </w:p>
    <w:p>
      <w:pPr>
        <w:ind w:left="560"/>
        <w:spacing w:after="0"/>
        <w:rPr>
          <w:sz w:val="20"/>
          <w:szCs w:val="20"/>
          <w:color w:val="auto"/>
        </w:rPr>
      </w:pPr>
      <w:r>
        <w:rPr>
          <w:rFonts w:ascii="Arial" w:cs="Arial" w:eastAsia="Arial" w:hAnsi="Arial"/>
          <w:sz w:val="16"/>
          <w:szCs w:val="16"/>
          <w:color w:val="auto"/>
        </w:rPr>
        <w:t>The Company considers all short-term, highly liquid investments with an original maturity of three months or less to be cash and cash equivalents.</w:t>
      </w:r>
    </w:p>
    <w:p>
      <w:pPr>
        <w:spacing w:after="0" w:line="356"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Concentration of Credit Risk and Significant Customers</w:t>
      </w:r>
    </w:p>
    <w:p>
      <w:pPr>
        <w:spacing w:after="0" w:line="117" w:lineRule="exact"/>
        <w:rPr>
          <w:sz w:val="20"/>
          <w:szCs w:val="20"/>
          <w:color w:val="auto"/>
        </w:rPr>
      </w:pPr>
    </w:p>
    <w:p>
      <w:pPr>
        <w:ind w:left="120" w:right="40" w:firstLine="440"/>
        <w:spacing w:after="0" w:line="255" w:lineRule="auto"/>
        <w:rPr>
          <w:sz w:val="20"/>
          <w:szCs w:val="20"/>
          <w:color w:val="auto"/>
        </w:rPr>
      </w:pPr>
      <w:r>
        <w:rPr>
          <w:rFonts w:ascii="Arial" w:cs="Arial" w:eastAsia="Arial" w:hAnsi="Arial"/>
          <w:sz w:val="18"/>
          <w:szCs w:val="18"/>
          <w:color w:val="auto"/>
        </w:rPr>
        <w:t>Financial instruments that potentially subject the Company to concentrations of credit risk consist principally of cash and cash equivalents and accounts receivable. The Company holds cash at major financial institutions that often exceed Federal Deposit Insurance Corporation (“FDIC”) insured limits. The Company manages its credit risk associated with cash concentrations by concentrating its cash deposits in high quality financial institutions and by periodically evaluating the credit quality of the primary financial institutions holding such deposits. The carrying value of cash approximates fair value. Historically, the Company has not experienced any losses due to such cash concentrations. The Company does not have any off-balance-sheet credit exposure related to its customers.</w:t>
      </w:r>
    </w:p>
    <w:p>
      <w:pPr>
        <w:spacing w:after="0" w:line="192" w:lineRule="exact"/>
        <w:rPr>
          <w:sz w:val="20"/>
          <w:szCs w:val="20"/>
          <w:color w:val="auto"/>
        </w:rPr>
      </w:pPr>
    </w:p>
    <w:p>
      <w:pPr>
        <w:ind w:left="120" w:right="20" w:firstLine="440"/>
        <w:spacing w:after="0" w:line="308" w:lineRule="auto"/>
        <w:rPr>
          <w:sz w:val="20"/>
          <w:szCs w:val="20"/>
          <w:color w:val="auto"/>
        </w:rPr>
      </w:pPr>
      <w:r>
        <w:rPr>
          <w:rFonts w:ascii="Arial" w:cs="Arial" w:eastAsia="Arial" w:hAnsi="Arial"/>
          <w:sz w:val="17"/>
          <w:szCs w:val="17"/>
          <w:color w:val="auto"/>
        </w:rPr>
        <w:t>Concentrations of credit risk with respect to trade account receivables are limited due to the large number of customers comprising the Company’s customer base. No single customer accounted for more than 10% of total net sales or accounts receivable in 2020 and 2019.</w:t>
      </w:r>
    </w:p>
    <w:p>
      <w:pPr>
        <w:spacing w:after="0" w:line="254"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Accounts Receivable, Net and Contract Assets</w:t>
      </w:r>
    </w:p>
    <w:p>
      <w:pPr>
        <w:spacing w:after="0" w:line="117" w:lineRule="exact"/>
        <w:rPr>
          <w:sz w:val="20"/>
          <w:szCs w:val="20"/>
          <w:color w:val="auto"/>
        </w:rPr>
      </w:pPr>
    </w:p>
    <w:p>
      <w:pPr>
        <w:ind w:left="120" w:right="360" w:firstLine="440"/>
        <w:spacing w:after="0" w:line="275" w:lineRule="auto"/>
        <w:rPr>
          <w:sz w:val="20"/>
          <w:szCs w:val="20"/>
          <w:color w:val="auto"/>
        </w:rPr>
      </w:pPr>
      <w:r>
        <w:rPr>
          <w:rFonts w:ascii="Arial" w:cs="Arial" w:eastAsia="Arial" w:hAnsi="Arial"/>
          <w:sz w:val="17"/>
          <w:szCs w:val="17"/>
          <w:color w:val="auto"/>
        </w:rPr>
        <w:t>Accounts receivable are stated at the amount management expects to collect from outstanding balances. Allowances for doubtful accounts are provided for those outstanding balances considered to be uncollectible based upon historical collection experience, changes in customer payment profiles, the aging of receivable balances, and management’s overall evaluation of the outstanding balances at year end. Balances that are still outstanding after management has made reasonable collection efforts are written off through a charge to the allowance for doubtful accounts. At December 31, 2020 and 2019, the allowance for doubtful accounts was $0.9 million and $0.5 million, respectively.</w:t>
      </w:r>
    </w:p>
    <w:p>
      <w:pPr>
        <w:spacing w:after="0" w:line="109" w:lineRule="exact"/>
        <w:rPr>
          <w:sz w:val="20"/>
          <w:szCs w:val="20"/>
          <w:color w:val="auto"/>
        </w:rPr>
      </w:pPr>
    </w:p>
    <w:p>
      <w:pPr>
        <w:jc w:val="center"/>
        <w:ind w:right="-359"/>
        <w:spacing w:after="0"/>
        <w:rPr>
          <w:sz w:val="20"/>
          <w:szCs w:val="20"/>
          <w:color w:val="auto"/>
        </w:rPr>
      </w:pPr>
      <w:r>
        <w:rPr>
          <w:rFonts w:ascii="Arial" w:cs="Arial" w:eastAsia="Arial" w:hAnsi="Arial"/>
          <w:sz w:val="18"/>
          <w:szCs w:val="18"/>
          <w:color w:val="auto"/>
        </w:rPr>
        <w:t>F-16</w:t>
      </w:r>
    </w:p>
    <w:p>
      <w:pPr>
        <w:sectPr>
          <w:pgSz w:w="11900" w:h="16838" w:orient="portrait"/>
          <w:cols w:equalWidth="0" w:num="1">
            <w:col w:w="11120"/>
          </w:cols>
          <w:pgMar w:left="320" w:top="459" w:right="459" w:bottom="1440" w:gutter="0" w:footer="0" w:header="0"/>
        </w:sectPr>
      </w:pPr>
    </w:p>
    <w:bookmarkStart w:id="222" w:name="page223"/>
    <w:bookmarkEnd w:id="2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7">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Confidential Treatment Requested by Definitive Healthcare Corp.</w:t>
      </w:r>
    </w:p>
    <w:p>
      <w:pPr>
        <w:spacing w:after="0" w:line="27"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Pursuant to 17 C.F.R. Section 200.83</w:t>
      </w:r>
    </w:p>
    <w:p>
      <w:pPr>
        <w:spacing w:after="0" w:line="143" w:lineRule="exact"/>
        <w:rPr>
          <w:sz w:val="20"/>
          <w:szCs w:val="20"/>
          <w:color w:val="auto"/>
        </w:rPr>
      </w:pPr>
    </w:p>
    <w:p>
      <w:pPr>
        <w:ind w:left="120" w:right="200" w:firstLine="440"/>
        <w:spacing w:after="0" w:line="279" w:lineRule="auto"/>
        <w:rPr>
          <w:sz w:val="20"/>
          <w:szCs w:val="20"/>
          <w:color w:val="auto"/>
        </w:rPr>
      </w:pPr>
      <w:r>
        <w:rPr>
          <w:rFonts w:ascii="Arial" w:cs="Arial" w:eastAsia="Arial" w:hAnsi="Arial"/>
          <w:sz w:val="17"/>
          <w:szCs w:val="17"/>
          <w:color w:val="auto"/>
        </w:rPr>
        <w:t>Contract assets represent contractual rights to consideration in the future and are generated when contractual billing schedules differ from the timing of revenue recognition. The Company records accounts receivable when it has the unconditional right to issue an invoice and receive payment regardless of whether revenue has been recognized. If revenue is recognized in advance of the right to invoice, a contract asset (unbilled receivable) is recorded, which is included in accounts receivable, net in the consolidated balance sheet.</w:t>
      </w:r>
    </w:p>
    <w:p>
      <w:pPr>
        <w:spacing w:after="0" w:line="279"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Deferred Contract Costs</w:t>
      </w:r>
    </w:p>
    <w:p>
      <w:pPr>
        <w:spacing w:after="0" w:line="117" w:lineRule="exact"/>
        <w:rPr>
          <w:sz w:val="20"/>
          <w:szCs w:val="20"/>
          <w:color w:val="auto"/>
        </w:rPr>
      </w:pPr>
    </w:p>
    <w:p>
      <w:pPr>
        <w:ind w:left="120" w:right="40" w:firstLine="440"/>
        <w:spacing w:after="0" w:line="259" w:lineRule="auto"/>
        <w:rPr>
          <w:sz w:val="20"/>
          <w:szCs w:val="20"/>
          <w:color w:val="auto"/>
        </w:rPr>
      </w:pPr>
      <w:r>
        <w:rPr>
          <w:rFonts w:ascii="Arial" w:cs="Arial" w:eastAsia="Arial" w:hAnsi="Arial"/>
          <w:sz w:val="18"/>
          <w:szCs w:val="18"/>
          <w:color w:val="auto"/>
        </w:rPr>
        <w:t>Certain sales commissions earned by the Company’s employees are considered incremental and recoverable costs of obtaining a contract with a customer. These sales commissions for initial and renewal contracts are capitalized and are included in current portion of deferred contract costs and deferred contract costs, net of current portion. Capitalized amounts also include the associated payroll taxes and other fringe benefits associated with the payments to the Company’s employees.</w:t>
      </w:r>
    </w:p>
    <w:p>
      <w:pPr>
        <w:spacing w:after="0" w:line="187" w:lineRule="exact"/>
        <w:rPr>
          <w:sz w:val="20"/>
          <w:szCs w:val="20"/>
          <w:color w:val="auto"/>
        </w:rPr>
      </w:pPr>
    </w:p>
    <w:p>
      <w:pPr>
        <w:ind w:left="120" w:right="40" w:firstLine="440"/>
        <w:spacing w:after="0" w:line="257" w:lineRule="auto"/>
        <w:rPr>
          <w:sz w:val="20"/>
          <w:szCs w:val="20"/>
          <w:color w:val="auto"/>
        </w:rPr>
      </w:pPr>
      <w:r>
        <w:rPr>
          <w:rFonts w:ascii="Arial" w:cs="Arial" w:eastAsia="Arial" w:hAnsi="Arial"/>
          <w:sz w:val="18"/>
          <w:szCs w:val="18"/>
          <w:color w:val="auto"/>
        </w:rPr>
        <w:t>Costs capitalized related to new revenue contracts are amortized on a straight-line basis over four years, which reflects the average period of benefit, including expected contract renewals. When determining the period of benefit, the Company primarily considered its initial estimated customer life, the technological life of the subscription license, as well as an estimated customer relationship period. Costs capitalized related to renewal contracts are amortized on a straight-basis over 2 years, which reflects the average renewal period. Renewal contracts with a term of one year or less are expensed.</w:t>
      </w:r>
    </w:p>
    <w:p>
      <w:pPr>
        <w:spacing w:after="0" w:line="188" w:lineRule="exact"/>
        <w:rPr>
          <w:sz w:val="20"/>
          <w:szCs w:val="20"/>
          <w:color w:val="auto"/>
        </w:rPr>
      </w:pPr>
    </w:p>
    <w:p>
      <w:pPr>
        <w:ind w:left="120" w:right="40" w:firstLine="440"/>
        <w:spacing w:after="0" w:line="254" w:lineRule="auto"/>
        <w:rPr>
          <w:sz w:val="20"/>
          <w:szCs w:val="20"/>
          <w:color w:val="auto"/>
        </w:rPr>
      </w:pPr>
      <w:r>
        <w:rPr>
          <w:rFonts w:ascii="Arial" w:cs="Arial" w:eastAsia="Arial" w:hAnsi="Arial"/>
          <w:sz w:val="18"/>
          <w:szCs w:val="18"/>
          <w:color w:val="auto"/>
        </w:rPr>
        <w:t>The capitalized amounts are recoverable through future revenue streams under all non-cancellable customer contracts. Amortization of capitalized costs to obtain revenue contracts is included in sales and marketing expense in the accompanying consolidated statements of income (loss). Costs capitalized to obtain a revenue contract, net on the Company’s consolidated balance sheets totaled $8.9 million and $2.9 million at December 31, 2020 and 2019, respectively and are included in current portion of deferred contract costs ($2.9 million and $0.8 million, as of December 31, 2020 and 2019, respectively) and deferred contract costs, net of current portion ($6.0 million and $2.1 million, as of December 31, 2020 and 2019, respectively) in the accompanying consolidated balance sheets. There were no impairments of costs to obtain revenue contracts in the years ended December 31, 2020 and 2019.</w:t>
      </w:r>
    </w:p>
    <w:p>
      <w:pPr>
        <w:spacing w:after="0" w:line="303"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Property and Equipment, Net</w:t>
      </w:r>
    </w:p>
    <w:p>
      <w:pPr>
        <w:spacing w:after="0" w:line="117" w:lineRule="exact"/>
        <w:rPr>
          <w:sz w:val="20"/>
          <w:szCs w:val="20"/>
          <w:color w:val="auto"/>
        </w:rPr>
      </w:pPr>
    </w:p>
    <w:p>
      <w:pPr>
        <w:ind w:left="120" w:right="300" w:firstLine="440"/>
        <w:spacing w:after="0" w:line="277" w:lineRule="auto"/>
        <w:rPr>
          <w:sz w:val="20"/>
          <w:szCs w:val="20"/>
          <w:color w:val="auto"/>
        </w:rPr>
      </w:pPr>
      <w:r>
        <w:rPr>
          <w:rFonts w:ascii="Arial" w:cs="Arial" w:eastAsia="Arial" w:hAnsi="Arial"/>
          <w:sz w:val="18"/>
          <w:szCs w:val="18"/>
          <w:color w:val="auto"/>
        </w:rPr>
        <w:t>Property and equipment are stated at cost, net of accumulated depreciation and amortization. The assets are depreciated on a straight-line basis over the estimated useful lives as follows:</w:t>
      </w:r>
    </w:p>
    <w:p>
      <w:pPr>
        <w:sectPr>
          <w:pgSz w:w="11900" w:h="16838" w:orient="portrait"/>
          <w:cols w:equalWidth="0" w:num="1">
            <w:col w:w="11120"/>
          </w:cols>
          <w:pgMar w:left="320" w:top="459" w:right="459" w:bottom="1440" w:gutter="0" w:footer="0" w:header="0"/>
        </w:sectPr>
      </w:pPr>
    </w:p>
    <w:p>
      <w:pPr>
        <w:spacing w:after="0" w:line="197" w:lineRule="exact"/>
        <w:rPr>
          <w:sz w:val="20"/>
          <w:szCs w:val="20"/>
          <w:color w:val="auto"/>
        </w:rPr>
      </w:pPr>
    </w:p>
    <w:p>
      <w:pPr>
        <w:ind w:left="1880"/>
        <w:spacing w:after="0"/>
        <w:rPr>
          <w:sz w:val="20"/>
          <w:szCs w:val="20"/>
          <w:color w:val="auto"/>
        </w:rPr>
      </w:pPr>
      <w:r>
        <w:rPr>
          <w:rFonts w:ascii="Arial" w:cs="Arial" w:eastAsia="Arial" w:hAnsi="Arial"/>
          <w:sz w:val="16"/>
          <w:szCs w:val="16"/>
          <w:color w:val="auto"/>
        </w:rPr>
        <w:t>Furniture and equipment</w:t>
      </w:r>
    </w:p>
    <w:p>
      <w:pPr>
        <w:spacing w:after="0" w:line="46" w:lineRule="exact"/>
        <w:rPr>
          <w:sz w:val="20"/>
          <w:szCs w:val="20"/>
          <w:color w:val="auto"/>
        </w:rPr>
      </w:pPr>
    </w:p>
    <w:p>
      <w:pPr>
        <w:ind w:left="1880"/>
        <w:spacing w:after="0"/>
        <w:rPr>
          <w:sz w:val="20"/>
          <w:szCs w:val="20"/>
          <w:color w:val="auto"/>
        </w:rPr>
      </w:pPr>
      <w:r>
        <w:rPr>
          <w:rFonts w:ascii="Arial" w:cs="Arial" w:eastAsia="Arial" w:hAnsi="Arial"/>
          <w:sz w:val="16"/>
          <w:szCs w:val="16"/>
          <w:color w:val="auto"/>
        </w:rPr>
        <w:t>Computers and software</w:t>
      </w:r>
    </w:p>
    <w:p>
      <w:pPr>
        <w:spacing w:after="0" w:line="32" w:lineRule="exact"/>
        <w:rPr>
          <w:sz w:val="20"/>
          <w:szCs w:val="20"/>
          <w:color w:val="auto"/>
        </w:rPr>
      </w:pPr>
    </w:p>
    <w:p>
      <w:pPr>
        <w:ind w:left="1880"/>
        <w:spacing w:after="0"/>
        <w:rPr>
          <w:sz w:val="20"/>
          <w:szCs w:val="20"/>
          <w:color w:val="auto"/>
        </w:rPr>
      </w:pPr>
      <w:r>
        <w:rPr>
          <w:rFonts w:ascii="Arial" w:cs="Arial" w:eastAsia="Arial" w:hAnsi="Arial"/>
          <w:sz w:val="16"/>
          <w:szCs w:val="16"/>
          <w:color w:val="auto"/>
        </w:rPr>
        <w:t>Leasehold improvements</w:t>
      </w:r>
    </w:p>
    <w:p>
      <w:pPr>
        <w:spacing w:after="0" w:line="20" w:lineRule="exact"/>
        <w:rPr>
          <w:sz w:val="20"/>
          <w:szCs w:val="20"/>
          <w:color w:val="auto"/>
        </w:rPr>
      </w:pPr>
      <w:r>
        <w:rPr>
          <w:sz w:val="20"/>
          <w:szCs w:val="20"/>
          <w:color w:val="auto"/>
        </w:rPr>
        <w:br w:type="column"/>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color w:val="auto"/>
        </w:rPr>
        <w:t>5 years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3 years</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Lesser of the asset life or lease term</w:t>
      </w:r>
    </w:p>
    <w:p>
      <w:pPr>
        <w:spacing w:after="0" w:line="200" w:lineRule="exact"/>
        <w:rPr>
          <w:sz w:val="20"/>
          <w:szCs w:val="20"/>
          <w:color w:val="auto"/>
        </w:rPr>
      </w:pPr>
    </w:p>
    <w:p>
      <w:pPr>
        <w:sectPr>
          <w:pgSz w:w="11900" w:h="16838" w:orient="portrait"/>
          <w:cols w:equalWidth="0" w:num="2">
            <w:col w:w="4980" w:space="720"/>
            <w:col w:w="5420"/>
          </w:cols>
          <w:pgMar w:left="320" w:top="459" w:right="459" w:bottom="1440" w:gutter="0" w:footer="0" w:header="0"/>
          <w:type w:val="continuous"/>
        </w:sectPr>
      </w:pPr>
    </w:p>
    <w:p>
      <w:pPr>
        <w:spacing w:after="0" w:line="34" w:lineRule="exact"/>
        <w:rPr>
          <w:sz w:val="20"/>
          <w:szCs w:val="20"/>
          <w:color w:val="auto"/>
        </w:rPr>
      </w:pPr>
    </w:p>
    <w:p>
      <w:pPr>
        <w:ind w:left="120" w:firstLine="440"/>
        <w:spacing w:after="0" w:line="263" w:lineRule="auto"/>
        <w:rPr>
          <w:sz w:val="20"/>
          <w:szCs w:val="20"/>
          <w:color w:val="auto"/>
        </w:rPr>
      </w:pPr>
      <w:r>
        <w:rPr>
          <w:rFonts w:ascii="Arial" w:cs="Arial" w:eastAsia="Arial" w:hAnsi="Arial"/>
          <w:sz w:val="18"/>
          <w:szCs w:val="18"/>
          <w:color w:val="auto"/>
        </w:rPr>
        <w:t>Upon retirement or sale, the cost of assets disposed and the related accumulated depreciation are removed from the accounts and any resulting gain or loss is recognized as gain or loss on disposal of assets in the consolidated statements of income (loss). Major replacements and improvements are capitalized, while general repairs and maintenance are charged to expense as incurred.</w:t>
      </w:r>
    </w:p>
    <w:p>
      <w:pPr>
        <w:spacing w:after="0" w:line="292"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Advertising and Promotional Expenses</w:t>
      </w:r>
    </w:p>
    <w:p>
      <w:pPr>
        <w:spacing w:after="0" w:line="117" w:lineRule="exact"/>
        <w:rPr>
          <w:sz w:val="20"/>
          <w:szCs w:val="20"/>
          <w:color w:val="auto"/>
        </w:rPr>
      </w:pPr>
    </w:p>
    <w:p>
      <w:pPr>
        <w:ind w:left="120" w:right="60" w:firstLine="440"/>
        <w:spacing w:after="0" w:line="259" w:lineRule="auto"/>
        <w:rPr>
          <w:sz w:val="20"/>
          <w:szCs w:val="20"/>
          <w:color w:val="auto"/>
        </w:rPr>
      </w:pPr>
      <w:r>
        <w:rPr>
          <w:rFonts w:ascii="Arial" w:cs="Arial" w:eastAsia="Arial" w:hAnsi="Arial"/>
          <w:sz w:val="18"/>
          <w:szCs w:val="18"/>
          <w:color w:val="auto"/>
        </w:rPr>
        <w:t>The Company expenses advertising costs as incurred in accordance with ASC 720—</w:t>
      </w:r>
      <w:r>
        <w:rPr>
          <w:rFonts w:ascii="Arial" w:cs="Arial" w:eastAsia="Arial" w:hAnsi="Arial"/>
          <w:sz w:val="18"/>
          <w:szCs w:val="18"/>
          <w:i w:val="1"/>
          <w:iCs w:val="1"/>
          <w:color w:val="auto"/>
        </w:rPr>
        <w:t>Other Expenses – Advertising Cost</w:t>
      </w:r>
      <w:r>
        <w:rPr>
          <w:rFonts w:ascii="Arial" w:cs="Arial" w:eastAsia="Arial" w:hAnsi="Arial"/>
          <w:sz w:val="18"/>
          <w:szCs w:val="18"/>
          <w:color w:val="auto"/>
        </w:rPr>
        <w:t>. Advertising expenses of $0.6 million for the year ended December 31, 2020 (Successor) and $0.2 million and $0.2 million for the periods from July 16, 2019 through December 31, 2019 (Successor), and from January 1, 2019 through July 15, 2019 (Predecessor), respectively, are included in sales and marketing on the consolidated statements of income (loss).</w:t>
      </w:r>
    </w:p>
    <w:p>
      <w:pPr>
        <w:spacing w:after="0" w:line="119" w:lineRule="exact"/>
        <w:rPr>
          <w:sz w:val="20"/>
          <w:szCs w:val="20"/>
          <w:color w:val="auto"/>
        </w:rPr>
      </w:pPr>
    </w:p>
    <w:p>
      <w:pPr>
        <w:jc w:val="center"/>
        <w:ind w:right="-359"/>
        <w:spacing w:after="0"/>
        <w:rPr>
          <w:sz w:val="20"/>
          <w:szCs w:val="20"/>
          <w:color w:val="auto"/>
        </w:rPr>
      </w:pPr>
      <w:r>
        <w:rPr>
          <w:rFonts w:ascii="Arial" w:cs="Arial" w:eastAsia="Arial" w:hAnsi="Arial"/>
          <w:sz w:val="18"/>
          <w:szCs w:val="18"/>
          <w:color w:val="auto"/>
        </w:rPr>
        <w:t>F-17</w:t>
      </w:r>
    </w:p>
    <w:p>
      <w:pPr>
        <w:sectPr>
          <w:pgSz w:w="11900" w:h="16838" w:orient="portrait"/>
          <w:cols w:equalWidth="0" w:num="1">
            <w:col w:w="11120"/>
          </w:cols>
          <w:pgMar w:left="320" w:top="459" w:right="459" w:bottom="1440" w:gutter="0" w:footer="0" w:header="0"/>
          <w:type w:val="continuous"/>
        </w:sectPr>
      </w:pPr>
    </w:p>
    <w:bookmarkStart w:id="223" w:name="page224"/>
    <w:bookmarkEnd w:id="2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8">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Confidential Treatment Requested by Definitive Healthcare Corp.</w:t>
      </w:r>
    </w:p>
    <w:p>
      <w:pPr>
        <w:spacing w:after="0" w:line="27"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Pursuant to 17 C.F.R. Section 200.83</w:t>
      </w:r>
    </w:p>
    <w:p>
      <w:pPr>
        <w:spacing w:after="0" w:line="143"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Software Development Costs</w:t>
      </w:r>
    </w:p>
    <w:p>
      <w:pPr>
        <w:spacing w:after="0" w:line="117" w:lineRule="exact"/>
        <w:rPr>
          <w:sz w:val="20"/>
          <w:szCs w:val="20"/>
          <w:color w:val="auto"/>
        </w:rPr>
      </w:pPr>
    </w:p>
    <w:p>
      <w:pPr>
        <w:ind w:left="120" w:right="120" w:firstLine="440"/>
        <w:spacing w:after="0" w:line="255" w:lineRule="auto"/>
        <w:rPr>
          <w:sz w:val="20"/>
          <w:szCs w:val="20"/>
          <w:color w:val="auto"/>
        </w:rPr>
      </w:pPr>
      <w:r>
        <w:rPr>
          <w:rFonts w:ascii="Arial" w:cs="Arial" w:eastAsia="Arial" w:hAnsi="Arial"/>
          <w:sz w:val="18"/>
          <w:szCs w:val="18"/>
          <w:color w:val="auto"/>
        </w:rPr>
        <w:t xml:space="preserve">The Company accounts for its software development costs in accordance with the guidance set forth in ASC 350-40, </w:t>
      </w:r>
      <w:r>
        <w:rPr>
          <w:rFonts w:ascii="Arial" w:cs="Arial" w:eastAsia="Arial" w:hAnsi="Arial"/>
          <w:sz w:val="18"/>
          <w:szCs w:val="18"/>
          <w:i w:val="1"/>
          <w:iCs w:val="1"/>
          <w:color w:val="auto"/>
        </w:rPr>
        <w:t>Intangibles – Goodwill and</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Other – Internal Use Software. </w:t>
      </w:r>
      <w:r>
        <w:rPr>
          <w:rFonts w:ascii="Arial" w:cs="Arial" w:eastAsia="Arial" w:hAnsi="Arial"/>
          <w:sz w:val="18"/>
          <w:szCs w:val="18"/>
          <w:color w:val="auto"/>
        </w:rPr>
        <w:t>The Company capitalizes costs to develop software for internal use incurred during the application development stage.</w:t>
      </w:r>
      <w:r>
        <w:rPr>
          <w:rFonts w:ascii="Arial" w:cs="Arial" w:eastAsia="Arial" w:hAnsi="Arial"/>
          <w:sz w:val="18"/>
          <w:szCs w:val="18"/>
          <w:i w:val="1"/>
          <w:iCs w:val="1"/>
          <w:color w:val="auto"/>
        </w:rPr>
        <w:t xml:space="preserve"> </w:t>
      </w:r>
      <w:r>
        <w:rPr>
          <w:rFonts w:ascii="Arial" w:cs="Arial" w:eastAsia="Arial" w:hAnsi="Arial"/>
          <w:sz w:val="18"/>
          <w:szCs w:val="18"/>
          <w:color w:val="auto"/>
        </w:rPr>
        <w:t>Costs related to preliminary project activities and post implementation activities are expensed as incurred. Capitalized costs of $0.1 million for the year ended December 31, 2020, are included in property and equipment, net. Software development costs are amortized over a period of 3 years once in service. No software development costs were capitalized during the periods from July 16, 2019 to December 31, 2019 (Successor) or from January 1, 2019 through July 15, 2019 (Predecessor).</w:t>
      </w:r>
    </w:p>
    <w:p>
      <w:pPr>
        <w:spacing w:after="0" w:line="300"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Business Combinations</w:t>
      </w:r>
    </w:p>
    <w:p>
      <w:pPr>
        <w:spacing w:after="0" w:line="117" w:lineRule="exact"/>
        <w:rPr>
          <w:sz w:val="20"/>
          <w:szCs w:val="20"/>
          <w:color w:val="auto"/>
        </w:rPr>
      </w:pPr>
    </w:p>
    <w:p>
      <w:pPr>
        <w:ind w:left="120" w:right="80" w:firstLine="440"/>
        <w:spacing w:after="0" w:line="289" w:lineRule="auto"/>
        <w:rPr>
          <w:sz w:val="20"/>
          <w:szCs w:val="20"/>
          <w:color w:val="auto"/>
        </w:rPr>
      </w:pPr>
      <w:r>
        <w:rPr>
          <w:rFonts w:ascii="Arial" w:cs="Arial" w:eastAsia="Arial" w:hAnsi="Arial"/>
          <w:sz w:val="16"/>
          <w:szCs w:val="16"/>
          <w:color w:val="auto"/>
        </w:rPr>
        <w:t xml:space="preserve">The Company accounts for business combinations using the acquisition method in accordance with ASC 805, </w:t>
      </w:r>
      <w:r>
        <w:rPr>
          <w:rFonts w:ascii="Arial" w:cs="Arial" w:eastAsia="Arial" w:hAnsi="Arial"/>
          <w:sz w:val="16"/>
          <w:szCs w:val="16"/>
          <w:i w:val="1"/>
          <w:iCs w:val="1"/>
          <w:color w:val="auto"/>
        </w:rPr>
        <w:t>Business Combinations</w:t>
      </w:r>
      <w:r>
        <w:rPr>
          <w:rFonts w:ascii="Arial" w:cs="Arial" w:eastAsia="Arial" w:hAnsi="Arial"/>
          <w:sz w:val="16"/>
          <w:szCs w:val="16"/>
          <w:color w:val="auto"/>
        </w:rPr>
        <w:t>. Each acquired company’s operating results are included in the Company’s consolidated financial statements starting on the date of acquisition. The Company allocates purchase consideration to the tangible and identifiable intangible assets acquired, and liabilities assumed based on their estimated fair values. The purchase price is determined based on the fair value of the assets transferred, liabilities assumed, and equity interests issued, after considering any transactions that are separate from the business combination. The excess of fair value of purchase consideration over the fair values of the identifiable assets and liabilities is recorded as goodwill. Tangible and identifiable intangible assets acquired and liabilities assumed as of the date of acquisition are recorded at the acquisition date fair value. Such valuations require management to make significant estimates and assumptions, especially with respect to intangible assets and contingent liabilities. Significant estimates in valuing certain intangible assets include, but are not limited to, future expected cash flows from acquired customer bases, acquired technology and acquired trade names, useful lives, royalty rates, and discount rates.</w:t>
      </w:r>
    </w:p>
    <w:p>
      <w:pPr>
        <w:spacing w:after="0" w:line="166" w:lineRule="exact"/>
        <w:rPr>
          <w:sz w:val="20"/>
          <w:szCs w:val="20"/>
          <w:color w:val="auto"/>
        </w:rPr>
      </w:pPr>
    </w:p>
    <w:p>
      <w:pPr>
        <w:ind w:left="120" w:right="200" w:firstLine="440"/>
        <w:spacing w:after="0" w:line="257" w:lineRule="auto"/>
        <w:rPr>
          <w:sz w:val="20"/>
          <w:szCs w:val="20"/>
          <w:color w:val="auto"/>
        </w:rPr>
      </w:pPr>
      <w:r>
        <w:rPr>
          <w:rFonts w:ascii="Arial" w:cs="Arial" w:eastAsia="Arial" w:hAnsi="Arial"/>
          <w:sz w:val="18"/>
          <w:szCs w:val="18"/>
          <w:color w:val="auto"/>
        </w:rPr>
        <w:t>The estimates are inherently uncertain and subject to revision as additional information is obtained during the measurement period for an acquisition, which may last up to one year from the acquisition date. During the measurement period, the Company may record adjustments to the fair value of tangible and intangible assets acquired and liabilities assumed, with a corresponding offset to goodwill. After the conclusion of the measurement period or the final determination of the fair value of assets acquired or liabilities assumed, whichever comes first, any subsequent adjustments are recorded to earnings.</w:t>
      </w:r>
    </w:p>
    <w:p>
      <w:pPr>
        <w:spacing w:after="0" w:line="188" w:lineRule="exact"/>
        <w:rPr>
          <w:sz w:val="20"/>
          <w:szCs w:val="20"/>
          <w:color w:val="auto"/>
        </w:rPr>
      </w:pPr>
    </w:p>
    <w:p>
      <w:pPr>
        <w:ind w:left="120" w:firstLine="440"/>
        <w:spacing w:after="0" w:line="301" w:lineRule="auto"/>
        <w:rPr>
          <w:sz w:val="20"/>
          <w:szCs w:val="20"/>
          <w:color w:val="auto"/>
        </w:rPr>
      </w:pPr>
      <w:r>
        <w:rPr>
          <w:rFonts w:ascii="Arial" w:cs="Arial" w:eastAsia="Arial" w:hAnsi="Arial"/>
          <w:sz w:val="16"/>
          <w:szCs w:val="16"/>
          <w:color w:val="auto"/>
        </w:rPr>
        <w:t>In addition, uncertain tax positions and tax-related valuation allowances assumed in connection with a business combination are initially estimated as of the acquisition date. The Company reevaluates these items based upon the facts and circumstances that existed as of the acquisition date, with any revisions to the Company’s preliminary estimates being recorded to goodwill, provided that the timing is within the measurement period. Subsequent to the measurement period, changes to uncertain tax positions and tax related valuation allowances will be recorded to earnings.</w:t>
      </w:r>
    </w:p>
    <w:p>
      <w:pPr>
        <w:spacing w:after="0" w:line="157" w:lineRule="exact"/>
        <w:rPr>
          <w:sz w:val="20"/>
          <w:szCs w:val="20"/>
          <w:color w:val="auto"/>
        </w:rPr>
      </w:pPr>
    </w:p>
    <w:p>
      <w:pPr>
        <w:ind w:left="120" w:right="200" w:firstLine="440"/>
        <w:spacing w:after="0" w:line="263" w:lineRule="auto"/>
        <w:rPr>
          <w:sz w:val="20"/>
          <w:szCs w:val="20"/>
          <w:color w:val="auto"/>
        </w:rPr>
      </w:pPr>
      <w:r>
        <w:rPr>
          <w:rFonts w:ascii="Arial" w:cs="Arial" w:eastAsia="Arial" w:hAnsi="Arial"/>
          <w:sz w:val="18"/>
          <w:szCs w:val="18"/>
          <w:color w:val="auto"/>
        </w:rPr>
        <w:t>For any given acquisition, the Company may identify certain pre-acquisition contingencies. The Company estimates the fair value of such contingencies, which are included as part of the assets acquired or liabilities assumed, as appropriate. Differences from these estimates are recorded in the consolidated statement of operations in the period in which they are identified.</w:t>
      </w:r>
    </w:p>
    <w:p>
      <w:pPr>
        <w:spacing w:after="0" w:line="292"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Goodwill and Intangible Assets</w:t>
      </w:r>
    </w:p>
    <w:p>
      <w:pPr>
        <w:spacing w:after="0" w:line="117" w:lineRule="exact"/>
        <w:rPr>
          <w:sz w:val="20"/>
          <w:szCs w:val="20"/>
          <w:color w:val="auto"/>
        </w:rPr>
      </w:pPr>
    </w:p>
    <w:p>
      <w:pPr>
        <w:jc w:val="both"/>
        <w:ind w:left="120" w:firstLine="440"/>
        <w:spacing w:after="0" w:line="263" w:lineRule="auto"/>
        <w:rPr>
          <w:sz w:val="20"/>
          <w:szCs w:val="20"/>
          <w:color w:val="auto"/>
        </w:rPr>
      </w:pPr>
      <w:r>
        <w:rPr>
          <w:rFonts w:ascii="Arial" w:cs="Arial" w:eastAsia="Arial" w:hAnsi="Arial"/>
          <w:sz w:val="18"/>
          <w:szCs w:val="18"/>
          <w:color w:val="auto"/>
        </w:rPr>
        <w:t>Goodwill is calculated as the excess of the purchase consideration paid in the acquisition of a business over the fair value of the identifiable assets acquired and liabilities assumed. Goodwill is not amortized and is tested for impairment at the reporting unit level, at least annually, and more frequently if events or circumstances occur that would indicate a potential decline in fair value.</w:t>
      </w:r>
    </w:p>
    <w:p>
      <w:pPr>
        <w:spacing w:after="0" w:line="116" w:lineRule="exact"/>
        <w:rPr>
          <w:sz w:val="20"/>
          <w:szCs w:val="20"/>
          <w:color w:val="auto"/>
        </w:rPr>
      </w:pPr>
    </w:p>
    <w:p>
      <w:pPr>
        <w:jc w:val="center"/>
        <w:ind w:right="-359"/>
        <w:spacing w:after="0"/>
        <w:rPr>
          <w:sz w:val="20"/>
          <w:szCs w:val="20"/>
          <w:color w:val="auto"/>
        </w:rPr>
      </w:pPr>
      <w:r>
        <w:rPr>
          <w:rFonts w:ascii="Arial" w:cs="Arial" w:eastAsia="Arial" w:hAnsi="Arial"/>
          <w:sz w:val="18"/>
          <w:szCs w:val="18"/>
          <w:color w:val="auto"/>
        </w:rPr>
        <w:t>F-18</w:t>
      </w:r>
    </w:p>
    <w:p>
      <w:pPr>
        <w:sectPr>
          <w:pgSz w:w="11900" w:h="16838" w:orient="portrait"/>
          <w:cols w:equalWidth="0" w:num="1">
            <w:col w:w="11120"/>
          </w:cols>
          <w:pgMar w:left="320" w:top="459" w:right="459" w:bottom="1440" w:gutter="0" w:footer="0" w:header="0"/>
        </w:sectPr>
      </w:pPr>
    </w:p>
    <w:bookmarkStart w:id="224" w:name="page225"/>
    <w:bookmarkEnd w:id="2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09">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Confidential Treatment Requested by Definitive Healthcare Corp.</w:t>
      </w:r>
    </w:p>
    <w:p>
      <w:pPr>
        <w:spacing w:after="0" w:line="27"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Pursuant to 17 C.F.R. Section 200.83</w:t>
      </w:r>
    </w:p>
    <w:p>
      <w:pPr>
        <w:spacing w:after="0" w:line="143" w:lineRule="exact"/>
        <w:rPr>
          <w:sz w:val="20"/>
          <w:szCs w:val="20"/>
          <w:color w:val="auto"/>
        </w:rPr>
      </w:pPr>
    </w:p>
    <w:p>
      <w:pPr>
        <w:ind w:left="120" w:firstLine="440"/>
        <w:spacing w:after="0" w:line="290" w:lineRule="auto"/>
        <w:rPr>
          <w:sz w:val="20"/>
          <w:szCs w:val="20"/>
          <w:color w:val="auto"/>
        </w:rPr>
      </w:pPr>
      <w:r>
        <w:rPr>
          <w:rFonts w:ascii="Arial" w:cs="Arial" w:eastAsia="Arial" w:hAnsi="Arial"/>
          <w:sz w:val="16"/>
          <w:szCs w:val="16"/>
          <w:color w:val="auto"/>
        </w:rPr>
        <w:t>A reporting unit is an operating segment or a component of an operating segment. The Company first assesses qualitative factors to evaluate whether it is more likely than not that the fair value of a reporting unit is less than the carrying amount, or it may elect to bypass such assessment. If it is determined that it is more likely than not that the fair value of the reporting unit is less than its carrying value, or if the Company elects to bypass the qualitative assessment, management will perform a quantitative test by determining the fair value of the reporting unit. The estimated fair value of the reporting unit is based on a projected discounted cash flow model that includes significant assumptions and estimates, including the discount rate, growth rate, and future financial performance. Valuations of similarly situated public companies are also evaluated when assessing the fair value of the reporting unit. If the carrying value of the reporting unit exceeds the fair value, then a goodwill impairment loss is recognized for the difference. The Company performs its annual impairment assessment in the first month of the fourth quarter of each calendar year.</w:t>
      </w:r>
    </w:p>
    <w:p>
      <w:pPr>
        <w:spacing w:after="0" w:line="165" w:lineRule="exact"/>
        <w:rPr>
          <w:sz w:val="20"/>
          <w:szCs w:val="20"/>
          <w:color w:val="auto"/>
        </w:rPr>
      </w:pPr>
    </w:p>
    <w:p>
      <w:pPr>
        <w:ind w:left="120" w:right="160" w:firstLine="440"/>
        <w:spacing w:after="0" w:line="259" w:lineRule="auto"/>
        <w:rPr>
          <w:sz w:val="20"/>
          <w:szCs w:val="20"/>
          <w:color w:val="auto"/>
        </w:rPr>
      </w:pPr>
      <w:r>
        <w:rPr>
          <w:rFonts w:ascii="Arial" w:cs="Arial" w:eastAsia="Arial" w:hAnsi="Arial"/>
          <w:sz w:val="18"/>
          <w:szCs w:val="18"/>
          <w:color w:val="auto"/>
        </w:rPr>
        <w:t>Definite-lived intangible assets are amortized over their estimated useful lives, which represent the period over which the Company expects to realize economic value from the acquired asset(s), using the economic consumption method if anticipated future revenues can be reasonably estimated. The straight-line method is used when future revenues cannot be reasonably estimated. The following provides a summary of the estimated useful lives by category of asset.</w:t>
      </w:r>
    </w:p>
    <w:p>
      <w:pPr>
        <w:spacing w:after="0" w:line="214" w:lineRule="exact"/>
        <w:rPr>
          <w:sz w:val="20"/>
          <w:szCs w:val="20"/>
          <w:color w:val="auto"/>
        </w:rPr>
      </w:pPr>
    </w:p>
    <w:tbl>
      <w:tblPr>
        <w:tblLayout w:type="fixed"/>
        <w:tblInd w:w="480" w:type="dxa"/>
        <w:tblCellMar>
          <w:top w:w="0" w:type="dxa"/>
          <w:left w:w="0" w:type="dxa"/>
          <w:bottom w:w="0" w:type="dxa"/>
          <w:right w:w="0" w:type="dxa"/>
        </w:tblCellMar>
      </w:tblPr>
      <w:tr>
        <w:trPr>
          <w:trHeight w:val="216"/>
        </w:trPr>
        <w:tc>
          <w:tcPr>
            <w:tcW w:w="3600" w:type="dxa"/>
            <w:vAlign w:val="bottom"/>
          </w:tcPr>
          <w:p>
            <w:pPr>
              <w:spacing w:after="0"/>
              <w:rPr>
                <w:sz w:val="20"/>
                <w:szCs w:val="20"/>
                <w:color w:val="auto"/>
              </w:rPr>
            </w:pPr>
            <w:r>
              <w:rPr>
                <w:rFonts w:ascii="Arial" w:cs="Arial" w:eastAsia="Arial" w:hAnsi="Arial"/>
                <w:sz w:val="18"/>
                <w:szCs w:val="18"/>
                <w:color w:val="auto"/>
              </w:rPr>
              <w:t>Customer relationships</w:t>
            </w:r>
          </w:p>
        </w:tc>
        <w:tc>
          <w:tcPr>
            <w:tcW w:w="2080" w:type="dxa"/>
            <w:vAlign w:val="bottom"/>
          </w:tcPr>
          <w:p>
            <w:pPr>
              <w:ind w:left="1880"/>
              <w:spacing w:after="0"/>
              <w:rPr>
                <w:sz w:val="20"/>
                <w:szCs w:val="20"/>
                <w:color w:val="auto"/>
              </w:rPr>
            </w:pPr>
            <w:r>
              <w:rPr>
                <w:rFonts w:ascii="Arial" w:cs="Arial" w:eastAsia="Arial" w:hAnsi="Arial"/>
                <w:sz w:val="18"/>
                <w:szCs w:val="18"/>
                <w:color w:val="auto"/>
                <w:w w:val="89"/>
              </w:rPr>
              <w:t>14</w:t>
            </w:r>
          </w:p>
        </w:tc>
        <w:tc>
          <w:tcPr>
            <w:tcW w:w="760" w:type="dxa"/>
            <w:vAlign w:val="bottom"/>
          </w:tcPr>
          <w:p>
            <w:pPr>
              <w:ind w:left="20"/>
              <w:spacing w:after="0"/>
              <w:rPr>
                <w:sz w:val="20"/>
                <w:szCs w:val="20"/>
                <w:color w:val="auto"/>
              </w:rPr>
            </w:pPr>
            <w:r>
              <w:rPr>
                <w:rFonts w:ascii="Arial" w:cs="Arial" w:eastAsia="Arial" w:hAnsi="Arial"/>
                <w:sz w:val="18"/>
                <w:szCs w:val="18"/>
                <w:color w:val="auto"/>
                <w:w w:val="85"/>
              </w:rPr>
              <w:t>– 15 years</w:t>
            </w:r>
          </w:p>
        </w:tc>
      </w:tr>
      <w:tr>
        <w:trPr>
          <w:trHeight w:val="216"/>
        </w:trPr>
        <w:tc>
          <w:tcPr>
            <w:tcW w:w="3600" w:type="dxa"/>
            <w:vAlign w:val="bottom"/>
          </w:tcPr>
          <w:p>
            <w:pPr>
              <w:spacing w:after="0"/>
              <w:rPr>
                <w:sz w:val="20"/>
                <w:szCs w:val="20"/>
                <w:color w:val="auto"/>
              </w:rPr>
            </w:pPr>
            <w:r>
              <w:rPr>
                <w:rFonts w:ascii="Arial" w:cs="Arial" w:eastAsia="Arial" w:hAnsi="Arial"/>
                <w:sz w:val="18"/>
                <w:szCs w:val="18"/>
                <w:color w:val="auto"/>
              </w:rPr>
              <w:t>Technology</w:t>
            </w:r>
          </w:p>
        </w:tc>
        <w:tc>
          <w:tcPr>
            <w:tcW w:w="2840" w:type="dxa"/>
            <w:vAlign w:val="bottom"/>
            <w:gridSpan w:val="2"/>
          </w:tcPr>
          <w:p>
            <w:pPr>
              <w:ind w:left="1880"/>
              <w:spacing w:after="0"/>
              <w:rPr>
                <w:sz w:val="20"/>
                <w:szCs w:val="20"/>
                <w:color w:val="auto"/>
              </w:rPr>
            </w:pPr>
            <w:r>
              <w:rPr>
                <w:rFonts w:ascii="Arial" w:cs="Arial" w:eastAsia="Arial" w:hAnsi="Arial"/>
                <w:sz w:val="18"/>
                <w:szCs w:val="18"/>
                <w:color w:val="auto"/>
              </w:rPr>
              <w:t>7 – 8 years</w:t>
            </w:r>
          </w:p>
        </w:tc>
      </w:tr>
      <w:tr>
        <w:trPr>
          <w:trHeight w:val="216"/>
        </w:trPr>
        <w:tc>
          <w:tcPr>
            <w:tcW w:w="3600" w:type="dxa"/>
            <w:vAlign w:val="bottom"/>
          </w:tcPr>
          <w:p>
            <w:pPr>
              <w:spacing w:after="0"/>
              <w:rPr>
                <w:sz w:val="20"/>
                <w:szCs w:val="20"/>
                <w:color w:val="auto"/>
              </w:rPr>
            </w:pPr>
            <w:r>
              <w:rPr>
                <w:rFonts w:ascii="Arial" w:cs="Arial" w:eastAsia="Arial" w:hAnsi="Arial"/>
                <w:sz w:val="18"/>
                <w:szCs w:val="18"/>
                <w:color w:val="auto"/>
              </w:rPr>
              <w:t>Tradenames / trademark</w:t>
            </w:r>
          </w:p>
        </w:tc>
        <w:tc>
          <w:tcPr>
            <w:tcW w:w="2080" w:type="dxa"/>
            <w:vAlign w:val="bottom"/>
          </w:tcPr>
          <w:p>
            <w:pPr>
              <w:ind w:left="1880"/>
              <w:spacing w:after="0"/>
              <w:rPr>
                <w:sz w:val="20"/>
                <w:szCs w:val="20"/>
                <w:color w:val="auto"/>
              </w:rPr>
            </w:pPr>
            <w:r>
              <w:rPr>
                <w:rFonts w:ascii="Arial" w:cs="Arial" w:eastAsia="Arial" w:hAnsi="Arial"/>
                <w:sz w:val="18"/>
                <w:szCs w:val="18"/>
                <w:color w:val="auto"/>
                <w:w w:val="89"/>
              </w:rPr>
              <w:t>17</w:t>
            </w:r>
          </w:p>
        </w:tc>
        <w:tc>
          <w:tcPr>
            <w:tcW w:w="760" w:type="dxa"/>
            <w:vAlign w:val="bottom"/>
          </w:tcPr>
          <w:p>
            <w:pPr>
              <w:ind w:left="20"/>
              <w:spacing w:after="0"/>
              <w:rPr>
                <w:sz w:val="20"/>
                <w:szCs w:val="20"/>
                <w:color w:val="auto"/>
              </w:rPr>
            </w:pPr>
            <w:r>
              <w:rPr>
                <w:rFonts w:ascii="Arial" w:cs="Arial" w:eastAsia="Arial" w:hAnsi="Arial"/>
                <w:sz w:val="18"/>
                <w:szCs w:val="18"/>
                <w:color w:val="auto"/>
                <w:w w:val="85"/>
              </w:rPr>
              <w:t>– 19 years</w:t>
            </w:r>
          </w:p>
        </w:tc>
      </w:tr>
      <w:tr>
        <w:trPr>
          <w:trHeight w:val="230"/>
        </w:trPr>
        <w:tc>
          <w:tcPr>
            <w:tcW w:w="3600" w:type="dxa"/>
            <w:vAlign w:val="bottom"/>
          </w:tcPr>
          <w:p>
            <w:pPr>
              <w:spacing w:after="0"/>
              <w:rPr>
                <w:sz w:val="20"/>
                <w:szCs w:val="20"/>
                <w:color w:val="auto"/>
              </w:rPr>
            </w:pPr>
            <w:r>
              <w:rPr>
                <w:rFonts w:ascii="Arial" w:cs="Arial" w:eastAsia="Arial" w:hAnsi="Arial"/>
                <w:sz w:val="18"/>
                <w:szCs w:val="18"/>
                <w:color w:val="auto"/>
              </w:rPr>
              <w:t>Data</w:t>
            </w:r>
          </w:p>
        </w:tc>
        <w:tc>
          <w:tcPr>
            <w:tcW w:w="2840" w:type="dxa"/>
            <w:vAlign w:val="bottom"/>
            <w:gridSpan w:val="2"/>
          </w:tcPr>
          <w:p>
            <w:pPr>
              <w:ind w:left="1880"/>
              <w:spacing w:after="0"/>
              <w:rPr>
                <w:sz w:val="20"/>
                <w:szCs w:val="20"/>
                <w:color w:val="auto"/>
              </w:rPr>
            </w:pPr>
            <w:r>
              <w:rPr>
                <w:rFonts w:ascii="Arial" w:cs="Arial" w:eastAsia="Arial" w:hAnsi="Arial"/>
                <w:sz w:val="18"/>
                <w:szCs w:val="18"/>
                <w:color w:val="auto"/>
              </w:rPr>
              <w:t>1– 4 years</w:t>
            </w:r>
          </w:p>
        </w:tc>
      </w:tr>
    </w:tbl>
    <w:p>
      <w:pPr>
        <w:spacing w:after="0" w:line="310"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Impairment of Long-Lived Assets</w:t>
      </w:r>
    </w:p>
    <w:p>
      <w:pPr>
        <w:spacing w:after="0" w:line="117" w:lineRule="exact"/>
        <w:rPr>
          <w:sz w:val="20"/>
          <w:szCs w:val="20"/>
          <w:color w:val="auto"/>
        </w:rPr>
      </w:pPr>
    </w:p>
    <w:p>
      <w:pPr>
        <w:ind w:left="120" w:right="120" w:firstLine="440"/>
        <w:spacing w:after="0" w:line="301" w:lineRule="auto"/>
        <w:rPr>
          <w:sz w:val="20"/>
          <w:szCs w:val="20"/>
          <w:color w:val="auto"/>
        </w:rPr>
      </w:pPr>
      <w:r>
        <w:rPr>
          <w:rFonts w:ascii="Arial" w:cs="Arial" w:eastAsia="Arial" w:hAnsi="Arial"/>
          <w:sz w:val="16"/>
          <w:szCs w:val="16"/>
          <w:color w:val="auto"/>
        </w:rPr>
        <w:t>The Company reviews the carrying value of property and equipment and other long-lived assets, including definite-lived intangible assets and property and equipment, for impairment whenever events and circumstances indicate that the carrying value of an asset may not be recoverable. If estimated undiscounted future cash flows expected to result from its use and eventual disposition are not expected to be adequate to recover the asset’s carrying value, an impairment charge is recorded for the excess of the asset’s carrying value over its estimated fair value.</w:t>
      </w:r>
    </w:p>
    <w:p>
      <w:pPr>
        <w:spacing w:after="0" w:line="265"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Deferred Revenue</w:t>
      </w:r>
    </w:p>
    <w:p>
      <w:pPr>
        <w:spacing w:after="0" w:line="117" w:lineRule="exact"/>
        <w:rPr>
          <w:sz w:val="20"/>
          <w:szCs w:val="20"/>
          <w:color w:val="auto"/>
        </w:rPr>
      </w:pPr>
    </w:p>
    <w:p>
      <w:pPr>
        <w:jc w:val="both"/>
        <w:ind w:left="120" w:right="80" w:firstLine="440"/>
        <w:spacing w:after="0" w:line="311" w:lineRule="auto"/>
        <w:rPr>
          <w:sz w:val="20"/>
          <w:szCs w:val="20"/>
          <w:color w:val="auto"/>
        </w:rPr>
      </w:pPr>
      <w:r>
        <w:rPr>
          <w:rFonts w:ascii="Arial" w:cs="Arial" w:eastAsia="Arial" w:hAnsi="Arial"/>
          <w:sz w:val="16"/>
          <w:szCs w:val="16"/>
          <w:color w:val="auto"/>
        </w:rPr>
        <w:t>Deferred revenue consists of customer payments and billings in advance of revenue being recognized from the subscription services. If revenue has not yet been recognized, a contract liability (deferred revenue) is recorded. Deferred revenue that is anticipated to be recognized within the next 12 months is recorded as current portion of deferred revenue and the remaining portion is included in deferred revenue on the consolidated balance sheets.</w:t>
      </w:r>
    </w:p>
    <w:p>
      <w:pPr>
        <w:spacing w:after="0" w:line="257"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Debt Issuance Costs</w:t>
      </w:r>
    </w:p>
    <w:p>
      <w:pPr>
        <w:spacing w:after="0" w:line="117" w:lineRule="exact"/>
        <w:rPr>
          <w:sz w:val="20"/>
          <w:szCs w:val="20"/>
          <w:color w:val="auto"/>
        </w:rPr>
      </w:pPr>
    </w:p>
    <w:p>
      <w:pPr>
        <w:ind w:left="120" w:right="60" w:firstLine="440"/>
        <w:spacing w:after="0" w:line="270" w:lineRule="auto"/>
        <w:rPr>
          <w:sz w:val="20"/>
          <w:szCs w:val="20"/>
          <w:color w:val="auto"/>
        </w:rPr>
      </w:pPr>
      <w:r>
        <w:rPr>
          <w:rFonts w:ascii="Arial" w:cs="Arial" w:eastAsia="Arial" w:hAnsi="Arial"/>
          <w:sz w:val="17"/>
          <w:szCs w:val="17"/>
          <w:color w:val="auto"/>
        </w:rPr>
        <w:t>Costs incurred in connection with the issuance of long-term debt are deferred and amortized as interest expense over the terms of the related debt using the effective interest method for term debt and on a straight-line basis for revolving debt. To the extent that the debt is outstanding, these amounts are reflected in the consolidated balance sheets as direct deductions from the long-term portions of debt, except for the costs related to the Company’s revolving credit facilities, which are presented as a non-current asset on the consolidated balance sheets within other assets. Upon a refinancing or amendment, previously capitalized debt issuance costs are expensed and included in loss on extinguishment of debt, if the Company determines that there has been a substantial modification of the related debt. If the Company determines that there has not been a substantial modification of the related debt, any previously capitalized debt issuance costs are amortized as interest expense over the term of the new debt instrument. As of December 31, 2020 and 2019, the Company had $10.9 million and $12.6 million, respectively, of unamortized deferred financing costs related to its non-revolving credit facilities.</w:t>
      </w:r>
    </w:p>
    <w:p>
      <w:pPr>
        <w:spacing w:after="0" w:line="113" w:lineRule="exact"/>
        <w:rPr>
          <w:sz w:val="20"/>
          <w:szCs w:val="20"/>
          <w:color w:val="auto"/>
        </w:rPr>
      </w:pPr>
    </w:p>
    <w:p>
      <w:pPr>
        <w:jc w:val="center"/>
        <w:ind w:right="-399"/>
        <w:spacing w:after="0"/>
        <w:rPr>
          <w:sz w:val="20"/>
          <w:szCs w:val="20"/>
          <w:color w:val="auto"/>
        </w:rPr>
      </w:pPr>
      <w:r>
        <w:rPr>
          <w:rFonts w:ascii="Arial" w:cs="Arial" w:eastAsia="Arial" w:hAnsi="Arial"/>
          <w:sz w:val="18"/>
          <w:szCs w:val="18"/>
          <w:color w:val="auto"/>
        </w:rPr>
        <w:t>F-19</w:t>
      </w:r>
    </w:p>
    <w:p>
      <w:pPr>
        <w:sectPr>
          <w:pgSz w:w="11900" w:h="16838" w:orient="portrait"/>
          <w:cols w:equalWidth="0" w:num="1">
            <w:col w:w="11080"/>
          </w:cols>
          <w:pgMar w:left="320" w:top="459" w:right="499" w:bottom="1440" w:gutter="0" w:footer="0" w:header="0"/>
        </w:sectPr>
      </w:pPr>
    </w:p>
    <w:bookmarkStart w:id="225" w:name="page226"/>
    <w:bookmarkEnd w:id="2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0">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Confidential Treatment Requested by Definitive Healthcare Corp.</w:t>
      </w:r>
    </w:p>
    <w:p>
      <w:pPr>
        <w:spacing w:after="0" w:line="27"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Pursuant to 17 C.F.R. Section 200.83</w:t>
      </w:r>
    </w:p>
    <w:p>
      <w:pPr>
        <w:spacing w:after="0" w:line="143"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Deferred Initial Public Offering Costs</w:t>
      </w:r>
    </w:p>
    <w:p>
      <w:pPr>
        <w:spacing w:after="0" w:line="117" w:lineRule="exact"/>
        <w:rPr>
          <w:sz w:val="20"/>
          <w:szCs w:val="20"/>
          <w:color w:val="auto"/>
        </w:rPr>
      </w:pPr>
    </w:p>
    <w:p>
      <w:pPr>
        <w:ind w:left="120" w:right="80" w:firstLine="440"/>
        <w:spacing w:after="0" w:line="257" w:lineRule="auto"/>
        <w:rPr>
          <w:sz w:val="20"/>
          <w:szCs w:val="20"/>
          <w:color w:val="auto"/>
        </w:rPr>
      </w:pPr>
      <w:r>
        <w:rPr>
          <w:rFonts w:ascii="Arial" w:cs="Arial" w:eastAsia="Arial" w:hAnsi="Arial"/>
          <w:sz w:val="18"/>
          <w:szCs w:val="18"/>
          <w:color w:val="auto"/>
        </w:rPr>
        <w:t>The Company capitalizes deferred initial public offering (“IPO”) costs, which primarily consist of direct, incremental legal, professional, accounting and other third-party fees relating to the Company’s initial public offering, within other non-current assets. The deferred IPO costs will be offset against IPO proceeds upon the consummation of an offering. Should the planned IPO be abandoned, the deferred issuance costs will be expensed immediately as a charge to operating expenses in the consolidated statement of (loss) income. There were no deferred IPO costs as of December 31, 2020.</w:t>
      </w:r>
    </w:p>
    <w:p>
      <w:pPr>
        <w:spacing w:after="0" w:line="296"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Sales Tax</w:t>
      </w:r>
    </w:p>
    <w:p>
      <w:pPr>
        <w:spacing w:after="0" w:line="117" w:lineRule="exact"/>
        <w:rPr>
          <w:sz w:val="20"/>
          <w:szCs w:val="20"/>
          <w:color w:val="auto"/>
        </w:rPr>
      </w:pPr>
    </w:p>
    <w:p>
      <w:pPr>
        <w:ind w:left="120" w:right="160" w:firstLine="440"/>
        <w:spacing w:after="0" w:line="263" w:lineRule="auto"/>
        <w:rPr>
          <w:sz w:val="20"/>
          <w:szCs w:val="20"/>
          <w:color w:val="auto"/>
        </w:rPr>
      </w:pPr>
      <w:r>
        <w:rPr>
          <w:rFonts w:ascii="Arial" w:cs="Arial" w:eastAsia="Arial" w:hAnsi="Arial"/>
          <w:sz w:val="18"/>
          <w:szCs w:val="18"/>
          <w:color w:val="auto"/>
        </w:rPr>
        <w:t>The Company’s revenues may be subject to local sales taxes in certain states, if applicable. It is the Company’s policy to treat all such taxes on a “net” basis, which means the charges for sales taxes to the Company’s customers are not included in revenues and the remittance of such taxes is not presented as an expense.</w:t>
      </w:r>
    </w:p>
    <w:p>
      <w:pPr>
        <w:spacing w:after="0" w:line="292"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Income Taxes</w:t>
      </w:r>
    </w:p>
    <w:p>
      <w:pPr>
        <w:spacing w:after="0" w:line="117" w:lineRule="exact"/>
        <w:rPr>
          <w:sz w:val="20"/>
          <w:szCs w:val="20"/>
          <w:color w:val="auto"/>
        </w:rPr>
      </w:pPr>
    </w:p>
    <w:p>
      <w:pPr>
        <w:ind w:left="120" w:firstLine="440"/>
        <w:spacing w:after="0" w:line="255" w:lineRule="auto"/>
        <w:rPr>
          <w:sz w:val="20"/>
          <w:szCs w:val="20"/>
          <w:color w:val="auto"/>
        </w:rPr>
      </w:pPr>
      <w:r>
        <w:rPr>
          <w:rFonts w:ascii="Arial" w:cs="Arial" w:eastAsia="Arial" w:hAnsi="Arial"/>
          <w:sz w:val="18"/>
          <w:szCs w:val="18"/>
          <w:color w:val="auto"/>
        </w:rPr>
        <w:t>AIDH TopCo, LLC is taxed as a partnership. Definitive Healthcare Holdings, LLC is a wholly owned subsidiary of AIDH TopCo, LLC and is treated as a disregarded entity for income tax purposes. Accordingly, for federal and state income tax purposes, income, losses, and other tax attributes not generated by the HSE or Monocl subsidiaries pass through to the AIDH TopCo, LLC members’ income tax returns. The Company may be subject to certain taxes on behalf of its members in certain states. Definitive Healthcare Holdings was not subject to any federal income taxes for the tax years ended December 31, 2020 and 2019, nor was it subject to state income taxes in certain jurisdictions for the tax years ended December 31, 2020 and 2019.</w:t>
      </w:r>
    </w:p>
    <w:p>
      <w:pPr>
        <w:spacing w:after="0" w:line="192" w:lineRule="exact"/>
        <w:rPr>
          <w:sz w:val="20"/>
          <w:szCs w:val="20"/>
          <w:color w:val="auto"/>
        </w:rPr>
      </w:pPr>
    </w:p>
    <w:p>
      <w:pPr>
        <w:ind w:left="120" w:firstLine="440"/>
        <w:spacing w:after="0" w:line="272" w:lineRule="auto"/>
        <w:rPr>
          <w:sz w:val="20"/>
          <w:szCs w:val="20"/>
          <w:color w:val="auto"/>
        </w:rPr>
      </w:pPr>
      <w:r>
        <w:rPr>
          <w:rFonts w:ascii="Arial" w:cs="Arial" w:eastAsia="Arial" w:hAnsi="Arial"/>
          <w:sz w:val="17"/>
          <w:szCs w:val="17"/>
          <w:color w:val="auto"/>
        </w:rPr>
        <w:t>HSE and the Monocl US subsidiaries are taxed as corporations. Accordingly, these entities account for income taxes by recognizing tax assets and liabilities for the cumulative effect of all the temporary differences between financial statement carrying amounts and the tax basis of assets and liabilities. The foreign tax provision pertains to foreign income taxes due at the Swedish Monocl subsidiaries. Deferred taxes for the HSE, Monocl US and Swedish subsidiaries are determined using enacted federal, state, or foreign income tax rates in effect in the year in which the differences are expected to reverse. Valuation allowances are provided if based upon the weight of available evidence, it is more likely than not that some or all of the deferred tax assets will not be realized. The Company has provided for these taxes. The aggregate of such taxes is not material and is included in general and administrative in the accompanied statement of operations.</w:t>
      </w:r>
    </w:p>
    <w:p>
      <w:pPr>
        <w:spacing w:after="0" w:line="177" w:lineRule="exact"/>
        <w:rPr>
          <w:sz w:val="20"/>
          <w:szCs w:val="20"/>
          <w:color w:val="auto"/>
        </w:rPr>
      </w:pPr>
    </w:p>
    <w:p>
      <w:pPr>
        <w:ind w:left="120" w:right="20" w:firstLine="440"/>
        <w:spacing w:after="0" w:line="279" w:lineRule="auto"/>
        <w:rPr>
          <w:sz w:val="20"/>
          <w:szCs w:val="20"/>
          <w:color w:val="auto"/>
        </w:rPr>
      </w:pPr>
      <w:r>
        <w:rPr>
          <w:rFonts w:ascii="Arial" w:cs="Arial" w:eastAsia="Arial" w:hAnsi="Arial"/>
          <w:sz w:val="17"/>
          <w:szCs w:val="17"/>
          <w:color w:val="auto"/>
        </w:rPr>
        <w:t>Under the provisions of ASC 740</w:t>
      </w:r>
      <w:r>
        <w:rPr>
          <w:rFonts w:ascii="Arial" w:cs="Arial" w:eastAsia="Arial" w:hAnsi="Arial"/>
          <w:sz w:val="17"/>
          <w:szCs w:val="17"/>
          <w:i w:val="1"/>
          <w:iCs w:val="1"/>
          <w:color w:val="auto"/>
        </w:rPr>
        <w:t>, Income Taxes</w:t>
      </w:r>
      <w:r>
        <w:rPr>
          <w:rFonts w:ascii="Arial" w:cs="Arial" w:eastAsia="Arial" w:hAnsi="Arial"/>
          <w:sz w:val="17"/>
          <w:szCs w:val="17"/>
          <w:color w:val="auto"/>
        </w:rPr>
        <w:t>, as it relates to accounting for uncertainties in tax positions, the Company recognizes the tax benefit of tax positions to the extent that the benefit will more likely than not be realized. The determination as to whether the tax benefit will more likely than not be realized is based upon the technical merits of the tax position as well as consideration of the available facts and circumstances. For the tax years ended December 31, 2020 and 2019, the Company did not have any uncertain tax positions.</w:t>
      </w:r>
    </w:p>
    <w:p>
      <w:pPr>
        <w:spacing w:after="0" w:line="279"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Net Loss Per Unit</w:t>
      </w:r>
    </w:p>
    <w:p>
      <w:pPr>
        <w:spacing w:after="0" w:line="117" w:lineRule="exact"/>
        <w:rPr>
          <w:sz w:val="20"/>
          <w:szCs w:val="20"/>
          <w:color w:val="auto"/>
        </w:rPr>
      </w:pPr>
    </w:p>
    <w:p>
      <w:pPr>
        <w:ind w:left="120" w:right="40" w:firstLine="440"/>
        <w:spacing w:after="0" w:line="257" w:lineRule="auto"/>
        <w:rPr>
          <w:sz w:val="20"/>
          <w:szCs w:val="20"/>
          <w:color w:val="auto"/>
        </w:rPr>
      </w:pPr>
      <w:r>
        <w:rPr>
          <w:rFonts w:ascii="Arial" w:cs="Arial" w:eastAsia="Arial" w:hAnsi="Arial"/>
          <w:sz w:val="18"/>
          <w:szCs w:val="18"/>
          <w:color w:val="auto"/>
        </w:rPr>
        <w:t>Net income or loss per unit is computed in conformity with the two-class method required for participating securities. The two-class method of computing earnings per share is required for entities that have participating securities. The two-class method is an earnings allocation formula that determines earnings per share for participating securities according to dividends declared (or accumulated) and participation rights in undistributed earnings. The participating securities do not include a contractual obligation to share in losses of the Company and are not included in the calculation of net loss per share in the periods in which a net loss is recorded.</w:t>
      </w:r>
    </w:p>
    <w:p>
      <w:pPr>
        <w:spacing w:after="0" w:line="188" w:lineRule="exact"/>
        <w:rPr>
          <w:sz w:val="20"/>
          <w:szCs w:val="20"/>
          <w:color w:val="auto"/>
        </w:rPr>
      </w:pPr>
    </w:p>
    <w:p>
      <w:pPr>
        <w:ind w:left="120" w:right="640" w:firstLine="440"/>
        <w:spacing w:after="0" w:line="277" w:lineRule="auto"/>
        <w:rPr>
          <w:sz w:val="20"/>
          <w:szCs w:val="20"/>
          <w:color w:val="auto"/>
        </w:rPr>
      </w:pPr>
      <w:r>
        <w:rPr>
          <w:rFonts w:ascii="Arial" w:cs="Arial" w:eastAsia="Arial" w:hAnsi="Arial"/>
          <w:sz w:val="18"/>
          <w:szCs w:val="18"/>
          <w:color w:val="auto"/>
        </w:rPr>
        <w:t>Basic net income or loss per unit is computed by dividing the net income or loss by the weighted-average number of common units of the Company outstanding during the period. Diluted net income or loss per unit is</w:t>
      </w:r>
    </w:p>
    <w:p>
      <w:pPr>
        <w:spacing w:after="0" w:line="103" w:lineRule="exact"/>
        <w:rPr>
          <w:sz w:val="20"/>
          <w:szCs w:val="20"/>
          <w:color w:val="auto"/>
        </w:rPr>
      </w:pPr>
    </w:p>
    <w:p>
      <w:pPr>
        <w:jc w:val="center"/>
        <w:ind w:right="-359"/>
        <w:spacing w:after="0"/>
        <w:rPr>
          <w:sz w:val="20"/>
          <w:szCs w:val="20"/>
          <w:color w:val="auto"/>
        </w:rPr>
      </w:pPr>
      <w:r>
        <w:rPr>
          <w:rFonts w:ascii="Arial" w:cs="Arial" w:eastAsia="Arial" w:hAnsi="Arial"/>
          <w:sz w:val="18"/>
          <w:szCs w:val="18"/>
          <w:color w:val="auto"/>
        </w:rPr>
        <w:t>F-20</w:t>
      </w:r>
    </w:p>
    <w:p>
      <w:pPr>
        <w:sectPr>
          <w:pgSz w:w="11900" w:h="16838" w:orient="portrait"/>
          <w:cols w:equalWidth="0" w:num="1">
            <w:col w:w="11100"/>
          </w:cols>
          <w:pgMar w:left="320" w:top="459" w:right="479" w:bottom="1440" w:gutter="0" w:footer="0" w:header="0"/>
        </w:sectPr>
      </w:pPr>
    </w:p>
    <w:bookmarkStart w:id="226" w:name="page227"/>
    <w:bookmarkEnd w:id="2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1">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Confidential Treatment Requested by Definitive Healthcare Corp.</w:t>
      </w:r>
    </w:p>
    <w:p>
      <w:pPr>
        <w:spacing w:after="0" w:line="27"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Pursuant to 17 C.F.R. Section 200.83</w:t>
      </w:r>
    </w:p>
    <w:p>
      <w:pPr>
        <w:spacing w:after="0" w:line="143" w:lineRule="exact"/>
        <w:rPr>
          <w:sz w:val="20"/>
          <w:szCs w:val="20"/>
          <w:color w:val="auto"/>
        </w:rPr>
      </w:pPr>
    </w:p>
    <w:p>
      <w:pPr>
        <w:ind w:left="120"/>
        <w:spacing w:after="0" w:line="259" w:lineRule="auto"/>
        <w:rPr>
          <w:sz w:val="20"/>
          <w:szCs w:val="20"/>
          <w:color w:val="auto"/>
        </w:rPr>
      </w:pPr>
      <w:r>
        <w:rPr>
          <w:rFonts w:ascii="Arial" w:cs="Arial" w:eastAsia="Arial" w:hAnsi="Arial"/>
          <w:sz w:val="18"/>
          <w:szCs w:val="18"/>
          <w:color w:val="auto"/>
        </w:rPr>
        <w:t>computed by giving effect to all potential units of common units, including outstanding incentive units, to the extent dilutive. The Company uses the treasury stock method to calculate potentially dilutive shares, as if they were converted into common stock at the beginning of the period. Basic and diluted net income or loss per unit was the same for each period presented as the inclusion of all potential units of common units outstanding would have been anti-dilutive.</w:t>
      </w:r>
    </w:p>
    <w:p>
      <w:pPr>
        <w:spacing w:after="0" w:line="187" w:lineRule="exact"/>
        <w:rPr>
          <w:sz w:val="20"/>
          <w:szCs w:val="20"/>
          <w:color w:val="auto"/>
        </w:rPr>
      </w:pPr>
    </w:p>
    <w:p>
      <w:pPr>
        <w:ind w:left="120" w:right="200" w:firstLine="440"/>
        <w:spacing w:after="0" w:line="257" w:lineRule="auto"/>
        <w:rPr>
          <w:sz w:val="20"/>
          <w:szCs w:val="20"/>
          <w:color w:val="auto"/>
        </w:rPr>
      </w:pPr>
      <w:r>
        <w:rPr>
          <w:rFonts w:ascii="Arial" w:cs="Arial" w:eastAsia="Arial" w:hAnsi="Arial"/>
          <w:sz w:val="18"/>
          <w:szCs w:val="18"/>
          <w:color w:val="auto"/>
        </w:rPr>
        <w:t xml:space="preserve">All net earnings (loss) for the Predecessor period from January 1, 2019 to July 15, 2019 were entirely allocable to Predecessor members. Additionally, due to the impact of the Definitive Holdco Acquisition, the Company’s capital structure for the Predecessor and Successor periods is not comparable. As a result, the presentation of earnings (loss) per share for the periods prior to such transaction is not meaningful and only earnings (loss) per unit for periods subsequent to the Definitive Holdco Acquisition are presented herein. See Note 16. </w:t>
      </w:r>
      <w:r>
        <w:rPr>
          <w:rFonts w:ascii="Arial" w:cs="Arial" w:eastAsia="Arial" w:hAnsi="Arial"/>
          <w:sz w:val="18"/>
          <w:szCs w:val="18"/>
          <w:i w:val="1"/>
          <w:iCs w:val="1"/>
          <w:color w:val="auto"/>
        </w:rPr>
        <w:t>Net Loss Per Unit</w:t>
      </w:r>
      <w:r>
        <w:rPr>
          <w:rFonts w:ascii="Arial" w:cs="Arial" w:eastAsia="Arial" w:hAnsi="Arial"/>
          <w:sz w:val="18"/>
          <w:szCs w:val="18"/>
          <w:color w:val="auto"/>
        </w:rPr>
        <w:t xml:space="preserve"> for additional information on dilutive securities.</w:t>
      </w:r>
    </w:p>
    <w:p>
      <w:pPr>
        <w:spacing w:after="0" w:line="296"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Equity-based Compensation</w:t>
      </w:r>
    </w:p>
    <w:p>
      <w:pPr>
        <w:spacing w:after="0" w:line="117" w:lineRule="exact"/>
        <w:rPr>
          <w:sz w:val="20"/>
          <w:szCs w:val="20"/>
          <w:color w:val="auto"/>
        </w:rPr>
      </w:pPr>
    </w:p>
    <w:p>
      <w:pPr>
        <w:ind w:left="120" w:right="160" w:firstLine="440"/>
        <w:spacing w:after="0" w:line="311" w:lineRule="auto"/>
        <w:rPr>
          <w:sz w:val="20"/>
          <w:szCs w:val="20"/>
          <w:color w:val="auto"/>
        </w:rPr>
      </w:pPr>
      <w:r>
        <w:rPr>
          <w:rFonts w:ascii="Arial" w:cs="Arial" w:eastAsia="Arial" w:hAnsi="Arial"/>
          <w:sz w:val="16"/>
          <w:szCs w:val="16"/>
          <w:color w:val="auto"/>
        </w:rPr>
        <w:t>The Company periodically grants equity units to employees, consultants, directors, managers, or others providing service. These units are considered profit interests, which in general, entitle the holder of the unit to a pro rata share of the increase in fair value of the unit over the base value, which is determined at the award date, and are deemed to be equity instruments. Certain units have time-based and performance-based vesting criteria.</w:t>
      </w:r>
    </w:p>
    <w:p>
      <w:pPr>
        <w:spacing w:after="0" w:line="149" w:lineRule="exact"/>
        <w:rPr>
          <w:sz w:val="20"/>
          <w:szCs w:val="20"/>
          <w:color w:val="auto"/>
        </w:rPr>
      </w:pPr>
    </w:p>
    <w:p>
      <w:pPr>
        <w:ind w:left="120" w:right="60" w:firstLine="440"/>
        <w:spacing w:after="0" w:line="275" w:lineRule="auto"/>
        <w:rPr>
          <w:sz w:val="20"/>
          <w:szCs w:val="20"/>
          <w:color w:val="auto"/>
        </w:rPr>
      </w:pPr>
      <w:r>
        <w:rPr>
          <w:rFonts w:ascii="Arial" w:cs="Arial" w:eastAsia="Arial" w:hAnsi="Arial"/>
          <w:sz w:val="17"/>
          <w:szCs w:val="17"/>
          <w:color w:val="auto"/>
        </w:rPr>
        <w:t>The Company accounts for these profit interest units in accordance with ASC 718—</w:t>
      </w:r>
      <w:r>
        <w:rPr>
          <w:rFonts w:ascii="Arial" w:cs="Arial" w:eastAsia="Arial" w:hAnsi="Arial"/>
          <w:sz w:val="17"/>
          <w:szCs w:val="17"/>
          <w:i w:val="1"/>
          <w:iCs w:val="1"/>
          <w:color w:val="auto"/>
        </w:rPr>
        <w:t>Compensation – Stock Compensation.</w:t>
      </w:r>
      <w:r>
        <w:rPr>
          <w:rFonts w:ascii="Arial" w:cs="Arial" w:eastAsia="Arial" w:hAnsi="Arial"/>
          <w:sz w:val="17"/>
          <w:szCs w:val="17"/>
          <w:color w:val="auto"/>
        </w:rPr>
        <w:t xml:space="preserve"> Equity-based compensation is recognized on a straight-line basis over the requisite service period of the award, which is generally the vesting period of the respective award, based on their grant-date fair value. For the units which have a performance condition, the Company recognizes compensation expense based on its assessment of the probability that the performance condition(s) will be achieved. The related compensation expense is recognized when the probability of the event is likely and performance criteria are met. Forfeitures are recognized as they occur.</w:t>
      </w:r>
    </w:p>
    <w:p>
      <w:pPr>
        <w:spacing w:after="0" w:line="176" w:lineRule="exact"/>
        <w:rPr>
          <w:sz w:val="20"/>
          <w:szCs w:val="20"/>
          <w:color w:val="auto"/>
        </w:rPr>
      </w:pPr>
    </w:p>
    <w:p>
      <w:pPr>
        <w:ind w:left="120" w:right="440" w:firstLine="440"/>
        <w:spacing w:after="0" w:line="277" w:lineRule="auto"/>
        <w:rPr>
          <w:sz w:val="20"/>
          <w:szCs w:val="20"/>
          <w:color w:val="auto"/>
        </w:rPr>
      </w:pPr>
      <w:r>
        <w:rPr>
          <w:rFonts w:ascii="Arial" w:cs="Arial" w:eastAsia="Arial" w:hAnsi="Arial"/>
          <w:sz w:val="18"/>
          <w:szCs w:val="18"/>
          <w:color w:val="auto"/>
        </w:rPr>
        <w:t>The Company classifies equity-based compensation expense in its consolidated statements of (loss) income in the same manner in which the award recipient’s salary and related costs are classified.</w:t>
      </w:r>
    </w:p>
    <w:p>
      <w:pPr>
        <w:spacing w:after="0" w:line="278"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Adoption of Recently Issued Financial Accounting Standards</w:t>
      </w:r>
    </w:p>
    <w:p>
      <w:pPr>
        <w:spacing w:after="0" w:line="117" w:lineRule="exact"/>
        <w:rPr>
          <w:sz w:val="20"/>
          <w:szCs w:val="20"/>
          <w:color w:val="auto"/>
        </w:rPr>
      </w:pPr>
    </w:p>
    <w:p>
      <w:pPr>
        <w:ind w:left="120" w:right="40" w:firstLine="440"/>
        <w:spacing w:after="0" w:line="293" w:lineRule="auto"/>
        <w:rPr>
          <w:sz w:val="20"/>
          <w:szCs w:val="20"/>
          <w:color w:val="auto"/>
        </w:rPr>
      </w:pPr>
      <w:r>
        <w:rPr>
          <w:rFonts w:ascii="Arial" w:cs="Arial" w:eastAsia="Arial" w:hAnsi="Arial"/>
          <w:sz w:val="16"/>
          <w:szCs w:val="16"/>
          <w:color w:val="auto"/>
        </w:rPr>
        <w:t>In May 2014, the FASB issued ASC 606—</w:t>
      </w:r>
      <w:r>
        <w:rPr>
          <w:rFonts w:ascii="Arial" w:cs="Arial" w:eastAsia="Arial" w:hAnsi="Arial"/>
          <w:sz w:val="16"/>
          <w:szCs w:val="16"/>
          <w:i w:val="1"/>
          <w:iCs w:val="1"/>
          <w:color w:val="auto"/>
        </w:rPr>
        <w:t>Revenue from Contracts with Customers</w:t>
      </w:r>
      <w:r>
        <w:rPr>
          <w:rFonts w:ascii="Arial" w:cs="Arial" w:eastAsia="Arial" w:hAnsi="Arial"/>
          <w:sz w:val="16"/>
          <w:szCs w:val="16"/>
          <w:color w:val="auto"/>
        </w:rPr>
        <w:t xml:space="preserve"> (“ASC 606”), which amended the accounting standards for revenue recognition and expanded the Company’s disclosure requirements. The core principle of the guidance is that an entity should recognize revenue to depict the transfer of promised goods or services to customers in an amount that reflects the consideration to which the entity expects to be entitled in exchange for those goods or services. ASC 606 also includes Subtopic 340-40, </w:t>
      </w:r>
      <w:r>
        <w:rPr>
          <w:rFonts w:ascii="Arial" w:cs="Arial" w:eastAsia="Arial" w:hAnsi="Arial"/>
          <w:sz w:val="16"/>
          <w:szCs w:val="16"/>
          <w:i w:val="1"/>
          <w:iCs w:val="1"/>
          <w:color w:val="auto"/>
        </w:rPr>
        <w:t>Other Assets and Deferred Costs – Contracts with Customers</w:t>
      </w:r>
      <w:r>
        <w:rPr>
          <w:rFonts w:ascii="Arial" w:cs="Arial" w:eastAsia="Arial" w:hAnsi="Arial"/>
          <w:sz w:val="16"/>
          <w:szCs w:val="16"/>
          <w:color w:val="auto"/>
        </w:rPr>
        <w:t>, which requires the deferral of incremental costs of obtaining a contract with a customer. This standard also requires additional disclosure about the nature, amount, timing and uncertainty of revenue and cash flows arising from customer contracts, including significant judgments and changes in judgments.</w:t>
      </w:r>
    </w:p>
    <w:p>
      <w:pPr>
        <w:spacing w:after="0" w:line="164" w:lineRule="exact"/>
        <w:rPr>
          <w:sz w:val="20"/>
          <w:szCs w:val="20"/>
          <w:color w:val="auto"/>
        </w:rPr>
      </w:pPr>
    </w:p>
    <w:p>
      <w:pPr>
        <w:ind w:left="120" w:right="40" w:firstLine="440"/>
        <w:spacing w:after="0" w:line="342" w:lineRule="auto"/>
        <w:rPr>
          <w:sz w:val="20"/>
          <w:szCs w:val="20"/>
          <w:color w:val="auto"/>
        </w:rPr>
      </w:pPr>
      <w:r>
        <w:rPr>
          <w:rFonts w:ascii="Arial" w:cs="Arial" w:eastAsia="Arial" w:hAnsi="Arial"/>
          <w:sz w:val="16"/>
          <w:szCs w:val="16"/>
          <w:color w:val="auto"/>
        </w:rPr>
        <w:t>The Company adopted ASC 606 effective January 1, 2019 under the modified retrospective method, which resulted in an adjustment at January 1, 2019 of $5.4 million to members’ capital for the cumulative effect of applying the standard to all contracts not completed as of the adoption date.</w:t>
      </w:r>
    </w:p>
    <w:p>
      <w:pPr>
        <w:spacing w:after="0" w:line="124" w:lineRule="exact"/>
        <w:rPr>
          <w:sz w:val="20"/>
          <w:szCs w:val="20"/>
          <w:color w:val="auto"/>
        </w:rPr>
      </w:pPr>
    </w:p>
    <w:p>
      <w:pPr>
        <w:ind w:left="120" w:right="20" w:firstLine="440"/>
        <w:spacing w:after="0" w:line="257" w:lineRule="auto"/>
        <w:rPr>
          <w:sz w:val="20"/>
          <w:szCs w:val="20"/>
          <w:color w:val="auto"/>
        </w:rPr>
      </w:pPr>
      <w:r>
        <w:rPr>
          <w:rFonts w:ascii="Arial" w:cs="Arial" w:eastAsia="Arial" w:hAnsi="Arial"/>
          <w:sz w:val="18"/>
          <w:szCs w:val="18"/>
          <w:color w:val="auto"/>
        </w:rPr>
        <w:t>The adjustment primarily related to deferred contract costs, including incremental employee sales commissions and other employee compensation arrangements, and adjustments to deferred and unbilled revenues of $4.3 million and $1.1 million, respectively. The cost of all incremental commissions and other employee compensation arrangements are deferred and amortized on a straight-line basis over the expected period of benefit, generally between two and four years. The deferred and unbilled revenues were adjusted upon adoption to better align the recognition of revenues with the timing of transfer of control to the customer.</w:t>
      </w:r>
    </w:p>
    <w:p>
      <w:pPr>
        <w:spacing w:after="0" w:line="120"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F-21</w:t>
      </w:r>
    </w:p>
    <w:p>
      <w:pPr>
        <w:sectPr>
          <w:pgSz w:w="11900" w:h="16838" w:orient="portrait"/>
          <w:cols w:equalWidth="0" w:num="1">
            <w:col w:w="11120"/>
          </w:cols>
          <w:pgMar w:left="320" w:top="459" w:right="459" w:bottom="1440" w:gutter="0" w:footer="0" w:header="0"/>
        </w:sectPr>
      </w:pPr>
    </w:p>
    <w:bookmarkStart w:id="227" w:name="page228"/>
    <w:bookmarkEnd w:id="2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2">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Confidential Treatment Requested by Definitive Healthcare Corp.</w:t>
      </w:r>
    </w:p>
    <w:p>
      <w:pPr>
        <w:spacing w:after="0" w:line="27"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Pursuant to 17 C.F.R. Section 200.83</w:t>
      </w:r>
    </w:p>
    <w:p>
      <w:pPr>
        <w:spacing w:after="0" w:line="143"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cumulative effect of applying the new guidance was recorded as an adjustment to members’ capital as of the adoption date.</w:t>
      </w:r>
    </w:p>
    <w:p>
      <w:pPr>
        <w:spacing w:after="0" w:line="225" w:lineRule="exact"/>
        <w:rPr>
          <w:sz w:val="20"/>
          <w:szCs w:val="20"/>
          <w:color w:val="auto"/>
        </w:rPr>
      </w:pPr>
    </w:p>
    <w:p>
      <w:pPr>
        <w:ind w:left="120" w:right="640" w:firstLine="440"/>
        <w:spacing w:after="0" w:line="277" w:lineRule="auto"/>
        <w:rPr>
          <w:sz w:val="20"/>
          <w:szCs w:val="20"/>
          <w:color w:val="auto"/>
        </w:rPr>
      </w:pPr>
      <w:r>
        <w:rPr>
          <w:rFonts w:ascii="Arial" w:cs="Arial" w:eastAsia="Arial" w:hAnsi="Arial"/>
          <w:sz w:val="18"/>
          <w:szCs w:val="18"/>
          <w:color w:val="auto"/>
        </w:rPr>
        <w:t>As a result of applying the modified retrospective method to adopt the new revenue guidance, the following adjustments were made to the consolidated balance sheet as of January 1, 2019.</w:t>
      </w:r>
    </w:p>
    <w:p>
      <w:pPr>
        <w:spacing w:after="0" w:line="180"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66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700" w:type="dxa"/>
            <w:vAlign w:val="bottom"/>
            <w:gridSpan w:val="2"/>
          </w:tcPr>
          <w:p>
            <w:pPr>
              <w:ind w:left="80"/>
              <w:spacing w:after="0"/>
              <w:rPr>
                <w:sz w:val="20"/>
                <w:szCs w:val="20"/>
                <w:color w:val="auto"/>
              </w:rPr>
            </w:pPr>
            <w:r>
              <w:rPr>
                <w:rFonts w:ascii="Arial" w:cs="Arial" w:eastAsia="Arial" w:hAnsi="Arial"/>
                <w:sz w:val="14"/>
                <w:szCs w:val="14"/>
                <w:color w:val="auto"/>
              </w:rPr>
              <w:t>As reported</w:t>
            </w:r>
          </w:p>
        </w:tc>
        <w:tc>
          <w:tcPr>
            <w:tcW w:w="100" w:type="dxa"/>
            <w:vAlign w:val="bottom"/>
          </w:tcPr>
          <w:p>
            <w:pPr>
              <w:spacing w:after="0"/>
              <w:rPr>
                <w:sz w:val="14"/>
                <w:szCs w:val="14"/>
                <w:color w:val="auto"/>
              </w:rPr>
            </w:pPr>
          </w:p>
        </w:tc>
        <w:tc>
          <w:tcPr>
            <w:tcW w:w="1420" w:type="dxa"/>
            <w:vAlign w:val="bottom"/>
            <w:gridSpan w:val="2"/>
          </w:tcPr>
          <w:p>
            <w:pPr>
              <w:jc w:val="right"/>
              <w:ind w:right="880"/>
              <w:spacing w:after="0"/>
              <w:rPr>
                <w:sz w:val="20"/>
                <w:szCs w:val="20"/>
                <w:color w:val="auto"/>
              </w:rPr>
            </w:pPr>
            <w:r>
              <w:rPr>
                <w:rFonts w:ascii="Arial" w:cs="Arial" w:eastAsia="Arial" w:hAnsi="Arial"/>
                <w:sz w:val="14"/>
                <w:szCs w:val="14"/>
                <w:color w:val="auto"/>
                <w:w w:val="92"/>
              </w:rPr>
              <w:t>ASC 606</w:t>
            </w:r>
          </w:p>
        </w:tc>
        <w:tc>
          <w:tcPr>
            <w:tcW w:w="100" w:type="dxa"/>
            <w:vAlign w:val="bottom"/>
          </w:tcPr>
          <w:p>
            <w:pPr>
              <w:spacing w:after="0"/>
              <w:rPr>
                <w:sz w:val="14"/>
                <w:szCs w:val="14"/>
                <w:color w:val="auto"/>
              </w:rPr>
            </w:pPr>
          </w:p>
        </w:tc>
        <w:tc>
          <w:tcPr>
            <w:tcW w:w="880" w:type="dxa"/>
            <w:vAlign w:val="bottom"/>
            <w:gridSpan w:val="2"/>
          </w:tcPr>
          <w:p>
            <w:pPr>
              <w:spacing w:after="0"/>
              <w:rPr>
                <w:sz w:val="20"/>
                <w:szCs w:val="20"/>
                <w:color w:val="auto"/>
              </w:rPr>
            </w:pPr>
            <w:r>
              <w:rPr>
                <w:rFonts w:ascii="Arial" w:cs="Arial" w:eastAsia="Arial" w:hAnsi="Arial"/>
                <w:sz w:val="14"/>
                <w:szCs w:val="14"/>
                <w:color w:val="auto"/>
              </w:rPr>
              <w:t>As Adjusted</w:t>
            </w:r>
          </w:p>
        </w:tc>
      </w:tr>
      <w:tr>
        <w:trPr>
          <w:trHeight w:val="167"/>
        </w:trPr>
        <w:tc>
          <w:tcPr>
            <w:tcW w:w="6660" w:type="dxa"/>
            <w:vAlign w:val="bottom"/>
          </w:tcPr>
          <w:p>
            <w:pPr>
              <w:spacing w:after="0"/>
              <w:rPr>
                <w:sz w:val="14"/>
                <w:szCs w:val="14"/>
                <w:color w:val="auto"/>
              </w:rPr>
            </w:pPr>
          </w:p>
        </w:tc>
        <w:tc>
          <w:tcPr>
            <w:tcW w:w="1860" w:type="dxa"/>
            <w:vAlign w:val="bottom"/>
            <w:gridSpan w:val="3"/>
          </w:tcPr>
          <w:p>
            <w:pPr>
              <w:spacing w:after="0"/>
              <w:rPr>
                <w:sz w:val="20"/>
                <w:szCs w:val="20"/>
                <w:color w:val="auto"/>
              </w:rPr>
            </w:pPr>
            <w:r>
              <w:rPr>
                <w:rFonts w:ascii="Arial" w:cs="Arial" w:eastAsia="Arial" w:hAnsi="Arial"/>
                <w:sz w:val="14"/>
                <w:szCs w:val="14"/>
                <w:color w:val="auto"/>
              </w:rPr>
              <w:t>December 31, 2018</w:t>
            </w:r>
          </w:p>
        </w:tc>
        <w:tc>
          <w:tcPr>
            <w:tcW w:w="1520" w:type="dxa"/>
            <w:vAlign w:val="bottom"/>
            <w:gridSpan w:val="3"/>
          </w:tcPr>
          <w:p>
            <w:pPr>
              <w:spacing w:after="0"/>
              <w:rPr>
                <w:sz w:val="20"/>
                <w:szCs w:val="20"/>
                <w:color w:val="auto"/>
              </w:rPr>
            </w:pPr>
            <w:r>
              <w:rPr>
                <w:rFonts w:ascii="Arial" w:cs="Arial" w:eastAsia="Arial" w:hAnsi="Arial"/>
                <w:sz w:val="14"/>
                <w:szCs w:val="14"/>
                <w:color w:val="auto"/>
              </w:rPr>
              <w:t>Adjustments</w:t>
            </w:r>
          </w:p>
        </w:tc>
        <w:tc>
          <w:tcPr>
            <w:tcW w:w="980" w:type="dxa"/>
            <w:vAlign w:val="bottom"/>
            <w:gridSpan w:val="3"/>
          </w:tcPr>
          <w:p>
            <w:pPr>
              <w:spacing w:after="0"/>
              <w:rPr>
                <w:sz w:val="20"/>
                <w:szCs w:val="20"/>
                <w:color w:val="auto"/>
              </w:rPr>
            </w:pPr>
            <w:r>
              <w:rPr>
                <w:rFonts w:ascii="Arial" w:cs="Arial" w:eastAsia="Arial" w:hAnsi="Arial"/>
                <w:sz w:val="14"/>
                <w:szCs w:val="14"/>
                <w:color w:val="auto"/>
                <w:w w:val="95"/>
              </w:rPr>
              <w:t>January 1, 2019</w:t>
            </w:r>
          </w:p>
        </w:tc>
      </w:tr>
      <w:tr>
        <w:trPr>
          <w:trHeight w:val="196"/>
        </w:trPr>
        <w:tc>
          <w:tcPr>
            <w:tcW w:w="666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Consolidated Balance Sheet:</w:t>
            </w:r>
          </w:p>
        </w:tc>
        <w:tc>
          <w:tcPr>
            <w:tcW w:w="160" w:type="dxa"/>
            <w:vAlign w:val="bottom"/>
            <w:tcBorders>
              <w:top w:val="single" w:sz="8" w:color="auto"/>
            </w:tcBorders>
            <w:shd w:val="clear" w:color="auto" w:fill="CCEEFF"/>
          </w:tcPr>
          <w:p>
            <w:pPr>
              <w:spacing w:after="0"/>
              <w:rPr>
                <w:sz w:val="17"/>
                <w:szCs w:val="17"/>
                <w:color w:val="auto"/>
              </w:rPr>
            </w:pPr>
          </w:p>
        </w:tc>
        <w:tc>
          <w:tcPr>
            <w:tcW w:w="980" w:type="dxa"/>
            <w:vAlign w:val="bottom"/>
            <w:tcBorders>
              <w:top w:val="single" w:sz="8" w:color="auto"/>
            </w:tcBorders>
            <w:shd w:val="clear" w:color="auto" w:fill="CCEEFF"/>
          </w:tcPr>
          <w:p>
            <w:pPr>
              <w:spacing w:after="0"/>
              <w:rPr>
                <w:sz w:val="17"/>
                <w:szCs w:val="17"/>
                <w:color w:val="auto"/>
              </w:rPr>
            </w:pPr>
          </w:p>
        </w:tc>
        <w:tc>
          <w:tcPr>
            <w:tcW w:w="7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640" w:type="dxa"/>
            <w:vAlign w:val="bottom"/>
            <w:tcBorders>
              <w:top w:val="single" w:sz="8" w:color="auto"/>
            </w:tcBorders>
            <w:shd w:val="clear" w:color="auto" w:fill="CCEEFF"/>
          </w:tcPr>
          <w:p>
            <w:pPr>
              <w:spacing w:after="0"/>
              <w:rPr>
                <w:sz w:val="17"/>
                <w:szCs w:val="17"/>
                <w:color w:val="auto"/>
              </w:rPr>
            </w:pPr>
          </w:p>
        </w:tc>
        <w:tc>
          <w:tcPr>
            <w:tcW w:w="7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r>
      <w:tr>
        <w:trPr>
          <w:trHeight w:val="216"/>
        </w:trPr>
        <w:tc>
          <w:tcPr>
            <w:tcW w:w="6660" w:type="dxa"/>
            <w:vAlign w:val="bottom"/>
          </w:tcPr>
          <w:p>
            <w:pPr>
              <w:spacing w:after="0"/>
              <w:rPr>
                <w:sz w:val="20"/>
                <w:szCs w:val="20"/>
                <w:color w:val="auto"/>
              </w:rPr>
            </w:pPr>
            <w:r>
              <w:rPr>
                <w:rFonts w:ascii="Arial" w:cs="Arial" w:eastAsia="Arial" w:hAnsi="Arial"/>
                <w:sz w:val="18"/>
                <w:szCs w:val="18"/>
                <w:color w:val="auto"/>
              </w:rPr>
              <w:t>Accounts receivable, net</w:t>
            </w: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1700" w:type="dxa"/>
            <w:vAlign w:val="bottom"/>
            <w:gridSpan w:val="2"/>
          </w:tcPr>
          <w:p>
            <w:pPr>
              <w:jc w:val="right"/>
              <w:ind w:right="720"/>
              <w:spacing w:after="0"/>
              <w:rPr>
                <w:sz w:val="20"/>
                <w:szCs w:val="20"/>
                <w:color w:val="auto"/>
              </w:rPr>
            </w:pPr>
            <w:r>
              <w:rPr>
                <w:rFonts w:ascii="Arial" w:cs="Arial" w:eastAsia="Arial" w:hAnsi="Arial"/>
                <w:sz w:val="18"/>
                <w:szCs w:val="18"/>
                <w:color w:val="auto"/>
              </w:rPr>
              <w:t>14,932</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1420" w:type="dxa"/>
            <w:vAlign w:val="bottom"/>
            <w:gridSpan w:val="2"/>
          </w:tcPr>
          <w:p>
            <w:pPr>
              <w:jc w:val="right"/>
              <w:ind w:right="780"/>
              <w:spacing w:after="0"/>
              <w:rPr>
                <w:sz w:val="20"/>
                <w:szCs w:val="20"/>
                <w:color w:val="auto"/>
              </w:rPr>
            </w:pPr>
            <w:r>
              <w:rPr>
                <w:rFonts w:ascii="Arial" w:cs="Arial" w:eastAsia="Arial" w:hAnsi="Arial"/>
                <w:sz w:val="18"/>
                <w:szCs w:val="18"/>
                <w:color w:val="auto"/>
              </w:rPr>
              <w:t>367</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880" w:type="dxa"/>
            <w:vAlign w:val="bottom"/>
            <w:gridSpan w:val="2"/>
          </w:tcPr>
          <w:p>
            <w:pPr>
              <w:jc w:val="right"/>
              <w:ind w:right="60"/>
              <w:spacing w:after="0"/>
              <w:rPr>
                <w:sz w:val="20"/>
                <w:szCs w:val="20"/>
                <w:color w:val="auto"/>
              </w:rPr>
            </w:pPr>
            <w:r>
              <w:rPr>
                <w:rFonts w:ascii="Arial" w:cs="Arial" w:eastAsia="Arial" w:hAnsi="Arial"/>
                <w:sz w:val="18"/>
                <w:szCs w:val="18"/>
                <w:color w:val="auto"/>
              </w:rPr>
              <w:t>15,299</w:t>
            </w:r>
          </w:p>
        </w:tc>
      </w:tr>
      <w:tr>
        <w:trPr>
          <w:trHeight w:val="216"/>
        </w:trPr>
        <w:tc>
          <w:tcPr>
            <w:tcW w:w="6660" w:type="dxa"/>
            <w:vAlign w:val="bottom"/>
            <w:shd w:val="clear" w:color="auto" w:fill="CCEEFF"/>
          </w:tcPr>
          <w:p>
            <w:pPr>
              <w:spacing w:after="0"/>
              <w:rPr>
                <w:sz w:val="20"/>
                <w:szCs w:val="20"/>
                <w:color w:val="auto"/>
              </w:rPr>
            </w:pPr>
            <w:r>
              <w:rPr>
                <w:rFonts w:ascii="Arial" w:cs="Arial" w:eastAsia="Arial" w:hAnsi="Arial"/>
                <w:sz w:val="18"/>
                <w:szCs w:val="18"/>
                <w:color w:val="auto"/>
              </w:rPr>
              <w:t>Current portion of deferred contract costs</w:t>
            </w:r>
          </w:p>
        </w:tc>
        <w:tc>
          <w:tcPr>
            <w:tcW w:w="160" w:type="dxa"/>
            <w:vAlign w:val="bottom"/>
            <w:shd w:val="clear" w:color="auto" w:fill="CCEEFF"/>
          </w:tcPr>
          <w:p>
            <w:pPr>
              <w:spacing w:after="0"/>
              <w:rPr>
                <w:sz w:val="18"/>
                <w:szCs w:val="18"/>
                <w:color w:val="auto"/>
              </w:rPr>
            </w:pPr>
          </w:p>
        </w:tc>
        <w:tc>
          <w:tcPr>
            <w:tcW w:w="1700" w:type="dxa"/>
            <w:vAlign w:val="bottom"/>
            <w:gridSpan w:val="2"/>
            <w:shd w:val="clear" w:color="auto" w:fill="CCEEFF"/>
          </w:tcPr>
          <w:p>
            <w:pPr>
              <w:ind w:left="7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780"/>
              <w:spacing w:after="0"/>
              <w:rPr>
                <w:sz w:val="20"/>
                <w:szCs w:val="20"/>
                <w:color w:val="auto"/>
              </w:rPr>
            </w:pPr>
            <w:r>
              <w:rPr>
                <w:rFonts w:ascii="Arial" w:cs="Arial" w:eastAsia="Arial" w:hAnsi="Arial"/>
                <w:sz w:val="18"/>
                <w:szCs w:val="18"/>
                <w:color w:val="auto"/>
              </w:rPr>
              <w:t>1,346</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1,346</w:t>
            </w:r>
          </w:p>
        </w:tc>
      </w:tr>
      <w:tr>
        <w:trPr>
          <w:trHeight w:val="216"/>
        </w:trPr>
        <w:tc>
          <w:tcPr>
            <w:tcW w:w="6660" w:type="dxa"/>
            <w:vAlign w:val="bottom"/>
          </w:tcPr>
          <w:p>
            <w:pPr>
              <w:spacing w:after="0"/>
              <w:rPr>
                <w:sz w:val="20"/>
                <w:szCs w:val="20"/>
                <w:color w:val="auto"/>
              </w:rPr>
            </w:pPr>
            <w:r>
              <w:rPr>
                <w:rFonts w:ascii="Arial" w:cs="Arial" w:eastAsia="Arial" w:hAnsi="Arial"/>
                <w:sz w:val="18"/>
                <w:szCs w:val="18"/>
                <w:color w:val="auto"/>
              </w:rPr>
              <w:t>Total current assets</w:t>
            </w:r>
          </w:p>
        </w:tc>
        <w:tc>
          <w:tcPr>
            <w:tcW w:w="160" w:type="dxa"/>
            <w:vAlign w:val="bottom"/>
          </w:tcPr>
          <w:p>
            <w:pPr>
              <w:spacing w:after="0"/>
              <w:rPr>
                <w:sz w:val="18"/>
                <w:szCs w:val="18"/>
                <w:color w:val="auto"/>
              </w:rPr>
            </w:pPr>
          </w:p>
        </w:tc>
        <w:tc>
          <w:tcPr>
            <w:tcW w:w="1700" w:type="dxa"/>
            <w:vAlign w:val="bottom"/>
            <w:gridSpan w:val="2"/>
          </w:tcPr>
          <w:p>
            <w:pPr>
              <w:jc w:val="right"/>
              <w:ind w:right="720"/>
              <w:spacing w:after="0"/>
              <w:rPr>
                <w:sz w:val="20"/>
                <w:szCs w:val="20"/>
                <w:color w:val="auto"/>
              </w:rPr>
            </w:pPr>
            <w:r>
              <w:rPr>
                <w:rFonts w:ascii="Arial" w:cs="Arial" w:eastAsia="Arial" w:hAnsi="Arial"/>
                <w:sz w:val="18"/>
                <w:szCs w:val="18"/>
                <w:color w:val="auto"/>
              </w:rPr>
              <w:t>35,176</w:t>
            </w:r>
          </w:p>
        </w:tc>
        <w:tc>
          <w:tcPr>
            <w:tcW w:w="100" w:type="dxa"/>
            <w:vAlign w:val="bottom"/>
          </w:tcPr>
          <w:p>
            <w:pPr>
              <w:spacing w:after="0"/>
              <w:rPr>
                <w:sz w:val="18"/>
                <w:szCs w:val="18"/>
                <w:color w:val="auto"/>
              </w:rPr>
            </w:pPr>
          </w:p>
        </w:tc>
        <w:tc>
          <w:tcPr>
            <w:tcW w:w="1420" w:type="dxa"/>
            <w:vAlign w:val="bottom"/>
            <w:gridSpan w:val="2"/>
          </w:tcPr>
          <w:p>
            <w:pPr>
              <w:jc w:val="right"/>
              <w:ind w:right="780"/>
              <w:spacing w:after="0"/>
              <w:rPr>
                <w:sz w:val="20"/>
                <w:szCs w:val="20"/>
                <w:color w:val="auto"/>
              </w:rPr>
            </w:pPr>
            <w:r>
              <w:rPr>
                <w:rFonts w:ascii="Arial" w:cs="Arial" w:eastAsia="Arial" w:hAnsi="Arial"/>
                <w:sz w:val="18"/>
                <w:szCs w:val="18"/>
                <w:color w:val="auto"/>
              </w:rPr>
              <w:t>1,713</w:t>
            </w:r>
          </w:p>
        </w:tc>
        <w:tc>
          <w:tcPr>
            <w:tcW w:w="100" w:type="dxa"/>
            <w:vAlign w:val="bottom"/>
          </w:tcPr>
          <w:p>
            <w:pPr>
              <w:spacing w:after="0"/>
              <w:rPr>
                <w:sz w:val="18"/>
                <w:szCs w:val="18"/>
                <w:color w:val="auto"/>
              </w:rPr>
            </w:pPr>
          </w:p>
        </w:tc>
        <w:tc>
          <w:tcPr>
            <w:tcW w:w="880" w:type="dxa"/>
            <w:vAlign w:val="bottom"/>
            <w:gridSpan w:val="2"/>
          </w:tcPr>
          <w:p>
            <w:pPr>
              <w:jc w:val="right"/>
              <w:ind w:right="60"/>
              <w:spacing w:after="0"/>
              <w:rPr>
                <w:sz w:val="20"/>
                <w:szCs w:val="20"/>
                <w:color w:val="auto"/>
              </w:rPr>
            </w:pPr>
            <w:r>
              <w:rPr>
                <w:rFonts w:ascii="Arial" w:cs="Arial" w:eastAsia="Arial" w:hAnsi="Arial"/>
                <w:sz w:val="18"/>
                <w:szCs w:val="18"/>
                <w:color w:val="auto"/>
              </w:rPr>
              <w:t>36,889</w:t>
            </w:r>
          </w:p>
        </w:tc>
      </w:tr>
      <w:tr>
        <w:trPr>
          <w:trHeight w:val="216"/>
        </w:trPr>
        <w:tc>
          <w:tcPr>
            <w:tcW w:w="6660" w:type="dxa"/>
            <w:vAlign w:val="bottom"/>
            <w:shd w:val="clear" w:color="auto" w:fill="CCEEFF"/>
          </w:tcPr>
          <w:p>
            <w:pPr>
              <w:spacing w:after="0"/>
              <w:rPr>
                <w:sz w:val="20"/>
                <w:szCs w:val="20"/>
                <w:color w:val="auto"/>
              </w:rPr>
            </w:pPr>
            <w:r>
              <w:rPr>
                <w:rFonts w:ascii="Arial" w:cs="Arial" w:eastAsia="Arial" w:hAnsi="Arial"/>
                <w:sz w:val="18"/>
                <w:szCs w:val="18"/>
                <w:color w:val="auto"/>
              </w:rPr>
              <w:t>Deferred contract costs, net of current portion</w:t>
            </w:r>
          </w:p>
        </w:tc>
        <w:tc>
          <w:tcPr>
            <w:tcW w:w="160" w:type="dxa"/>
            <w:vAlign w:val="bottom"/>
            <w:shd w:val="clear" w:color="auto" w:fill="CCEEFF"/>
          </w:tcPr>
          <w:p>
            <w:pPr>
              <w:spacing w:after="0"/>
              <w:rPr>
                <w:sz w:val="18"/>
                <w:szCs w:val="18"/>
                <w:color w:val="auto"/>
              </w:rPr>
            </w:pPr>
          </w:p>
        </w:tc>
        <w:tc>
          <w:tcPr>
            <w:tcW w:w="1700" w:type="dxa"/>
            <w:vAlign w:val="bottom"/>
            <w:gridSpan w:val="2"/>
            <w:shd w:val="clear" w:color="auto" w:fill="CCEEFF"/>
          </w:tcPr>
          <w:p>
            <w:pPr>
              <w:ind w:left="7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780"/>
              <w:spacing w:after="0"/>
              <w:rPr>
                <w:sz w:val="20"/>
                <w:szCs w:val="20"/>
                <w:color w:val="auto"/>
              </w:rPr>
            </w:pPr>
            <w:r>
              <w:rPr>
                <w:rFonts w:ascii="Arial" w:cs="Arial" w:eastAsia="Arial" w:hAnsi="Arial"/>
                <w:sz w:val="18"/>
                <w:szCs w:val="18"/>
                <w:color w:val="auto"/>
              </w:rPr>
              <w:t>2,973</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2,973</w:t>
            </w:r>
          </w:p>
        </w:tc>
      </w:tr>
      <w:tr>
        <w:trPr>
          <w:trHeight w:val="223"/>
        </w:trPr>
        <w:tc>
          <w:tcPr>
            <w:tcW w:w="6660" w:type="dxa"/>
            <w:vAlign w:val="bottom"/>
          </w:tcPr>
          <w:p>
            <w:pPr>
              <w:ind w:left="360"/>
              <w:spacing w:after="0"/>
              <w:rPr>
                <w:sz w:val="20"/>
                <w:szCs w:val="20"/>
                <w:color w:val="auto"/>
              </w:rPr>
            </w:pPr>
            <w:r>
              <w:rPr>
                <w:rFonts w:ascii="Arial" w:cs="Arial" w:eastAsia="Arial" w:hAnsi="Arial"/>
                <w:sz w:val="18"/>
                <w:szCs w:val="18"/>
                <w:color w:val="auto"/>
              </w:rPr>
              <w:t>Total assets</w:t>
            </w:r>
          </w:p>
        </w:tc>
        <w:tc>
          <w:tcPr>
            <w:tcW w:w="16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w:t>
            </w: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87,061</w:t>
            </w:r>
          </w:p>
        </w:tc>
        <w:tc>
          <w:tcPr>
            <w:tcW w:w="720" w:type="dxa"/>
            <w:vAlign w:val="bottom"/>
          </w:tcPr>
          <w:p>
            <w:pPr>
              <w:spacing w:after="0"/>
              <w:rPr>
                <w:sz w:val="19"/>
                <w:szCs w:val="19"/>
                <w:color w:val="auto"/>
              </w:rPr>
            </w:pPr>
          </w:p>
        </w:tc>
        <w:tc>
          <w:tcPr>
            <w:tcW w:w="100" w:type="dxa"/>
            <w:vAlign w:val="bottom"/>
            <w:tcBorders>
              <w:top w:val="single" w:sz="8" w:color="auto"/>
            </w:tcBorders>
          </w:tcPr>
          <w:p>
            <w:pPr>
              <w:spacing w:after="0"/>
              <w:rPr>
                <w:sz w:val="20"/>
                <w:szCs w:val="20"/>
                <w:color w:val="auto"/>
              </w:rPr>
            </w:pPr>
            <w:r>
              <w:rPr>
                <w:rFonts w:ascii="Arial" w:cs="Arial" w:eastAsia="Arial" w:hAnsi="Arial"/>
                <w:sz w:val="18"/>
                <w:szCs w:val="18"/>
                <w:color w:val="auto"/>
                <w:w w:val="79"/>
              </w:rPr>
              <w:t>$</w:t>
            </w: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4,686</w:t>
            </w:r>
          </w:p>
        </w:tc>
        <w:tc>
          <w:tcPr>
            <w:tcW w:w="780" w:type="dxa"/>
            <w:vAlign w:val="bottom"/>
          </w:tcPr>
          <w:p>
            <w:pPr>
              <w:spacing w:after="0"/>
              <w:rPr>
                <w:sz w:val="19"/>
                <w:szCs w:val="19"/>
                <w:color w:val="auto"/>
              </w:rPr>
            </w:pPr>
          </w:p>
        </w:tc>
        <w:tc>
          <w:tcPr>
            <w:tcW w:w="100" w:type="dxa"/>
            <w:vAlign w:val="bottom"/>
            <w:tcBorders>
              <w:top w:val="single" w:sz="8" w:color="auto"/>
            </w:tcBorders>
          </w:tcPr>
          <w:p>
            <w:pPr>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91,747</w:t>
            </w:r>
          </w:p>
        </w:tc>
        <w:tc>
          <w:tcPr>
            <w:tcW w:w="60" w:type="dxa"/>
            <w:vAlign w:val="bottom"/>
          </w:tcPr>
          <w:p>
            <w:pPr>
              <w:spacing w:after="0"/>
              <w:rPr>
                <w:sz w:val="19"/>
                <w:szCs w:val="19"/>
                <w:color w:val="auto"/>
              </w:rPr>
            </w:pPr>
          </w:p>
        </w:tc>
      </w:tr>
      <w:tr>
        <w:trPr>
          <w:trHeight w:val="216"/>
        </w:trPr>
        <w:tc>
          <w:tcPr>
            <w:tcW w:w="6660" w:type="dxa"/>
            <w:vAlign w:val="bottom"/>
            <w:shd w:val="clear" w:color="auto" w:fill="CCEEFF"/>
          </w:tcPr>
          <w:p>
            <w:pPr>
              <w:spacing w:after="0"/>
              <w:rPr>
                <w:sz w:val="20"/>
                <w:szCs w:val="20"/>
                <w:color w:val="auto"/>
              </w:rPr>
            </w:pPr>
            <w:r>
              <w:rPr>
                <w:rFonts w:ascii="Arial" w:cs="Arial" w:eastAsia="Arial" w:hAnsi="Arial"/>
                <w:sz w:val="18"/>
                <w:szCs w:val="18"/>
                <w:color w:val="auto"/>
              </w:rPr>
              <w:t>Current portion of deferred revenue</w:t>
            </w:r>
          </w:p>
        </w:tc>
        <w:tc>
          <w:tcPr>
            <w:tcW w:w="160" w:type="dxa"/>
            <w:vAlign w:val="bottom"/>
            <w:shd w:val="clear" w:color="auto" w:fill="CCEEFF"/>
          </w:tcPr>
          <w:p>
            <w:pPr>
              <w:spacing w:after="0"/>
              <w:rPr>
                <w:sz w:val="18"/>
                <w:szCs w:val="18"/>
                <w:color w:val="auto"/>
              </w:rPr>
            </w:pPr>
          </w:p>
        </w:tc>
        <w:tc>
          <w:tcPr>
            <w:tcW w:w="1700" w:type="dxa"/>
            <w:vAlign w:val="bottom"/>
            <w:gridSpan w:val="2"/>
            <w:shd w:val="clear" w:color="auto" w:fill="CCEEFF"/>
          </w:tcPr>
          <w:p>
            <w:pPr>
              <w:jc w:val="right"/>
              <w:ind w:right="720"/>
              <w:spacing w:after="0"/>
              <w:rPr>
                <w:sz w:val="20"/>
                <w:szCs w:val="20"/>
                <w:color w:val="auto"/>
              </w:rPr>
            </w:pPr>
            <w:r>
              <w:rPr>
                <w:rFonts w:ascii="Arial" w:cs="Arial" w:eastAsia="Arial" w:hAnsi="Arial"/>
                <w:sz w:val="18"/>
                <w:szCs w:val="18"/>
                <w:color w:val="auto"/>
              </w:rPr>
              <w:t>32,187</w:t>
            </w:r>
          </w:p>
        </w:tc>
        <w:tc>
          <w:tcPr>
            <w:tcW w:w="10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720"/>
              <w:spacing w:after="0"/>
              <w:rPr>
                <w:sz w:val="20"/>
                <w:szCs w:val="20"/>
                <w:color w:val="auto"/>
              </w:rPr>
            </w:pPr>
            <w:r>
              <w:rPr>
                <w:rFonts w:ascii="Arial" w:cs="Arial" w:eastAsia="Arial" w:hAnsi="Arial"/>
                <w:sz w:val="18"/>
                <w:szCs w:val="18"/>
                <w:color w:val="auto"/>
              </w:rPr>
              <w:t>(729)</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31,458</w:t>
            </w:r>
          </w:p>
        </w:tc>
      </w:tr>
      <w:tr>
        <w:trPr>
          <w:trHeight w:val="216"/>
        </w:trPr>
        <w:tc>
          <w:tcPr>
            <w:tcW w:w="6660" w:type="dxa"/>
            <w:vAlign w:val="bottom"/>
          </w:tcPr>
          <w:p>
            <w:pPr>
              <w:spacing w:after="0"/>
              <w:rPr>
                <w:sz w:val="20"/>
                <w:szCs w:val="20"/>
                <w:color w:val="auto"/>
              </w:rPr>
            </w:pPr>
            <w:r>
              <w:rPr>
                <w:rFonts w:ascii="Arial" w:cs="Arial" w:eastAsia="Arial" w:hAnsi="Arial"/>
                <w:sz w:val="18"/>
                <w:szCs w:val="18"/>
                <w:color w:val="auto"/>
              </w:rPr>
              <w:t>Total current liabilities</w:t>
            </w:r>
          </w:p>
        </w:tc>
        <w:tc>
          <w:tcPr>
            <w:tcW w:w="1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36,676</w:t>
            </w: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20" w:type="dxa"/>
            <w:vAlign w:val="bottom"/>
            <w:gridSpan w:val="2"/>
          </w:tcPr>
          <w:p>
            <w:pPr>
              <w:jc w:val="right"/>
              <w:ind w:right="720"/>
              <w:spacing w:after="0"/>
              <w:rPr>
                <w:sz w:val="20"/>
                <w:szCs w:val="20"/>
                <w:color w:val="auto"/>
              </w:rPr>
            </w:pPr>
            <w:r>
              <w:rPr>
                <w:rFonts w:ascii="Arial" w:cs="Arial" w:eastAsia="Arial" w:hAnsi="Arial"/>
                <w:sz w:val="18"/>
                <w:szCs w:val="18"/>
                <w:color w:val="auto"/>
              </w:rPr>
              <w:t>(729)</w:t>
            </w:r>
          </w:p>
        </w:tc>
        <w:tc>
          <w:tcPr>
            <w:tcW w:w="100" w:type="dxa"/>
            <w:vAlign w:val="bottom"/>
          </w:tcPr>
          <w:p>
            <w:pPr>
              <w:spacing w:after="0"/>
              <w:rPr>
                <w:sz w:val="18"/>
                <w:szCs w:val="18"/>
                <w:color w:val="auto"/>
              </w:rPr>
            </w:pPr>
          </w:p>
        </w:tc>
        <w:tc>
          <w:tcPr>
            <w:tcW w:w="880" w:type="dxa"/>
            <w:vAlign w:val="bottom"/>
            <w:gridSpan w:val="2"/>
          </w:tcPr>
          <w:p>
            <w:pPr>
              <w:jc w:val="right"/>
              <w:ind w:right="60"/>
              <w:spacing w:after="0"/>
              <w:rPr>
                <w:sz w:val="20"/>
                <w:szCs w:val="20"/>
                <w:color w:val="auto"/>
              </w:rPr>
            </w:pPr>
            <w:r>
              <w:rPr>
                <w:rFonts w:ascii="Arial" w:cs="Arial" w:eastAsia="Arial" w:hAnsi="Arial"/>
                <w:sz w:val="18"/>
                <w:szCs w:val="18"/>
                <w:color w:val="auto"/>
              </w:rPr>
              <w:t>35,947</w:t>
            </w:r>
          </w:p>
        </w:tc>
      </w:tr>
      <w:tr>
        <w:trPr>
          <w:trHeight w:val="27"/>
        </w:trPr>
        <w:tc>
          <w:tcPr>
            <w:tcW w:w="666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r>
      <w:tr>
        <w:trPr>
          <w:trHeight w:val="216"/>
        </w:trPr>
        <w:tc>
          <w:tcPr>
            <w:tcW w:w="66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Total liabilities</w:t>
            </w: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36,676</w:t>
            </w: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720"/>
              <w:spacing w:after="0"/>
              <w:rPr>
                <w:sz w:val="20"/>
                <w:szCs w:val="20"/>
                <w:color w:val="auto"/>
              </w:rPr>
            </w:pPr>
            <w:r>
              <w:rPr>
                <w:rFonts w:ascii="Arial" w:cs="Arial" w:eastAsia="Arial" w:hAnsi="Arial"/>
                <w:sz w:val="18"/>
                <w:szCs w:val="18"/>
                <w:color w:val="auto"/>
              </w:rPr>
              <w:t>(729)</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35,947</w:t>
            </w:r>
          </w:p>
        </w:tc>
      </w:tr>
      <w:tr>
        <w:trPr>
          <w:trHeight w:val="223"/>
        </w:trPr>
        <w:tc>
          <w:tcPr>
            <w:tcW w:w="6660" w:type="dxa"/>
            <w:vAlign w:val="bottom"/>
          </w:tcPr>
          <w:p>
            <w:pPr>
              <w:ind w:left="360"/>
              <w:spacing w:after="0"/>
              <w:rPr>
                <w:sz w:val="20"/>
                <w:szCs w:val="20"/>
                <w:color w:val="auto"/>
              </w:rPr>
            </w:pPr>
            <w:r>
              <w:rPr>
                <w:rFonts w:ascii="Arial" w:cs="Arial" w:eastAsia="Arial" w:hAnsi="Arial"/>
                <w:sz w:val="18"/>
                <w:szCs w:val="18"/>
                <w:color w:val="auto"/>
              </w:rPr>
              <w:t>Members’ capital</w:t>
            </w:r>
          </w:p>
        </w:tc>
        <w:tc>
          <w:tcPr>
            <w:tcW w:w="1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50,385</w:t>
            </w:r>
          </w:p>
        </w:tc>
        <w:tc>
          <w:tcPr>
            <w:tcW w:w="7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5,415</w:t>
            </w:r>
          </w:p>
        </w:tc>
        <w:tc>
          <w:tcPr>
            <w:tcW w:w="7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55,800</w:t>
            </w:r>
          </w:p>
        </w:tc>
        <w:tc>
          <w:tcPr>
            <w:tcW w:w="60" w:type="dxa"/>
            <w:vAlign w:val="bottom"/>
          </w:tcPr>
          <w:p>
            <w:pPr>
              <w:spacing w:after="0"/>
              <w:rPr>
                <w:sz w:val="19"/>
                <w:szCs w:val="19"/>
                <w:color w:val="auto"/>
              </w:rPr>
            </w:pPr>
          </w:p>
        </w:tc>
      </w:tr>
      <w:tr>
        <w:trPr>
          <w:trHeight w:val="216"/>
        </w:trPr>
        <w:tc>
          <w:tcPr>
            <w:tcW w:w="66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Total liabilities and members’ capital</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700" w:type="dxa"/>
            <w:vAlign w:val="bottom"/>
            <w:gridSpan w:val="2"/>
            <w:shd w:val="clear" w:color="auto" w:fill="CCEEFF"/>
          </w:tcPr>
          <w:p>
            <w:pPr>
              <w:jc w:val="right"/>
              <w:ind w:right="720"/>
              <w:spacing w:after="0"/>
              <w:rPr>
                <w:sz w:val="20"/>
                <w:szCs w:val="20"/>
                <w:color w:val="auto"/>
              </w:rPr>
            </w:pPr>
            <w:r>
              <w:rPr>
                <w:rFonts w:ascii="Arial" w:cs="Arial" w:eastAsia="Arial" w:hAnsi="Arial"/>
                <w:sz w:val="18"/>
                <w:szCs w:val="18"/>
                <w:color w:val="auto"/>
              </w:rPr>
              <w:t>87,061</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1420" w:type="dxa"/>
            <w:vAlign w:val="bottom"/>
            <w:gridSpan w:val="2"/>
            <w:shd w:val="clear" w:color="auto" w:fill="CCEEFF"/>
          </w:tcPr>
          <w:p>
            <w:pPr>
              <w:jc w:val="right"/>
              <w:ind w:right="780"/>
              <w:spacing w:after="0"/>
              <w:rPr>
                <w:sz w:val="20"/>
                <w:szCs w:val="20"/>
                <w:color w:val="auto"/>
              </w:rPr>
            </w:pPr>
            <w:r>
              <w:rPr>
                <w:rFonts w:ascii="Arial" w:cs="Arial" w:eastAsia="Arial" w:hAnsi="Arial"/>
                <w:sz w:val="18"/>
                <w:szCs w:val="18"/>
                <w:color w:val="auto"/>
              </w:rPr>
              <w:t>4,686</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8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91,747</w:t>
            </w:r>
          </w:p>
        </w:tc>
      </w:tr>
      <w:tr>
        <w:trPr>
          <w:trHeight w:val="20"/>
        </w:trPr>
        <w:tc>
          <w:tcPr>
            <w:tcW w:w="66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107" w:lineRule="exact"/>
        <w:rPr>
          <w:sz w:val="20"/>
          <w:szCs w:val="20"/>
          <w:color w:val="auto"/>
        </w:rPr>
      </w:pPr>
    </w:p>
    <w:p>
      <w:pPr>
        <w:ind w:left="120" w:right="60" w:firstLine="440"/>
        <w:spacing w:after="0" w:line="263" w:lineRule="auto"/>
        <w:rPr>
          <w:sz w:val="20"/>
          <w:szCs w:val="20"/>
          <w:color w:val="auto"/>
        </w:rPr>
      </w:pPr>
      <w:r>
        <w:rPr>
          <w:rFonts w:ascii="Arial" w:cs="Arial" w:eastAsia="Arial" w:hAnsi="Arial"/>
          <w:sz w:val="18"/>
          <w:szCs w:val="18"/>
          <w:color w:val="auto"/>
        </w:rPr>
        <w:t>The following tables compare the reported consolidated balance sheet as of December 31, 2019 and statements of (loss) income for the periods from July 16, 2019 to December 31, 2019 and January 1, 2019 to July 15, 2019, to the adjusted amounts had ASC 605</w:t>
      </w:r>
      <w:r>
        <w:rPr>
          <w:rFonts w:ascii="Arial" w:cs="Arial" w:eastAsia="Arial" w:hAnsi="Arial"/>
          <w:sz w:val="18"/>
          <w:szCs w:val="18"/>
          <w:i w:val="1"/>
          <w:iCs w:val="1"/>
          <w:color w:val="auto"/>
        </w:rPr>
        <w:t>,</w:t>
      </w:r>
      <w:r>
        <w:rPr>
          <w:rFonts w:ascii="Arial" w:cs="Arial" w:eastAsia="Arial" w:hAnsi="Arial"/>
          <w:sz w:val="18"/>
          <w:szCs w:val="18"/>
          <w:color w:val="auto"/>
        </w:rPr>
        <w:t xml:space="preserve"> the previous revenue recognition standard, been in effect:</w:t>
      </w:r>
    </w:p>
    <w:p>
      <w:pPr>
        <w:spacing w:after="0" w:line="194" w:lineRule="exact"/>
        <w:rPr>
          <w:sz w:val="20"/>
          <w:szCs w:val="20"/>
          <w:color w:val="auto"/>
        </w:rPr>
      </w:pPr>
    </w:p>
    <w:tbl>
      <w:tblPr>
        <w:tblLayout w:type="fixed"/>
        <w:tblInd w:w="56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5080" w:type="dxa"/>
            <w:vAlign w:val="bottom"/>
          </w:tcPr>
          <w:p>
            <w:pPr>
              <w:spacing w:after="0"/>
              <w:rPr>
                <w:sz w:val="13"/>
                <w:szCs w:val="13"/>
                <w:color w:val="auto"/>
              </w:rPr>
            </w:pPr>
          </w:p>
        </w:tc>
        <w:tc>
          <w:tcPr>
            <w:tcW w:w="1440" w:type="dxa"/>
            <w:vAlign w:val="bottom"/>
          </w:tcPr>
          <w:p>
            <w:pPr>
              <w:spacing w:after="0"/>
              <w:rPr>
                <w:sz w:val="13"/>
                <w:szCs w:val="13"/>
                <w:color w:val="auto"/>
              </w:rPr>
            </w:pPr>
          </w:p>
        </w:tc>
        <w:tc>
          <w:tcPr>
            <w:tcW w:w="1100" w:type="dxa"/>
            <w:vAlign w:val="bottom"/>
            <w:gridSpan w:val="3"/>
          </w:tcPr>
          <w:p>
            <w:pPr>
              <w:ind w:left="40"/>
              <w:spacing w:after="0"/>
              <w:rPr>
                <w:sz w:val="20"/>
                <w:szCs w:val="20"/>
                <w:color w:val="auto"/>
              </w:rPr>
            </w:pPr>
            <w:r>
              <w:rPr>
                <w:rFonts w:ascii="Arial" w:cs="Arial" w:eastAsia="Arial" w:hAnsi="Arial"/>
                <w:sz w:val="14"/>
                <w:szCs w:val="14"/>
                <w:color w:val="auto"/>
              </w:rPr>
              <w:t>As Reported</w:t>
            </w:r>
          </w:p>
        </w:tc>
        <w:tc>
          <w:tcPr>
            <w:tcW w:w="2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880" w:type="dxa"/>
            <w:vAlign w:val="bottom"/>
            <w:gridSpan w:val="3"/>
          </w:tcPr>
          <w:p>
            <w:pPr>
              <w:ind w:left="60"/>
              <w:spacing w:after="0"/>
              <w:rPr>
                <w:sz w:val="20"/>
                <w:szCs w:val="20"/>
                <w:color w:val="auto"/>
              </w:rPr>
            </w:pPr>
            <w:r>
              <w:rPr>
                <w:rFonts w:ascii="Arial" w:cs="Arial" w:eastAsia="Arial" w:hAnsi="Arial"/>
                <w:sz w:val="14"/>
                <w:szCs w:val="14"/>
                <w:color w:val="auto"/>
              </w:rPr>
              <w:t>As Adjusted</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508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1100" w:type="dxa"/>
            <w:vAlign w:val="bottom"/>
            <w:gridSpan w:val="3"/>
          </w:tcPr>
          <w:p>
            <w:pPr>
              <w:spacing w:after="0" w:line="149" w:lineRule="exact"/>
              <w:rPr>
                <w:sz w:val="20"/>
                <w:szCs w:val="20"/>
                <w:color w:val="auto"/>
              </w:rPr>
            </w:pPr>
            <w:r>
              <w:rPr>
                <w:rFonts w:ascii="Arial" w:cs="Arial" w:eastAsia="Arial" w:hAnsi="Arial"/>
                <w:sz w:val="14"/>
                <w:szCs w:val="14"/>
                <w:color w:val="auto"/>
              </w:rPr>
              <w:t>December 31,</w:t>
            </w:r>
          </w:p>
        </w:tc>
        <w:tc>
          <w:tcPr>
            <w:tcW w:w="2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80" w:type="dxa"/>
            <w:vAlign w:val="bottom"/>
            <w:gridSpan w:val="3"/>
          </w:tcPr>
          <w:p>
            <w:pPr>
              <w:ind w:left="20"/>
              <w:spacing w:after="0" w:line="149" w:lineRule="exact"/>
              <w:rPr>
                <w:sz w:val="20"/>
                <w:szCs w:val="20"/>
                <w:color w:val="auto"/>
              </w:rPr>
            </w:pPr>
            <w:r>
              <w:rPr>
                <w:rFonts w:ascii="Arial" w:cs="Arial" w:eastAsia="Arial" w:hAnsi="Arial"/>
                <w:sz w:val="14"/>
                <w:szCs w:val="14"/>
                <w:color w:val="auto"/>
                <w:w w:val="95"/>
              </w:rPr>
              <w:t>December 31,</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508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jc w:val="right"/>
              <w:ind w:right="172"/>
              <w:spacing w:after="0"/>
              <w:rPr>
                <w:sz w:val="20"/>
                <w:szCs w:val="20"/>
                <w:color w:val="auto"/>
              </w:rPr>
            </w:pPr>
            <w:r>
              <w:rPr>
                <w:rFonts w:ascii="Arial" w:cs="Arial" w:eastAsia="Arial" w:hAnsi="Arial"/>
                <w:sz w:val="14"/>
                <w:szCs w:val="14"/>
                <w:color w:val="auto"/>
              </w:rPr>
              <w:t>2019</w:t>
            </w:r>
          </w:p>
        </w:tc>
        <w:tc>
          <w:tcPr>
            <w:tcW w:w="2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320" w:type="dxa"/>
            <w:vAlign w:val="bottom"/>
            <w:gridSpan w:val="3"/>
          </w:tcPr>
          <w:p>
            <w:pPr>
              <w:spacing w:after="0"/>
              <w:rPr>
                <w:sz w:val="20"/>
                <w:szCs w:val="20"/>
                <w:color w:val="auto"/>
              </w:rPr>
            </w:pPr>
            <w:r>
              <w:rPr>
                <w:rFonts w:ascii="Arial" w:cs="Arial" w:eastAsia="Arial" w:hAnsi="Arial"/>
                <w:sz w:val="14"/>
                <w:szCs w:val="14"/>
                <w:color w:val="auto"/>
              </w:rPr>
              <w:t>Adjustments</w:t>
            </w:r>
          </w:p>
        </w:tc>
        <w:tc>
          <w:tcPr>
            <w:tcW w:w="100" w:type="dxa"/>
            <w:vAlign w:val="bottom"/>
          </w:tcPr>
          <w:p>
            <w:pPr>
              <w:spacing w:after="0"/>
              <w:rPr>
                <w:sz w:val="14"/>
                <w:szCs w:val="14"/>
                <w:color w:val="auto"/>
              </w:rPr>
            </w:pPr>
          </w:p>
        </w:tc>
        <w:tc>
          <w:tcPr>
            <w:tcW w:w="740" w:type="dxa"/>
            <w:vAlign w:val="bottom"/>
          </w:tcPr>
          <w:p>
            <w:pPr>
              <w:jc w:val="right"/>
              <w:ind w:right="192"/>
              <w:spacing w:after="0"/>
              <w:rPr>
                <w:sz w:val="20"/>
                <w:szCs w:val="20"/>
                <w:color w:val="auto"/>
              </w:rPr>
            </w:pPr>
            <w:r>
              <w:rPr>
                <w:rFonts w:ascii="Arial" w:cs="Arial" w:eastAsia="Arial" w:hAnsi="Arial"/>
                <w:sz w:val="14"/>
                <w:szCs w:val="14"/>
                <w:color w:val="auto"/>
              </w:rPr>
              <w:t>2019</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08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Consolidated Balance Sheet:</w:t>
            </w:r>
          </w:p>
        </w:tc>
        <w:tc>
          <w:tcPr>
            <w:tcW w:w="144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560" w:type="dxa"/>
            <w:vAlign w:val="bottom"/>
            <w:tcBorders>
              <w:top w:val="single" w:sz="8" w:color="auto"/>
            </w:tcBorders>
            <w:shd w:val="clear" w:color="auto" w:fill="CCEEFF"/>
          </w:tcPr>
          <w:p>
            <w:pPr>
              <w:spacing w:after="0"/>
              <w:rPr>
                <w:sz w:val="17"/>
                <w:szCs w:val="17"/>
                <w:color w:val="auto"/>
              </w:rPr>
            </w:pPr>
          </w:p>
        </w:tc>
        <w:tc>
          <w:tcPr>
            <w:tcW w:w="6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740" w:type="dxa"/>
            <w:vAlign w:val="bottom"/>
            <w:tcBorders>
              <w:top w:val="single" w:sz="8" w:color="auto"/>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tcPr>
          <w:p>
            <w:pPr>
              <w:spacing w:after="0"/>
              <w:rPr>
                <w:sz w:val="20"/>
                <w:szCs w:val="20"/>
                <w:color w:val="auto"/>
              </w:rPr>
            </w:pPr>
            <w:r>
              <w:rPr>
                <w:rFonts w:ascii="Arial" w:cs="Arial" w:eastAsia="Arial" w:hAnsi="Arial"/>
                <w:sz w:val="18"/>
                <w:szCs w:val="18"/>
                <w:color w:val="auto"/>
              </w:rPr>
              <w:t>Accounts receivable, net</w:t>
            </w:r>
          </w:p>
        </w:tc>
        <w:tc>
          <w:tcPr>
            <w:tcW w:w="1540" w:type="dxa"/>
            <w:vAlign w:val="bottom"/>
            <w:gridSpan w:val="2"/>
          </w:tcPr>
          <w:p>
            <w:pPr>
              <w:ind w:left="1440"/>
              <w:spacing w:after="0"/>
              <w:rPr>
                <w:sz w:val="20"/>
                <w:szCs w:val="20"/>
                <w:color w:val="auto"/>
              </w:rPr>
            </w:pPr>
            <w:r>
              <w:rPr>
                <w:rFonts w:ascii="Arial" w:cs="Arial" w:eastAsia="Arial" w:hAnsi="Arial"/>
                <w:sz w:val="18"/>
                <w:szCs w:val="18"/>
                <w:color w:val="auto"/>
                <w:w w:val="79"/>
              </w:rPr>
              <w:t>$</w:t>
            </w:r>
          </w:p>
        </w:tc>
        <w:tc>
          <w:tcPr>
            <w:tcW w:w="1000" w:type="dxa"/>
            <w:vAlign w:val="bottom"/>
            <w:gridSpan w:val="2"/>
          </w:tcPr>
          <w:p>
            <w:pPr>
              <w:jc w:val="right"/>
              <w:ind w:right="280"/>
              <w:spacing w:after="0"/>
              <w:rPr>
                <w:sz w:val="20"/>
                <w:szCs w:val="20"/>
                <w:color w:val="auto"/>
              </w:rPr>
            </w:pPr>
            <w:r>
              <w:rPr>
                <w:rFonts w:ascii="Arial" w:cs="Arial" w:eastAsia="Arial" w:hAnsi="Arial"/>
                <w:sz w:val="18"/>
                <w:szCs w:val="18"/>
                <w:color w:val="auto"/>
              </w:rPr>
              <w:t>25,021</w:t>
            </w:r>
          </w:p>
        </w:tc>
        <w:tc>
          <w:tcPr>
            <w:tcW w:w="44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540"/>
              <w:spacing w:after="0"/>
              <w:rPr>
                <w:sz w:val="20"/>
                <w:szCs w:val="20"/>
                <w:color w:val="auto"/>
              </w:rPr>
            </w:pPr>
            <w:r>
              <w:rPr>
                <w:rFonts w:ascii="Arial" w:cs="Arial" w:eastAsia="Arial" w:hAnsi="Arial"/>
                <w:sz w:val="18"/>
                <w:szCs w:val="18"/>
                <w:color w:val="auto"/>
              </w:rPr>
              <w:t>(250)</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780" w:type="dxa"/>
            <w:vAlign w:val="bottom"/>
            <w:gridSpan w:val="2"/>
          </w:tcPr>
          <w:p>
            <w:pPr>
              <w:jc w:val="right"/>
              <w:ind w:right="40"/>
              <w:spacing w:after="0"/>
              <w:rPr>
                <w:sz w:val="20"/>
                <w:szCs w:val="20"/>
                <w:color w:val="auto"/>
              </w:rPr>
            </w:pPr>
            <w:r>
              <w:rPr>
                <w:rFonts w:ascii="Arial" w:cs="Arial" w:eastAsia="Arial" w:hAnsi="Arial"/>
                <w:sz w:val="18"/>
                <w:szCs w:val="18"/>
                <w:color w:val="auto"/>
              </w:rPr>
              <w:t>24,771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shd w:val="clear" w:color="auto" w:fill="CCEEFF"/>
          </w:tcPr>
          <w:p>
            <w:pPr>
              <w:spacing w:after="0"/>
              <w:rPr>
                <w:sz w:val="20"/>
                <w:szCs w:val="20"/>
                <w:color w:val="auto"/>
              </w:rPr>
            </w:pPr>
            <w:r>
              <w:rPr>
                <w:rFonts w:ascii="Arial" w:cs="Arial" w:eastAsia="Arial" w:hAnsi="Arial"/>
                <w:sz w:val="18"/>
                <w:szCs w:val="18"/>
                <w:color w:val="auto"/>
              </w:rPr>
              <w:t>Current portion of contract assets</w:t>
            </w:r>
          </w:p>
        </w:tc>
        <w:tc>
          <w:tcPr>
            <w:tcW w:w="1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769</w:t>
            </w: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(769)</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080" w:type="dxa"/>
            <w:vAlign w:val="bottom"/>
          </w:tcPr>
          <w:p>
            <w:pPr>
              <w:ind w:left="340"/>
              <w:spacing w:after="0"/>
              <w:rPr>
                <w:sz w:val="20"/>
                <w:szCs w:val="20"/>
                <w:color w:val="auto"/>
              </w:rPr>
            </w:pPr>
            <w:r>
              <w:rPr>
                <w:rFonts w:ascii="Arial" w:cs="Arial" w:eastAsia="Arial" w:hAnsi="Arial"/>
                <w:sz w:val="18"/>
                <w:szCs w:val="18"/>
                <w:color w:val="auto"/>
              </w:rPr>
              <w:t>Total current assets</w:t>
            </w:r>
          </w:p>
        </w:tc>
        <w:tc>
          <w:tcPr>
            <w:tcW w:w="14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36,107</w:t>
            </w:r>
          </w:p>
        </w:tc>
        <w:tc>
          <w:tcPr>
            <w:tcW w:w="2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4"/>
              </w:rPr>
              <w:t>(1,019)</w:t>
            </w:r>
          </w:p>
        </w:tc>
        <w:tc>
          <w:tcPr>
            <w:tcW w:w="6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35,088</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shd w:val="clear" w:color="auto" w:fill="CCEEFF"/>
          </w:tcPr>
          <w:p>
            <w:pPr>
              <w:spacing w:after="0"/>
              <w:rPr>
                <w:sz w:val="20"/>
                <w:szCs w:val="20"/>
                <w:color w:val="auto"/>
              </w:rPr>
            </w:pPr>
            <w:r>
              <w:rPr>
                <w:rFonts w:ascii="Arial" w:cs="Arial" w:eastAsia="Arial" w:hAnsi="Arial"/>
                <w:sz w:val="18"/>
                <w:szCs w:val="18"/>
                <w:color w:val="auto"/>
              </w:rPr>
              <w:t>Contract assets, net of current portion</w:t>
            </w:r>
          </w:p>
        </w:tc>
        <w:tc>
          <w:tcPr>
            <w:tcW w:w="1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2,116</w:t>
            </w: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(2,116)</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tcPr>
          <w:p>
            <w:pPr>
              <w:spacing w:after="0"/>
              <w:rPr>
                <w:sz w:val="20"/>
                <w:szCs w:val="20"/>
                <w:color w:val="auto"/>
              </w:rPr>
            </w:pPr>
            <w:r>
              <w:rPr>
                <w:rFonts w:ascii="Arial" w:cs="Arial" w:eastAsia="Arial" w:hAnsi="Arial"/>
                <w:sz w:val="18"/>
                <w:szCs w:val="18"/>
                <w:color w:val="auto"/>
              </w:rPr>
              <w:t>Total assets</w:t>
            </w:r>
          </w:p>
        </w:tc>
        <w:tc>
          <w:tcPr>
            <w:tcW w:w="1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w w:val="87"/>
              </w:rPr>
              <w:t>1,721,154</w:t>
            </w:r>
          </w:p>
        </w:tc>
        <w:tc>
          <w:tcPr>
            <w:tcW w:w="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gridSpan w:val="2"/>
          </w:tcPr>
          <w:p>
            <w:pPr>
              <w:jc w:val="right"/>
              <w:ind w:right="540"/>
              <w:spacing w:after="0"/>
              <w:rPr>
                <w:sz w:val="20"/>
                <w:szCs w:val="20"/>
                <w:color w:val="auto"/>
              </w:rPr>
            </w:pPr>
            <w:r>
              <w:rPr>
                <w:rFonts w:ascii="Arial" w:cs="Arial" w:eastAsia="Arial" w:hAnsi="Arial"/>
                <w:sz w:val="18"/>
                <w:szCs w:val="18"/>
                <w:color w:val="auto"/>
              </w:rPr>
              <w:t>(3,135)</w:t>
            </w:r>
          </w:p>
        </w:tc>
        <w:tc>
          <w:tcPr>
            <w:tcW w:w="100" w:type="dxa"/>
            <w:vAlign w:val="bottom"/>
          </w:tcPr>
          <w:p>
            <w:pPr>
              <w:spacing w:after="0"/>
              <w:rPr>
                <w:sz w:val="18"/>
                <w:szCs w:val="18"/>
                <w:color w:val="auto"/>
              </w:rPr>
            </w:pPr>
          </w:p>
        </w:tc>
        <w:tc>
          <w:tcPr>
            <w:tcW w:w="780" w:type="dxa"/>
            <w:vAlign w:val="bottom"/>
            <w:gridSpan w:val="2"/>
          </w:tcPr>
          <w:p>
            <w:pPr>
              <w:jc w:val="right"/>
              <w:ind w:right="40"/>
              <w:spacing w:after="0"/>
              <w:rPr>
                <w:sz w:val="20"/>
                <w:szCs w:val="20"/>
                <w:color w:val="auto"/>
              </w:rPr>
            </w:pPr>
            <w:r>
              <w:rPr>
                <w:rFonts w:ascii="Arial" w:cs="Arial" w:eastAsia="Arial" w:hAnsi="Arial"/>
                <w:sz w:val="18"/>
                <w:szCs w:val="18"/>
                <w:color w:val="auto"/>
                <w:w w:val="89"/>
              </w:rPr>
              <w:t>1,718,019</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0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080" w:type="dxa"/>
            <w:vAlign w:val="bottom"/>
            <w:shd w:val="clear" w:color="auto" w:fill="CCEEFF"/>
          </w:tcPr>
          <w:p>
            <w:pPr>
              <w:spacing w:after="0"/>
              <w:rPr>
                <w:sz w:val="20"/>
                <w:szCs w:val="20"/>
                <w:color w:val="auto"/>
              </w:rPr>
            </w:pPr>
            <w:r>
              <w:rPr>
                <w:rFonts w:ascii="Arial" w:cs="Arial" w:eastAsia="Arial" w:hAnsi="Arial"/>
                <w:sz w:val="18"/>
                <w:szCs w:val="18"/>
                <w:color w:val="auto"/>
              </w:rPr>
              <w:t>Current portion of deferred revenue</w:t>
            </w:r>
          </w:p>
        </w:tc>
        <w:tc>
          <w:tcPr>
            <w:tcW w:w="1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45,977</w:t>
            </w:r>
          </w:p>
        </w:tc>
        <w:tc>
          <w:tcPr>
            <w:tcW w:w="2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990</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46,967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tcPr>
          <w:p>
            <w:pPr>
              <w:ind w:left="340"/>
              <w:spacing w:after="0"/>
              <w:rPr>
                <w:sz w:val="20"/>
                <w:szCs w:val="20"/>
                <w:color w:val="auto"/>
              </w:rPr>
            </w:pPr>
            <w:r>
              <w:rPr>
                <w:rFonts w:ascii="Arial" w:cs="Arial" w:eastAsia="Arial" w:hAnsi="Arial"/>
                <w:sz w:val="18"/>
                <w:szCs w:val="18"/>
                <w:color w:val="auto"/>
              </w:rPr>
              <w:t>Total current liabilities</w:t>
            </w:r>
          </w:p>
        </w:tc>
        <w:tc>
          <w:tcPr>
            <w:tcW w:w="1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280"/>
              <w:spacing w:after="0"/>
              <w:rPr>
                <w:sz w:val="20"/>
                <w:szCs w:val="20"/>
                <w:color w:val="auto"/>
              </w:rPr>
            </w:pPr>
            <w:r>
              <w:rPr>
                <w:rFonts w:ascii="Arial" w:cs="Arial" w:eastAsia="Arial" w:hAnsi="Arial"/>
                <w:sz w:val="18"/>
                <w:szCs w:val="18"/>
                <w:color w:val="auto"/>
              </w:rPr>
              <w:t>69,917</w:t>
            </w: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gridSpan w:val="2"/>
          </w:tcPr>
          <w:p>
            <w:pPr>
              <w:jc w:val="right"/>
              <w:ind w:right="600"/>
              <w:spacing w:after="0"/>
              <w:rPr>
                <w:sz w:val="20"/>
                <w:szCs w:val="20"/>
                <w:color w:val="auto"/>
              </w:rPr>
            </w:pPr>
            <w:r>
              <w:rPr>
                <w:rFonts w:ascii="Arial" w:cs="Arial" w:eastAsia="Arial" w:hAnsi="Arial"/>
                <w:sz w:val="18"/>
                <w:szCs w:val="18"/>
                <w:color w:val="auto"/>
              </w:rPr>
              <w:t>990</w:t>
            </w:r>
          </w:p>
        </w:tc>
        <w:tc>
          <w:tcPr>
            <w:tcW w:w="100" w:type="dxa"/>
            <w:vAlign w:val="bottom"/>
          </w:tcPr>
          <w:p>
            <w:pPr>
              <w:spacing w:after="0"/>
              <w:rPr>
                <w:sz w:val="18"/>
                <w:szCs w:val="18"/>
                <w:color w:val="auto"/>
              </w:rPr>
            </w:pPr>
          </w:p>
        </w:tc>
        <w:tc>
          <w:tcPr>
            <w:tcW w:w="780" w:type="dxa"/>
            <w:vAlign w:val="bottom"/>
            <w:gridSpan w:val="2"/>
          </w:tcPr>
          <w:p>
            <w:pPr>
              <w:jc w:val="right"/>
              <w:ind w:right="40"/>
              <w:spacing w:after="0"/>
              <w:rPr>
                <w:sz w:val="20"/>
                <w:szCs w:val="20"/>
                <w:color w:val="auto"/>
              </w:rPr>
            </w:pPr>
            <w:r>
              <w:rPr>
                <w:rFonts w:ascii="Arial" w:cs="Arial" w:eastAsia="Arial" w:hAnsi="Arial"/>
                <w:sz w:val="18"/>
                <w:szCs w:val="18"/>
                <w:color w:val="auto"/>
              </w:rPr>
              <w:t>70,907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shd w:val="clear" w:color="auto" w:fill="CCEEFF"/>
          </w:tcPr>
          <w:p>
            <w:pPr>
              <w:spacing w:after="0"/>
              <w:rPr>
                <w:sz w:val="20"/>
                <w:szCs w:val="20"/>
                <w:color w:val="auto"/>
              </w:rPr>
            </w:pPr>
            <w:r>
              <w:rPr>
                <w:rFonts w:ascii="Arial" w:cs="Arial" w:eastAsia="Arial" w:hAnsi="Arial"/>
                <w:sz w:val="18"/>
                <w:szCs w:val="18"/>
                <w:color w:val="auto"/>
              </w:rPr>
              <w:t>Total liabilities</w:t>
            </w:r>
          </w:p>
        </w:tc>
        <w:tc>
          <w:tcPr>
            <w:tcW w:w="1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504,914</w:t>
            </w: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990</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505,904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tcPr>
          <w:p>
            <w:pPr>
              <w:spacing w:after="0"/>
              <w:rPr>
                <w:sz w:val="20"/>
                <w:szCs w:val="20"/>
                <w:color w:val="auto"/>
              </w:rPr>
            </w:pPr>
            <w:r>
              <w:rPr>
                <w:rFonts w:ascii="Arial" w:cs="Arial" w:eastAsia="Arial" w:hAnsi="Arial"/>
                <w:sz w:val="18"/>
                <w:szCs w:val="18"/>
                <w:color w:val="auto"/>
              </w:rPr>
              <w:t>Members’ capital (deficit)</w:t>
            </w:r>
          </w:p>
        </w:tc>
        <w:tc>
          <w:tcPr>
            <w:tcW w:w="1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w w:val="87"/>
              </w:rPr>
              <w:t>1,216,240</w:t>
            </w:r>
          </w:p>
        </w:tc>
        <w:tc>
          <w:tcPr>
            <w:tcW w:w="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gridSpan w:val="2"/>
          </w:tcPr>
          <w:p>
            <w:pPr>
              <w:jc w:val="right"/>
              <w:ind w:right="540"/>
              <w:spacing w:after="0"/>
              <w:rPr>
                <w:sz w:val="20"/>
                <w:szCs w:val="20"/>
                <w:color w:val="auto"/>
              </w:rPr>
            </w:pPr>
            <w:r>
              <w:rPr>
                <w:rFonts w:ascii="Arial" w:cs="Arial" w:eastAsia="Arial" w:hAnsi="Arial"/>
                <w:sz w:val="18"/>
                <w:szCs w:val="18"/>
                <w:color w:val="auto"/>
              </w:rPr>
              <w:t>(4,125)</w:t>
            </w:r>
          </w:p>
        </w:tc>
        <w:tc>
          <w:tcPr>
            <w:tcW w:w="100" w:type="dxa"/>
            <w:vAlign w:val="bottom"/>
          </w:tcPr>
          <w:p>
            <w:pPr>
              <w:spacing w:after="0"/>
              <w:rPr>
                <w:sz w:val="18"/>
                <w:szCs w:val="18"/>
                <w:color w:val="auto"/>
              </w:rPr>
            </w:pPr>
          </w:p>
        </w:tc>
        <w:tc>
          <w:tcPr>
            <w:tcW w:w="780" w:type="dxa"/>
            <w:vAlign w:val="bottom"/>
            <w:gridSpan w:val="2"/>
          </w:tcPr>
          <w:p>
            <w:pPr>
              <w:jc w:val="right"/>
              <w:ind w:right="40"/>
              <w:spacing w:after="0"/>
              <w:rPr>
                <w:sz w:val="20"/>
                <w:szCs w:val="20"/>
                <w:color w:val="auto"/>
              </w:rPr>
            </w:pPr>
            <w:r>
              <w:rPr>
                <w:rFonts w:ascii="Arial" w:cs="Arial" w:eastAsia="Arial" w:hAnsi="Arial"/>
                <w:sz w:val="18"/>
                <w:szCs w:val="18"/>
                <w:color w:val="auto"/>
                <w:w w:val="89"/>
              </w:rPr>
              <w:t>1,212,115</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50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Total liabilities and members’ capital (deficit)</w:t>
            </w:r>
          </w:p>
        </w:tc>
        <w:tc>
          <w:tcPr>
            <w:tcW w:w="1540" w:type="dxa"/>
            <w:vAlign w:val="bottom"/>
            <w:gridSpan w:val="2"/>
            <w:shd w:val="clear" w:color="auto" w:fill="CCEEFF"/>
          </w:tcPr>
          <w:p>
            <w:pPr>
              <w:ind w:left="1440"/>
              <w:spacing w:after="0"/>
              <w:rPr>
                <w:sz w:val="20"/>
                <w:szCs w:val="20"/>
                <w:color w:val="auto"/>
              </w:rPr>
            </w:pPr>
            <w:r>
              <w:rPr>
                <w:rFonts w:ascii="Arial" w:cs="Arial" w:eastAsia="Arial" w:hAnsi="Arial"/>
                <w:sz w:val="18"/>
                <w:szCs w:val="18"/>
                <w:u w:val="single" w:color="auto"/>
                <w:color w:val="auto"/>
                <w:w w:val="79"/>
              </w:rPr>
              <w:t>$</w:t>
            </w:r>
          </w:p>
        </w:tc>
        <w:tc>
          <w:tcPr>
            <w:tcW w:w="10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87"/>
              </w:rPr>
              <w:t>1,721,154</w:t>
            </w:r>
          </w:p>
        </w:tc>
        <w:tc>
          <w:tcPr>
            <w:tcW w:w="44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(3,135)</w:t>
            </w:r>
          </w:p>
        </w:tc>
        <w:tc>
          <w:tcPr>
            <w:tcW w:w="100" w:type="dxa"/>
            <w:vAlign w:val="bottom"/>
            <w:shd w:val="clear" w:color="auto" w:fill="CCEEFF"/>
          </w:tcPr>
          <w:p>
            <w:pPr>
              <w:spacing w:after="0"/>
              <w:rPr>
                <w:sz w:val="20"/>
                <w:szCs w:val="20"/>
                <w:color w:val="auto"/>
              </w:rPr>
            </w:pPr>
            <w:r>
              <w:rPr>
                <w:rFonts w:ascii="Arial" w:cs="Arial" w:eastAsia="Arial" w:hAnsi="Arial"/>
                <w:sz w:val="18"/>
                <w:szCs w:val="18"/>
                <w:u w:val="single" w:color="auto"/>
                <w:color w:val="auto"/>
                <w:w w:val="79"/>
              </w:rPr>
              <w:t>$</w:t>
            </w:r>
          </w:p>
        </w:tc>
        <w:tc>
          <w:tcPr>
            <w:tcW w:w="7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89"/>
              </w:rPr>
              <w:t>1,718,019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8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4" w:lineRule="exact"/>
        <w:rPr>
          <w:sz w:val="20"/>
          <w:szCs w:val="20"/>
          <w:color w:val="auto"/>
        </w:rPr>
      </w:pPr>
    </w:p>
    <w:tbl>
      <w:tblPr>
        <w:tblLayout w:type="fixed"/>
        <w:tblInd w:w="560" w:type="dxa"/>
        <w:tblCellMar>
          <w:top w:w="0" w:type="dxa"/>
          <w:left w:w="0" w:type="dxa"/>
          <w:bottom w:w="0" w:type="dxa"/>
          <w:right w:w="0" w:type="dxa"/>
        </w:tblCellMar>
      </w:tblPr>
      <w:tr>
        <w:trPr>
          <w:trHeight w:val="171"/>
        </w:trPr>
        <w:tc>
          <w:tcPr>
            <w:tcW w:w="36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980" w:type="dxa"/>
            <w:vAlign w:val="bottom"/>
            <w:tcBorders>
              <w:bottom w:val="single" w:sz="8" w:color="auto"/>
            </w:tcBorders>
            <w:gridSpan w:val="4"/>
          </w:tcPr>
          <w:p>
            <w:pPr>
              <w:jc w:val="right"/>
              <w:ind w:right="241"/>
              <w:spacing w:after="0"/>
              <w:rPr>
                <w:sz w:val="20"/>
                <w:szCs w:val="20"/>
                <w:color w:val="auto"/>
              </w:rPr>
            </w:pPr>
            <w:r>
              <w:rPr>
                <w:rFonts w:ascii="Arial" w:cs="Arial" w:eastAsia="Arial" w:hAnsi="Arial"/>
                <w:sz w:val="14"/>
                <w:szCs w:val="14"/>
                <w:b w:val="1"/>
                <w:bCs w:val="1"/>
                <w:color w:val="auto"/>
              </w:rPr>
              <w:t>Predecessor Company</w:t>
            </w:r>
          </w:p>
        </w:tc>
        <w:tc>
          <w:tcPr>
            <w:tcW w:w="32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23"/>
        </w:trPr>
        <w:tc>
          <w:tcPr>
            <w:tcW w:w="364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480" w:type="dxa"/>
            <w:vAlign w:val="bottom"/>
            <w:gridSpan w:val="2"/>
          </w:tcPr>
          <w:p>
            <w:pPr>
              <w:ind w:left="100"/>
              <w:spacing w:after="0" w:line="123" w:lineRule="exact"/>
              <w:rPr>
                <w:sz w:val="20"/>
                <w:szCs w:val="20"/>
                <w:color w:val="auto"/>
              </w:rPr>
            </w:pPr>
            <w:r>
              <w:rPr>
                <w:rFonts w:ascii="Arial" w:cs="Arial" w:eastAsia="Arial" w:hAnsi="Arial"/>
                <w:sz w:val="14"/>
                <w:szCs w:val="14"/>
                <w:color w:val="auto"/>
              </w:rPr>
              <w:t>As Reported</w:t>
            </w:r>
          </w:p>
        </w:tc>
        <w:tc>
          <w:tcPr>
            <w:tcW w:w="6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120" w:type="dxa"/>
            <w:vAlign w:val="bottom"/>
          </w:tcPr>
          <w:p>
            <w:pPr>
              <w:jc w:val="right"/>
              <w:ind w:right="212"/>
              <w:spacing w:after="0" w:line="123" w:lineRule="exact"/>
              <w:rPr>
                <w:sz w:val="20"/>
                <w:szCs w:val="20"/>
                <w:color w:val="auto"/>
              </w:rPr>
            </w:pPr>
            <w:r>
              <w:rPr>
                <w:rFonts w:ascii="Arial" w:cs="Arial" w:eastAsia="Arial" w:hAnsi="Arial"/>
                <w:sz w:val="14"/>
                <w:szCs w:val="14"/>
                <w:color w:val="auto"/>
              </w:rPr>
              <w:t>As Adjusted</w:t>
            </w:r>
          </w:p>
        </w:tc>
        <w:tc>
          <w:tcPr>
            <w:tcW w:w="100" w:type="dxa"/>
            <w:vAlign w:val="bottom"/>
          </w:tcPr>
          <w:p>
            <w:pPr>
              <w:spacing w:after="0"/>
              <w:rPr>
                <w:sz w:val="10"/>
                <w:szCs w:val="10"/>
                <w:color w:val="auto"/>
              </w:rPr>
            </w:pPr>
          </w:p>
        </w:tc>
      </w:tr>
      <w:tr>
        <w:trPr>
          <w:trHeight w:val="148"/>
        </w:trPr>
        <w:tc>
          <w:tcPr>
            <w:tcW w:w="364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680" w:type="dxa"/>
            <w:vAlign w:val="bottom"/>
            <w:gridSpan w:val="3"/>
          </w:tcPr>
          <w:p>
            <w:pPr>
              <w:spacing w:after="0" w:line="149" w:lineRule="exact"/>
              <w:rPr>
                <w:sz w:val="20"/>
                <w:szCs w:val="20"/>
                <w:color w:val="auto"/>
              </w:rPr>
            </w:pPr>
            <w:r>
              <w:rPr>
                <w:rFonts w:ascii="Arial" w:cs="Arial" w:eastAsia="Arial" w:hAnsi="Arial"/>
                <w:sz w:val="14"/>
                <w:szCs w:val="14"/>
                <w:color w:val="auto"/>
              </w:rPr>
              <w:t>Period from January 1,</w:t>
            </w:r>
          </w:p>
        </w:tc>
        <w:tc>
          <w:tcPr>
            <w:tcW w:w="6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420" w:type="dxa"/>
            <w:vAlign w:val="bottom"/>
            <w:gridSpan w:val="3"/>
          </w:tcPr>
          <w:p>
            <w:pPr>
              <w:spacing w:after="0" w:line="149" w:lineRule="exact"/>
              <w:rPr>
                <w:sz w:val="20"/>
                <w:szCs w:val="20"/>
                <w:color w:val="auto"/>
              </w:rPr>
            </w:pPr>
            <w:r>
              <w:rPr>
                <w:rFonts w:ascii="Arial" w:cs="Arial" w:eastAsia="Arial" w:hAnsi="Arial"/>
                <w:sz w:val="14"/>
                <w:szCs w:val="14"/>
                <w:color w:val="auto"/>
                <w:w w:val="98"/>
              </w:rPr>
              <w:t>Period from January 1,</w:t>
            </w:r>
          </w:p>
        </w:tc>
      </w:tr>
      <w:tr>
        <w:trPr>
          <w:trHeight w:val="181"/>
        </w:trPr>
        <w:tc>
          <w:tcPr>
            <w:tcW w:w="364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680" w:type="dxa"/>
            <w:vAlign w:val="bottom"/>
            <w:gridSpan w:val="3"/>
          </w:tcPr>
          <w:p>
            <w:pPr>
              <w:ind w:left="40"/>
              <w:spacing w:after="0"/>
              <w:rPr>
                <w:sz w:val="20"/>
                <w:szCs w:val="20"/>
                <w:color w:val="auto"/>
              </w:rPr>
            </w:pPr>
            <w:r>
              <w:rPr>
                <w:rFonts w:ascii="Arial" w:cs="Arial" w:eastAsia="Arial" w:hAnsi="Arial"/>
                <w:sz w:val="14"/>
                <w:szCs w:val="14"/>
                <w:color w:val="auto"/>
              </w:rPr>
              <w:t>2019 to July 15, 2019</w:t>
            </w:r>
          </w:p>
        </w:tc>
        <w:tc>
          <w:tcPr>
            <w:tcW w:w="600" w:type="dxa"/>
            <w:vAlign w:val="bottom"/>
          </w:tcPr>
          <w:p>
            <w:pPr>
              <w:spacing w:after="0"/>
              <w:rPr>
                <w:sz w:val="15"/>
                <w:szCs w:val="15"/>
                <w:color w:val="auto"/>
              </w:rPr>
            </w:pPr>
          </w:p>
        </w:tc>
        <w:tc>
          <w:tcPr>
            <w:tcW w:w="1380" w:type="dxa"/>
            <w:vAlign w:val="bottom"/>
            <w:gridSpan w:val="3"/>
          </w:tcPr>
          <w:p>
            <w:pPr>
              <w:spacing w:after="0"/>
              <w:rPr>
                <w:sz w:val="20"/>
                <w:szCs w:val="20"/>
                <w:color w:val="auto"/>
              </w:rPr>
            </w:pPr>
            <w:r>
              <w:rPr>
                <w:rFonts w:ascii="Arial" w:cs="Arial" w:eastAsia="Arial" w:hAnsi="Arial"/>
                <w:sz w:val="14"/>
                <w:szCs w:val="14"/>
                <w:color w:val="auto"/>
              </w:rPr>
              <w:t>Adjustments</w:t>
            </w:r>
          </w:p>
        </w:tc>
        <w:tc>
          <w:tcPr>
            <w:tcW w:w="320" w:type="dxa"/>
            <w:vAlign w:val="bottom"/>
          </w:tcPr>
          <w:p>
            <w:pPr>
              <w:spacing w:after="0"/>
              <w:rPr>
                <w:sz w:val="15"/>
                <w:szCs w:val="15"/>
                <w:color w:val="auto"/>
              </w:rPr>
            </w:pPr>
          </w:p>
        </w:tc>
        <w:tc>
          <w:tcPr>
            <w:tcW w:w="1420" w:type="dxa"/>
            <w:vAlign w:val="bottom"/>
            <w:gridSpan w:val="3"/>
          </w:tcPr>
          <w:p>
            <w:pPr>
              <w:ind w:left="40"/>
              <w:spacing w:after="0"/>
              <w:rPr>
                <w:sz w:val="20"/>
                <w:szCs w:val="20"/>
                <w:color w:val="auto"/>
              </w:rPr>
            </w:pPr>
            <w:r>
              <w:rPr>
                <w:rFonts w:ascii="Arial" w:cs="Arial" w:eastAsia="Arial" w:hAnsi="Arial"/>
                <w:sz w:val="14"/>
                <w:szCs w:val="14"/>
                <w:color w:val="auto"/>
              </w:rPr>
              <w:t>2019 to July 15, 2019</w:t>
            </w:r>
          </w:p>
        </w:tc>
      </w:tr>
      <w:tr>
        <w:trPr>
          <w:trHeight w:val="216"/>
        </w:trPr>
        <w:tc>
          <w:tcPr>
            <w:tcW w:w="3640" w:type="dxa"/>
            <w:vAlign w:val="bottom"/>
            <w:shd w:val="clear" w:color="auto" w:fill="CCEEFF"/>
          </w:tcPr>
          <w:p>
            <w:pPr>
              <w:spacing w:after="0"/>
              <w:rPr>
                <w:sz w:val="20"/>
                <w:szCs w:val="20"/>
                <w:color w:val="auto"/>
              </w:rPr>
            </w:pPr>
            <w:r>
              <w:rPr>
                <w:rFonts w:ascii="Arial" w:cs="Arial" w:eastAsia="Arial" w:hAnsi="Arial"/>
                <w:sz w:val="18"/>
                <w:szCs w:val="18"/>
                <w:color w:val="auto"/>
              </w:rPr>
              <w:t>Revenue</w:t>
            </w:r>
          </w:p>
        </w:tc>
        <w:tc>
          <w:tcPr>
            <w:tcW w:w="1280" w:type="dxa"/>
            <w:vAlign w:val="bottom"/>
            <w:gridSpan w:val="2"/>
            <w:shd w:val="clear" w:color="auto" w:fill="CCEEFF"/>
          </w:tcPr>
          <w:p>
            <w:pPr>
              <w:ind w:left="1080"/>
              <w:spacing w:after="0"/>
              <w:rPr>
                <w:sz w:val="20"/>
                <w:szCs w:val="20"/>
                <w:color w:val="auto"/>
              </w:rPr>
            </w:pPr>
            <w:r>
              <w:rPr>
                <w:rFonts w:ascii="Arial" w:cs="Arial" w:eastAsia="Arial" w:hAnsi="Arial"/>
                <w:sz w:val="18"/>
                <w:szCs w:val="18"/>
                <w:color w:val="auto"/>
              </w:rPr>
              <w:t>$</w:t>
            </w:r>
          </w:p>
        </w:tc>
        <w:tc>
          <w:tcPr>
            <w:tcW w:w="1480" w:type="dxa"/>
            <w:vAlign w:val="bottom"/>
            <w:gridSpan w:val="2"/>
            <w:shd w:val="clear" w:color="auto" w:fill="CCEEFF"/>
          </w:tcPr>
          <w:p>
            <w:pPr>
              <w:ind w:left="640"/>
              <w:spacing w:after="0"/>
              <w:rPr>
                <w:sz w:val="20"/>
                <w:szCs w:val="20"/>
                <w:color w:val="auto"/>
              </w:rPr>
            </w:pPr>
            <w:r>
              <w:rPr>
                <w:rFonts w:ascii="Arial" w:cs="Arial" w:eastAsia="Arial" w:hAnsi="Arial"/>
                <w:sz w:val="18"/>
                <w:szCs w:val="18"/>
                <w:color w:val="auto"/>
              </w:rPr>
              <w:t>45,458</w:t>
            </w:r>
          </w:p>
        </w:tc>
        <w:tc>
          <w:tcPr>
            <w:tcW w:w="780" w:type="dxa"/>
            <w:vAlign w:val="bottom"/>
            <w:gridSpan w:val="2"/>
            <w:shd w:val="clear" w:color="auto" w:fill="CCEEFF"/>
          </w:tcPr>
          <w:p>
            <w:pPr>
              <w:ind w:left="600"/>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501"/>
              <w:spacing w:after="0"/>
              <w:rPr>
                <w:sz w:val="20"/>
                <w:szCs w:val="20"/>
                <w:color w:val="auto"/>
              </w:rPr>
            </w:pPr>
            <w:r>
              <w:rPr>
                <w:rFonts w:ascii="Arial" w:cs="Arial" w:eastAsia="Arial" w:hAnsi="Arial"/>
                <w:sz w:val="18"/>
                <w:szCs w:val="18"/>
                <w:color w:val="auto"/>
              </w:rPr>
              <w:t>(79)</w:t>
            </w:r>
          </w:p>
        </w:tc>
        <w:tc>
          <w:tcPr>
            <w:tcW w:w="52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45,379</w:t>
            </w:r>
          </w:p>
        </w:tc>
      </w:tr>
      <w:tr>
        <w:trPr>
          <w:trHeight w:val="230"/>
        </w:trPr>
        <w:tc>
          <w:tcPr>
            <w:tcW w:w="3640" w:type="dxa"/>
            <w:vAlign w:val="bottom"/>
          </w:tcPr>
          <w:p>
            <w:pPr>
              <w:spacing w:after="0"/>
              <w:rPr>
                <w:sz w:val="20"/>
                <w:szCs w:val="20"/>
                <w:color w:val="auto"/>
              </w:rPr>
            </w:pPr>
            <w:r>
              <w:rPr>
                <w:rFonts w:ascii="Arial" w:cs="Arial" w:eastAsia="Arial" w:hAnsi="Arial"/>
                <w:sz w:val="18"/>
                <w:szCs w:val="18"/>
                <w:color w:val="auto"/>
              </w:rPr>
              <w:t>Total cost of revenue</w:t>
            </w:r>
          </w:p>
        </w:tc>
        <w:tc>
          <w:tcPr>
            <w:tcW w:w="1080" w:type="dxa"/>
            <w:vAlign w:val="bottom"/>
          </w:tcPr>
          <w:p>
            <w:pPr>
              <w:spacing w:after="0"/>
              <w:rPr>
                <w:sz w:val="20"/>
                <w:szCs w:val="20"/>
                <w:color w:val="auto"/>
              </w:rPr>
            </w:pPr>
          </w:p>
        </w:tc>
        <w:tc>
          <w:tcPr>
            <w:tcW w:w="200" w:type="dxa"/>
            <w:vAlign w:val="bottom"/>
            <w:tcBorders>
              <w:top w:val="single" w:sz="8" w:color="auto"/>
              <w:bottom w:val="single" w:sz="8" w:color="auto"/>
            </w:tcBorders>
          </w:tcPr>
          <w:p>
            <w:pPr>
              <w:spacing w:after="0"/>
              <w:rPr>
                <w:sz w:val="20"/>
                <w:szCs w:val="20"/>
                <w:color w:val="auto"/>
              </w:rPr>
            </w:pPr>
          </w:p>
        </w:tc>
        <w:tc>
          <w:tcPr>
            <w:tcW w:w="1120" w:type="dxa"/>
            <w:vAlign w:val="bottom"/>
            <w:tcBorders>
              <w:top w:val="single" w:sz="8" w:color="auto"/>
              <w:bottom w:val="single" w:sz="8" w:color="auto"/>
            </w:tcBorders>
          </w:tcPr>
          <w:p>
            <w:pPr>
              <w:ind w:left="720"/>
              <w:spacing w:after="0"/>
              <w:rPr>
                <w:sz w:val="20"/>
                <w:szCs w:val="20"/>
                <w:color w:val="auto"/>
              </w:rPr>
            </w:pPr>
            <w:r>
              <w:rPr>
                <w:rFonts w:ascii="Arial" w:cs="Arial" w:eastAsia="Arial" w:hAnsi="Arial"/>
                <w:sz w:val="18"/>
                <w:szCs w:val="18"/>
                <w:color w:val="auto"/>
                <w:w w:val="84"/>
              </w:rPr>
              <w:t>5,328</w:t>
            </w:r>
          </w:p>
        </w:tc>
        <w:tc>
          <w:tcPr>
            <w:tcW w:w="36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80" w:type="dxa"/>
            <w:vAlign w:val="bottom"/>
            <w:tcBorders>
              <w:top w:val="single" w:sz="8" w:color="auto"/>
              <w:bottom w:val="single" w:sz="8" w:color="auto"/>
            </w:tcBorders>
          </w:tcPr>
          <w:p>
            <w:pPr>
              <w:spacing w:after="0"/>
              <w:rPr>
                <w:sz w:val="20"/>
                <w:szCs w:val="20"/>
                <w:color w:val="auto"/>
              </w:rPr>
            </w:pPr>
          </w:p>
        </w:tc>
        <w:tc>
          <w:tcPr>
            <w:tcW w:w="56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6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00" w:type="dxa"/>
            <w:vAlign w:val="bottom"/>
            <w:tcBorders>
              <w:top w:val="single" w:sz="8" w:color="auto"/>
              <w:bottom w:val="single" w:sz="8" w:color="auto"/>
            </w:tcBorders>
          </w:tcPr>
          <w:p>
            <w:pPr>
              <w:spacing w:after="0"/>
              <w:rPr>
                <w:sz w:val="20"/>
                <w:szCs w:val="20"/>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5,328</w:t>
            </w:r>
          </w:p>
        </w:tc>
        <w:tc>
          <w:tcPr>
            <w:tcW w:w="100" w:type="dxa"/>
            <w:vAlign w:val="bottom"/>
          </w:tcPr>
          <w:p>
            <w:pPr>
              <w:spacing w:after="0"/>
              <w:rPr>
                <w:sz w:val="20"/>
                <w:szCs w:val="20"/>
                <w:color w:val="auto"/>
              </w:rPr>
            </w:pPr>
          </w:p>
        </w:tc>
      </w:tr>
      <w:tr>
        <w:trPr>
          <w:trHeight w:val="216"/>
        </w:trPr>
        <w:tc>
          <w:tcPr>
            <w:tcW w:w="36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Gross profit</w:t>
            </w:r>
          </w:p>
        </w:tc>
        <w:tc>
          <w:tcPr>
            <w:tcW w:w="10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ind w:left="640"/>
              <w:spacing w:after="0"/>
              <w:rPr>
                <w:sz w:val="20"/>
                <w:szCs w:val="20"/>
                <w:color w:val="auto"/>
              </w:rPr>
            </w:pPr>
            <w:r>
              <w:rPr>
                <w:rFonts w:ascii="Arial" w:cs="Arial" w:eastAsia="Arial" w:hAnsi="Arial"/>
                <w:sz w:val="18"/>
                <w:szCs w:val="18"/>
                <w:color w:val="auto"/>
              </w:rPr>
              <w:t>40,130</w:t>
            </w:r>
          </w:p>
        </w:tc>
        <w:tc>
          <w:tcPr>
            <w:tcW w:w="6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501"/>
              <w:spacing w:after="0"/>
              <w:rPr>
                <w:sz w:val="20"/>
                <w:szCs w:val="20"/>
                <w:color w:val="auto"/>
              </w:rPr>
            </w:pPr>
            <w:r>
              <w:rPr>
                <w:rFonts w:ascii="Arial" w:cs="Arial" w:eastAsia="Arial" w:hAnsi="Arial"/>
                <w:sz w:val="18"/>
                <w:szCs w:val="18"/>
                <w:color w:val="auto"/>
              </w:rPr>
              <w:t>(79)</w:t>
            </w:r>
          </w:p>
        </w:tc>
        <w:tc>
          <w:tcPr>
            <w:tcW w:w="3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40,051</w:t>
            </w:r>
          </w:p>
        </w:tc>
      </w:tr>
      <w:tr>
        <w:trPr>
          <w:trHeight w:val="216"/>
        </w:trPr>
        <w:tc>
          <w:tcPr>
            <w:tcW w:w="3640" w:type="dxa"/>
            <w:vAlign w:val="bottom"/>
          </w:tcPr>
          <w:p>
            <w:pPr>
              <w:spacing w:after="0"/>
              <w:rPr>
                <w:sz w:val="20"/>
                <w:szCs w:val="20"/>
                <w:color w:val="auto"/>
              </w:rPr>
            </w:pPr>
            <w:r>
              <w:rPr>
                <w:rFonts w:ascii="Arial" w:cs="Arial" w:eastAsia="Arial" w:hAnsi="Arial"/>
                <w:sz w:val="18"/>
                <w:szCs w:val="18"/>
                <w:color w:val="auto"/>
              </w:rPr>
              <w:t>Sales and marketing</w:t>
            </w:r>
          </w:p>
        </w:tc>
        <w:tc>
          <w:tcPr>
            <w:tcW w:w="10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80" w:type="dxa"/>
            <w:vAlign w:val="bottom"/>
            <w:gridSpan w:val="2"/>
          </w:tcPr>
          <w:p>
            <w:pPr>
              <w:ind w:left="640"/>
              <w:spacing w:after="0"/>
              <w:rPr>
                <w:sz w:val="20"/>
                <w:szCs w:val="20"/>
                <w:color w:val="auto"/>
              </w:rPr>
            </w:pPr>
            <w:r>
              <w:rPr>
                <w:rFonts w:ascii="Arial" w:cs="Arial" w:eastAsia="Arial" w:hAnsi="Arial"/>
                <w:sz w:val="18"/>
                <w:szCs w:val="18"/>
                <w:color w:val="auto"/>
              </w:rPr>
              <w:t>16,039</w:t>
            </w:r>
          </w:p>
        </w:tc>
        <w:tc>
          <w:tcPr>
            <w:tcW w:w="6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gridSpan w:val="2"/>
          </w:tcPr>
          <w:p>
            <w:pPr>
              <w:jc w:val="right"/>
              <w:ind w:right="561"/>
              <w:spacing w:after="0"/>
              <w:rPr>
                <w:sz w:val="20"/>
                <w:szCs w:val="20"/>
                <w:color w:val="auto"/>
              </w:rPr>
            </w:pPr>
            <w:r>
              <w:rPr>
                <w:rFonts w:ascii="Arial" w:cs="Arial" w:eastAsia="Arial" w:hAnsi="Arial"/>
                <w:sz w:val="18"/>
                <w:szCs w:val="18"/>
                <w:color w:val="auto"/>
              </w:rPr>
              <w:t>1,416</w:t>
            </w:r>
          </w:p>
        </w:tc>
        <w:tc>
          <w:tcPr>
            <w:tcW w:w="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17,455</w:t>
            </w:r>
          </w:p>
        </w:tc>
      </w:tr>
      <w:tr>
        <w:trPr>
          <w:trHeight w:val="216"/>
        </w:trPr>
        <w:tc>
          <w:tcPr>
            <w:tcW w:w="3640" w:type="dxa"/>
            <w:vAlign w:val="bottom"/>
            <w:shd w:val="clear" w:color="auto" w:fill="CCEEFF"/>
          </w:tcPr>
          <w:p>
            <w:pPr>
              <w:spacing w:after="0"/>
              <w:rPr>
                <w:sz w:val="20"/>
                <w:szCs w:val="20"/>
                <w:color w:val="auto"/>
              </w:rPr>
            </w:pPr>
            <w:r>
              <w:rPr>
                <w:rFonts w:ascii="Arial" w:cs="Arial" w:eastAsia="Arial" w:hAnsi="Arial"/>
                <w:sz w:val="18"/>
                <w:szCs w:val="18"/>
                <w:color w:val="auto"/>
              </w:rPr>
              <w:t>Total operating expenses</w:t>
            </w:r>
          </w:p>
        </w:tc>
        <w:tc>
          <w:tcPr>
            <w:tcW w:w="10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ind w:left="640"/>
              <w:spacing w:after="0"/>
              <w:rPr>
                <w:sz w:val="20"/>
                <w:szCs w:val="20"/>
                <w:color w:val="auto"/>
              </w:rPr>
            </w:pPr>
            <w:r>
              <w:rPr>
                <w:rFonts w:ascii="Arial" w:cs="Arial" w:eastAsia="Arial" w:hAnsi="Arial"/>
                <w:sz w:val="18"/>
                <w:szCs w:val="18"/>
                <w:color w:val="auto"/>
              </w:rPr>
              <w:t>27,097</w:t>
            </w:r>
          </w:p>
        </w:tc>
        <w:tc>
          <w:tcPr>
            <w:tcW w:w="6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561"/>
              <w:spacing w:after="0"/>
              <w:rPr>
                <w:sz w:val="20"/>
                <w:szCs w:val="20"/>
                <w:color w:val="auto"/>
              </w:rPr>
            </w:pPr>
            <w:r>
              <w:rPr>
                <w:rFonts w:ascii="Arial" w:cs="Arial" w:eastAsia="Arial" w:hAnsi="Arial"/>
                <w:sz w:val="18"/>
                <w:szCs w:val="18"/>
                <w:color w:val="auto"/>
              </w:rPr>
              <w:t>1,416</w:t>
            </w:r>
          </w:p>
        </w:tc>
        <w:tc>
          <w:tcPr>
            <w:tcW w:w="3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28,513</w:t>
            </w:r>
          </w:p>
        </w:tc>
      </w:tr>
      <w:tr>
        <w:trPr>
          <w:trHeight w:val="223"/>
        </w:trPr>
        <w:tc>
          <w:tcPr>
            <w:tcW w:w="3640" w:type="dxa"/>
            <w:vAlign w:val="bottom"/>
          </w:tcPr>
          <w:p>
            <w:pPr>
              <w:ind w:left="360"/>
              <w:spacing w:after="0"/>
              <w:rPr>
                <w:sz w:val="20"/>
                <w:szCs w:val="20"/>
                <w:color w:val="auto"/>
              </w:rPr>
            </w:pPr>
            <w:r>
              <w:rPr>
                <w:rFonts w:ascii="Arial" w:cs="Arial" w:eastAsia="Arial" w:hAnsi="Arial"/>
                <w:sz w:val="18"/>
                <w:szCs w:val="18"/>
                <w:color w:val="auto"/>
              </w:rPr>
              <w:t>Income (loss) from operations</w:t>
            </w:r>
          </w:p>
        </w:tc>
        <w:tc>
          <w:tcPr>
            <w:tcW w:w="108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1120" w:type="dxa"/>
            <w:vAlign w:val="bottom"/>
            <w:tcBorders>
              <w:top w:val="single" w:sz="8" w:color="auto"/>
            </w:tcBorders>
          </w:tcPr>
          <w:p>
            <w:pPr>
              <w:ind w:left="640"/>
              <w:spacing w:after="0"/>
              <w:rPr>
                <w:sz w:val="20"/>
                <w:szCs w:val="20"/>
                <w:color w:val="auto"/>
              </w:rPr>
            </w:pPr>
            <w:r>
              <w:rPr>
                <w:rFonts w:ascii="Arial" w:cs="Arial" w:eastAsia="Arial" w:hAnsi="Arial"/>
                <w:sz w:val="18"/>
                <w:szCs w:val="18"/>
                <w:color w:val="auto"/>
                <w:w w:val="83"/>
              </w:rPr>
              <w:t>13,033</w:t>
            </w:r>
          </w:p>
        </w:tc>
        <w:tc>
          <w:tcPr>
            <w:tcW w:w="3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4"/>
              </w:rPr>
              <w:t>(1,495)</w:t>
            </w:r>
          </w:p>
        </w:tc>
        <w:tc>
          <w:tcPr>
            <w:tcW w:w="6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11,538</w:t>
            </w:r>
          </w:p>
        </w:tc>
        <w:tc>
          <w:tcPr>
            <w:tcW w:w="100" w:type="dxa"/>
            <w:vAlign w:val="bottom"/>
          </w:tcPr>
          <w:p>
            <w:pPr>
              <w:spacing w:after="0"/>
              <w:rPr>
                <w:sz w:val="19"/>
                <w:szCs w:val="19"/>
                <w:color w:val="auto"/>
              </w:rPr>
            </w:pPr>
          </w:p>
        </w:tc>
      </w:tr>
      <w:tr>
        <w:trPr>
          <w:trHeight w:val="216"/>
        </w:trPr>
        <w:tc>
          <w:tcPr>
            <w:tcW w:w="36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Total other expense, net</w:t>
            </w:r>
          </w:p>
        </w:tc>
        <w:tc>
          <w:tcPr>
            <w:tcW w:w="10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ind w:left="800"/>
              <w:spacing w:after="0"/>
              <w:rPr>
                <w:sz w:val="20"/>
                <w:szCs w:val="20"/>
                <w:color w:val="auto"/>
              </w:rPr>
            </w:pPr>
            <w:r>
              <w:rPr>
                <w:rFonts w:ascii="Arial" w:cs="Arial" w:eastAsia="Arial" w:hAnsi="Arial"/>
                <w:sz w:val="18"/>
                <w:szCs w:val="18"/>
                <w:color w:val="auto"/>
              </w:rPr>
              <w:t>(165)</w:t>
            </w:r>
          </w:p>
        </w:tc>
        <w:tc>
          <w:tcPr>
            <w:tcW w:w="6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661"/>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(165)</w:t>
            </w:r>
          </w:p>
        </w:tc>
      </w:tr>
      <w:tr>
        <w:trPr>
          <w:trHeight w:val="223"/>
        </w:trPr>
        <w:tc>
          <w:tcPr>
            <w:tcW w:w="3640" w:type="dxa"/>
            <w:vAlign w:val="bottom"/>
          </w:tcPr>
          <w:p>
            <w:pPr>
              <w:ind w:left="720"/>
              <w:spacing w:after="0"/>
              <w:rPr>
                <w:sz w:val="20"/>
                <w:szCs w:val="20"/>
                <w:color w:val="auto"/>
              </w:rPr>
            </w:pPr>
            <w:r>
              <w:rPr>
                <w:rFonts w:ascii="Arial" w:cs="Arial" w:eastAsia="Arial" w:hAnsi="Arial"/>
                <w:sz w:val="18"/>
                <w:szCs w:val="18"/>
                <w:color w:val="auto"/>
              </w:rPr>
              <w:t>Net income (loss)</w:t>
            </w:r>
          </w:p>
        </w:tc>
        <w:tc>
          <w:tcPr>
            <w:tcW w:w="1080" w:type="dxa"/>
            <w:vAlign w:val="bottom"/>
          </w:tcPr>
          <w:p>
            <w:pPr>
              <w:spacing w:after="0"/>
              <w:rPr>
                <w:sz w:val="19"/>
                <w:szCs w:val="19"/>
                <w:color w:val="auto"/>
              </w:rPr>
            </w:pPr>
          </w:p>
        </w:tc>
        <w:tc>
          <w:tcPr>
            <w:tcW w:w="2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1120" w:type="dxa"/>
            <w:vAlign w:val="bottom"/>
            <w:tcBorders>
              <w:top w:val="single" w:sz="8" w:color="auto"/>
              <w:bottom w:val="single" w:sz="8" w:color="auto"/>
            </w:tcBorders>
          </w:tcPr>
          <w:p>
            <w:pPr>
              <w:ind w:left="640"/>
              <w:spacing w:after="0"/>
              <w:rPr>
                <w:sz w:val="20"/>
                <w:szCs w:val="20"/>
                <w:color w:val="auto"/>
              </w:rPr>
            </w:pPr>
            <w:r>
              <w:rPr>
                <w:rFonts w:ascii="Arial" w:cs="Arial" w:eastAsia="Arial" w:hAnsi="Arial"/>
                <w:sz w:val="18"/>
                <w:szCs w:val="18"/>
                <w:color w:val="auto"/>
                <w:w w:val="83"/>
              </w:rPr>
              <w:t>12,868</w:t>
            </w:r>
          </w:p>
        </w:tc>
        <w:tc>
          <w:tcPr>
            <w:tcW w:w="3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8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(1,495</w:t>
            </w:r>
          </w:p>
        </w:tc>
        <w:tc>
          <w:tcPr>
            <w:tcW w:w="640" w:type="dxa"/>
            <w:vAlign w:val="bottom"/>
          </w:tcPr>
          <w:p>
            <w:pPr>
              <w:jc w:val="right"/>
              <w:ind w:right="501"/>
              <w:spacing w:after="0"/>
              <w:rPr>
                <w:sz w:val="20"/>
                <w:szCs w:val="20"/>
                <w:color w:val="auto"/>
              </w:rPr>
            </w:pPr>
            <w:r>
              <w:rPr>
                <w:rFonts w:ascii="Arial" w:cs="Arial" w:eastAsia="Arial" w:hAnsi="Arial"/>
                <w:sz w:val="16"/>
                <w:szCs w:val="16"/>
                <w:color w:val="auto"/>
                <w:w w:val="74"/>
              </w:rPr>
              <w:t>)</w:t>
            </w:r>
          </w:p>
        </w:tc>
        <w:tc>
          <w:tcPr>
            <w:tcW w:w="320" w:type="dxa"/>
            <w:vAlign w:val="bottom"/>
          </w:tcPr>
          <w:p>
            <w:pPr>
              <w:spacing w:after="0"/>
              <w:rPr>
                <w:sz w:val="19"/>
                <w:szCs w:val="19"/>
                <w:color w:val="auto"/>
              </w:rPr>
            </w:pPr>
          </w:p>
        </w:tc>
        <w:tc>
          <w:tcPr>
            <w:tcW w:w="2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11,373</w:t>
            </w:r>
          </w:p>
        </w:tc>
        <w:tc>
          <w:tcPr>
            <w:tcW w:w="100" w:type="dxa"/>
            <w:vAlign w:val="bottom"/>
          </w:tcPr>
          <w:p>
            <w:pPr>
              <w:spacing w:after="0"/>
              <w:rPr>
                <w:sz w:val="19"/>
                <w:szCs w:val="19"/>
                <w:color w:val="auto"/>
              </w:rPr>
            </w:pPr>
          </w:p>
        </w:tc>
      </w:tr>
      <w:tr>
        <w:trPr>
          <w:trHeight w:val="20"/>
        </w:trPr>
        <w:tc>
          <w:tcPr>
            <w:tcW w:w="36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358"/>
        </w:trPr>
        <w:tc>
          <w:tcPr>
            <w:tcW w:w="36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80" w:type="dxa"/>
            <w:vAlign w:val="bottom"/>
            <w:gridSpan w:val="2"/>
          </w:tcPr>
          <w:p>
            <w:pPr>
              <w:ind w:left="80"/>
              <w:spacing w:after="0"/>
              <w:rPr>
                <w:sz w:val="20"/>
                <w:szCs w:val="20"/>
                <w:color w:val="auto"/>
              </w:rPr>
            </w:pPr>
            <w:r>
              <w:rPr>
                <w:rFonts w:ascii="Arial" w:cs="Arial" w:eastAsia="Arial" w:hAnsi="Arial"/>
                <w:sz w:val="18"/>
                <w:szCs w:val="18"/>
                <w:color w:val="auto"/>
              </w:rPr>
              <w:t>F-22</w:t>
            </w:r>
          </w:p>
        </w:tc>
        <w:tc>
          <w:tcPr>
            <w:tcW w:w="6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r>
    </w:tbl>
    <w:p>
      <w:pPr>
        <w:sectPr>
          <w:pgSz w:w="11900" w:h="16838" w:orient="portrait"/>
          <w:cols w:equalWidth="0" w:num="1">
            <w:col w:w="11140"/>
          </w:cols>
          <w:pgMar w:left="320" w:top="459" w:right="439" w:bottom="1440" w:gutter="0" w:footer="0" w:header="0"/>
        </w:sectPr>
      </w:pPr>
    </w:p>
    <w:bookmarkStart w:id="228" w:name="page229"/>
    <w:bookmarkEnd w:id="2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3">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Confidential Treatment Requested by Definitive Healthcare Corp.</w:t>
      </w:r>
    </w:p>
    <w:p>
      <w:pPr>
        <w:spacing w:after="0" w:line="27"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Pursuant to 17 C.F.R. Section 200.83</w:t>
      </w:r>
    </w:p>
    <w:p>
      <w:pPr>
        <w:spacing w:after="0" w:line="135" w:lineRule="exact"/>
        <w:rPr>
          <w:sz w:val="20"/>
          <w:szCs w:val="20"/>
          <w:color w:val="auto"/>
        </w:rPr>
      </w:pPr>
    </w:p>
    <w:tbl>
      <w:tblPr>
        <w:tblLayout w:type="fixed"/>
        <w:tblInd w:w="560" w:type="dxa"/>
        <w:tblCellMar>
          <w:top w:w="0" w:type="dxa"/>
          <w:left w:w="0" w:type="dxa"/>
          <w:bottom w:w="0" w:type="dxa"/>
          <w:right w:w="0" w:type="dxa"/>
        </w:tblCellMar>
      </w:tblPr>
      <w:tr>
        <w:trPr>
          <w:trHeight w:val="171"/>
        </w:trPr>
        <w:tc>
          <w:tcPr>
            <w:tcW w:w="49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2180" w:type="dxa"/>
            <w:vAlign w:val="bottom"/>
            <w:tcBorders>
              <w:bottom w:val="single" w:sz="8" w:color="auto"/>
            </w:tcBorders>
            <w:gridSpan w:val="4"/>
          </w:tcPr>
          <w:p>
            <w:pPr>
              <w:jc w:val="right"/>
              <w:ind w:right="581"/>
              <w:spacing w:after="0"/>
              <w:rPr>
                <w:sz w:val="20"/>
                <w:szCs w:val="20"/>
                <w:color w:val="auto"/>
              </w:rPr>
            </w:pPr>
            <w:r>
              <w:rPr>
                <w:rFonts w:ascii="Arial" w:cs="Arial" w:eastAsia="Arial" w:hAnsi="Arial"/>
                <w:sz w:val="14"/>
                <w:szCs w:val="14"/>
                <w:b w:val="1"/>
                <w:bCs w:val="1"/>
                <w:color w:val="auto"/>
              </w:rPr>
              <w:t>Successor Company</w:t>
            </w:r>
          </w:p>
        </w:tc>
        <w:tc>
          <w:tcPr>
            <w:tcW w:w="18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23"/>
        </w:trPr>
        <w:tc>
          <w:tcPr>
            <w:tcW w:w="49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460" w:type="dxa"/>
            <w:vAlign w:val="bottom"/>
            <w:gridSpan w:val="2"/>
          </w:tcPr>
          <w:p>
            <w:pPr>
              <w:jc w:val="center"/>
              <w:ind w:right="540"/>
              <w:spacing w:after="0" w:line="123" w:lineRule="exact"/>
              <w:rPr>
                <w:sz w:val="20"/>
                <w:szCs w:val="20"/>
                <w:color w:val="auto"/>
              </w:rPr>
            </w:pPr>
            <w:r>
              <w:rPr>
                <w:rFonts w:ascii="Arial" w:cs="Arial" w:eastAsia="Arial" w:hAnsi="Arial"/>
                <w:sz w:val="14"/>
                <w:szCs w:val="14"/>
                <w:color w:val="auto"/>
                <w:w w:val="92"/>
              </w:rPr>
              <w:t>As Reported</w:t>
            </w:r>
          </w:p>
        </w:tc>
        <w:tc>
          <w:tcPr>
            <w:tcW w:w="5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100" w:type="dxa"/>
            <w:vAlign w:val="bottom"/>
          </w:tcPr>
          <w:p>
            <w:pPr>
              <w:jc w:val="center"/>
              <w:ind w:right="94"/>
              <w:spacing w:after="0" w:line="123" w:lineRule="exact"/>
              <w:rPr>
                <w:sz w:val="20"/>
                <w:szCs w:val="20"/>
                <w:color w:val="auto"/>
              </w:rPr>
            </w:pPr>
            <w:r>
              <w:rPr>
                <w:rFonts w:ascii="Arial" w:cs="Arial" w:eastAsia="Arial" w:hAnsi="Arial"/>
                <w:sz w:val="14"/>
                <w:szCs w:val="14"/>
                <w:color w:val="auto"/>
                <w:w w:val="96"/>
              </w:rPr>
              <w:t>As Adjusted</w:t>
            </w:r>
          </w:p>
        </w:tc>
        <w:tc>
          <w:tcPr>
            <w:tcW w:w="100" w:type="dxa"/>
            <w:vAlign w:val="bottom"/>
          </w:tcPr>
          <w:p>
            <w:pPr>
              <w:spacing w:after="0"/>
              <w:rPr>
                <w:sz w:val="10"/>
                <w:szCs w:val="10"/>
                <w:color w:val="auto"/>
              </w:rPr>
            </w:pPr>
          </w:p>
        </w:tc>
      </w:tr>
      <w:tr>
        <w:trPr>
          <w:trHeight w:val="148"/>
        </w:trPr>
        <w:tc>
          <w:tcPr>
            <w:tcW w:w="49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20" w:type="dxa"/>
            <w:vAlign w:val="bottom"/>
            <w:gridSpan w:val="3"/>
          </w:tcPr>
          <w:p>
            <w:pPr>
              <w:jc w:val="center"/>
              <w:ind w:right="400"/>
              <w:spacing w:after="0" w:line="149" w:lineRule="exact"/>
              <w:rPr>
                <w:sz w:val="20"/>
                <w:szCs w:val="20"/>
                <w:color w:val="auto"/>
              </w:rPr>
            </w:pPr>
            <w:r>
              <w:rPr>
                <w:rFonts w:ascii="Arial" w:cs="Arial" w:eastAsia="Arial" w:hAnsi="Arial"/>
                <w:sz w:val="14"/>
                <w:szCs w:val="14"/>
                <w:color w:val="auto"/>
                <w:w w:val="94"/>
              </w:rPr>
              <w:t>Period from July 16,</w:t>
            </w:r>
          </w:p>
        </w:tc>
        <w:tc>
          <w:tcPr>
            <w:tcW w:w="5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380" w:type="dxa"/>
            <w:vAlign w:val="bottom"/>
            <w:gridSpan w:val="3"/>
          </w:tcPr>
          <w:p>
            <w:pPr>
              <w:jc w:val="center"/>
              <w:ind w:right="120"/>
              <w:spacing w:after="0" w:line="149" w:lineRule="exact"/>
              <w:rPr>
                <w:sz w:val="20"/>
                <w:szCs w:val="20"/>
                <w:color w:val="auto"/>
              </w:rPr>
            </w:pPr>
            <w:r>
              <w:rPr>
                <w:rFonts w:ascii="Arial" w:cs="Arial" w:eastAsia="Arial" w:hAnsi="Arial"/>
                <w:sz w:val="14"/>
                <w:szCs w:val="14"/>
                <w:color w:val="auto"/>
                <w:w w:val="94"/>
              </w:rPr>
              <w:t>Period from July 16,</w:t>
            </w:r>
          </w:p>
        </w:tc>
      </w:tr>
      <w:tr>
        <w:trPr>
          <w:trHeight w:val="148"/>
        </w:trPr>
        <w:tc>
          <w:tcPr>
            <w:tcW w:w="49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20" w:type="dxa"/>
            <w:vAlign w:val="bottom"/>
            <w:gridSpan w:val="3"/>
          </w:tcPr>
          <w:p>
            <w:pPr>
              <w:jc w:val="center"/>
              <w:ind w:right="360"/>
              <w:spacing w:after="0" w:line="149" w:lineRule="exact"/>
              <w:rPr>
                <w:sz w:val="20"/>
                <w:szCs w:val="20"/>
                <w:color w:val="auto"/>
              </w:rPr>
            </w:pPr>
            <w:r>
              <w:rPr>
                <w:rFonts w:ascii="Arial" w:cs="Arial" w:eastAsia="Arial" w:hAnsi="Arial"/>
                <w:sz w:val="14"/>
                <w:szCs w:val="14"/>
                <w:color w:val="auto"/>
                <w:w w:val="90"/>
              </w:rPr>
              <w:t>2019 to December 31,</w:t>
            </w:r>
          </w:p>
        </w:tc>
        <w:tc>
          <w:tcPr>
            <w:tcW w:w="5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380" w:type="dxa"/>
            <w:vAlign w:val="bottom"/>
            <w:gridSpan w:val="3"/>
          </w:tcPr>
          <w:p>
            <w:pPr>
              <w:jc w:val="center"/>
              <w:ind w:right="100"/>
              <w:spacing w:after="0" w:line="149" w:lineRule="exact"/>
              <w:rPr>
                <w:sz w:val="20"/>
                <w:szCs w:val="20"/>
                <w:color w:val="auto"/>
              </w:rPr>
            </w:pPr>
            <w:r>
              <w:rPr>
                <w:rFonts w:ascii="Arial" w:cs="Arial" w:eastAsia="Arial" w:hAnsi="Arial"/>
                <w:sz w:val="14"/>
                <w:szCs w:val="14"/>
                <w:color w:val="auto"/>
                <w:w w:val="92"/>
              </w:rPr>
              <w:t>2019 to December 31,</w:t>
            </w:r>
          </w:p>
        </w:tc>
      </w:tr>
      <w:tr>
        <w:trPr>
          <w:trHeight w:val="181"/>
        </w:trPr>
        <w:tc>
          <w:tcPr>
            <w:tcW w:w="49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00" w:type="dxa"/>
            <w:vAlign w:val="bottom"/>
          </w:tcPr>
          <w:p>
            <w:pPr>
              <w:jc w:val="center"/>
              <w:ind w:right="94"/>
              <w:spacing w:after="0"/>
              <w:rPr>
                <w:sz w:val="20"/>
                <w:szCs w:val="20"/>
                <w:color w:val="auto"/>
              </w:rPr>
            </w:pPr>
            <w:r>
              <w:rPr>
                <w:rFonts w:ascii="Arial" w:cs="Arial" w:eastAsia="Arial" w:hAnsi="Arial"/>
                <w:sz w:val="14"/>
                <w:szCs w:val="14"/>
                <w:color w:val="auto"/>
                <w:w w:val="89"/>
              </w:rPr>
              <w:t>2019</w:t>
            </w:r>
          </w:p>
        </w:tc>
        <w:tc>
          <w:tcPr>
            <w:tcW w:w="3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640" w:type="dxa"/>
            <w:vAlign w:val="bottom"/>
            <w:gridSpan w:val="3"/>
          </w:tcPr>
          <w:p>
            <w:pPr>
              <w:spacing w:after="0"/>
              <w:rPr>
                <w:sz w:val="20"/>
                <w:szCs w:val="20"/>
                <w:color w:val="auto"/>
              </w:rPr>
            </w:pPr>
            <w:r>
              <w:rPr>
                <w:rFonts w:ascii="Arial" w:cs="Arial" w:eastAsia="Arial" w:hAnsi="Arial"/>
                <w:sz w:val="14"/>
                <w:szCs w:val="14"/>
                <w:color w:val="auto"/>
              </w:rPr>
              <w:t>Adjustments</w:t>
            </w:r>
          </w:p>
        </w:tc>
        <w:tc>
          <w:tcPr>
            <w:tcW w:w="180" w:type="dxa"/>
            <w:vAlign w:val="bottom"/>
          </w:tcPr>
          <w:p>
            <w:pPr>
              <w:spacing w:after="0"/>
              <w:rPr>
                <w:sz w:val="15"/>
                <w:szCs w:val="15"/>
                <w:color w:val="auto"/>
              </w:rPr>
            </w:pPr>
          </w:p>
        </w:tc>
        <w:tc>
          <w:tcPr>
            <w:tcW w:w="1100" w:type="dxa"/>
            <w:vAlign w:val="bottom"/>
          </w:tcPr>
          <w:p>
            <w:pPr>
              <w:jc w:val="center"/>
              <w:ind w:right="94"/>
              <w:spacing w:after="0"/>
              <w:rPr>
                <w:sz w:val="20"/>
                <w:szCs w:val="20"/>
                <w:color w:val="auto"/>
              </w:rPr>
            </w:pPr>
            <w:r>
              <w:rPr>
                <w:rFonts w:ascii="Arial" w:cs="Arial" w:eastAsia="Arial" w:hAnsi="Arial"/>
                <w:sz w:val="14"/>
                <w:szCs w:val="14"/>
                <w:color w:val="auto"/>
                <w:w w:val="89"/>
              </w:rPr>
              <w:t>2019</w:t>
            </w:r>
          </w:p>
        </w:tc>
        <w:tc>
          <w:tcPr>
            <w:tcW w:w="100" w:type="dxa"/>
            <w:vAlign w:val="bottom"/>
          </w:tcPr>
          <w:p>
            <w:pPr>
              <w:spacing w:after="0"/>
              <w:rPr>
                <w:sz w:val="15"/>
                <w:szCs w:val="15"/>
                <w:color w:val="auto"/>
              </w:rPr>
            </w:pPr>
          </w:p>
        </w:tc>
      </w:tr>
      <w:tr>
        <w:trPr>
          <w:trHeight w:val="216"/>
        </w:trPr>
        <w:tc>
          <w:tcPr>
            <w:tcW w:w="4920" w:type="dxa"/>
            <w:vAlign w:val="bottom"/>
            <w:shd w:val="clear" w:color="auto" w:fill="CCEEFF"/>
          </w:tcPr>
          <w:p>
            <w:pPr>
              <w:spacing w:after="0"/>
              <w:rPr>
                <w:sz w:val="20"/>
                <w:szCs w:val="20"/>
                <w:color w:val="auto"/>
              </w:rPr>
            </w:pPr>
            <w:r>
              <w:rPr>
                <w:rFonts w:ascii="Arial" w:cs="Arial" w:eastAsia="Arial" w:hAnsi="Arial"/>
                <w:sz w:val="18"/>
                <w:szCs w:val="18"/>
                <w:color w:val="auto"/>
              </w:rPr>
              <w:t>Revenue</w:t>
            </w:r>
          </w:p>
        </w:tc>
        <w:tc>
          <w:tcPr>
            <w:tcW w:w="180" w:type="dxa"/>
            <w:vAlign w:val="bottom"/>
            <w:gridSpan w:val="2"/>
            <w:shd w:val="clear" w:color="auto" w:fill="CCEEFF"/>
          </w:tcPr>
          <w:p>
            <w:pPr>
              <w:jc w:val="right"/>
              <w:ind w:right="35"/>
              <w:spacing w:after="0"/>
              <w:rPr>
                <w:sz w:val="20"/>
                <w:szCs w:val="20"/>
                <w:color w:val="auto"/>
              </w:rPr>
            </w:pPr>
            <w:r>
              <w:rPr>
                <w:rFonts w:ascii="Arial" w:cs="Arial" w:eastAsia="Arial" w:hAnsi="Arial"/>
                <w:sz w:val="15"/>
                <w:szCs w:val="15"/>
                <w:color w:val="auto"/>
                <w:w w:val="71"/>
              </w:rPr>
              <w:t>$</w:t>
            </w:r>
          </w:p>
        </w:tc>
        <w:tc>
          <w:tcPr>
            <w:tcW w:w="14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40,045</w:t>
            </w:r>
          </w:p>
        </w:tc>
        <w:tc>
          <w:tcPr>
            <w:tcW w:w="720" w:type="dxa"/>
            <w:vAlign w:val="bottom"/>
            <w:gridSpan w:val="2"/>
            <w:shd w:val="clear" w:color="auto" w:fill="CCEEFF"/>
          </w:tcPr>
          <w:p>
            <w:pPr>
              <w:ind w:left="540"/>
              <w:spacing w:after="0"/>
              <w:rPr>
                <w:sz w:val="20"/>
                <w:szCs w:val="20"/>
                <w:color w:val="auto"/>
              </w:rPr>
            </w:pPr>
            <w:r>
              <w:rPr>
                <w:rFonts w:ascii="Arial" w:cs="Arial" w:eastAsia="Arial" w:hAnsi="Arial"/>
                <w:sz w:val="18"/>
                <w:szCs w:val="18"/>
                <w:color w:val="auto"/>
              </w:rPr>
              <w:t>$</w:t>
            </w:r>
          </w:p>
        </w:tc>
        <w:tc>
          <w:tcPr>
            <w:tcW w:w="1460" w:type="dxa"/>
            <w:vAlign w:val="bottom"/>
            <w:gridSpan w:val="2"/>
            <w:shd w:val="clear" w:color="auto" w:fill="CCEEFF"/>
          </w:tcPr>
          <w:p>
            <w:pPr>
              <w:jc w:val="right"/>
              <w:ind w:right="761"/>
              <w:spacing w:after="0"/>
              <w:rPr>
                <w:sz w:val="20"/>
                <w:szCs w:val="20"/>
                <w:color w:val="auto"/>
              </w:rPr>
            </w:pPr>
            <w:r>
              <w:rPr>
                <w:rFonts w:ascii="Arial" w:cs="Arial" w:eastAsia="Arial" w:hAnsi="Arial"/>
                <w:sz w:val="18"/>
                <w:szCs w:val="18"/>
                <w:color w:val="auto"/>
              </w:rPr>
              <w:t>(66)</w:t>
            </w:r>
          </w:p>
        </w:tc>
        <w:tc>
          <w:tcPr>
            <w:tcW w:w="180" w:type="dxa"/>
            <w:vAlign w:val="bottom"/>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12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39,979</w:t>
            </w:r>
          </w:p>
        </w:tc>
      </w:tr>
      <w:tr>
        <w:trPr>
          <w:trHeight w:val="230"/>
        </w:trPr>
        <w:tc>
          <w:tcPr>
            <w:tcW w:w="4920" w:type="dxa"/>
            <w:vAlign w:val="bottom"/>
          </w:tcPr>
          <w:p>
            <w:pPr>
              <w:spacing w:after="0"/>
              <w:rPr>
                <w:sz w:val="20"/>
                <w:szCs w:val="20"/>
                <w:color w:val="auto"/>
              </w:rPr>
            </w:pPr>
            <w:r>
              <w:rPr>
                <w:rFonts w:ascii="Arial" w:cs="Arial" w:eastAsia="Arial" w:hAnsi="Arial"/>
                <w:sz w:val="18"/>
                <w:szCs w:val="18"/>
                <w:color w:val="auto"/>
              </w:rPr>
              <w:t>Total cost of revenue</w:t>
            </w:r>
          </w:p>
        </w:tc>
        <w:tc>
          <w:tcPr>
            <w:tcW w:w="20" w:type="dxa"/>
            <w:vAlign w:val="bottom"/>
          </w:tcPr>
          <w:p>
            <w:pPr>
              <w:spacing w:after="0"/>
              <w:rPr>
                <w:sz w:val="20"/>
                <w:szCs w:val="20"/>
                <w:color w:val="auto"/>
              </w:rPr>
            </w:pPr>
          </w:p>
        </w:tc>
        <w:tc>
          <w:tcPr>
            <w:tcW w:w="160" w:type="dxa"/>
            <w:vAlign w:val="bottom"/>
            <w:tcBorders>
              <w:top w:val="single" w:sz="8" w:color="auto"/>
              <w:bottom w:val="single" w:sz="8" w:color="auto"/>
            </w:tcBorders>
          </w:tcPr>
          <w:p>
            <w:pPr>
              <w:spacing w:after="0"/>
              <w:rPr>
                <w:sz w:val="20"/>
                <w:szCs w:val="20"/>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13,282</w:t>
            </w:r>
          </w:p>
        </w:tc>
        <w:tc>
          <w:tcPr>
            <w:tcW w:w="36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80" w:type="dxa"/>
            <w:vAlign w:val="bottom"/>
            <w:tcBorders>
              <w:top w:val="single" w:sz="8" w:color="auto"/>
              <w:bottom w:val="single" w:sz="8" w:color="auto"/>
            </w:tcBorders>
          </w:tcPr>
          <w:p>
            <w:pPr>
              <w:spacing w:after="0"/>
              <w:rPr>
                <w:sz w:val="20"/>
                <w:szCs w:val="20"/>
                <w:color w:val="auto"/>
              </w:rPr>
            </w:pPr>
          </w:p>
        </w:tc>
        <w:tc>
          <w:tcPr>
            <w:tcW w:w="56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900" w:type="dxa"/>
            <w:vAlign w:val="bottom"/>
          </w:tcPr>
          <w:p>
            <w:pPr>
              <w:spacing w:after="0"/>
              <w:rPr>
                <w:sz w:val="20"/>
                <w:szCs w:val="20"/>
                <w:color w:val="auto"/>
              </w:rPr>
            </w:pPr>
          </w:p>
        </w:tc>
        <w:tc>
          <w:tcPr>
            <w:tcW w:w="180" w:type="dxa"/>
            <w:vAlign w:val="bottom"/>
            <w:tcBorders>
              <w:top w:val="single" w:sz="8" w:color="auto"/>
              <w:bottom w:val="single" w:sz="8" w:color="auto"/>
            </w:tcBorders>
          </w:tcPr>
          <w:p>
            <w:pPr>
              <w:spacing w:after="0"/>
              <w:rPr>
                <w:sz w:val="20"/>
                <w:szCs w:val="20"/>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13,282</w:t>
            </w:r>
          </w:p>
        </w:tc>
        <w:tc>
          <w:tcPr>
            <w:tcW w:w="100" w:type="dxa"/>
            <w:vAlign w:val="bottom"/>
          </w:tcPr>
          <w:p>
            <w:pPr>
              <w:spacing w:after="0"/>
              <w:rPr>
                <w:sz w:val="20"/>
                <w:szCs w:val="20"/>
                <w:color w:val="auto"/>
              </w:rPr>
            </w:pPr>
          </w:p>
        </w:tc>
      </w:tr>
      <w:tr>
        <w:trPr>
          <w:trHeight w:val="216"/>
        </w:trPr>
        <w:tc>
          <w:tcPr>
            <w:tcW w:w="49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Gross profit</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26,763</w:t>
            </w:r>
          </w:p>
        </w:tc>
        <w:tc>
          <w:tcPr>
            <w:tcW w:w="5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761"/>
              <w:spacing w:after="0"/>
              <w:rPr>
                <w:sz w:val="20"/>
                <w:szCs w:val="20"/>
                <w:color w:val="auto"/>
              </w:rPr>
            </w:pPr>
            <w:r>
              <w:rPr>
                <w:rFonts w:ascii="Arial" w:cs="Arial" w:eastAsia="Arial" w:hAnsi="Arial"/>
                <w:sz w:val="18"/>
                <w:szCs w:val="18"/>
                <w:color w:val="auto"/>
              </w:rPr>
              <w:t>(66)</w:t>
            </w:r>
          </w:p>
        </w:tc>
        <w:tc>
          <w:tcPr>
            <w:tcW w:w="1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26,697</w:t>
            </w:r>
          </w:p>
        </w:tc>
      </w:tr>
      <w:tr>
        <w:trPr>
          <w:trHeight w:val="216"/>
        </w:trPr>
        <w:tc>
          <w:tcPr>
            <w:tcW w:w="4920" w:type="dxa"/>
            <w:vAlign w:val="bottom"/>
          </w:tcPr>
          <w:p>
            <w:pPr>
              <w:spacing w:after="0"/>
              <w:rPr>
                <w:sz w:val="20"/>
                <w:szCs w:val="20"/>
                <w:color w:val="auto"/>
              </w:rPr>
            </w:pPr>
            <w:r>
              <w:rPr>
                <w:rFonts w:ascii="Arial" w:cs="Arial" w:eastAsia="Arial" w:hAnsi="Arial"/>
                <w:sz w:val="18"/>
                <w:szCs w:val="18"/>
                <w:color w:val="auto"/>
              </w:rPr>
              <w:t>Sales and marketing</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60" w:type="dxa"/>
            <w:vAlign w:val="bottom"/>
            <w:gridSpan w:val="2"/>
          </w:tcPr>
          <w:p>
            <w:pPr>
              <w:jc w:val="right"/>
              <w:ind w:right="360"/>
              <w:spacing w:after="0"/>
              <w:rPr>
                <w:sz w:val="20"/>
                <w:szCs w:val="20"/>
                <w:color w:val="auto"/>
              </w:rPr>
            </w:pPr>
            <w:r>
              <w:rPr>
                <w:rFonts w:ascii="Arial" w:cs="Arial" w:eastAsia="Arial" w:hAnsi="Arial"/>
                <w:sz w:val="18"/>
                <w:szCs w:val="18"/>
                <w:color w:val="auto"/>
              </w:rPr>
              <w:t>10,814</w:t>
            </w:r>
          </w:p>
        </w:tc>
        <w:tc>
          <w:tcPr>
            <w:tcW w:w="5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60" w:type="dxa"/>
            <w:vAlign w:val="bottom"/>
            <w:gridSpan w:val="2"/>
          </w:tcPr>
          <w:p>
            <w:pPr>
              <w:jc w:val="right"/>
              <w:ind w:right="821"/>
              <w:spacing w:after="0"/>
              <w:rPr>
                <w:sz w:val="20"/>
                <w:szCs w:val="20"/>
                <w:color w:val="auto"/>
              </w:rPr>
            </w:pPr>
            <w:r>
              <w:rPr>
                <w:rFonts w:ascii="Arial" w:cs="Arial" w:eastAsia="Arial" w:hAnsi="Arial"/>
                <w:sz w:val="18"/>
                <w:szCs w:val="18"/>
                <w:color w:val="auto"/>
              </w:rPr>
              <w:t>2,885</w:t>
            </w:r>
          </w:p>
        </w:tc>
        <w:tc>
          <w:tcPr>
            <w:tcW w:w="180" w:type="dxa"/>
            <w:vAlign w:val="bottom"/>
          </w:tcPr>
          <w:p>
            <w:pPr>
              <w:spacing w:after="0"/>
              <w:rPr>
                <w:sz w:val="18"/>
                <w:szCs w:val="18"/>
                <w:color w:val="auto"/>
              </w:rPr>
            </w:pP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13,699</w:t>
            </w:r>
          </w:p>
        </w:tc>
      </w:tr>
      <w:tr>
        <w:trPr>
          <w:trHeight w:val="216"/>
        </w:trPr>
        <w:tc>
          <w:tcPr>
            <w:tcW w:w="4920" w:type="dxa"/>
            <w:vAlign w:val="bottom"/>
            <w:shd w:val="clear" w:color="auto" w:fill="CCEEFF"/>
          </w:tcPr>
          <w:p>
            <w:pPr>
              <w:spacing w:after="0"/>
              <w:rPr>
                <w:sz w:val="20"/>
                <w:szCs w:val="20"/>
                <w:color w:val="auto"/>
              </w:rPr>
            </w:pPr>
            <w:r>
              <w:rPr>
                <w:rFonts w:ascii="Arial" w:cs="Arial" w:eastAsia="Arial" w:hAnsi="Arial"/>
                <w:sz w:val="18"/>
                <w:szCs w:val="18"/>
                <w:color w:val="auto"/>
              </w:rPr>
              <w:t>Total operating expenses</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57,825</w:t>
            </w:r>
          </w:p>
        </w:tc>
        <w:tc>
          <w:tcPr>
            <w:tcW w:w="5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821"/>
              <w:spacing w:after="0"/>
              <w:rPr>
                <w:sz w:val="20"/>
                <w:szCs w:val="20"/>
                <w:color w:val="auto"/>
              </w:rPr>
            </w:pPr>
            <w:r>
              <w:rPr>
                <w:rFonts w:ascii="Arial" w:cs="Arial" w:eastAsia="Arial" w:hAnsi="Arial"/>
                <w:sz w:val="18"/>
                <w:szCs w:val="18"/>
                <w:color w:val="auto"/>
              </w:rPr>
              <w:t>2,885</w:t>
            </w:r>
          </w:p>
        </w:tc>
        <w:tc>
          <w:tcPr>
            <w:tcW w:w="1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60,710</w:t>
            </w:r>
          </w:p>
        </w:tc>
      </w:tr>
      <w:tr>
        <w:trPr>
          <w:trHeight w:val="223"/>
        </w:trPr>
        <w:tc>
          <w:tcPr>
            <w:tcW w:w="4920" w:type="dxa"/>
            <w:vAlign w:val="bottom"/>
          </w:tcPr>
          <w:p>
            <w:pPr>
              <w:ind w:left="360"/>
              <w:spacing w:after="0"/>
              <w:rPr>
                <w:sz w:val="20"/>
                <w:szCs w:val="20"/>
                <w:color w:val="auto"/>
              </w:rPr>
            </w:pPr>
            <w:r>
              <w:rPr>
                <w:rFonts w:ascii="Arial" w:cs="Arial" w:eastAsia="Arial" w:hAnsi="Arial"/>
                <w:sz w:val="18"/>
                <w:szCs w:val="18"/>
                <w:color w:val="auto"/>
              </w:rPr>
              <w:t>Loss from operations</w:t>
            </w:r>
          </w:p>
        </w:tc>
        <w:tc>
          <w:tcPr>
            <w:tcW w:w="2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(31,062)</w:t>
            </w:r>
          </w:p>
        </w:tc>
        <w:tc>
          <w:tcPr>
            <w:tcW w:w="3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4"/>
              </w:rPr>
              <w:t>(2,951)</w:t>
            </w:r>
          </w:p>
        </w:tc>
        <w:tc>
          <w:tcPr>
            <w:tcW w:w="90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(34,013)</w:t>
            </w:r>
          </w:p>
        </w:tc>
        <w:tc>
          <w:tcPr>
            <w:tcW w:w="100" w:type="dxa"/>
            <w:vAlign w:val="bottom"/>
          </w:tcPr>
          <w:p>
            <w:pPr>
              <w:spacing w:after="0"/>
              <w:rPr>
                <w:sz w:val="19"/>
                <w:szCs w:val="19"/>
                <w:color w:val="auto"/>
              </w:rPr>
            </w:pPr>
          </w:p>
        </w:tc>
      </w:tr>
      <w:tr>
        <w:trPr>
          <w:trHeight w:val="216"/>
        </w:trPr>
        <w:tc>
          <w:tcPr>
            <w:tcW w:w="49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Total other expense, net</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(18,204)</w:t>
            </w:r>
          </w:p>
        </w:tc>
        <w:tc>
          <w:tcPr>
            <w:tcW w:w="5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921"/>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(18,204)</w:t>
            </w:r>
          </w:p>
        </w:tc>
      </w:tr>
      <w:tr>
        <w:trPr>
          <w:trHeight w:val="223"/>
        </w:trPr>
        <w:tc>
          <w:tcPr>
            <w:tcW w:w="4920" w:type="dxa"/>
            <w:vAlign w:val="bottom"/>
          </w:tcPr>
          <w:p>
            <w:pPr>
              <w:ind w:left="720"/>
              <w:spacing w:after="0"/>
              <w:rPr>
                <w:sz w:val="20"/>
                <w:szCs w:val="20"/>
                <w:color w:val="auto"/>
              </w:rPr>
            </w:pPr>
            <w:r>
              <w:rPr>
                <w:rFonts w:ascii="Arial" w:cs="Arial" w:eastAsia="Arial" w:hAnsi="Arial"/>
                <w:sz w:val="18"/>
                <w:szCs w:val="18"/>
                <w:color w:val="auto"/>
              </w:rPr>
              <w:t>Net loss</w:t>
            </w:r>
          </w:p>
        </w:tc>
        <w:tc>
          <w:tcPr>
            <w:tcW w:w="20" w:type="dxa"/>
            <w:vAlign w:val="bottom"/>
            <w:tcBorders>
              <w:bottom w:val="single" w:sz="8" w:color="auto"/>
            </w:tcBorders>
          </w:tcPr>
          <w:p>
            <w:pPr>
              <w:spacing w:after="0"/>
              <w:rPr>
                <w:sz w:val="19"/>
                <w:szCs w:val="19"/>
                <w:color w:val="auto"/>
              </w:rPr>
            </w:pPr>
          </w:p>
        </w:tc>
        <w:tc>
          <w:tcPr>
            <w:tcW w:w="160" w:type="dxa"/>
            <w:vAlign w:val="bottom"/>
            <w:tcBorders>
              <w:top w:val="single" w:sz="8" w:color="auto"/>
              <w:bottom w:val="single" w:sz="8" w:color="auto"/>
            </w:tcBorders>
          </w:tcPr>
          <w:p>
            <w:pPr>
              <w:jc w:val="right"/>
              <w:ind w:right="35"/>
              <w:spacing w:after="0"/>
              <w:rPr>
                <w:sz w:val="20"/>
                <w:szCs w:val="20"/>
                <w:color w:val="auto"/>
              </w:rPr>
            </w:pPr>
            <w:r>
              <w:rPr>
                <w:rFonts w:ascii="Arial" w:cs="Arial" w:eastAsia="Arial" w:hAnsi="Arial"/>
                <w:sz w:val="10"/>
                <w:szCs w:val="10"/>
                <w:color w:val="auto"/>
                <w:w w:val="71"/>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(49,266)</w:t>
            </w:r>
          </w:p>
        </w:tc>
        <w:tc>
          <w:tcPr>
            <w:tcW w:w="3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8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(2,951</w:t>
            </w:r>
          </w:p>
        </w:tc>
        <w:tc>
          <w:tcPr>
            <w:tcW w:w="900" w:type="dxa"/>
            <w:vAlign w:val="bottom"/>
          </w:tcPr>
          <w:p>
            <w:pPr>
              <w:jc w:val="right"/>
              <w:ind w:right="761"/>
              <w:spacing w:after="0"/>
              <w:rPr>
                <w:sz w:val="20"/>
                <w:szCs w:val="20"/>
                <w:color w:val="auto"/>
              </w:rPr>
            </w:pPr>
            <w:r>
              <w:rPr>
                <w:rFonts w:ascii="Arial" w:cs="Arial" w:eastAsia="Arial" w:hAnsi="Arial"/>
                <w:sz w:val="16"/>
                <w:szCs w:val="16"/>
                <w:color w:val="auto"/>
                <w:w w:val="74"/>
              </w:rPr>
              <w:t>)</w:t>
            </w:r>
          </w:p>
        </w:tc>
        <w:tc>
          <w:tcPr>
            <w:tcW w:w="180" w:type="dxa"/>
            <w:vAlign w:val="bottom"/>
            <w:tcBorders>
              <w:top w:val="single" w:sz="8" w:color="auto"/>
              <w:bottom w:val="single" w:sz="8" w:color="auto"/>
            </w:tcBorders>
          </w:tcPr>
          <w:p>
            <w:pPr>
              <w:jc w:val="right"/>
              <w:ind w:right="27"/>
              <w:spacing w:after="0"/>
              <w:rPr>
                <w:sz w:val="20"/>
                <w:szCs w:val="20"/>
                <w:color w:val="auto"/>
              </w:rPr>
            </w:pPr>
            <w:r>
              <w:rPr>
                <w:rFonts w:ascii="Arial" w:cs="Arial" w:eastAsia="Arial" w:hAnsi="Arial"/>
                <w:sz w:val="15"/>
                <w:szCs w:val="15"/>
                <w:color w:val="auto"/>
                <w:w w:val="71"/>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(52,217)</w:t>
            </w:r>
          </w:p>
        </w:tc>
        <w:tc>
          <w:tcPr>
            <w:tcW w:w="100" w:type="dxa"/>
            <w:vAlign w:val="bottom"/>
          </w:tcPr>
          <w:p>
            <w:pPr>
              <w:spacing w:after="0"/>
              <w:rPr>
                <w:sz w:val="19"/>
                <w:szCs w:val="19"/>
                <w:color w:val="auto"/>
              </w:rPr>
            </w:pPr>
          </w:p>
        </w:tc>
      </w:tr>
      <w:tr>
        <w:trPr>
          <w:trHeight w:val="20"/>
        </w:trPr>
        <w:tc>
          <w:tcPr>
            <w:tcW w:w="49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15" w:lineRule="exact"/>
        <w:rPr>
          <w:sz w:val="20"/>
          <w:szCs w:val="20"/>
          <w:color w:val="auto"/>
        </w:rPr>
      </w:pPr>
    </w:p>
    <w:p>
      <w:pPr>
        <w:ind w:left="120" w:firstLine="440"/>
        <w:spacing w:after="0" w:line="259" w:lineRule="auto"/>
        <w:rPr>
          <w:sz w:val="20"/>
          <w:szCs w:val="20"/>
          <w:color w:val="auto"/>
        </w:rPr>
      </w:pPr>
      <w:r>
        <w:rPr>
          <w:rFonts w:ascii="Arial" w:cs="Arial" w:eastAsia="Arial" w:hAnsi="Arial"/>
          <w:sz w:val="18"/>
          <w:szCs w:val="18"/>
          <w:color w:val="auto"/>
        </w:rPr>
        <w:t>In January 2017, the FASB issued ASU No. 2017-04</w:t>
      </w:r>
      <w:r>
        <w:rPr>
          <w:rFonts w:ascii="Arial" w:cs="Arial" w:eastAsia="Arial" w:hAnsi="Arial"/>
          <w:sz w:val="18"/>
          <w:szCs w:val="18"/>
          <w:i w:val="1"/>
          <w:iCs w:val="1"/>
          <w:color w:val="auto"/>
        </w:rPr>
        <w:t>—Goodwill and Other (Topic 350) – Simplifying the Test for Goodwill Impairment.</w:t>
      </w:r>
      <w:r>
        <w:rPr>
          <w:rFonts w:ascii="Arial" w:cs="Arial" w:eastAsia="Arial" w:hAnsi="Arial"/>
          <w:sz w:val="18"/>
          <w:szCs w:val="18"/>
          <w:color w:val="auto"/>
        </w:rPr>
        <w:t xml:space="preserve"> ASU 2017-04 simplifies the accounting for goodwill impairments by eliminating step 2 from the goodwill impairment test. The amendment is effective for fiscal years beginning after December 15, 2020. The Company adopted this standard on January 1, 2019. The adoption did not have a material impact on the Company’s financial statements.</w:t>
      </w:r>
    </w:p>
    <w:p>
      <w:pPr>
        <w:spacing w:after="0" w:line="187" w:lineRule="exact"/>
        <w:rPr>
          <w:sz w:val="20"/>
          <w:szCs w:val="20"/>
          <w:color w:val="auto"/>
        </w:rPr>
      </w:pPr>
    </w:p>
    <w:p>
      <w:pPr>
        <w:ind w:left="120" w:right="40" w:firstLine="440"/>
        <w:spacing w:after="0" w:line="291" w:lineRule="auto"/>
        <w:rPr>
          <w:sz w:val="20"/>
          <w:szCs w:val="20"/>
          <w:color w:val="auto"/>
        </w:rPr>
      </w:pPr>
      <w:r>
        <w:rPr>
          <w:rFonts w:ascii="Arial" w:cs="Arial" w:eastAsia="Arial" w:hAnsi="Arial"/>
          <w:sz w:val="16"/>
          <w:szCs w:val="16"/>
          <w:color w:val="auto"/>
        </w:rPr>
        <w:t>In June 2018, the FASB issued ASU No. 2018-07</w:t>
      </w:r>
      <w:r>
        <w:rPr>
          <w:rFonts w:ascii="Arial" w:cs="Arial" w:eastAsia="Arial" w:hAnsi="Arial"/>
          <w:sz w:val="16"/>
          <w:szCs w:val="16"/>
          <w:i w:val="1"/>
          <w:iCs w:val="1"/>
          <w:color w:val="auto"/>
        </w:rPr>
        <w:t>—Compensation—Stock Compensation (Topic 718), Improvements to Nonemployee Share-based</w:t>
      </w:r>
      <w:r>
        <w:rPr>
          <w:rFonts w:ascii="Arial" w:cs="Arial" w:eastAsia="Arial" w:hAnsi="Arial"/>
          <w:sz w:val="16"/>
          <w:szCs w:val="16"/>
          <w:color w:val="auto"/>
        </w:rPr>
        <w:t xml:space="preserve"> </w:t>
      </w:r>
      <w:r>
        <w:rPr>
          <w:rFonts w:ascii="Arial" w:cs="Arial" w:eastAsia="Arial" w:hAnsi="Arial"/>
          <w:sz w:val="16"/>
          <w:szCs w:val="16"/>
          <w:i w:val="1"/>
          <w:iCs w:val="1"/>
          <w:color w:val="auto"/>
        </w:rPr>
        <w:t>Payment Accounting</w:t>
      </w:r>
      <w:r>
        <w:rPr>
          <w:rFonts w:ascii="Arial" w:cs="Arial" w:eastAsia="Arial" w:hAnsi="Arial"/>
          <w:sz w:val="16"/>
          <w:szCs w:val="16"/>
          <w:color w:val="auto"/>
        </w:rPr>
        <w:t>. This standard aligns most of the guidance on share-based payments to nonemployees with share-based payments</w:t>
      </w:r>
    </w:p>
    <w:p>
      <w:pPr>
        <w:ind w:left="120" w:right="100"/>
        <w:spacing w:after="0" w:line="255" w:lineRule="auto"/>
        <w:rPr>
          <w:sz w:val="20"/>
          <w:szCs w:val="20"/>
          <w:color w:val="auto"/>
        </w:rPr>
      </w:pPr>
      <w:r>
        <w:rPr>
          <w:rFonts w:ascii="Arial" w:cs="Arial" w:eastAsia="Arial" w:hAnsi="Arial"/>
          <w:sz w:val="18"/>
          <w:szCs w:val="18"/>
          <w:color w:val="auto"/>
        </w:rPr>
        <w:t>to employees. The amendment is effective for fiscal years beginning after December 15, 2019 and interim periods within fiscal years beginning after December 15, 2020, with early adoption permitted. The Company adopted the update in its 2020 annual and interim periods. The adoption did not have an impact on the consolidated financial statements.</w:t>
      </w:r>
    </w:p>
    <w:p>
      <w:pPr>
        <w:spacing w:after="0" w:line="298"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Recently-Issued Accounting Pronouncements Not Yet Adopted</w:t>
      </w:r>
    </w:p>
    <w:p>
      <w:pPr>
        <w:spacing w:after="0" w:line="117" w:lineRule="exact"/>
        <w:rPr>
          <w:sz w:val="20"/>
          <w:szCs w:val="20"/>
          <w:color w:val="auto"/>
        </w:rPr>
      </w:pPr>
    </w:p>
    <w:p>
      <w:pPr>
        <w:ind w:left="120" w:right="120" w:firstLine="440"/>
        <w:spacing w:after="0" w:line="291" w:lineRule="auto"/>
        <w:rPr>
          <w:sz w:val="20"/>
          <w:szCs w:val="20"/>
          <w:color w:val="auto"/>
        </w:rPr>
      </w:pPr>
      <w:r>
        <w:rPr>
          <w:rFonts w:ascii="Arial" w:cs="Arial" w:eastAsia="Arial" w:hAnsi="Arial"/>
          <w:sz w:val="16"/>
          <w:szCs w:val="16"/>
          <w:color w:val="auto"/>
        </w:rPr>
        <w:t>In February 2016, the FASB issued ASU 2016-02—</w:t>
      </w:r>
      <w:r>
        <w:rPr>
          <w:rFonts w:ascii="Arial" w:cs="Arial" w:eastAsia="Arial" w:hAnsi="Arial"/>
          <w:sz w:val="16"/>
          <w:szCs w:val="16"/>
          <w:i w:val="1"/>
          <w:iCs w:val="1"/>
          <w:color w:val="auto"/>
        </w:rPr>
        <w:t>Leases</w:t>
      </w:r>
      <w:r>
        <w:rPr>
          <w:rFonts w:ascii="Arial" w:cs="Arial" w:eastAsia="Arial" w:hAnsi="Arial"/>
          <w:sz w:val="16"/>
          <w:szCs w:val="16"/>
          <w:color w:val="auto"/>
        </w:rPr>
        <w:t>. The new standard establishes a right-of-use (“ROU”) model that requires a lessee to record a ROU asset and a lease liability on the balance sheet for all leases with terms longer than twelve months. Leases will be classified as either finance or operating, with classification affecting the pattern of expense recognition in the income statement. The new standard is effective for private companies with annual reporting periods beginning after December 15, 2021. A modified retrospective transition approach is required for capital and operating leases existing at, or entered into after, the beginning of the earliest comparative period presented in the financial statements, or by not adjusting the comparative periods and recording a cumulative effect adjustment as of the adoption date, with certain practical expedients available. The Company is currently evaluating the impact the adoption of this standard will have on its consolidated financial statements.</w:t>
      </w:r>
    </w:p>
    <w:p>
      <w:pPr>
        <w:spacing w:after="0" w:line="166" w:lineRule="exact"/>
        <w:rPr>
          <w:sz w:val="20"/>
          <w:szCs w:val="20"/>
          <w:color w:val="auto"/>
        </w:rPr>
      </w:pPr>
    </w:p>
    <w:p>
      <w:pPr>
        <w:ind w:left="120" w:right="80" w:firstLine="440"/>
        <w:spacing w:after="0" w:line="257" w:lineRule="auto"/>
        <w:rPr>
          <w:sz w:val="20"/>
          <w:szCs w:val="20"/>
          <w:color w:val="auto"/>
        </w:rPr>
      </w:pPr>
      <w:r>
        <w:rPr>
          <w:rFonts w:ascii="Arial" w:cs="Arial" w:eastAsia="Arial" w:hAnsi="Arial"/>
          <w:sz w:val="18"/>
          <w:szCs w:val="18"/>
          <w:color w:val="auto"/>
        </w:rPr>
        <w:t>In June 2016, the FASB issued ASU No. 2016-13</w:t>
      </w:r>
      <w:r>
        <w:rPr>
          <w:rFonts w:ascii="Arial" w:cs="Arial" w:eastAsia="Arial" w:hAnsi="Arial"/>
          <w:sz w:val="18"/>
          <w:szCs w:val="18"/>
          <w:i w:val="1"/>
          <w:iCs w:val="1"/>
          <w:color w:val="auto"/>
        </w:rPr>
        <w:t>—Financial Instruments—Credit Losses (Topic 326)—Measurement of Credit Losses on</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Financial Instruments. </w:t>
      </w:r>
      <w:r>
        <w:rPr>
          <w:rFonts w:ascii="Arial" w:cs="Arial" w:eastAsia="Arial" w:hAnsi="Arial"/>
          <w:sz w:val="18"/>
          <w:szCs w:val="18"/>
          <w:color w:val="auto"/>
        </w:rPr>
        <w:t>This standard is intended to improve financial reporting by requiring earlier recognition of credit losses on financing receivables</w:t>
      </w:r>
      <w:r>
        <w:rPr>
          <w:rFonts w:ascii="Arial" w:cs="Arial" w:eastAsia="Arial" w:hAnsi="Arial"/>
          <w:sz w:val="18"/>
          <w:szCs w:val="18"/>
          <w:i w:val="1"/>
          <w:iCs w:val="1"/>
          <w:color w:val="auto"/>
        </w:rPr>
        <w:t xml:space="preserve"> </w:t>
      </w:r>
      <w:r>
        <w:rPr>
          <w:rFonts w:ascii="Arial" w:cs="Arial" w:eastAsia="Arial" w:hAnsi="Arial"/>
          <w:sz w:val="18"/>
          <w:szCs w:val="18"/>
          <w:color w:val="auto"/>
        </w:rPr>
        <w:t>and other financial assets in scope, such as trade receivables. The amendment is effective for fiscal years beginning after December 15, 2022. The Company will adopt this effective January 1, 2023 and does not expect the adoption of the standard to have a material impact on its consolidated financial statements.</w:t>
      </w:r>
    </w:p>
    <w:p>
      <w:pPr>
        <w:spacing w:after="0" w:line="188" w:lineRule="exact"/>
        <w:rPr>
          <w:sz w:val="20"/>
          <w:szCs w:val="20"/>
          <w:color w:val="auto"/>
        </w:rPr>
      </w:pPr>
    </w:p>
    <w:p>
      <w:pPr>
        <w:ind w:left="120" w:right="20" w:firstLine="440"/>
        <w:spacing w:after="0" w:line="311" w:lineRule="auto"/>
        <w:rPr>
          <w:sz w:val="20"/>
          <w:szCs w:val="20"/>
          <w:color w:val="auto"/>
        </w:rPr>
      </w:pPr>
      <w:r>
        <w:rPr>
          <w:rFonts w:ascii="Arial" w:cs="Arial" w:eastAsia="Arial" w:hAnsi="Arial"/>
          <w:sz w:val="16"/>
          <w:szCs w:val="16"/>
          <w:color w:val="auto"/>
        </w:rPr>
        <w:t>In August 2018, the FASB issued ASU No. 2018-15—</w:t>
      </w:r>
      <w:r>
        <w:rPr>
          <w:rFonts w:ascii="Arial" w:cs="Arial" w:eastAsia="Arial" w:hAnsi="Arial"/>
          <w:sz w:val="16"/>
          <w:szCs w:val="16"/>
          <w:i w:val="1"/>
          <w:iCs w:val="1"/>
          <w:color w:val="auto"/>
        </w:rPr>
        <w:t>Intangibles—Goodwill and Other—Internal-Use Software (Subtopic 350-40), Customer’s</w:t>
      </w:r>
      <w:r>
        <w:rPr>
          <w:rFonts w:ascii="Arial" w:cs="Arial" w:eastAsia="Arial" w:hAnsi="Arial"/>
          <w:sz w:val="16"/>
          <w:szCs w:val="16"/>
          <w:color w:val="auto"/>
        </w:rPr>
        <w:t xml:space="preserve"> </w:t>
      </w:r>
      <w:r>
        <w:rPr>
          <w:rFonts w:ascii="Arial" w:cs="Arial" w:eastAsia="Arial" w:hAnsi="Arial"/>
          <w:sz w:val="16"/>
          <w:szCs w:val="16"/>
          <w:i w:val="1"/>
          <w:iCs w:val="1"/>
          <w:color w:val="auto"/>
        </w:rPr>
        <w:t>Accounting for Implementation Costs Incurred in a Cloud Computing Arrangement That Is a Service Contract</w:t>
      </w:r>
      <w:r>
        <w:rPr>
          <w:rFonts w:ascii="Arial" w:cs="Arial" w:eastAsia="Arial" w:hAnsi="Arial"/>
          <w:sz w:val="16"/>
          <w:szCs w:val="16"/>
          <w:color w:val="auto"/>
        </w:rPr>
        <w:t>. This standard aligns the requirements for</w:t>
      </w:r>
      <w:r>
        <w:rPr>
          <w:rFonts w:ascii="Arial" w:cs="Arial" w:eastAsia="Arial" w:hAnsi="Arial"/>
          <w:sz w:val="16"/>
          <w:szCs w:val="16"/>
          <w:i w:val="1"/>
          <w:iCs w:val="1"/>
          <w:color w:val="auto"/>
        </w:rPr>
        <w:t xml:space="preserve"> </w:t>
      </w:r>
      <w:r>
        <w:rPr>
          <w:rFonts w:ascii="Arial" w:cs="Arial" w:eastAsia="Arial" w:hAnsi="Arial"/>
          <w:sz w:val="16"/>
          <w:szCs w:val="16"/>
          <w:color w:val="auto"/>
        </w:rPr>
        <w:t>capitalizing implementation costs incurred in a hosting arrangement that is a service contract with the requirements for capitalizing</w:t>
      </w:r>
    </w:p>
    <w:p>
      <w:pPr>
        <w:spacing w:after="0" w:line="81" w:lineRule="exact"/>
        <w:rPr>
          <w:sz w:val="20"/>
          <w:szCs w:val="20"/>
          <w:color w:val="auto"/>
        </w:rPr>
      </w:pPr>
    </w:p>
    <w:p>
      <w:pPr>
        <w:jc w:val="center"/>
        <w:ind w:right="-359"/>
        <w:spacing w:after="0"/>
        <w:rPr>
          <w:sz w:val="20"/>
          <w:szCs w:val="20"/>
          <w:color w:val="auto"/>
        </w:rPr>
      </w:pPr>
      <w:r>
        <w:rPr>
          <w:rFonts w:ascii="Arial" w:cs="Arial" w:eastAsia="Arial" w:hAnsi="Arial"/>
          <w:sz w:val="18"/>
          <w:szCs w:val="18"/>
          <w:color w:val="auto"/>
        </w:rPr>
        <w:t>F-23</w:t>
      </w:r>
    </w:p>
    <w:p>
      <w:pPr>
        <w:sectPr>
          <w:pgSz w:w="11900" w:h="16838" w:orient="portrait"/>
          <w:cols w:equalWidth="0" w:num="1">
            <w:col w:w="11120"/>
          </w:cols>
          <w:pgMar w:left="320" w:top="459" w:right="459" w:bottom="1440" w:gutter="0" w:footer="0" w:header="0"/>
        </w:sectPr>
      </w:pPr>
    </w:p>
    <w:bookmarkStart w:id="229" w:name="page230"/>
    <w:bookmarkEnd w:id="2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4">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Confidential Treatment Requested by Definitive Healthcare Corp.</w:t>
      </w:r>
    </w:p>
    <w:p>
      <w:pPr>
        <w:spacing w:after="0" w:line="27"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Pursuant to 17 C.F.R. Section 200.83</w:t>
      </w:r>
    </w:p>
    <w:p>
      <w:pPr>
        <w:spacing w:after="0" w:line="143" w:lineRule="exact"/>
        <w:rPr>
          <w:sz w:val="20"/>
          <w:szCs w:val="20"/>
          <w:color w:val="auto"/>
        </w:rPr>
      </w:pPr>
    </w:p>
    <w:p>
      <w:pPr>
        <w:ind w:left="120" w:right="320"/>
        <w:spacing w:after="0" w:line="308" w:lineRule="auto"/>
        <w:rPr>
          <w:sz w:val="20"/>
          <w:szCs w:val="20"/>
          <w:color w:val="auto"/>
        </w:rPr>
      </w:pPr>
      <w:r>
        <w:rPr>
          <w:rFonts w:ascii="Arial" w:cs="Arial" w:eastAsia="Arial" w:hAnsi="Arial"/>
          <w:sz w:val="17"/>
          <w:szCs w:val="17"/>
          <w:color w:val="auto"/>
        </w:rPr>
        <w:t>implementation costs incurred to develop or obtain internal-use software. The amendment is effective for fiscal years beginning after December 15, 2020 and early adoption is permitted. The adoption did not have a material impact on its consolidated financial statements.</w:t>
      </w:r>
    </w:p>
    <w:p>
      <w:pPr>
        <w:spacing w:after="0" w:line="146" w:lineRule="exact"/>
        <w:rPr>
          <w:sz w:val="20"/>
          <w:szCs w:val="20"/>
          <w:color w:val="auto"/>
        </w:rPr>
      </w:pPr>
    </w:p>
    <w:p>
      <w:pPr>
        <w:ind w:left="120" w:right="60" w:firstLine="440"/>
        <w:spacing w:after="0" w:line="259" w:lineRule="auto"/>
        <w:rPr>
          <w:sz w:val="20"/>
          <w:szCs w:val="20"/>
          <w:color w:val="auto"/>
        </w:rPr>
      </w:pPr>
      <w:r>
        <w:rPr>
          <w:rFonts w:ascii="Arial" w:cs="Arial" w:eastAsia="Arial" w:hAnsi="Arial"/>
          <w:sz w:val="18"/>
          <w:szCs w:val="18"/>
          <w:color w:val="auto"/>
        </w:rPr>
        <w:t>In December 2019, the FASB issued ASU No. 2019-12—</w:t>
      </w:r>
      <w:r>
        <w:rPr>
          <w:rFonts w:ascii="Arial" w:cs="Arial" w:eastAsia="Arial" w:hAnsi="Arial"/>
          <w:sz w:val="18"/>
          <w:szCs w:val="18"/>
          <w:i w:val="1"/>
          <w:iCs w:val="1"/>
          <w:color w:val="auto"/>
        </w:rPr>
        <w:t>Income Taxes (Topic 740), Simplifying the Accounting for Income Taxes</w:t>
      </w:r>
      <w:r>
        <w:rPr>
          <w:rFonts w:ascii="Arial" w:cs="Arial" w:eastAsia="Arial" w:hAnsi="Arial"/>
          <w:sz w:val="18"/>
          <w:szCs w:val="18"/>
          <w:color w:val="auto"/>
        </w:rPr>
        <w:t xml:space="preserve"> This standard removes certain exceptions for investments, intra-period allocations and interim tax calculations and adds guidance to reduce complexity in accounting for income taxes. The amendment is effective for fiscal years beginning after December 15, 2021 and early adoption is permitted. The Company is currently evaluating the impact of this update on its consolidated financial statements.</w:t>
      </w:r>
    </w:p>
    <w:p>
      <w:pPr>
        <w:spacing w:after="0" w:line="187" w:lineRule="exact"/>
        <w:rPr>
          <w:sz w:val="20"/>
          <w:szCs w:val="20"/>
          <w:color w:val="auto"/>
        </w:rPr>
      </w:pPr>
    </w:p>
    <w:p>
      <w:pPr>
        <w:ind w:left="120" w:firstLine="440"/>
        <w:spacing w:after="0" w:line="270" w:lineRule="auto"/>
        <w:rPr>
          <w:sz w:val="20"/>
          <w:szCs w:val="20"/>
          <w:color w:val="auto"/>
        </w:rPr>
      </w:pPr>
      <w:r>
        <w:rPr>
          <w:rFonts w:ascii="Arial" w:cs="Arial" w:eastAsia="Arial" w:hAnsi="Arial"/>
          <w:sz w:val="17"/>
          <w:szCs w:val="17"/>
          <w:color w:val="auto"/>
        </w:rPr>
        <w:t>In March 2020, the FASB issued ASU No. 2020-04—</w:t>
      </w:r>
      <w:r>
        <w:rPr>
          <w:rFonts w:ascii="Arial" w:cs="Arial" w:eastAsia="Arial" w:hAnsi="Arial"/>
          <w:sz w:val="17"/>
          <w:szCs w:val="17"/>
          <w:i w:val="1"/>
          <w:iCs w:val="1"/>
          <w:color w:val="auto"/>
        </w:rPr>
        <w:t>Reference Rate Reform (Topic 848): Facilitation of the Effects of Reference Rate Reform on</w:t>
      </w:r>
      <w:r>
        <w:rPr>
          <w:rFonts w:ascii="Arial" w:cs="Arial" w:eastAsia="Arial" w:hAnsi="Arial"/>
          <w:sz w:val="17"/>
          <w:szCs w:val="17"/>
          <w:color w:val="auto"/>
        </w:rPr>
        <w:t xml:space="preserve"> </w:t>
      </w:r>
      <w:r>
        <w:rPr>
          <w:rFonts w:ascii="Arial" w:cs="Arial" w:eastAsia="Arial" w:hAnsi="Arial"/>
          <w:sz w:val="17"/>
          <w:szCs w:val="17"/>
          <w:i w:val="1"/>
          <w:iCs w:val="1"/>
          <w:color w:val="auto"/>
        </w:rPr>
        <w:t>Financial Reporting</w:t>
      </w:r>
      <w:r>
        <w:rPr>
          <w:rFonts w:ascii="Arial" w:cs="Arial" w:eastAsia="Arial" w:hAnsi="Arial"/>
          <w:sz w:val="17"/>
          <w:szCs w:val="17"/>
          <w:color w:val="auto"/>
        </w:rPr>
        <w:t>. The amendments of ASU No. 2020-04 are effective for companies as of March 12, 2020 through December 31, 2022. An entity</w:t>
      </w:r>
      <w:r>
        <w:rPr>
          <w:rFonts w:ascii="Arial" w:cs="Arial" w:eastAsia="Arial" w:hAnsi="Arial"/>
          <w:sz w:val="17"/>
          <w:szCs w:val="17"/>
          <w:i w:val="1"/>
          <w:iCs w:val="1"/>
          <w:color w:val="auto"/>
        </w:rPr>
        <w:t xml:space="preserve"> </w:t>
      </w:r>
      <w:r>
        <w:rPr>
          <w:rFonts w:ascii="Arial" w:cs="Arial" w:eastAsia="Arial" w:hAnsi="Arial"/>
          <w:sz w:val="17"/>
          <w:szCs w:val="17"/>
          <w:color w:val="auto"/>
        </w:rPr>
        <w:t>may elect to apply the amendments for contract modifications by Topic or Industry Subtopic as of any date from the beginning of an interim period that includes or is subsequent to March 12, 2020, or prospectively from a date within an interim period that includes or is subsequent to March 12, 2020, up to the date that the financial statements are available to be issued. The amendments in this update apply only to contracts, hedging relationships and other transactions that reference LIBOR or another reference rate expected to be discontinued because of reference rate reform and provide optional expedients and exceptions for applying U.S. GAAP to contracts, hedging relationships and other transactions affected by reference rate reform if certain criteria are met. The Company is evaluating the impact that the amendments of this standard would have on the Company’s consolidated financial position or results of operations upon adoption.</w:t>
      </w:r>
    </w:p>
    <w:p>
      <w:pPr>
        <w:spacing w:after="0" w:line="329" w:lineRule="exact"/>
        <w:rPr>
          <w:sz w:val="20"/>
          <w:szCs w:val="20"/>
          <w:color w:val="auto"/>
        </w:rPr>
      </w:pPr>
    </w:p>
    <w:p>
      <w:pPr>
        <w:ind w:left="540" w:hanging="424"/>
        <w:spacing w:after="0"/>
        <w:tabs>
          <w:tab w:leader="none" w:pos="540" w:val="left"/>
        </w:tabs>
        <w:numPr>
          <w:ilvl w:val="0"/>
          <w:numId w:val="182"/>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Business Combinations</w:t>
      </w:r>
    </w:p>
    <w:p>
      <w:pPr>
        <w:spacing w:after="0" w:line="117" w:lineRule="exact"/>
        <w:rPr>
          <w:sz w:val="20"/>
          <w:szCs w:val="20"/>
          <w:color w:val="auto"/>
        </w:rPr>
      </w:pPr>
    </w:p>
    <w:p>
      <w:pPr>
        <w:ind w:left="120" w:right="20" w:firstLine="440"/>
        <w:spacing w:after="0" w:line="273" w:lineRule="auto"/>
        <w:rPr>
          <w:sz w:val="20"/>
          <w:szCs w:val="20"/>
          <w:color w:val="auto"/>
        </w:rPr>
      </w:pPr>
      <w:r>
        <w:rPr>
          <w:rFonts w:ascii="Arial" w:cs="Arial" w:eastAsia="Arial" w:hAnsi="Arial"/>
          <w:sz w:val="17"/>
          <w:szCs w:val="17"/>
          <w:color w:val="auto"/>
        </w:rPr>
        <w:t>On October 27, 2020, the Company completed the purchase of all of the outstanding shares of Monocl Holding Company (“Monocl”), a cloud-based platform with millions of expert profiles, for a total estimated consideration of $46.3 million and up to $60.0 million, consisting of approximately $18.3 million of cash payable at closing, $25.4 million of rollover equity, and up to $15.0 million of contingent consideration. The contingent consideration, which relates to earn-out payments that may be paid out upon the achievement of certain performance targets has an estimated fair value of $2.6 million as of the acquisition date. The assets acquired and liabilities assumed were recorded at their estimated fair values and the results of operations were included in the Company’s consolidated results as of the acquisition date.</w:t>
      </w:r>
    </w:p>
    <w:p>
      <w:pPr>
        <w:spacing w:after="0" w:line="178" w:lineRule="exact"/>
        <w:rPr>
          <w:sz w:val="20"/>
          <w:szCs w:val="20"/>
          <w:color w:val="auto"/>
        </w:rPr>
      </w:pPr>
    </w:p>
    <w:tbl>
      <w:tblPr>
        <w:tblLayout w:type="fixed"/>
        <w:tblInd w:w="560" w:type="dxa"/>
        <w:tblCellMar>
          <w:top w:w="0" w:type="dxa"/>
          <w:left w:w="0" w:type="dxa"/>
          <w:bottom w:w="0" w:type="dxa"/>
          <w:right w:w="0" w:type="dxa"/>
        </w:tblCellMar>
      </w:tblPr>
      <w:tr>
        <w:trPr>
          <w:trHeight w:val="230"/>
        </w:trPr>
        <w:tc>
          <w:tcPr>
            <w:tcW w:w="8120" w:type="dxa"/>
            <w:vAlign w:val="bottom"/>
            <w:gridSpan w:val="2"/>
          </w:tcPr>
          <w:p>
            <w:pPr>
              <w:spacing w:after="0"/>
              <w:rPr>
                <w:sz w:val="20"/>
                <w:szCs w:val="20"/>
                <w:color w:val="auto"/>
              </w:rPr>
            </w:pPr>
            <w:r>
              <w:rPr>
                <w:rFonts w:ascii="Arial" w:cs="Arial" w:eastAsia="Arial" w:hAnsi="Arial"/>
                <w:sz w:val="18"/>
                <w:szCs w:val="18"/>
                <w:color w:val="auto"/>
              </w:rPr>
              <w:t>The consideration transferred for the transaction is summarized as follows (in thousands):</w:t>
            </w:r>
          </w:p>
        </w:tc>
        <w:tc>
          <w:tcPr>
            <w:tcW w:w="6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1320" w:type="dxa"/>
            <w:vAlign w:val="bottom"/>
            <w:vMerge w:val="restart"/>
          </w:tcPr>
          <w:p>
            <w:pPr>
              <w:spacing w:after="0"/>
              <w:rPr>
                <w:sz w:val="21"/>
                <w:szCs w:val="21"/>
                <w:color w:val="auto"/>
              </w:rPr>
            </w:pPr>
          </w:p>
        </w:tc>
        <w:tc>
          <w:tcPr>
            <w:tcW w:w="680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1320" w:type="dxa"/>
            <w:vAlign w:val="bottom"/>
            <w:vMerge w:val="continue"/>
          </w:tcPr>
          <w:p>
            <w:pPr>
              <w:spacing w:after="0"/>
              <w:rPr>
                <w:sz w:val="18"/>
                <w:szCs w:val="18"/>
                <w:color w:val="auto"/>
              </w:rPr>
            </w:pPr>
          </w:p>
        </w:tc>
        <w:tc>
          <w:tcPr>
            <w:tcW w:w="6800" w:type="dxa"/>
            <w:vAlign w:val="bottom"/>
            <w:shd w:val="clear" w:color="auto" w:fill="CCEEFF"/>
          </w:tcPr>
          <w:p>
            <w:pPr>
              <w:spacing w:after="0"/>
              <w:rPr>
                <w:sz w:val="20"/>
                <w:szCs w:val="20"/>
                <w:color w:val="auto"/>
              </w:rPr>
            </w:pPr>
            <w:r>
              <w:rPr>
                <w:rFonts w:ascii="Arial" w:cs="Arial" w:eastAsia="Arial" w:hAnsi="Arial"/>
                <w:sz w:val="18"/>
                <w:szCs w:val="18"/>
                <w:color w:val="auto"/>
              </w:rPr>
              <w:t>Cash consideration</w:t>
            </w:r>
          </w:p>
        </w:tc>
        <w:tc>
          <w:tcPr>
            <w:tcW w:w="6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85"/>
              </w:rPr>
              <w:t>$ 18,307</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20" w:type="dxa"/>
            <w:vAlign w:val="bottom"/>
          </w:tcPr>
          <w:p>
            <w:pPr>
              <w:spacing w:after="0"/>
              <w:rPr>
                <w:sz w:val="18"/>
                <w:szCs w:val="18"/>
                <w:color w:val="auto"/>
              </w:rPr>
            </w:pPr>
          </w:p>
        </w:tc>
        <w:tc>
          <w:tcPr>
            <w:tcW w:w="6800" w:type="dxa"/>
            <w:vAlign w:val="bottom"/>
          </w:tcPr>
          <w:p>
            <w:pPr>
              <w:spacing w:after="0"/>
              <w:rPr>
                <w:sz w:val="20"/>
                <w:szCs w:val="20"/>
                <w:color w:val="auto"/>
              </w:rPr>
            </w:pPr>
            <w:r>
              <w:rPr>
                <w:rFonts w:ascii="Arial" w:cs="Arial" w:eastAsia="Arial" w:hAnsi="Arial"/>
                <w:sz w:val="18"/>
                <w:szCs w:val="18"/>
                <w:color w:val="auto"/>
              </w:rPr>
              <w:t>Equity issuance</w:t>
            </w:r>
          </w:p>
        </w:tc>
        <w:tc>
          <w:tcPr>
            <w:tcW w:w="640" w:type="dxa"/>
            <w:vAlign w:val="bottom"/>
            <w:gridSpan w:val="2"/>
          </w:tcPr>
          <w:p>
            <w:pPr>
              <w:jc w:val="right"/>
              <w:ind w:right="20"/>
              <w:spacing w:after="0"/>
              <w:rPr>
                <w:sz w:val="20"/>
                <w:szCs w:val="20"/>
                <w:color w:val="auto"/>
              </w:rPr>
            </w:pPr>
            <w:r>
              <w:rPr>
                <w:rFonts w:ascii="Arial" w:cs="Arial" w:eastAsia="Arial" w:hAnsi="Arial"/>
                <w:sz w:val="18"/>
                <w:szCs w:val="18"/>
                <w:color w:val="auto"/>
              </w:rPr>
              <w:t>25,439</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20" w:type="dxa"/>
            <w:vAlign w:val="bottom"/>
          </w:tcPr>
          <w:p>
            <w:pPr>
              <w:spacing w:after="0"/>
              <w:rPr>
                <w:sz w:val="18"/>
                <w:szCs w:val="18"/>
                <w:color w:val="auto"/>
              </w:rPr>
            </w:pPr>
          </w:p>
        </w:tc>
        <w:tc>
          <w:tcPr>
            <w:tcW w:w="6800" w:type="dxa"/>
            <w:vAlign w:val="bottom"/>
            <w:shd w:val="clear" w:color="auto" w:fill="CCEEFF"/>
          </w:tcPr>
          <w:p>
            <w:pPr>
              <w:spacing w:after="0"/>
              <w:rPr>
                <w:sz w:val="20"/>
                <w:szCs w:val="20"/>
                <w:color w:val="auto"/>
              </w:rPr>
            </w:pPr>
            <w:r>
              <w:rPr>
                <w:rFonts w:ascii="Arial" w:cs="Arial" w:eastAsia="Arial" w:hAnsi="Arial"/>
                <w:sz w:val="18"/>
                <w:szCs w:val="18"/>
                <w:color w:val="auto"/>
              </w:rPr>
              <w:t>Contingent consideration</w:t>
            </w:r>
          </w:p>
        </w:tc>
        <w:tc>
          <w:tcPr>
            <w:tcW w:w="6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2,600</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1320" w:type="dxa"/>
            <w:vAlign w:val="bottom"/>
          </w:tcPr>
          <w:p>
            <w:pPr>
              <w:spacing w:after="0"/>
              <w:rPr>
                <w:sz w:val="19"/>
                <w:szCs w:val="19"/>
                <w:color w:val="auto"/>
              </w:rPr>
            </w:pPr>
          </w:p>
        </w:tc>
        <w:tc>
          <w:tcPr>
            <w:tcW w:w="6800" w:type="dxa"/>
            <w:vAlign w:val="bottom"/>
          </w:tcPr>
          <w:p>
            <w:pPr>
              <w:ind w:left="360"/>
              <w:spacing w:after="0"/>
              <w:rPr>
                <w:sz w:val="20"/>
                <w:szCs w:val="20"/>
                <w:color w:val="auto"/>
              </w:rPr>
            </w:pPr>
            <w:r>
              <w:rPr>
                <w:rFonts w:ascii="Arial" w:cs="Arial" w:eastAsia="Arial" w:hAnsi="Arial"/>
                <w:sz w:val="18"/>
                <w:szCs w:val="18"/>
                <w:color w:val="auto"/>
              </w:rPr>
              <w:t>Purchase price</w:t>
            </w: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5"/>
              </w:rPr>
              <w:t>$ 46,346</w:t>
            </w:r>
          </w:p>
        </w:tc>
        <w:tc>
          <w:tcPr>
            <w:tcW w:w="20" w:type="dxa"/>
            <w:vAlign w:val="bottom"/>
            <w:tcBorders>
              <w:bottom w:val="single" w:sz="8" w:color="auto"/>
            </w:tcBorders>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320" w:type="dxa"/>
            <w:vAlign w:val="bottom"/>
          </w:tcPr>
          <w:p>
            <w:pPr>
              <w:spacing w:after="0" w:line="20" w:lineRule="exact"/>
              <w:rPr>
                <w:sz w:val="1"/>
                <w:szCs w:val="1"/>
                <w:color w:val="auto"/>
              </w:rPr>
            </w:pPr>
          </w:p>
        </w:tc>
        <w:tc>
          <w:tcPr>
            <w:tcW w:w="680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left="560"/>
        <w:spacing w:after="0"/>
        <w:rPr>
          <w:sz w:val="20"/>
          <w:szCs w:val="20"/>
          <w:color w:val="auto"/>
        </w:rPr>
      </w:pPr>
      <w:r>
        <w:rPr>
          <w:rFonts w:ascii="Arial" w:cs="Arial" w:eastAsia="Arial" w:hAnsi="Arial"/>
          <w:sz w:val="18"/>
          <w:szCs w:val="18"/>
          <w:color w:val="auto"/>
        </w:rPr>
        <w:t>Cash consideration for the acquisition was primarily provided through borrowings under the Company’s credit facility.</w:t>
      </w:r>
    </w:p>
    <w:p>
      <w:pPr>
        <w:spacing w:after="0" w:line="225" w:lineRule="exact"/>
        <w:rPr>
          <w:sz w:val="20"/>
          <w:szCs w:val="20"/>
          <w:color w:val="auto"/>
        </w:rPr>
      </w:pPr>
    </w:p>
    <w:p>
      <w:pPr>
        <w:ind w:left="120" w:firstLine="440"/>
        <w:spacing w:after="0" w:line="291" w:lineRule="auto"/>
        <w:rPr>
          <w:sz w:val="20"/>
          <w:szCs w:val="20"/>
          <w:color w:val="auto"/>
        </w:rPr>
      </w:pPr>
      <w:r>
        <w:rPr>
          <w:rFonts w:ascii="Arial" w:cs="Arial" w:eastAsia="Arial" w:hAnsi="Arial"/>
          <w:sz w:val="16"/>
          <w:szCs w:val="16"/>
          <w:color w:val="auto"/>
        </w:rPr>
        <w:t>The performance targets for the contingent consideration are based on the Annual Recurring Revenue (“ARR”), measured as annually contractual recurring revenue for each of the twelve-month periods ending December 31, 2020 and December 31, 2021. Potential payouts range from $0 to</w:t>
      </w:r>
    </w:p>
    <w:p>
      <w:pPr>
        <w:ind w:left="120" w:right="100"/>
        <w:spacing w:after="0" w:line="260" w:lineRule="auto"/>
        <w:rPr>
          <w:sz w:val="20"/>
          <w:szCs w:val="20"/>
          <w:color w:val="auto"/>
        </w:rPr>
      </w:pPr>
      <w:r>
        <w:rPr>
          <w:rFonts w:ascii="Arial" w:cs="Arial" w:eastAsia="Arial" w:hAnsi="Arial"/>
          <w:sz w:val="18"/>
          <w:szCs w:val="18"/>
          <w:color w:val="auto"/>
        </w:rPr>
        <w:t>$5.0 million and $0 to $10 million based on ARR of below $8.5 million to over $9.5 million and below $12.0 million to over $16.0 million for each of the twelve month periods ending December 31, 2020 and 2021, respectively.</w:t>
      </w:r>
    </w:p>
    <w:p>
      <w:pPr>
        <w:spacing w:after="0" w:line="185" w:lineRule="exact"/>
        <w:rPr>
          <w:sz w:val="20"/>
          <w:szCs w:val="20"/>
          <w:color w:val="auto"/>
        </w:rPr>
      </w:pPr>
    </w:p>
    <w:p>
      <w:pPr>
        <w:ind w:left="120" w:right="420" w:firstLine="440"/>
        <w:spacing w:after="0" w:line="342" w:lineRule="auto"/>
        <w:rPr>
          <w:sz w:val="20"/>
          <w:szCs w:val="20"/>
          <w:color w:val="auto"/>
        </w:rPr>
      </w:pPr>
      <w:r>
        <w:rPr>
          <w:rFonts w:ascii="Arial" w:cs="Arial" w:eastAsia="Arial" w:hAnsi="Arial"/>
          <w:sz w:val="16"/>
          <w:szCs w:val="16"/>
          <w:color w:val="auto"/>
        </w:rPr>
        <w:t>The Company estimated the fair value of the contingent consideration to be $5.2 million at December 31, 2020 based on the achievement of Annual 2020 ARR targets and the probability of achieving the 2021 targets. Refer to note 9. Fair Value Measurements for more detail.</w:t>
      </w:r>
    </w:p>
    <w:p>
      <w:pPr>
        <w:spacing w:after="0" w:line="56" w:lineRule="exact"/>
        <w:rPr>
          <w:sz w:val="20"/>
          <w:szCs w:val="20"/>
          <w:color w:val="auto"/>
        </w:rPr>
      </w:pPr>
    </w:p>
    <w:p>
      <w:pPr>
        <w:jc w:val="center"/>
        <w:ind w:right="-399"/>
        <w:spacing w:after="0"/>
        <w:rPr>
          <w:sz w:val="20"/>
          <w:szCs w:val="20"/>
          <w:color w:val="auto"/>
        </w:rPr>
      </w:pPr>
      <w:r>
        <w:rPr>
          <w:rFonts w:ascii="Arial" w:cs="Arial" w:eastAsia="Arial" w:hAnsi="Arial"/>
          <w:sz w:val="18"/>
          <w:szCs w:val="18"/>
          <w:color w:val="auto"/>
        </w:rPr>
        <w:t>F-24</w:t>
      </w:r>
    </w:p>
    <w:p>
      <w:pPr>
        <w:sectPr>
          <w:pgSz w:w="11900" w:h="16838" w:orient="portrait"/>
          <w:cols w:equalWidth="0" w:num="1">
            <w:col w:w="11060"/>
          </w:cols>
          <w:pgMar w:left="320" w:top="459" w:right="519" w:bottom="1440" w:gutter="0" w:footer="0" w:header="0"/>
        </w:sectPr>
      </w:pPr>
    </w:p>
    <w:bookmarkStart w:id="230" w:name="page231"/>
    <w:bookmarkEnd w:id="2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15">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Confidential Treatment Requested by Definitive Healthcare Corp.</w:t>
      </w:r>
    </w:p>
    <w:p>
      <w:pPr>
        <w:spacing w:after="0" w:line="27"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Pursuant to 17 C.F.R. Section 200.83</w:t>
      </w:r>
    </w:p>
    <w:p>
      <w:pPr>
        <w:spacing w:after="0" w:line="143" w:lineRule="exact"/>
        <w:rPr>
          <w:sz w:val="20"/>
          <w:szCs w:val="20"/>
          <w:color w:val="auto"/>
        </w:rPr>
      </w:pPr>
    </w:p>
    <w:p>
      <w:pPr>
        <w:ind w:left="120" w:firstLine="440"/>
        <w:spacing w:after="0" w:line="277" w:lineRule="auto"/>
        <w:rPr>
          <w:sz w:val="20"/>
          <w:szCs w:val="20"/>
          <w:color w:val="auto"/>
        </w:rPr>
      </w:pPr>
      <w:r>
        <w:rPr>
          <w:rFonts w:ascii="Arial" w:cs="Arial" w:eastAsia="Arial" w:hAnsi="Arial"/>
          <w:sz w:val="18"/>
          <w:szCs w:val="18"/>
          <w:color w:val="auto"/>
        </w:rPr>
        <w:t>The purchase accounting for the Monocl acquisition was finalized as of December 31, 2020. The final allocation of the acquisition-date fair values of assets and liabilities pertaining to this business combination as of December 31, 2020, was as follows (in thousands):</w:t>
      </w:r>
    </w:p>
    <w:p>
      <w:pPr>
        <w:spacing w:after="0" w:line="193" w:lineRule="exact"/>
        <w:rPr>
          <w:sz w:val="20"/>
          <w:szCs w:val="20"/>
          <w:color w:val="auto"/>
        </w:rPr>
      </w:pPr>
    </w:p>
    <w:tbl>
      <w:tblPr>
        <w:tblLayout w:type="fixed"/>
        <w:tblInd w:w="1880" w:type="dxa"/>
        <w:tblCellMar>
          <w:top w:w="0" w:type="dxa"/>
          <w:left w:w="0" w:type="dxa"/>
          <w:bottom w:w="0" w:type="dxa"/>
          <w:right w:w="0" w:type="dxa"/>
        </w:tblCellMar>
      </w:tblPr>
      <w:tr>
        <w:trPr>
          <w:trHeight w:val="167"/>
        </w:trPr>
        <w:tc>
          <w:tcPr>
            <w:tcW w:w="6360" w:type="dxa"/>
            <w:vAlign w:val="bottom"/>
          </w:tcPr>
          <w:p>
            <w:pPr>
              <w:spacing w:after="0"/>
              <w:rPr>
                <w:sz w:val="14"/>
                <w:szCs w:val="14"/>
                <w:color w:val="auto"/>
              </w:rPr>
            </w:pPr>
          </w:p>
        </w:tc>
        <w:tc>
          <w:tcPr>
            <w:tcW w:w="1120" w:type="dxa"/>
            <w:vAlign w:val="bottom"/>
            <w:gridSpan w:val="4"/>
          </w:tcPr>
          <w:p>
            <w:pPr>
              <w:spacing w:after="0"/>
              <w:rPr>
                <w:sz w:val="20"/>
                <w:szCs w:val="20"/>
                <w:color w:val="auto"/>
              </w:rPr>
            </w:pPr>
            <w:r>
              <w:rPr>
                <w:rFonts w:ascii="Arial" w:cs="Arial" w:eastAsia="Arial" w:hAnsi="Arial"/>
                <w:sz w:val="14"/>
                <w:szCs w:val="14"/>
                <w:color w:val="auto"/>
              </w:rPr>
              <w:t>October 27, 2020</w:t>
            </w:r>
          </w:p>
        </w:tc>
      </w:tr>
      <w:tr>
        <w:trPr>
          <w:trHeight w:val="209"/>
        </w:trPr>
        <w:tc>
          <w:tcPr>
            <w:tcW w:w="63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Cash</w:t>
            </w:r>
          </w:p>
        </w:tc>
        <w:tc>
          <w:tcPr>
            <w:tcW w:w="3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2,774</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r>
      <w:tr>
        <w:trPr>
          <w:trHeight w:val="216"/>
        </w:trPr>
        <w:tc>
          <w:tcPr>
            <w:tcW w:w="6360" w:type="dxa"/>
            <w:vAlign w:val="bottom"/>
          </w:tcPr>
          <w:p>
            <w:pPr>
              <w:spacing w:after="0"/>
              <w:rPr>
                <w:sz w:val="20"/>
                <w:szCs w:val="20"/>
                <w:color w:val="auto"/>
              </w:rPr>
            </w:pPr>
            <w:r>
              <w:rPr>
                <w:rFonts w:ascii="Arial" w:cs="Arial" w:eastAsia="Arial" w:hAnsi="Arial"/>
                <w:sz w:val="18"/>
                <w:szCs w:val="18"/>
                <w:color w:val="auto"/>
              </w:rPr>
              <w:t>Accounts receivable</w:t>
            </w:r>
          </w:p>
        </w:tc>
        <w:tc>
          <w:tcPr>
            <w:tcW w:w="300" w:type="dxa"/>
            <w:vAlign w:val="bottom"/>
          </w:tcPr>
          <w:p>
            <w:pPr>
              <w:spacing w:after="0"/>
              <w:rPr>
                <w:sz w:val="18"/>
                <w:szCs w:val="18"/>
                <w:color w:val="auto"/>
              </w:rPr>
            </w:pPr>
          </w:p>
        </w:tc>
        <w:tc>
          <w:tcPr>
            <w:tcW w:w="740" w:type="dxa"/>
            <w:vAlign w:val="bottom"/>
            <w:gridSpan w:val="2"/>
          </w:tcPr>
          <w:p>
            <w:pPr>
              <w:jc w:val="right"/>
              <w:ind w:right="20"/>
              <w:spacing w:after="0"/>
              <w:rPr>
                <w:sz w:val="20"/>
                <w:szCs w:val="20"/>
                <w:color w:val="auto"/>
              </w:rPr>
            </w:pPr>
            <w:r>
              <w:rPr>
                <w:rFonts w:ascii="Arial" w:cs="Arial" w:eastAsia="Arial" w:hAnsi="Arial"/>
                <w:sz w:val="18"/>
                <w:szCs w:val="18"/>
                <w:color w:val="auto"/>
              </w:rPr>
              <w:t>788</w:t>
            </w:r>
          </w:p>
        </w:tc>
        <w:tc>
          <w:tcPr>
            <w:tcW w:w="80" w:type="dxa"/>
            <w:vAlign w:val="bottom"/>
          </w:tcPr>
          <w:p>
            <w:pPr>
              <w:spacing w:after="0"/>
              <w:rPr>
                <w:sz w:val="18"/>
                <w:szCs w:val="18"/>
                <w:color w:val="auto"/>
              </w:rPr>
            </w:pPr>
          </w:p>
        </w:tc>
      </w:tr>
      <w:tr>
        <w:trPr>
          <w:trHeight w:val="216"/>
        </w:trPr>
        <w:tc>
          <w:tcPr>
            <w:tcW w:w="6360" w:type="dxa"/>
            <w:vAlign w:val="bottom"/>
            <w:shd w:val="clear" w:color="auto" w:fill="CCEEFF"/>
          </w:tcPr>
          <w:p>
            <w:pPr>
              <w:spacing w:after="0"/>
              <w:rPr>
                <w:sz w:val="20"/>
                <w:szCs w:val="20"/>
                <w:color w:val="auto"/>
              </w:rPr>
            </w:pPr>
            <w:r>
              <w:rPr>
                <w:rFonts w:ascii="Arial" w:cs="Arial" w:eastAsia="Arial" w:hAnsi="Arial"/>
                <w:sz w:val="18"/>
                <w:szCs w:val="18"/>
                <w:color w:val="auto"/>
              </w:rPr>
              <w:t>Prepaid expenses and other current assets</w:t>
            </w:r>
          </w:p>
        </w:tc>
        <w:tc>
          <w:tcPr>
            <w:tcW w:w="3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614</w:t>
            </w:r>
          </w:p>
        </w:tc>
        <w:tc>
          <w:tcPr>
            <w:tcW w:w="80" w:type="dxa"/>
            <w:vAlign w:val="bottom"/>
            <w:shd w:val="clear" w:color="auto" w:fill="CCEEFF"/>
          </w:tcPr>
          <w:p>
            <w:pPr>
              <w:spacing w:after="0"/>
              <w:rPr>
                <w:sz w:val="18"/>
                <w:szCs w:val="18"/>
                <w:color w:val="auto"/>
              </w:rPr>
            </w:pPr>
          </w:p>
        </w:tc>
      </w:tr>
      <w:tr>
        <w:trPr>
          <w:trHeight w:val="216"/>
        </w:trPr>
        <w:tc>
          <w:tcPr>
            <w:tcW w:w="6360" w:type="dxa"/>
            <w:vAlign w:val="bottom"/>
          </w:tcPr>
          <w:p>
            <w:pPr>
              <w:spacing w:after="0"/>
              <w:rPr>
                <w:sz w:val="20"/>
                <w:szCs w:val="20"/>
                <w:color w:val="auto"/>
              </w:rPr>
            </w:pPr>
            <w:r>
              <w:rPr>
                <w:rFonts w:ascii="Arial" w:cs="Arial" w:eastAsia="Arial" w:hAnsi="Arial"/>
                <w:sz w:val="18"/>
                <w:szCs w:val="18"/>
                <w:color w:val="auto"/>
              </w:rPr>
              <w:t>Property and equipment</w:t>
            </w:r>
          </w:p>
        </w:tc>
        <w:tc>
          <w:tcPr>
            <w:tcW w:w="300" w:type="dxa"/>
            <w:vAlign w:val="bottom"/>
          </w:tcPr>
          <w:p>
            <w:pPr>
              <w:spacing w:after="0"/>
              <w:rPr>
                <w:sz w:val="18"/>
                <w:szCs w:val="18"/>
                <w:color w:val="auto"/>
              </w:rPr>
            </w:pPr>
          </w:p>
        </w:tc>
        <w:tc>
          <w:tcPr>
            <w:tcW w:w="740" w:type="dxa"/>
            <w:vAlign w:val="bottom"/>
            <w:gridSpan w:val="2"/>
          </w:tcPr>
          <w:p>
            <w:pPr>
              <w:jc w:val="right"/>
              <w:ind w:right="20"/>
              <w:spacing w:after="0"/>
              <w:rPr>
                <w:sz w:val="20"/>
                <w:szCs w:val="20"/>
                <w:color w:val="auto"/>
              </w:rPr>
            </w:pPr>
            <w:r>
              <w:rPr>
                <w:rFonts w:ascii="Arial" w:cs="Arial" w:eastAsia="Arial" w:hAnsi="Arial"/>
                <w:sz w:val="18"/>
                <w:szCs w:val="18"/>
                <w:color w:val="auto"/>
              </w:rPr>
              <w:t>20</w:t>
            </w:r>
          </w:p>
        </w:tc>
        <w:tc>
          <w:tcPr>
            <w:tcW w:w="80" w:type="dxa"/>
            <w:vAlign w:val="bottom"/>
          </w:tcPr>
          <w:p>
            <w:pPr>
              <w:spacing w:after="0"/>
              <w:rPr>
                <w:sz w:val="18"/>
                <w:szCs w:val="18"/>
                <w:color w:val="auto"/>
              </w:rPr>
            </w:pPr>
          </w:p>
        </w:tc>
      </w:tr>
      <w:tr>
        <w:trPr>
          <w:trHeight w:val="216"/>
        </w:trPr>
        <w:tc>
          <w:tcPr>
            <w:tcW w:w="6360" w:type="dxa"/>
            <w:vAlign w:val="bottom"/>
            <w:shd w:val="clear" w:color="auto" w:fill="CCEEFF"/>
          </w:tcPr>
          <w:p>
            <w:pPr>
              <w:spacing w:after="0"/>
              <w:rPr>
                <w:sz w:val="20"/>
                <w:szCs w:val="20"/>
                <w:color w:val="auto"/>
              </w:rPr>
            </w:pPr>
            <w:r>
              <w:rPr>
                <w:rFonts w:ascii="Arial" w:cs="Arial" w:eastAsia="Arial" w:hAnsi="Arial"/>
                <w:sz w:val="18"/>
                <w:szCs w:val="18"/>
                <w:color w:val="auto"/>
              </w:rPr>
              <w:t>Intangible assets</w:t>
            </w:r>
          </w:p>
        </w:tc>
        <w:tc>
          <w:tcPr>
            <w:tcW w:w="3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18,900</w:t>
            </w:r>
          </w:p>
        </w:tc>
        <w:tc>
          <w:tcPr>
            <w:tcW w:w="80" w:type="dxa"/>
            <w:vAlign w:val="bottom"/>
            <w:shd w:val="clear" w:color="auto" w:fill="CCEEFF"/>
          </w:tcPr>
          <w:p>
            <w:pPr>
              <w:spacing w:after="0"/>
              <w:rPr>
                <w:sz w:val="18"/>
                <w:szCs w:val="18"/>
                <w:color w:val="auto"/>
              </w:rPr>
            </w:pPr>
          </w:p>
        </w:tc>
      </w:tr>
      <w:tr>
        <w:trPr>
          <w:trHeight w:val="216"/>
        </w:trPr>
        <w:tc>
          <w:tcPr>
            <w:tcW w:w="6360" w:type="dxa"/>
            <w:vAlign w:val="bottom"/>
          </w:tcPr>
          <w:p>
            <w:pPr>
              <w:spacing w:after="0"/>
              <w:rPr>
                <w:sz w:val="20"/>
                <w:szCs w:val="20"/>
                <w:color w:val="auto"/>
              </w:rPr>
            </w:pPr>
            <w:r>
              <w:rPr>
                <w:rFonts w:ascii="Arial" w:cs="Arial" w:eastAsia="Arial" w:hAnsi="Arial"/>
                <w:sz w:val="18"/>
                <w:szCs w:val="18"/>
                <w:color w:val="auto"/>
              </w:rPr>
              <w:t>Accounts payable and accrued expenses</w:t>
            </w:r>
          </w:p>
        </w:tc>
        <w:tc>
          <w:tcPr>
            <w:tcW w:w="300" w:type="dxa"/>
            <w:vAlign w:val="bottom"/>
          </w:tcPr>
          <w:p>
            <w:pPr>
              <w:spacing w:after="0"/>
              <w:rPr>
                <w:sz w:val="18"/>
                <w:szCs w:val="18"/>
                <w:color w:val="auto"/>
              </w:rPr>
            </w:pPr>
          </w:p>
        </w:tc>
        <w:tc>
          <w:tcPr>
            <w:tcW w:w="820" w:type="dxa"/>
            <w:vAlign w:val="bottom"/>
            <w:gridSpan w:val="3"/>
          </w:tcPr>
          <w:p>
            <w:pPr>
              <w:jc w:val="right"/>
              <w:ind w:right="40"/>
              <w:spacing w:after="0"/>
              <w:rPr>
                <w:sz w:val="20"/>
                <w:szCs w:val="20"/>
                <w:color w:val="auto"/>
              </w:rPr>
            </w:pPr>
            <w:r>
              <w:rPr>
                <w:rFonts w:ascii="Arial" w:cs="Arial" w:eastAsia="Arial" w:hAnsi="Arial"/>
                <w:sz w:val="18"/>
                <w:szCs w:val="18"/>
                <w:color w:val="auto"/>
              </w:rPr>
              <w:t>(2,137)</w:t>
            </w:r>
          </w:p>
        </w:tc>
      </w:tr>
      <w:tr>
        <w:trPr>
          <w:trHeight w:val="216"/>
        </w:trPr>
        <w:tc>
          <w:tcPr>
            <w:tcW w:w="6360" w:type="dxa"/>
            <w:vAlign w:val="bottom"/>
            <w:shd w:val="clear" w:color="auto" w:fill="CCEEFF"/>
          </w:tcPr>
          <w:p>
            <w:pPr>
              <w:spacing w:after="0"/>
              <w:rPr>
                <w:sz w:val="20"/>
                <w:szCs w:val="20"/>
                <w:color w:val="auto"/>
              </w:rPr>
            </w:pPr>
            <w:r>
              <w:rPr>
                <w:rFonts w:ascii="Arial" w:cs="Arial" w:eastAsia="Arial" w:hAnsi="Arial"/>
                <w:sz w:val="18"/>
                <w:szCs w:val="18"/>
                <w:color w:val="auto"/>
              </w:rPr>
              <w:t>Deferred revenue</w:t>
            </w:r>
          </w:p>
        </w:tc>
        <w:tc>
          <w:tcPr>
            <w:tcW w:w="300" w:type="dxa"/>
            <w:vAlign w:val="bottom"/>
            <w:shd w:val="clear" w:color="auto" w:fill="CCEEFF"/>
          </w:tcPr>
          <w:p>
            <w:pPr>
              <w:spacing w:after="0"/>
              <w:rPr>
                <w:sz w:val="18"/>
                <w:szCs w:val="18"/>
                <w:color w:val="auto"/>
              </w:rPr>
            </w:pPr>
          </w:p>
        </w:tc>
        <w:tc>
          <w:tcPr>
            <w:tcW w:w="82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(2,884)</w:t>
            </w:r>
          </w:p>
        </w:tc>
      </w:tr>
      <w:tr>
        <w:trPr>
          <w:trHeight w:val="223"/>
        </w:trPr>
        <w:tc>
          <w:tcPr>
            <w:tcW w:w="6360" w:type="dxa"/>
            <w:vAlign w:val="bottom"/>
          </w:tcPr>
          <w:p>
            <w:pPr>
              <w:spacing w:after="0"/>
              <w:rPr>
                <w:sz w:val="20"/>
                <w:szCs w:val="20"/>
                <w:color w:val="auto"/>
              </w:rPr>
            </w:pPr>
            <w:r>
              <w:rPr>
                <w:rFonts w:ascii="Arial" w:cs="Arial" w:eastAsia="Arial" w:hAnsi="Arial"/>
                <w:sz w:val="18"/>
                <w:szCs w:val="18"/>
                <w:color w:val="auto"/>
              </w:rPr>
              <w:t>Total assets acquired and liabilities assumed</w:t>
            </w:r>
          </w:p>
        </w:tc>
        <w:tc>
          <w:tcPr>
            <w:tcW w:w="30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18,075</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r>
      <w:tr>
        <w:trPr>
          <w:trHeight w:val="216"/>
        </w:trPr>
        <w:tc>
          <w:tcPr>
            <w:tcW w:w="6360" w:type="dxa"/>
            <w:vAlign w:val="bottom"/>
            <w:shd w:val="clear" w:color="auto" w:fill="CCEEFF"/>
          </w:tcPr>
          <w:p>
            <w:pPr>
              <w:spacing w:after="0"/>
              <w:rPr>
                <w:sz w:val="20"/>
                <w:szCs w:val="20"/>
                <w:color w:val="auto"/>
              </w:rPr>
            </w:pPr>
            <w:r>
              <w:rPr>
                <w:rFonts w:ascii="Arial" w:cs="Arial" w:eastAsia="Arial" w:hAnsi="Arial"/>
                <w:sz w:val="18"/>
                <w:szCs w:val="18"/>
                <w:color w:val="auto"/>
              </w:rPr>
              <w:t>Goodwill</w:t>
            </w:r>
          </w:p>
        </w:tc>
        <w:tc>
          <w:tcPr>
            <w:tcW w:w="3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28,271</w:t>
            </w:r>
          </w:p>
        </w:tc>
        <w:tc>
          <w:tcPr>
            <w:tcW w:w="80" w:type="dxa"/>
            <w:vAlign w:val="bottom"/>
            <w:shd w:val="clear" w:color="auto" w:fill="CCEEFF"/>
          </w:tcPr>
          <w:p>
            <w:pPr>
              <w:spacing w:after="0"/>
              <w:rPr>
                <w:sz w:val="18"/>
                <w:szCs w:val="18"/>
                <w:color w:val="auto"/>
              </w:rPr>
            </w:pPr>
          </w:p>
        </w:tc>
      </w:tr>
      <w:tr>
        <w:trPr>
          <w:trHeight w:val="223"/>
        </w:trPr>
        <w:tc>
          <w:tcPr>
            <w:tcW w:w="6360" w:type="dxa"/>
            <w:vAlign w:val="bottom"/>
          </w:tcPr>
          <w:p>
            <w:pPr>
              <w:ind w:left="360"/>
              <w:spacing w:after="0"/>
              <w:rPr>
                <w:sz w:val="20"/>
                <w:szCs w:val="20"/>
                <w:color w:val="auto"/>
              </w:rPr>
            </w:pPr>
            <w:r>
              <w:rPr>
                <w:rFonts w:ascii="Arial" w:cs="Arial" w:eastAsia="Arial" w:hAnsi="Arial"/>
                <w:sz w:val="18"/>
                <w:szCs w:val="18"/>
                <w:color w:val="auto"/>
              </w:rPr>
              <w:t>Purchase price</w:t>
            </w:r>
          </w:p>
        </w:tc>
        <w:tc>
          <w:tcPr>
            <w:tcW w:w="3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46,346</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r>
      <w:tr>
        <w:trPr>
          <w:trHeight w:val="20"/>
        </w:trPr>
        <w:tc>
          <w:tcPr>
            <w:tcW w:w="63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15" w:lineRule="exact"/>
        <w:rPr>
          <w:sz w:val="20"/>
          <w:szCs w:val="20"/>
          <w:color w:val="auto"/>
        </w:rPr>
      </w:pPr>
    </w:p>
    <w:p>
      <w:pPr>
        <w:ind w:left="120" w:right="60" w:firstLine="440"/>
        <w:spacing w:after="0" w:line="255" w:lineRule="auto"/>
        <w:rPr>
          <w:sz w:val="20"/>
          <w:szCs w:val="20"/>
          <w:color w:val="auto"/>
        </w:rPr>
      </w:pPr>
      <w:r>
        <w:rPr>
          <w:rFonts w:ascii="Arial" w:cs="Arial" w:eastAsia="Arial" w:hAnsi="Arial"/>
          <w:sz w:val="18"/>
          <w:szCs w:val="18"/>
          <w:color w:val="auto"/>
        </w:rPr>
        <w:t xml:space="preserve">As a result of the Monocl acquisition, the Company recorded goodwill, customer relationships, data, technology, and trademark of $28.3 million, $11.9 million, $3.0 million, $2.6 million and $1.4 million, respectively, as of the acquisition date. The goodwill recognized includes the fair value of the assembled workforce, which is not recognized as an intangible asset separable from goodwill, and any expected synergies gained through the acquisition. The Company determined that the goodwill resulting from the acquisition is not deductible for tax purposes. In connection with the acquisition, the Company also recorded deferred revenue of $2.9 million and a contingent consideration liability of $2.6 million. See Note 9. </w:t>
      </w:r>
      <w:r>
        <w:rPr>
          <w:rFonts w:ascii="Arial" w:cs="Arial" w:eastAsia="Arial" w:hAnsi="Arial"/>
          <w:sz w:val="18"/>
          <w:szCs w:val="18"/>
          <w:i w:val="1"/>
          <w:iCs w:val="1"/>
          <w:color w:val="auto"/>
        </w:rPr>
        <w:t>Fair Value</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Measurements </w:t>
      </w:r>
      <w:r>
        <w:rPr>
          <w:rFonts w:ascii="Arial" w:cs="Arial" w:eastAsia="Arial" w:hAnsi="Arial"/>
          <w:sz w:val="18"/>
          <w:szCs w:val="18"/>
          <w:color w:val="auto"/>
        </w:rPr>
        <w:t>for more detail on determination of fair value.</w:t>
      </w:r>
    </w:p>
    <w:p>
      <w:pPr>
        <w:spacing w:after="0" w:line="192" w:lineRule="exact"/>
        <w:rPr>
          <w:sz w:val="20"/>
          <w:szCs w:val="20"/>
          <w:color w:val="auto"/>
        </w:rPr>
      </w:pPr>
    </w:p>
    <w:p>
      <w:pPr>
        <w:ind w:left="120" w:firstLine="440"/>
        <w:spacing w:after="0" w:line="257" w:lineRule="auto"/>
        <w:rPr>
          <w:sz w:val="20"/>
          <w:szCs w:val="20"/>
          <w:color w:val="auto"/>
        </w:rPr>
      </w:pPr>
      <w:r>
        <w:rPr>
          <w:rFonts w:ascii="Arial" w:cs="Arial" w:eastAsia="Arial" w:hAnsi="Arial"/>
          <w:sz w:val="18"/>
          <w:szCs w:val="18"/>
          <w:color w:val="auto"/>
        </w:rPr>
        <w:t>Customer relationships represent the estimated fair value of the underlying relationships with the acquired entity’s business customers. The Company valued customer relationships using the income approach, specifically the excess earnings method. Significant assumptions include forecast of revenues, cost of revenues, estimated attrition rates, and discount rates reflecting the different risk profiles of the asset depending upon the acquisition. The value assigned to customer relationships is $11.9 million and is amortized using the annual pattern of cash flows (economic value method) over the estimated 14-year life of this asset.</w:t>
      </w:r>
    </w:p>
    <w:p>
      <w:pPr>
        <w:spacing w:after="0" w:line="188" w:lineRule="exact"/>
        <w:rPr>
          <w:sz w:val="20"/>
          <w:szCs w:val="20"/>
          <w:color w:val="auto"/>
        </w:rPr>
      </w:pPr>
    </w:p>
    <w:p>
      <w:pPr>
        <w:jc w:val="both"/>
        <w:ind w:left="120" w:right="60" w:firstLine="440"/>
        <w:spacing w:after="0" w:line="263" w:lineRule="auto"/>
        <w:rPr>
          <w:sz w:val="20"/>
          <w:szCs w:val="20"/>
          <w:color w:val="auto"/>
        </w:rPr>
      </w:pPr>
      <w:r>
        <w:rPr>
          <w:rFonts w:ascii="Arial" w:cs="Arial" w:eastAsia="Arial" w:hAnsi="Arial"/>
          <w:sz w:val="18"/>
          <w:szCs w:val="18"/>
          <w:color w:val="auto"/>
        </w:rPr>
        <w:t>Data includes proprietary data on medical and scientific expert personnel. The Company used the cost approach, specifically the replacement cost method to value the data. The Fair value of the data was estimated to be $3.0 million and is amortized using the straight-line method over the estimated remaining useful life of 3 years.</w:t>
      </w:r>
    </w:p>
    <w:p>
      <w:pPr>
        <w:spacing w:after="0" w:line="184" w:lineRule="exact"/>
        <w:rPr>
          <w:sz w:val="20"/>
          <w:szCs w:val="20"/>
          <w:color w:val="auto"/>
        </w:rPr>
      </w:pPr>
    </w:p>
    <w:p>
      <w:pPr>
        <w:ind w:left="120" w:right="20" w:firstLine="440"/>
        <w:spacing w:after="0" w:line="275" w:lineRule="auto"/>
        <w:rPr>
          <w:sz w:val="20"/>
          <w:szCs w:val="20"/>
          <w:color w:val="auto"/>
        </w:rPr>
      </w:pPr>
      <w:r>
        <w:rPr>
          <w:rFonts w:ascii="Arial" w:cs="Arial" w:eastAsia="Arial" w:hAnsi="Arial"/>
          <w:sz w:val="17"/>
          <w:szCs w:val="17"/>
          <w:color w:val="auto"/>
        </w:rPr>
        <w:t>The technology recognized includes Monocl’s existing technology and provides users with a cloud-based platform with millions of expert profiles generated using machine learning and tailored algorithms through an online platform. This technology provides the automated collection of content sources, data processing and augmentation, and ultimately the generation of contextually relevant and continuously updated expert profiles. The Company used the income approach, specifically the relief-from-royalty method, to determine the value of technology, which was valued at $2.6 million and is amortized using the straight-line method over the estimated remaining useful life of 8 years.</w:t>
      </w:r>
    </w:p>
    <w:p>
      <w:pPr>
        <w:spacing w:after="0" w:line="176" w:lineRule="exact"/>
        <w:rPr>
          <w:sz w:val="20"/>
          <w:szCs w:val="20"/>
          <w:color w:val="auto"/>
        </w:rPr>
      </w:pPr>
    </w:p>
    <w:p>
      <w:pPr>
        <w:ind w:left="120" w:right="200" w:firstLine="440"/>
        <w:spacing w:after="0" w:line="259" w:lineRule="auto"/>
        <w:rPr>
          <w:sz w:val="20"/>
          <w:szCs w:val="20"/>
          <w:color w:val="auto"/>
        </w:rPr>
      </w:pPr>
      <w:r>
        <w:rPr>
          <w:rFonts w:ascii="Arial" w:cs="Arial" w:eastAsia="Arial" w:hAnsi="Arial"/>
          <w:sz w:val="18"/>
          <w:szCs w:val="18"/>
          <w:color w:val="auto"/>
        </w:rPr>
        <w:t>The trademark represents the estimated fair value of the registered trademarks, logo and domain names associated with the Monocl corporate brand. The Company estimated the fair value of the trademark using a relief from royalty method. Significant assumptions include forecast of royalty rate, company revenues, tax rate, and discount rate. The trademark was valued at $1.4 million and is amortized using the straight-line method over the estimated remaining useful life of 19 years.</w:t>
      </w:r>
    </w:p>
    <w:p>
      <w:pPr>
        <w:spacing w:after="0" w:line="119" w:lineRule="exact"/>
        <w:rPr>
          <w:sz w:val="20"/>
          <w:szCs w:val="20"/>
          <w:color w:val="auto"/>
        </w:rPr>
      </w:pPr>
    </w:p>
    <w:p>
      <w:pPr>
        <w:jc w:val="center"/>
        <w:ind w:right="-359"/>
        <w:spacing w:after="0"/>
        <w:rPr>
          <w:sz w:val="20"/>
          <w:szCs w:val="20"/>
          <w:color w:val="auto"/>
        </w:rPr>
      </w:pPr>
      <w:r>
        <w:rPr>
          <w:rFonts w:ascii="Arial" w:cs="Arial" w:eastAsia="Arial" w:hAnsi="Arial"/>
          <w:sz w:val="18"/>
          <w:szCs w:val="18"/>
          <w:color w:val="auto"/>
        </w:rPr>
        <w:t>F-25</w:t>
      </w:r>
    </w:p>
    <w:p>
      <w:pPr>
        <w:sectPr>
          <w:pgSz w:w="11900" w:h="16838" w:orient="portrait"/>
          <w:cols w:equalWidth="0" w:num="1">
            <w:col w:w="11120"/>
          </w:cols>
          <w:pgMar w:left="320" w:top="459" w:right="459" w:bottom="1440" w:gutter="0" w:footer="0" w:header="0"/>
        </w:sectPr>
      </w:pPr>
    </w:p>
    <w:bookmarkStart w:id="231" w:name="page232"/>
    <w:bookmarkEnd w:id="2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16">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Confidential Treatment Requested by Definitive Healthcare Corp.</w:t>
      </w:r>
    </w:p>
    <w:p>
      <w:pPr>
        <w:spacing w:after="0" w:line="27"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Pursuant to 17 C.F.R. Section 200.83</w:t>
      </w:r>
    </w:p>
    <w:p>
      <w:pPr>
        <w:spacing w:after="0" w:line="143" w:lineRule="exact"/>
        <w:rPr>
          <w:sz w:val="20"/>
          <w:szCs w:val="20"/>
          <w:color w:val="auto"/>
        </w:rPr>
      </w:pPr>
    </w:p>
    <w:p>
      <w:pPr>
        <w:ind w:left="120" w:right="320" w:firstLine="440"/>
        <w:spacing w:after="0" w:line="277" w:lineRule="auto"/>
        <w:rPr>
          <w:sz w:val="20"/>
          <w:szCs w:val="20"/>
          <w:color w:val="auto"/>
        </w:rPr>
      </w:pPr>
      <w:r>
        <w:rPr>
          <w:rFonts w:ascii="Arial" w:cs="Arial" w:eastAsia="Arial" w:hAnsi="Arial"/>
          <w:sz w:val="18"/>
          <w:szCs w:val="18"/>
          <w:color w:val="auto"/>
        </w:rPr>
        <w:t>The weighted average amortization period for the customer relationships, tradenames, technology, and data is 15 years, 17 years, 8 years and 3 years, respectively. See Note 7 for the estimated total intangible amortization expense during the next five years.</w:t>
      </w:r>
    </w:p>
    <w:p>
      <w:pPr>
        <w:spacing w:after="0" w:line="170" w:lineRule="exact"/>
        <w:rPr>
          <w:sz w:val="20"/>
          <w:szCs w:val="20"/>
          <w:color w:val="auto"/>
        </w:rPr>
      </w:pPr>
    </w:p>
    <w:p>
      <w:pPr>
        <w:ind w:left="120" w:right="460" w:firstLine="440"/>
        <w:spacing w:after="0" w:line="277" w:lineRule="auto"/>
        <w:rPr>
          <w:sz w:val="20"/>
          <w:szCs w:val="20"/>
          <w:color w:val="auto"/>
        </w:rPr>
      </w:pPr>
      <w:r>
        <w:rPr>
          <w:rFonts w:ascii="Arial" w:cs="Arial" w:eastAsia="Arial" w:hAnsi="Arial"/>
          <w:sz w:val="18"/>
          <w:szCs w:val="18"/>
          <w:color w:val="auto"/>
        </w:rPr>
        <w:t>In connection with the acquisition, the Company recognized acquisition related costs of $0.4 million which were recorded within transaction expenses in the accompanying consolidated statements of income (loss).</w:t>
      </w:r>
    </w:p>
    <w:p>
      <w:pPr>
        <w:spacing w:after="0" w:line="170" w:lineRule="exact"/>
        <w:rPr>
          <w:sz w:val="20"/>
          <w:szCs w:val="20"/>
          <w:color w:val="auto"/>
        </w:rPr>
      </w:pPr>
    </w:p>
    <w:p>
      <w:pPr>
        <w:ind w:left="120" w:right="560" w:firstLine="440"/>
        <w:spacing w:after="0" w:line="263" w:lineRule="auto"/>
        <w:rPr>
          <w:sz w:val="20"/>
          <w:szCs w:val="20"/>
          <w:color w:val="auto"/>
        </w:rPr>
      </w:pPr>
      <w:r>
        <w:rPr>
          <w:rFonts w:ascii="Arial" w:cs="Arial" w:eastAsia="Arial" w:hAnsi="Arial"/>
          <w:sz w:val="18"/>
          <w:szCs w:val="18"/>
          <w:color w:val="auto"/>
        </w:rPr>
        <w:t>The net loss of Monocl is included in the Company’s consolidated results since the date of acquisition. The revenue and net loss of Monocl reflected in the consolidated statements of income (loss) for the year ended December 31, 2020 (Successor) were $1.2 million and $1.6 million, respectively.</w:t>
      </w:r>
    </w:p>
    <w:p>
      <w:pPr>
        <w:spacing w:after="0" w:line="184" w:lineRule="exact"/>
        <w:rPr>
          <w:sz w:val="20"/>
          <w:szCs w:val="20"/>
          <w:color w:val="auto"/>
        </w:rPr>
      </w:pPr>
    </w:p>
    <w:p>
      <w:pPr>
        <w:ind w:left="560"/>
        <w:spacing w:after="0"/>
        <w:rPr>
          <w:sz w:val="20"/>
          <w:szCs w:val="20"/>
          <w:color w:val="auto"/>
        </w:rPr>
      </w:pPr>
      <w:r>
        <w:rPr>
          <w:rFonts w:ascii="Arial" w:cs="Arial" w:eastAsia="Arial" w:hAnsi="Arial"/>
          <w:sz w:val="18"/>
          <w:szCs w:val="18"/>
          <w:color w:val="auto"/>
        </w:rPr>
        <w:t>Unaudited Pro Forma Supplementary Data</w:t>
      </w:r>
    </w:p>
    <w:p>
      <w:pPr>
        <w:spacing w:after="0" w:line="235" w:lineRule="exact"/>
        <w:rPr>
          <w:sz w:val="20"/>
          <w:szCs w:val="20"/>
          <w:color w:val="auto"/>
        </w:rPr>
      </w:pPr>
    </w:p>
    <w:tbl>
      <w:tblPr>
        <w:tblLayout w:type="fixed"/>
        <w:tblInd w:w="1440" w:type="dxa"/>
        <w:tblCellMar>
          <w:top w:w="0" w:type="dxa"/>
          <w:left w:w="0" w:type="dxa"/>
          <w:bottom w:w="0" w:type="dxa"/>
          <w:right w:w="0" w:type="dxa"/>
        </w:tblCellMar>
      </w:tblPr>
      <w:tr>
        <w:trPr>
          <w:trHeight w:val="161"/>
        </w:trPr>
        <w:tc>
          <w:tcPr>
            <w:tcW w:w="49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00" w:type="dxa"/>
            <w:vAlign w:val="bottom"/>
            <w:gridSpan w:val="2"/>
          </w:tcPr>
          <w:p>
            <w:pPr>
              <w:jc w:val="right"/>
              <w:ind w:right="1260"/>
              <w:spacing w:after="0"/>
              <w:rPr>
                <w:sz w:val="20"/>
                <w:szCs w:val="20"/>
                <w:color w:val="auto"/>
              </w:rPr>
            </w:pPr>
            <w:r>
              <w:rPr>
                <w:rFonts w:ascii="Arial" w:cs="Arial" w:eastAsia="Arial" w:hAnsi="Arial"/>
                <w:sz w:val="14"/>
                <w:szCs w:val="14"/>
                <w:color w:val="auto"/>
                <w:w w:val="97"/>
              </w:rPr>
              <w:t>Year Ended</w:t>
            </w:r>
          </w:p>
        </w:tc>
        <w:tc>
          <w:tcPr>
            <w:tcW w:w="160" w:type="dxa"/>
            <w:vAlign w:val="bottom"/>
          </w:tcPr>
          <w:p>
            <w:pPr>
              <w:spacing w:after="0"/>
              <w:rPr>
                <w:sz w:val="14"/>
                <w:szCs w:val="14"/>
                <w:color w:val="auto"/>
              </w:rPr>
            </w:pPr>
          </w:p>
        </w:tc>
        <w:tc>
          <w:tcPr>
            <w:tcW w:w="1080" w:type="dxa"/>
            <w:vAlign w:val="bottom"/>
            <w:gridSpan w:val="2"/>
          </w:tcPr>
          <w:p>
            <w:pPr>
              <w:jc w:val="right"/>
              <w:ind w:right="340"/>
              <w:spacing w:after="0"/>
              <w:rPr>
                <w:sz w:val="20"/>
                <w:szCs w:val="20"/>
                <w:color w:val="auto"/>
              </w:rPr>
            </w:pPr>
            <w:r>
              <w:rPr>
                <w:rFonts w:ascii="Arial" w:cs="Arial" w:eastAsia="Arial" w:hAnsi="Arial"/>
                <w:sz w:val="14"/>
                <w:szCs w:val="14"/>
                <w:color w:val="auto"/>
                <w:w w:val="97"/>
              </w:rPr>
              <w:t>Year Ended</w:t>
            </w:r>
          </w:p>
        </w:tc>
      </w:tr>
      <w:tr>
        <w:trPr>
          <w:trHeight w:val="167"/>
        </w:trPr>
        <w:tc>
          <w:tcPr>
            <w:tcW w:w="4960" w:type="dxa"/>
            <w:vAlign w:val="bottom"/>
          </w:tcPr>
          <w:p>
            <w:pPr>
              <w:spacing w:after="0"/>
              <w:rPr>
                <w:sz w:val="20"/>
                <w:szCs w:val="20"/>
                <w:color w:val="auto"/>
              </w:rPr>
            </w:pPr>
            <w:r>
              <w:rPr>
                <w:rFonts w:ascii="Arial" w:cs="Arial" w:eastAsia="Arial" w:hAnsi="Arial"/>
                <w:sz w:val="14"/>
                <w:szCs w:val="14"/>
                <w:color w:val="auto"/>
              </w:rPr>
              <w:t>(in thousands)</w:t>
            </w:r>
          </w:p>
        </w:tc>
        <w:tc>
          <w:tcPr>
            <w:tcW w:w="2160" w:type="dxa"/>
            <w:vAlign w:val="bottom"/>
            <w:gridSpan w:val="3"/>
          </w:tcPr>
          <w:p>
            <w:pPr>
              <w:spacing w:after="0"/>
              <w:rPr>
                <w:sz w:val="20"/>
                <w:szCs w:val="20"/>
                <w:color w:val="auto"/>
              </w:rPr>
            </w:pPr>
            <w:r>
              <w:rPr>
                <w:rFonts w:ascii="Arial" w:cs="Arial" w:eastAsia="Arial" w:hAnsi="Arial"/>
                <w:sz w:val="14"/>
                <w:szCs w:val="14"/>
                <w:color w:val="auto"/>
              </w:rPr>
              <w:t>December 31, 2020</w:t>
            </w:r>
          </w:p>
        </w:tc>
        <w:tc>
          <w:tcPr>
            <w:tcW w:w="1240" w:type="dxa"/>
            <w:vAlign w:val="bottom"/>
            <w:gridSpan w:val="3"/>
          </w:tcPr>
          <w:p>
            <w:pPr>
              <w:spacing w:after="0"/>
              <w:rPr>
                <w:sz w:val="20"/>
                <w:szCs w:val="20"/>
                <w:color w:val="auto"/>
              </w:rPr>
            </w:pPr>
            <w:r>
              <w:rPr>
                <w:rFonts w:ascii="Arial" w:cs="Arial" w:eastAsia="Arial" w:hAnsi="Arial"/>
                <w:sz w:val="14"/>
                <w:szCs w:val="14"/>
                <w:color w:val="auto"/>
                <w:w w:val="99"/>
              </w:rPr>
              <w:t>December 31, 2019</w:t>
            </w:r>
          </w:p>
        </w:tc>
      </w:tr>
      <w:tr>
        <w:trPr>
          <w:trHeight w:val="209"/>
        </w:trPr>
        <w:tc>
          <w:tcPr>
            <w:tcW w:w="49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Revenue</w:t>
            </w:r>
          </w:p>
        </w:tc>
        <w:tc>
          <w:tcPr>
            <w:tcW w:w="1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122,333</w:t>
            </w:r>
          </w:p>
        </w:tc>
        <w:tc>
          <w:tcPr>
            <w:tcW w:w="10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87,157</w:t>
            </w:r>
          </w:p>
        </w:tc>
        <w:tc>
          <w:tcPr>
            <w:tcW w:w="100" w:type="dxa"/>
            <w:vAlign w:val="bottom"/>
            <w:tcBorders>
              <w:top w:val="single" w:sz="8" w:color="CCEEFF"/>
            </w:tcBorders>
            <w:shd w:val="clear" w:color="auto" w:fill="CCEEFF"/>
          </w:tcPr>
          <w:p>
            <w:pPr>
              <w:spacing w:after="0"/>
              <w:rPr>
                <w:sz w:val="18"/>
                <w:szCs w:val="18"/>
                <w:color w:val="auto"/>
              </w:rPr>
            </w:pPr>
          </w:p>
        </w:tc>
      </w:tr>
      <w:tr>
        <w:trPr>
          <w:trHeight w:val="230"/>
        </w:trPr>
        <w:tc>
          <w:tcPr>
            <w:tcW w:w="4960" w:type="dxa"/>
            <w:vAlign w:val="bottom"/>
          </w:tcPr>
          <w:p>
            <w:pPr>
              <w:spacing w:after="0"/>
              <w:rPr>
                <w:sz w:val="20"/>
                <w:szCs w:val="20"/>
                <w:color w:val="auto"/>
              </w:rPr>
            </w:pPr>
            <w:r>
              <w:rPr>
                <w:rFonts w:ascii="Arial" w:cs="Arial" w:eastAsia="Arial" w:hAnsi="Arial"/>
                <w:sz w:val="18"/>
                <w:szCs w:val="18"/>
                <w:color w:val="auto"/>
              </w:rPr>
              <w:t>Net loss</w:t>
            </w:r>
          </w:p>
        </w:tc>
        <w:tc>
          <w:tcPr>
            <w:tcW w:w="160" w:type="dxa"/>
            <w:vAlign w:val="bottom"/>
          </w:tcPr>
          <w:p>
            <w:pPr>
              <w:spacing w:after="0"/>
              <w:rPr>
                <w:sz w:val="20"/>
                <w:szCs w:val="20"/>
                <w:color w:val="auto"/>
              </w:rPr>
            </w:pPr>
          </w:p>
        </w:tc>
        <w:tc>
          <w:tcPr>
            <w:tcW w:w="2000" w:type="dxa"/>
            <w:vAlign w:val="bottom"/>
            <w:gridSpan w:val="2"/>
          </w:tcPr>
          <w:p>
            <w:pPr>
              <w:jc w:val="right"/>
              <w:ind w:right="960"/>
              <w:spacing w:after="0"/>
              <w:rPr>
                <w:sz w:val="20"/>
                <w:szCs w:val="20"/>
                <w:color w:val="auto"/>
              </w:rPr>
            </w:pPr>
            <w:r>
              <w:rPr>
                <w:rFonts w:ascii="Arial" w:cs="Arial" w:eastAsia="Arial" w:hAnsi="Arial"/>
                <w:sz w:val="18"/>
                <w:szCs w:val="18"/>
                <w:color w:val="auto"/>
              </w:rPr>
              <w:t>(58,350)</w:t>
            </w:r>
          </w:p>
        </w:tc>
        <w:tc>
          <w:tcPr>
            <w:tcW w:w="160" w:type="dxa"/>
            <w:vAlign w:val="bottom"/>
          </w:tcPr>
          <w:p>
            <w:pPr>
              <w:spacing w:after="0"/>
              <w:rPr>
                <w:sz w:val="20"/>
                <w:szCs w:val="20"/>
                <w:color w:val="auto"/>
              </w:rPr>
            </w:pPr>
          </w:p>
        </w:tc>
        <w:tc>
          <w:tcPr>
            <w:tcW w:w="1080" w:type="dxa"/>
            <w:vAlign w:val="bottom"/>
            <w:gridSpan w:val="2"/>
          </w:tcPr>
          <w:p>
            <w:pPr>
              <w:jc w:val="right"/>
              <w:ind w:right="40"/>
              <w:spacing w:after="0"/>
              <w:rPr>
                <w:sz w:val="20"/>
                <w:szCs w:val="20"/>
                <w:color w:val="auto"/>
              </w:rPr>
            </w:pPr>
            <w:r>
              <w:rPr>
                <w:rFonts w:ascii="Arial" w:cs="Arial" w:eastAsia="Arial" w:hAnsi="Arial"/>
                <w:sz w:val="18"/>
                <w:szCs w:val="18"/>
                <w:color w:val="auto"/>
              </w:rPr>
              <w:t>(97,134)</w:t>
            </w:r>
          </w:p>
        </w:tc>
      </w:tr>
    </w:tbl>
    <w:p>
      <w:pPr>
        <w:spacing w:after="0" w:line="187" w:lineRule="exact"/>
        <w:rPr>
          <w:sz w:val="20"/>
          <w:szCs w:val="20"/>
          <w:color w:val="auto"/>
        </w:rPr>
      </w:pPr>
    </w:p>
    <w:p>
      <w:pPr>
        <w:ind w:left="560"/>
        <w:spacing w:after="0"/>
        <w:rPr>
          <w:sz w:val="20"/>
          <w:szCs w:val="20"/>
          <w:color w:val="auto"/>
        </w:rPr>
      </w:pPr>
      <w:r>
        <w:rPr>
          <w:rFonts w:ascii="Arial" w:cs="Arial" w:eastAsia="Arial" w:hAnsi="Arial"/>
          <w:sz w:val="16"/>
          <w:szCs w:val="16"/>
          <w:color w:val="auto"/>
        </w:rPr>
        <w:t>The unaudited pro forma supplementary data presented in the table above shows the effect of the Monocl and Definitive Holdco Acquisitions, as if</w:t>
      </w:r>
    </w:p>
    <w:p>
      <w:pPr>
        <w:spacing w:after="0" w:line="46" w:lineRule="exact"/>
        <w:rPr>
          <w:sz w:val="20"/>
          <w:szCs w:val="20"/>
          <w:color w:val="auto"/>
        </w:rPr>
      </w:pPr>
    </w:p>
    <w:p>
      <w:pPr>
        <w:ind w:left="120"/>
        <w:spacing w:after="0"/>
        <w:rPr>
          <w:sz w:val="20"/>
          <w:szCs w:val="20"/>
          <w:color w:val="auto"/>
        </w:rPr>
      </w:pPr>
      <w:r>
        <w:rPr>
          <w:rFonts w:ascii="Arial" w:cs="Arial" w:eastAsia="Arial" w:hAnsi="Arial"/>
          <w:sz w:val="16"/>
          <w:szCs w:val="16"/>
          <w:color w:val="auto"/>
        </w:rPr>
        <w:t>the transactions had occurred at the beginning of fiscal year 2019. The pro forma net loss includes adjustments to amortization expense for the valuation</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7"/>
          <w:szCs w:val="17"/>
          <w:color w:val="auto"/>
        </w:rPr>
        <w:t>of other intangible assets of $0.8 million and $1.2 million and interest expense related to incremental borrowings used to finance the transaction of</w:t>
      </w:r>
    </w:p>
    <w:p>
      <w:pPr>
        <w:spacing w:after="0" w:line="21" w:lineRule="exact"/>
        <w:rPr>
          <w:sz w:val="20"/>
          <w:szCs w:val="20"/>
          <w:color w:val="auto"/>
        </w:rPr>
      </w:pPr>
    </w:p>
    <w:p>
      <w:pPr>
        <w:ind w:left="120"/>
        <w:spacing w:after="0"/>
        <w:rPr>
          <w:sz w:val="20"/>
          <w:szCs w:val="20"/>
          <w:color w:val="auto"/>
        </w:rPr>
      </w:pPr>
      <w:r>
        <w:rPr>
          <w:rFonts w:ascii="Arial" w:cs="Arial" w:eastAsia="Arial" w:hAnsi="Arial"/>
          <w:sz w:val="16"/>
          <w:szCs w:val="16"/>
          <w:color w:val="auto"/>
        </w:rPr>
        <w:t>$1.0 million and $1.2 million for the years ended December 31, 2020 and 2019, respectively. Acquisition expenses of $0.4 million were excluded from</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7"/>
          <w:szCs w:val="17"/>
          <w:color w:val="auto"/>
        </w:rPr>
        <w:t>the pro forma net loss for the year ended December 31, 2020 and included in the pro forma net loss for the year-ended December 31, 2019. The</w:t>
      </w:r>
    </w:p>
    <w:p>
      <w:pPr>
        <w:spacing w:after="0" w:line="21" w:lineRule="exact"/>
        <w:rPr>
          <w:sz w:val="20"/>
          <w:szCs w:val="20"/>
          <w:color w:val="auto"/>
        </w:rPr>
      </w:pPr>
    </w:p>
    <w:p>
      <w:pPr>
        <w:ind w:left="120"/>
        <w:spacing w:after="0"/>
        <w:rPr>
          <w:sz w:val="20"/>
          <w:szCs w:val="20"/>
          <w:color w:val="auto"/>
        </w:rPr>
      </w:pPr>
      <w:r>
        <w:rPr>
          <w:rFonts w:ascii="Arial" w:cs="Arial" w:eastAsia="Arial" w:hAnsi="Arial"/>
          <w:sz w:val="16"/>
          <w:szCs w:val="16"/>
          <w:color w:val="auto"/>
        </w:rPr>
        <w:t>unaudited pro forma supplementary data is provided for informational purposes only and should not be construed to be indicative of the Company’s</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7"/>
          <w:szCs w:val="17"/>
          <w:color w:val="auto"/>
        </w:rPr>
        <w:t>results of operations had the acquisition been consummated on the date assumed or of the Company’s results of operations for any future date.</w:t>
      </w:r>
    </w:p>
    <w:p>
      <w:pPr>
        <w:spacing w:after="0" w:line="330"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2019 acquisitions</w:t>
      </w:r>
    </w:p>
    <w:p>
      <w:pPr>
        <w:spacing w:after="0" w:line="117"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Definitive Holdco (“Definitive Holdco Acquisition”)</w:t>
      </w:r>
    </w:p>
    <w:p>
      <w:pPr>
        <w:spacing w:after="0" w:line="117" w:lineRule="exact"/>
        <w:rPr>
          <w:sz w:val="20"/>
          <w:szCs w:val="20"/>
          <w:color w:val="auto"/>
        </w:rPr>
      </w:pPr>
    </w:p>
    <w:p>
      <w:pPr>
        <w:jc w:val="both"/>
        <w:ind w:left="120" w:right="420" w:firstLine="440"/>
        <w:spacing w:after="0" w:line="263" w:lineRule="auto"/>
        <w:rPr>
          <w:sz w:val="20"/>
          <w:szCs w:val="20"/>
          <w:color w:val="auto"/>
        </w:rPr>
      </w:pPr>
      <w:r>
        <w:rPr>
          <w:rFonts w:ascii="Arial" w:cs="Arial" w:eastAsia="Arial" w:hAnsi="Arial"/>
          <w:sz w:val="18"/>
          <w:szCs w:val="18"/>
          <w:color w:val="auto"/>
        </w:rPr>
        <w:t>On July 16, 2019, Advent, our Sponsor, entered into an agreement with Definitive Holdco (the “Agreement”) to, among other things, acquire 100% of its issued and outstanding units, for a total consideration of $1,699.6 million, consisting of $1,129.3 million of cash and $570.3 million of equity units issued to the sellers and former owners.</w:t>
      </w:r>
    </w:p>
    <w:p>
      <w:pPr>
        <w:spacing w:after="0" w:line="184" w:lineRule="exact"/>
        <w:rPr>
          <w:sz w:val="20"/>
          <w:szCs w:val="20"/>
          <w:color w:val="auto"/>
        </w:rPr>
      </w:pPr>
    </w:p>
    <w:p>
      <w:pPr>
        <w:ind w:left="120" w:right="900" w:firstLine="440"/>
        <w:spacing w:after="0" w:line="277" w:lineRule="auto"/>
        <w:rPr>
          <w:sz w:val="20"/>
          <w:szCs w:val="20"/>
          <w:color w:val="auto"/>
        </w:rPr>
      </w:pPr>
      <w:r>
        <w:rPr>
          <w:rFonts w:ascii="Arial" w:cs="Arial" w:eastAsia="Arial" w:hAnsi="Arial"/>
          <w:sz w:val="18"/>
          <w:szCs w:val="18"/>
          <w:color w:val="auto"/>
        </w:rPr>
        <w:t>For purposes of the Agreement, affiliated legal entities of Advent include Advent IX Funds, AIDH Holdings, Inc. (“AIDH Holdings”), AIDH TopCo, AIDH Buyer, and AIDH Finance Sub, LLC (“AIDH Finance Sub”).</w:t>
      </w:r>
    </w:p>
    <w:p>
      <w:pPr>
        <w:spacing w:after="0" w:line="170" w:lineRule="exact"/>
        <w:rPr>
          <w:sz w:val="20"/>
          <w:szCs w:val="20"/>
          <w:color w:val="auto"/>
        </w:rPr>
      </w:pPr>
    </w:p>
    <w:p>
      <w:pPr>
        <w:jc w:val="both"/>
        <w:ind w:left="120" w:right="200" w:firstLine="440"/>
        <w:spacing w:after="0" w:line="263" w:lineRule="auto"/>
        <w:rPr>
          <w:sz w:val="20"/>
          <w:szCs w:val="20"/>
          <w:color w:val="auto"/>
        </w:rPr>
      </w:pPr>
      <w:r>
        <w:rPr>
          <w:rFonts w:ascii="Arial" w:cs="Arial" w:eastAsia="Arial" w:hAnsi="Arial"/>
          <w:sz w:val="18"/>
          <w:szCs w:val="18"/>
          <w:color w:val="auto"/>
        </w:rPr>
        <w:t>Advent IX Funds owns 100% of the outstanding units of AIDH Holdings. AIDH Holdings owns 55% of the outstanding units of the Company, with the remaining interests (45%) issued to the prior owners of Definitive Holdco as rollover units. The Company owns 100% of outstanding units of AIDH Buyer. Upon acquisition, AIDH Buyer owns 100% of Definitive Holdco.</w:t>
      </w:r>
    </w:p>
    <w:p>
      <w:pPr>
        <w:spacing w:after="0" w:line="184"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transactions outlined in the Agreement were executed as follows:</w:t>
      </w:r>
    </w:p>
    <w:p>
      <w:pPr>
        <w:spacing w:after="0" w:line="117" w:lineRule="exact"/>
        <w:rPr>
          <w:sz w:val="20"/>
          <w:szCs w:val="20"/>
          <w:color w:val="auto"/>
        </w:rPr>
      </w:pPr>
    </w:p>
    <w:p>
      <w:pPr>
        <w:ind w:left="120" w:right="360" w:firstLine="436"/>
        <w:spacing w:after="0" w:line="279" w:lineRule="auto"/>
        <w:tabs>
          <w:tab w:leader="none" w:pos="875" w:val="left"/>
        </w:tabs>
        <w:numPr>
          <w:ilvl w:val="0"/>
          <w:numId w:val="183"/>
        </w:numPr>
        <w:rPr>
          <w:rFonts w:ascii="Arial" w:cs="Arial" w:eastAsia="Arial" w:hAnsi="Arial"/>
          <w:sz w:val="17"/>
          <w:szCs w:val="17"/>
          <w:color w:val="auto"/>
        </w:rPr>
      </w:pPr>
      <w:r>
        <w:rPr>
          <w:rFonts w:ascii="Arial" w:cs="Arial" w:eastAsia="Arial" w:hAnsi="Arial"/>
          <w:sz w:val="17"/>
          <w:szCs w:val="17"/>
          <w:color w:val="auto"/>
        </w:rPr>
        <w:t>Debt Financing. Immediately prior to closing of the Agreement, AIDH Finance Sub, an affiliated legal entity of Advent, entered into debt financing agreements for a $450.0 million term loan payable (the “2019 Term Loan”), a $100.0 million delayed draw term loan payable (the “2019 Delayed Draw Term Loan”), and a $25.0 million revolving debt facility (the “2019 Revolving Debt Facility). See Note 8, for more detail. These financing agreements were collateralized by 100% of AIDH Finance Sub capital prior to the Finance Merger, defined below.</w:t>
      </w:r>
    </w:p>
    <w:p>
      <w:pPr>
        <w:spacing w:after="0" w:line="104"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F-26</w:t>
      </w:r>
    </w:p>
    <w:p>
      <w:pPr>
        <w:sectPr>
          <w:pgSz w:w="11900" w:h="16838" w:orient="portrait"/>
          <w:cols w:equalWidth="0" w:num="1">
            <w:col w:w="11140"/>
          </w:cols>
          <w:pgMar w:left="320" w:top="459" w:right="439" w:bottom="1440" w:gutter="0" w:footer="0" w:header="0"/>
        </w:sectPr>
      </w:pPr>
    </w:p>
    <w:bookmarkStart w:id="232" w:name="page233"/>
    <w:bookmarkEnd w:id="2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17">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Confidential Treatment Requested by Definitive Healthcare Corp.</w:t>
      </w:r>
    </w:p>
    <w:p>
      <w:pPr>
        <w:spacing w:after="0" w:line="27"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Pursuant to 17 C.F.R. Section 200.83</w:t>
      </w:r>
    </w:p>
    <w:p>
      <w:pPr>
        <w:spacing w:after="0" w:line="143" w:lineRule="exact"/>
        <w:rPr>
          <w:sz w:val="20"/>
          <w:szCs w:val="20"/>
          <w:color w:val="auto"/>
        </w:rPr>
      </w:pPr>
    </w:p>
    <w:p>
      <w:pPr>
        <w:ind w:left="120" w:right="220" w:firstLine="436"/>
        <w:spacing w:after="0" w:line="277" w:lineRule="auto"/>
        <w:tabs>
          <w:tab w:leader="none" w:pos="875" w:val="left"/>
        </w:tabs>
        <w:numPr>
          <w:ilvl w:val="0"/>
          <w:numId w:val="184"/>
        </w:numPr>
        <w:rPr>
          <w:rFonts w:ascii="Arial" w:cs="Arial" w:eastAsia="Arial" w:hAnsi="Arial"/>
          <w:sz w:val="18"/>
          <w:szCs w:val="18"/>
          <w:color w:val="auto"/>
        </w:rPr>
      </w:pPr>
      <w:r>
        <w:rPr>
          <w:rFonts w:ascii="Arial" w:cs="Arial" w:eastAsia="Arial" w:hAnsi="Arial"/>
          <w:sz w:val="18"/>
          <w:szCs w:val="18"/>
          <w:color w:val="auto"/>
        </w:rPr>
        <w:t>Finance Merger. Upon closing the Agreement, AIDH Finance Sub was merged with Definitive Holdco (surviving entity). After the merger, the financing agreements were collateralized by 100% of AIDH Buyer and Definitive Holdco units.</w:t>
      </w:r>
    </w:p>
    <w:p>
      <w:pPr>
        <w:spacing w:after="0" w:line="170" w:lineRule="exact"/>
        <w:rPr>
          <w:rFonts w:ascii="Arial" w:cs="Arial" w:eastAsia="Arial" w:hAnsi="Arial"/>
          <w:sz w:val="18"/>
          <w:szCs w:val="18"/>
          <w:color w:val="auto"/>
        </w:rPr>
      </w:pPr>
    </w:p>
    <w:p>
      <w:pPr>
        <w:ind w:left="120" w:firstLine="436"/>
        <w:spacing w:after="0" w:line="263" w:lineRule="auto"/>
        <w:tabs>
          <w:tab w:leader="none" w:pos="875" w:val="left"/>
        </w:tabs>
        <w:numPr>
          <w:ilvl w:val="0"/>
          <w:numId w:val="184"/>
        </w:numPr>
        <w:rPr>
          <w:rFonts w:ascii="Arial" w:cs="Arial" w:eastAsia="Arial" w:hAnsi="Arial"/>
          <w:sz w:val="18"/>
          <w:szCs w:val="18"/>
          <w:color w:val="auto"/>
        </w:rPr>
      </w:pPr>
      <w:r>
        <w:rPr>
          <w:rFonts w:ascii="Arial" w:cs="Arial" w:eastAsia="Arial" w:hAnsi="Arial"/>
          <w:sz w:val="18"/>
          <w:szCs w:val="18"/>
          <w:color w:val="auto"/>
        </w:rPr>
        <w:t>Distribution and Purchase of Units. Immediately after the Finance Merger, net proceeds from the debt financing (approximately $432.4 million) were paid to the prior owners of Definitive Holdco. Additionally, AIDH Buyer distributed $1,267.3 million (cash of $697.0 million and rollover equity of $570.3 million in the Company) as purchase consideration for all outstanding units of Definitive Holdco.</w:t>
      </w:r>
    </w:p>
    <w:p>
      <w:pPr>
        <w:spacing w:after="0" w:line="184" w:lineRule="exact"/>
        <w:rPr>
          <w:sz w:val="20"/>
          <w:szCs w:val="20"/>
          <w:color w:val="auto"/>
        </w:rPr>
      </w:pPr>
    </w:p>
    <w:tbl>
      <w:tblPr>
        <w:tblLayout w:type="fixed"/>
        <w:tblInd w:w="560" w:type="dxa"/>
        <w:tblCellMar>
          <w:top w:w="0" w:type="dxa"/>
          <w:left w:w="0" w:type="dxa"/>
          <w:bottom w:w="0" w:type="dxa"/>
          <w:right w:w="0" w:type="dxa"/>
        </w:tblCellMar>
      </w:tblPr>
      <w:tr>
        <w:trPr>
          <w:trHeight w:val="230"/>
        </w:trPr>
        <w:tc>
          <w:tcPr>
            <w:tcW w:w="7820" w:type="dxa"/>
            <w:vAlign w:val="bottom"/>
            <w:gridSpan w:val="2"/>
          </w:tcPr>
          <w:p>
            <w:pPr>
              <w:spacing w:after="0"/>
              <w:rPr>
                <w:sz w:val="20"/>
                <w:szCs w:val="20"/>
                <w:color w:val="auto"/>
              </w:rPr>
            </w:pPr>
            <w:r>
              <w:rPr>
                <w:rFonts w:ascii="Arial" w:cs="Arial" w:eastAsia="Arial" w:hAnsi="Arial"/>
                <w:sz w:val="18"/>
                <w:szCs w:val="18"/>
                <w:color w:val="auto"/>
              </w:rPr>
              <w:t>The consideration transferred for the transaction is summarized as follows (in thousands):</w:t>
            </w:r>
          </w:p>
        </w:tc>
        <w:tc>
          <w:tcPr>
            <w:tcW w:w="1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1320" w:type="dxa"/>
            <w:vAlign w:val="bottom"/>
            <w:vMerge w:val="restart"/>
          </w:tcPr>
          <w:p>
            <w:pPr>
              <w:spacing w:after="0"/>
              <w:rPr>
                <w:sz w:val="21"/>
                <w:szCs w:val="21"/>
                <w:color w:val="auto"/>
              </w:rPr>
            </w:pPr>
          </w:p>
        </w:tc>
        <w:tc>
          <w:tcPr>
            <w:tcW w:w="65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1320" w:type="dxa"/>
            <w:vAlign w:val="bottom"/>
            <w:vMerge w:val="continue"/>
          </w:tcPr>
          <w:p>
            <w:pPr>
              <w:spacing w:after="0"/>
              <w:rPr>
                <w:sz w:val="18"/>
                <w:szCs w:val="18"/>
                <w:color w:val="auto"/>
              </w:rPr>
            </w:pPr>
          </w:p>
        </w:tc>
        <w:tc>
          <w:tcPr>
            <w:tcW w:w="6500" w:type="dxa"/>
            <w:vAlign w:val="bottom"/>
            <w:shd w:val="clear" w:color="auto" w:fill="CCEEFF"/>
          </w:tcPr>
          <w:p>
            <w:pPr>
              <w:spacing w:after="0"/>
              <w:rPr>
                <w:sz w:val="20"/>
                <w:szCs w:val="20"/>
                <w:color w:val="auto"/>
              </w:rPr>
            </w:pPr>
            <w:r>
              <w:rPr>
                <w:rFonts w:ascii="Arial" w:cs="Arial" w:eastAsia="Arial" w:hAnsi="Arial"/>
                <w:sz w:val="18"/>
                <w:szCs w:val="18"/>
                <w:color w:val="auto"/>
              </w:rPr>
              <w:t>Cash consideration</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4"/>
              </w:rPr>
              <w:t>1,129,346</w:t>
            </w:r>
          </w:p>
        </w:tc>
        <w:tc>
          <w:tcPr>
            <w:tcW w:w="0" w:type="dxa"/>
            <w:vAlign w:val="bottom"/>
          </w:tcPr>
          <w:p>
            <w:pPr>
              <w:spacing w:after="0"/>
              <w:rPr>
                <w:sz w:val="1"/>
                <w:szCs w:val="1"/>
                <w:color w:val="auto"/>
              </w:rPr>
            </w:pPr>
          </w:p>
        </w:tc>
      </w:tr>
      <w:tr>
        <w:trPr>
          <w:trHeight w:val="223"/>
        </w:trPr>
        <w:tc>
          <w:tcPr>
            <w:tcW w:w="1320" w:type="dxa"/>
            <w:vAlign w:val="bottom"/>
          </w:tcPr>
          <w:p>
            <w:pPr>
              <w:spacing w:after="0"/>
              <w:rPr>
                <w:sz w:val="19"/>
                <w:szCs w:val="19"/>
                <w:color w:val="auto"/>
              </w:rPr>
            </w:pPr>
          </w:p>
        </w:tc>
        <w:tc>
          <w:tcPr>
            <w:tcW w:w="6500" w:type="dxa"/>
            <w:vAlign w:val="bottom"/>
          </w:tcPr>
          <w:p>
            <w:pPr>
              <w:spacing w:after="0"/>
              <w:rPr>
                <w:sz w:val="20"/>
                <w:szCs w:val="20"/>
                <w:color w:val="auto"/>
              </w:rPr>
            </w:pPr>
            <w:r>
              <w:rPr>
                <w:rFonts w:ascii="Arial" w:cs="Arial" w:eastAsia="Arial" w:hAnsi="Arial"/>
                <w:sz w:val="18"/>
                <w:szCs w:val="18"/>
                <w:color w:val="auto"/>
              </w:rPr>
              <w:t>Common units issued</w:t>
            </w:r>
          </w:p>
        </w:tc>
        <w:tc>
          <w:tcPr>
            <w:tcW w:w="14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570,266</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1320" w:type="dxa"/>
            <w:vAlign w:val="bottom"/>
          </w:tcPr>
          <w:p>
            <w:pPr>
              <w:spacing w:after="0"/>
              <w:rPr>
                <w:sz w:val="18"/>
                <w:szCs w:val="18"/>
                <w:color w:val="auto"/>
              </w:rPr>
            </w:pPr>
          </w:p>
        </w:tc>
        <w:tc>
          <w:tcPr>
            <w:tcW w:w="6500" w:type="dxa"/>
            <w:vAlign w:val="bottom"/>
            <w:shd w:val="clear" w:color="auto" w:fill="CCEEFF"/>
          </w:tcPr>
          <w:p>
            <w:pPr>
              <w:spacing w:after="0"/>
              <w:rPr>
                <w:sz w:val="20"/>
                <w:szCs w:val="20"/>
                <w:color w:val="auto"/>
              </w:rPr>
            </w:pPr>
            <w:r>
              <w:rPr>
                <w:rFonts w:ascii="Arial" w:cs="Arial" w:eastAsia="Arial" w:hAnsi="Arial"/>
                <w:sz w:val="18"/>
                <w:szCs w:val="18"/>
                <w:color w:val="auto"/>
              </w:rPr>
              <w:t>Purchase price</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4"/>
              </w:rPr>
              <w:t>1,699,612</w:t>
            </w:r>
          </w:p>
        </w:tc>
        <w:tc>
          <w:tcPr>
            <w:tcW w:w="0" w:type="dxa"/>
            <w:vAlign w:val="bottom"/>
          </w:tcPr>
          <w:p>
            <w:pPr>
              <w:spacing w:after="0"/>
              <w:rPr>
                <w:sz w:val="1"/>
                <w:szCs w:val="1"/>
                <w:color w:val="auto"/>
              </w:rPr>
            </w:pPr>
          </w:p>
        </w:tc>
      </w:tr>
      <w:tr>
        <w:trPr>
          <w:trHeight w:val="20"/>
        </w:trPr>
        <w:tc>
          <w:tcPr>
            <w:tcW w:w="1320" w:type="dxa"/>
            <w:vAlign w:val="bottom"/>
          </w:tcPr>
          <w:p>
            <w:pPr>
              <w:spacing w:after="0" w:line="20" w:lineRule="exact"/>
              <w:rPr>
                <w:sz w:val="1"/>
                <w:szCs w:val="1"/>
                <w:color w:val="auto"/>
              </w:rPr>
            </w:pPr>
          </w:p>
        </w:tc>
        <w:tc>
          <w:tcPr>
            <w:tcW w:w="65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left="120" w:right="100" w:firstLine="440"/>
        <w:spacing w:after="0" w:line="277" w:lineRule="auto"/>
        <w:rPr>
          <w:sz w:val="20"/>
          <w:szCs w:val="20"/>
          <w:color w:val="auto"/>
        </w:rPr>
      </w:pPr>
      <w:r>
        <w:rPr>
          <w:rFonts w:ascii="Arial" w:cs="Arial" w:eastAsia="Arial" w:hAnsi="Arial"/>
          <w:sz w:val="18"/>
          <w:szCs w:val="18"/>
          <w:color w:val="auto"/>
        </w:rPr>
        <w:t>Of the total cash consideration, $1,122.4 million was paid upon closing and $6.9 million in July 2020. Cash consideration for the acquisition was partly provided by net proceeds from the 2019 Term Loan, as outlined above.</w:t>
      </w:r>
    </w:p>
    <w:p>
      <w:pPr>
        <w:spacing w:after="0" w:line="170" w:lineRule="exact"/>
        <w:rPr>
          <w:sz w:val="20"/>
          <w:szCs w:val="20"/>
          <w:color w:val="auto"/>
        </w:rPr>
      </w:pPr>
    </w:p>
    <w:p>
      <w:pPr>
        <w:ind w:left="120" w:right="100" w:firstLine="440"/>
        <w:spacing w:after="0" w:line="308" w:lineRule="auto"/>
        <w:rPr>
          <w:sz w:val="20"/>
          <w:szCs w:val="20"/>
          <w:color w:val="auto"/>
        </w:rPr>
      </w:pPr>
      <w:r>
        <w:rPr>
          <w:rFonts w:ascii="Arial" w:cs="Arial" w:eastAsia="Arial" w:hAnsi="Arial"/>
          <w:sz w:val="17"/>
          <w:szCs w:val="17"/>
          <w:color w:val="auto"/>
        </w:rPr>
        <w:t>The purchase accounting for the Definitive Holdco Acquisition, was finalized as of July 16, 2020. The final allocation of the acquisition-date fair values of assets and liabilities pertaining to this business combination as of July 16, 2020, was as follows (in thousands).</w:t>
      </w:r>
    </w:p>
    <w:p>
      <w:pPr>
        <w:spacing w:after="0" w:line="152" w:lineRule="exact"/>
        <w:rPr>
          <w:sz w:val="20"/>
          <w:szCs w:val="20"/>
          <w:color w:val="auto"/>
        </w:rPr>
      </w:pPr>
    </w:p>
    <w:tbl>
      <w:tblPr>
        <w:tblLayout w:type="fixed"/>
        <w:tblInd w:w="560" w:type="dxa"/>
        <w:tblCellMar>
          <w:top w:w="0" w:type="dxa"/>
          <w:left w:w="0" w:type="dxa"/>
          <w:bottom w:w="0" w:type="dxa"/>
          <w:right w:w="0" w:type="dxa"/>
        </w:tblCellMar>
      </w:tblPr>
      <w:tr>
        <w:trPr>
          <w:trHeight w:val="35"/>
        </w:trPr>
        <w:tc>
          <w:tcPr>
            <w:tcW w:w="4100" w:type="dxa"/>
            <w:vAlign w:val="bottom"/>
          </w:tcPr>
          <w:p>
            <w:pPr>
              <w:spacing w:after="0"/>
              <w:rPr>
                <w:sz w:val="3"/>
                <w:szCs w:val="3"/>
                <w:color w:val="auto"/>
              </w:rPr>
            </w:pPr>
          </w:p>
        </w:tc>
        <w:tc>
          <w:tcPr>
            <w:tcW w:w="2720" w:type="dxa"/>
            <w:vAlign w:val="bottom"/>
          </w:tcPr>
          <w:p>
            <w:pPr>
              <w:spacing w:after="0"/>
              <w:rPr>
                <w:sz w:val="3"/>
                <w:szCs w:val="3"/>
                <w:color w:val="auto"/>
              </w:rPr>
            </w:pPr>
          </w:p>
        </w:tc>
        <w:tc>
          <w:tcPr>
            <w:tcW w:w="1080" w:type="dxa"/>
            <w:vAlign w:val="bottom"/>
            <w:gridSpan w:val="3"/>
            <w:vMerge w:val="restart"/>
          </w:tcPr>
          <w:p>
            <w:pPr>
              <w:jc w:val="center"/>
              <w:ind w:right="300"/>
              <w:spacing w:after="0"/>
              <w:rPr>
                <w:sz w:val="20"/>
                <w:szCs w:val="20"/>
                <w:color w:val="auto"/>
              </w:rPr>
            </w:pPr>
            <w:r>
              <w:rPr>
                <w:rFonts w:ascii="Arial" w:cs="Arial" w:eastAsia="Arial" w:hAnsi="Arial"/>
                <w:sz w:val="14"/>
                <w:szCs w:val="14"/>
                <w:b w:val="1"/>
                <w:bCs w:val="1"/>
                <w:color w:val="auto"/>
                <w:w w:val="87"/>
              </w:rPr>
              <w:t>Predecessor</w:t>
            </w:r>
          </w:p>
        </w:tc>
        <w:tc>
          <w:tcPr>
            <w:tcW w:w="20" w:type="dxa"/>
            <w:vAlign w:val="bottom"/>
          </w:tcPr>
          <w:p>
            <w:pPr>
              <w:spacing w:after="0"/>
              <w:rPr>
                <w:sz w:val="3"/>
                <w:szCs w:val="3"/>
                <w:color w:val="auto"/>
              </w:rPr>
            </w:pPr>
          </w:p>
        </w:tc>
        <w:tc>
          <w:tcPr>
            <w:tcW w:w="240" w:type="dxa"/>
            <w:vAlign w:val="bottom"/>
            <w:vMerge w:val="restart"/>
          </w:tcPr>
          <w:p>
            <w:pPr>
              <w:spacing w:after="0"/>
              <w:rPr>
                <w:sz w:val="3"/>
                <w:szCs w:val="3"/>
                <w:color w:val="auto"/>
              </w:rPr>
            </w:pPr>
          </w:p>
        </w:tc>
        <w:tc>
          <w:tcPr>
            <w:tcW w:w="100" w:type="dxa"/>
            <w:vAlign w:val="bottom"/>
          </w:tcPr>
          <w:p>
            <w:pPr>
              <w:spacing w:after="0"/>
              <w:rPr>
                <w:sz w:val="3"/>
                <w:szCs w:val="3"/>
                <w:color w:val="auto"/>
              </w:rPr>
            </w:pPr>
          </w:p>
        </w:tc>
        <w:tc>
          <w:tcPr>
            <w:tcW w:w="1860" w:type="dxa"/>
            <w:vAlign w:val="bottom"/>
            <w:gridSpan w:val="5"/>
            <w:vMerge w:val="restart"/>
          </w:tcPr>
          <w:p>
            <w:pPr>
              <w:jc w:val="right"/>
              <w:ind w:right="400"/>
              <w:spacing w:after="0"/>
              <w:rPr>
                <w:sz w:val="20"/>
                <w:szCs w:val="20"/>
                <w:color w:val="auto"/>
              </w:rPr>
            </w:pPr>
            <w:r>
              <w:rPr>
                <w:rFonts w:ascii="Arial" w:cs="Arial" w:eastAsia="Arial" w:hAnsi="Arial"/>
                <w:sz w:val="14"/>
                <w:szCs w:val="14"/>
                <w:b w:val="1"/>
                <w:bCs w:val="1"/>
                <w:color w:val="auto"/>
              </w:rPr>
              <w:t>Successor Company</w:t>
            </w:r>
          </w:p>
        </w:tc>
        <w:tc>
          <w:tcPr>
            <w:tcW w:w="0" w:type="dxa"/>
            <w:vAlign w:val="bottom"/>
          </w:tcPr>
          <w:p>
            <w:pPr>
              <w:spacing w:after="0" w:line="20" w:lineRule="exact"/>
              <w:rPr>
                <w:sz w:val="1"/>
                <w:szCs w:val="1"/>
                <w:color w:val="auto"/>
              </w:rPr>
            </w:pPr>
          </w:p>
        </w:tc>
      </w:tr>
      <w:tr>
        <w:trPr>
          <w:trHeight w:val="126"/>
        </w:trPr>
        <w:tc>
          <w:tcPr>
            <w:tcW w:w="4100" w:type="dxa"/>
            <w:vAlign w:val="bottom"/>
          </w:tcPr>
          <w:p>
            <w:pPr>
              <w:spacing w:after="0"/>
              <w:rPr>
                <w:sz w:val="10"/>
                <w:szCs w:val="10"/>
                <w:color w:val="auto"/>
              </w:rPr>
            </w:pPr>
          </w:p>
        </w:tc>
        <w:tc>
          <w:tcPr>
            <w:tcW w:w="2720" w:type="dxa"/>
            <w:vAlign w:val="bottom"/>
          </w:tcPr>
          <w:p>
            <w:pPr>
              <w:spacing w:after="0"/>
              <w:rPr>
                <w:sz w:val="10"/>
                <w:szCs w:val="10"/>
                <w:color w:val="auto"/>
              </w:rPr>
            </w:pPr>
          </w:p>
        </w:tc>
        <w:tc>
          <w:tcPr>
            <w:tcW w:w="1080" w:type="dxa"/>
            <w:vAlign w:val="bottom"/>
            <w:gridSpan w:val="3"/>
            <w:vMerge w:val="continue"/>
          </w:tcPr>
          <w:p>
            <w:pPr>
              <w:spacing w:after="0"/>
              <w:rPr>
                <w:sz w:val="10"/>
                <w:szCs w:val="10"/>
                <w:color w:val="auto"/>
              </w:rPr>
            </w:pPr>
          </w:p>
        </w:tc>
        <w:tc>
          <w:tcPr>
            <w:tcW w:w="20" w:type="dxa"/>
            <w:vAlign w:val="bottom"/>
            <w:shd w:val="clear" w:color="auto" w:fill="000000"/>
          </w:tcPr>
          <w:p>
            <w:pPr>
              <w:spacing w:after="0"/>
              <w:rPr>
                <w:sz w:val="10"/>
                <w:szCs w:val="10"/>
                <w:color w:val="auto"/>
              </w:rPr>
            </w:pPr>
          </w:p>
        </w:tc>
        <w:tc>
          <w:tcPr>
            <w:tcW w:w="240" w:type="dxa"/>
            <w:vAlign w:val="bottom"/>
            <w:vMerge w:val="continue"/>
          </w:tcPr>
          <w:p>
            <w:pPr>
              <w:spacing w:after="0"/>
              <w:rPr>
                <w:sz w:val="10"/>
                <w:szCs w:val="10"/>
                <w:color w:val="auto"/>
              </w:rPr>
            </w:pPr>
          </w:p>
        </w:tc>
        <w:tc>
          <w:tcPr>
            <w:tcW w:w="100" w:type="dxa"/>
            <w:vAlign w:val="bottom"/>
          </w:tcPr>
          <w:p>
            <w:pPr>
              <w:spacing w:after="0"/>
              <w:rPr>
                <w:sz w:val="10"/>
                <w:szCs w:val="10"/>
                <w:color w:val="auto"/>
              </w:rPr>
            </w:pPr>
          </w:p>
        </w:tc>
        <w:tc>
          <w:tcPr>
            <w:tcW w:w="1860" w:type="dxa"/>
            <w:vAlign w:val="bottom"/>
            <w:gridSpan w:val="5"/>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4100" w:type="dxa"/>
            <w:vAlign w:val="bottom"/>
          </w:tcPr>
          <w:p>
            <w:pPr>
              <w:spacing w:after="0"/>
              <w:rPr>
                <w:sz w:val="14"/>
                <w:szCs w:val="14"/>
                <w:color w:val="auto"/>
              </w:rPr>
            </w:pPr>
          </w:p>
        </w:tc>
        <w:tc>
          <w:tcPr>
            <w:tcW w:w="27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3"/>
              </w:rPr>
              <w:t>Company</w:t>
            </w:r>
          </w:p>
        </w:tc>
        <w:tc>
          <w:tcPr>
            <w:tcW w:w="20" w:type="dxa"/>
            <w:vAlign w:val="bottom"/>
            <w:shd w:val="clear" w:color="auto" w:fill="000000"/>
          </w:tcPr>
          <w:p>
            <w:pPr>
              <w:spacing w:after="0"/>
              <w:rPr>
                <w:sz w:val="14"/>
                <w:szCs w:val="14"/>
                <w:color w:val="auto"/>
              </w:rPr>
            </w:pP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60" w:type="dxa"/>
            <w:vAlign w:val="bottom"/>
            <w:gridSpan w:val="5"/>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3"/>
        </w:trPr>
        <w:tc>
          <w:tcPr>
            <w:tcW w:w="4100" w:type="dxa"/>
            <w:vAlign w:val="bottom"/>
          </w:tcPr>
          <w:p>
            <w:pPr>
              <w:spacing w:after="0"/>
              <w:rPr>
                <w:sz w:val="10"/>
                <w:szCs w:val="10"/>
                <w:color w:val="auto"/>
              </w:rPr>
            </w:pPr>
          </w:p>
        </w:tc>
        <w:tc>
          <w:tcPr>
            <w:tcW w:w="2720" w:type="dxa"/>
            <w:vAlign w:val="bottom"/>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700" w:type="dxa"/>
            <w:vAlign w:val="bottom"/>
            <w:tcBorders>
              <w:top w:val="single" w:sz="8" w:color="auto"/>
            </w:tcBorders>
          </w:tcPr>
          <w:p>
            <w:pPr>
              <w:jc w:val="center"/>
              <w:spacing w:after="0" w:line="123" w:lineRule="exact"/>
              <w:rPr>
                <w:sz w:val="20"/>
                <w:szCs w:val="20"/>
                <w:color w:val="auto"/>
              </w:rPr>
            </w:pPr>
            <w:r>
              <w:rPr>
                <w:rFonts w:ascii="Arial" w:cs="Arial" w:eastAsia="Arial" w:hAnsi="Arial"/>
                <w:sz w:val="14"/>
                <w:szCs w:val="14"/>
                <w:color w:val="auto"/>
                <w:w w:val="94"/>
              </w:rPr>
              <w:t>Carrying</w:t>
            </w:r>
          </w:p>
        </w:tc>
        <w:tc>
          <w:tcPr>
            <w:tcW w:w="300" w:type="dxa"/>
            <w:vAlign w:val="bottom"/>
          </w:tcPr>
          <w:p>
            <w:pPr>
              <w:spacing w:after="0"/>
              <w:rPr>
                <w:sz w:val="10"/>
                <w:szCs w:val="10"/>
                <w:color w:val="auto"/>
              </w:rPr>
            </w:pPr>
          </w:p>
        </w:tc>
        <w:tc>
          <w:tcPr>
            <w:tcW w:w="20" w:type="dxa"/>
            <w:vAlign w:val="bottom"/>
            <w:tcBorders>
              <w:top w:val="single" w:sz="8" w:color="auto"/>
            </w:tcBorders>
            <w:shd w:val="clear" w:color="auto" w:fill="000000"/>
          </w:tcPr>
          <w:p>
            <w:pPr>
              <w:spacing w:after="0"/>
              <w:rPr>
                <w:sz w:val="10"/>
                <w:szCs w:val="10"/>
                <w:color w:val="auto"/>
              </w:rPr>
            </w:pPr>
          </w:p>
        </w:tc>
        <w:tc>
          <w:tcPr>
            <w:tcW w:w="24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740" w:type="dxa"/>
            <w:vAlign w:val="bottom"/>
            <w:tcBorders>
              <w:top w:val="single" w:sz="8" w:color="auto"/>
            </w:tcBorders>
          </w:tcPr>
          <w:p>
            <w:pPr>
              <w:spacing w:after="0"/>
              <w:rPr>
                <w:sz w:val="10"/>
                <w:szCs w:val="10"/>
                <w:color w:val="auto"/>
              </w:rPr>
            </w:pPr>
          </w:p>
        </w:tc>
        <w:tc>
          <w:tcPr>
            <w:tcW w:w="200" w:type="dxa"/>
            <w:vAlign w:val="bottom"/>
            <w:tcBorders>
              <w:top w:val="single" w:sz="8" w:color="auto"/>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720" w:type="dxa"/>
            <w:vAlign w:val="bottom"/>
            <w:tcBorders>
              <w:top w:val="single" w:sz="8" w:color="auto"/>
            </w:tcBorders>
          </w:tcPr>
          <w:p>
            <w:pPr>
              <w:jc w:val="right"/>
              <w:ind w:right="171"/>
              <w:spacing w:after="0" w:line="123" w:lineRule="exact"/>
              <w:rPr>
                <w:sz w:val="20"/>
                <w:szCs w:val="20"/>
                <w:color w:val="auto"/>
              </w:rPr>
            </w:pPr>
            <w:r>
              <w:rPr>
                <w:rFonts w:ascii="Arial" w:cs="Arial" w:eastAsia="Arial" w:hAnsi="Arial"/>
                <w:sz w:val="14"/>
                <w:szCs w:val="14"/>
                <w:color w:val="auto"/>
              </w:rPr>
              <w:t>Final</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4100" w:type="dxa"/>
            <w:vAlign w:val="bottom"/>
          </w:tcPr>
          <w:p>
            <w:pPr>
              <w:spacing w:after="0"/>
              <w:rPr>
                <w:sz w:val="12"/>
                <w:szCs w:val="12"/>
                <w:color w:val="auto"/>
              </w:rPr>
            </w:pPr>
          </w:p>
        </w:tc>
        <w:tc>
          <w:tcPr>
            <w:tcW w:w="2720" w:type="dxa"/>
            <w:vAlign w:val="bottom"/>
          </w:tcPr>
          <w:p>
            <w:pPr>
              <w:spacing w:after="0"/>
              <w:rPr>
                <w:sz w:val="12"/>
                <w:szCs w:val="12"/>
                <w:color w:val="auto"/>
              </w:rPr>
            </w:pPr>
          </w:p>
        </w:tc>
        <w:tc>
          <w:tcPr>
            <w:tcW w:w="1080" w:type="dxa"/>
            <w:vAlign w:val="bottom"/>
            <w:gridSpan w:val="3"/>
          </w:tcPr>
          <w:p>
            <w:pPr>
              <w:jc w:val="center"/>
              <w:ind w:right="300"/>
              <w:spacing w:after="0" w:line="149" w:lineRule="exact"/>
              <w:rPr>
                <w:sz w:val="20"/>
                <w:szCs w:val="20"/>
                <w:color w:val="auto"/>
              </w:rPr>
            </w:pPr>
            <w:r>
              <w:rPr>
                <w:rFonts w:ascii="Arial" w:cs="Arial" w:eastAsia="Arial" w:hAnsi="Arial"/>
                <w:sz w:val="14"/>
                <w:szCs w:val="14"/>
                <w:color w:val="auto"/>
                <w:w w:val="90"/>
              </w:rPr>
              <w:t>Values as of</w:t>
            </w:r>
          </w:p>
        </w:tc>
        <w:tc>
          <w:tcPr>
            <w:tcW w:w="20" w:type="dxa"/>
            <w:vAlign w:val="bottom"/>
            <w:shd w:val="clear" w:color="auto" w:fill="000000"/>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gridSpan w:val="2"/>
          </w:tcPr>
          <w:p>
            <w:pPr>
              <w:jc w:val="right"/>
              <w:ind w:right="320"/>
              <w:spacing w:after="0" w:line="149" w:lineRule="exact"/>
              <w:rPr>
                <w:sz w:val="20"/>
                <w:szCs w:val="20"/>
                <w:color w:val="auto"/>
              </w:rPr>
            </w:pPr>
            <w:r>
              <w:rPr>
                <w:rFonts w:ascii="Arial" w:cs="Arial" w:eastAsia="Arial" w:hAnsi="Arial"/>
                <w:sz w:val="14"/>
                <w:szCs w:val="14"/>
                <w:color w:val="auto"/>
                <w:w w:val="93"/>
              </w:rPr>
              <w:t>Fair Value</w:t>
            </w:r>
          </w:p>
        </w:tc>
        <w:tc>
          <w:tcPr>
            <w:tcW w:w="920" w:type="dxa"/>
            <w:vAlign w:val="bottom"/>
            <w:gridSpan w:val="3"/>
          </w:tcPr>
          <w:p>
            <w:pPr>
              <w:ind w:left="80"/>
              <w:spacing w:after="0" w:line="149" w:lineRule="exact"/>
              <w:rPr>
                <w:sz w:val="20"/>
                <w:szCs w:val="20"/>
                <w:color w:val="auto"/>
              </w:rPr>
            </w:pPr>
            <w:r>
              <w:rPr>
                <w:rFonts w:ascii="Arial" w:cs="Arial" w:eastAsia="Arial" w:hAnsi="Arial"/>
                <w:sz w:val="14"/>
                <w:szCs w:val="14"/>
                <w:color w:val="auto"/>
              </w:rPr>
              <w:t>Allocations</w:t>
            </w:r>
          </w:p>
        </w:tc>
        <w:tc>
          <w:tcPr>
            <w:tcW w:w="0" w:type="dxa"/>
            <w:vAlign w:val="bottom"/>
          </w:tcPr>
          <w:p>
            <w:pPr>
              <w:spacing w:after="0"/>
              <w:rPr>
                <w:sz w:val="1"/>
                <w:szCs w:val="1"/>
                <w:color w:val="auto"/>
              </w:rPr>
            </w:pPr>
          </w:p>
        </w:tc>
      </w:tr>
      <w:tr>
        <w:trPr>
          <w:trHeight w:val="167"/>
        </w:trPr>
        <w:tc>
          <w:tcPr>
            <w:tcW w:w="4100" w:type="dxa"/>
            <w:vAlign w:val="bottom"/>
          </w:tcPr>
          <w:p>
            <w:pPr>
              <w:spacing w:after="0"/>
              <w:rPr>
                <w:sz w:val="14"/>
                <w:szCs w:val="14"/>
                <w:color w:val="auto"/>
              </w:rPr>
            </w:pPr>
          </w:p>
        </w:tc>
        <w:tc>
          <w:tcPr>
            <w:tcW w:w="2720" w:type="dxa"/>
            <w:vAlign w:val="bottom"/>
          </w:tcPr>
          <w:p>
            <w:pPr>
              <w:spacing w:after="0"/>
              <w:rPr>
                <w:sz w:val="14"/>
                <w:szCs w:val="14"/>
                <w:color w:val="auto"/>
              </w:rPr>
            </w:pPr>
          </w:p>
        </w:tc>
        <w:tc>
          <w:tcPr>
            <w:tcW w:w="1080" w:type="dxa"/>
            <w:vAlign w:val="bottom"/>
            <w:gridSpan w:val="3"/>
          </w:tcPr>
          <w:p>
            <w:pPr>
              <w:jc w:val="center"/>
              <w:ind w:right="300"/>
              <w:spacing w:after="0"/>
              <w:rPr>
                <w:sz w:val="20"/>
                <w:szCs w:val="20"/>
                <w:color w:val="auto"/>
              </w:rPr>
            </w:pPr>
            <w:r>
              <w:rPr>
                <w:rFonts w:ascii="Arial" w:cs="Arial" w:eastAsia="Arial" w:hAnsi="Arial"/>
                <w:sz w:val="14"/>
                <w:szCs w:val="14"/>
                <w:color w:val="auto"/>
                <w:w w:val="93"/>
              </w:rPr>
              <w:t>July 15, 2019</w:t>
            </w:r>
          </w:p>
        </w:tc>
        <w:tc>
          <w:tcPr>
            <w:tcW w:w="20" w:type="dxa"/>
            <w:vAlign w:val="bottom"/>
            <w:shd w:val="clear" w:color="auto" w:fill="000000"/>
          </w:tcPr>
          <w:p>
            <w:pPr>
              <w:spacing w:after="0"/>
              <w:rPr>
                <w:sz w:val="14"/>
                <w:szCs w:val="14"/>
                <w:color w:val="auto"/>
              </w:rPr>
            </w:pPr>
          </w:p>
        </w:tc>
        <w:tc>
          <w:tcPr>
            <w:tcW w:w="240" w:type="dxa"/>
            <w:vAlign w:val="bottom"/>
          </w:tcPr>
          <w:p>
            <w:pPr>
              <w:spacing w:after="0"/>
              <w:rPr>
                <w:sz w:val="14"/>
                <w:szCs w:val="14"/>
                <w:color w:val="auto"/>
              </w:rPr>
            </w:pPr>
          </w:p>
        </w:tc>
        <w:tc>
          <w:tcPr>
            <w:tcW w:w="1040" w:type="dxa"/>
            <w:vAlign w:val="bottom"/>
            <w:gridSpan w:val="3"/>
          </w:tcPr>
          <w:p>
            <w:pPr>
              <w:jc w:val="right"/>
              <w:ind w:right="260"/>
              <w:spacing w:after="0"/>
              <w:rPr>
                <w:sz w:val="20"/>
                <w:szCs w:val="20"/>
                <w:color w:val="auto"/>
              </w:rPr>
            </w:pPr>
            <w:r>
              <w:rPr>
                <w:rFonts w:ascii="Arial" w:cs="Arial" w:eastAsia="Arial" w:hAnsi="Arial"/>
                <w:sz w:val="14"/>
                <w:szCs w:val="14"/>
                <w:color w:val="auto"/>
                <w:w w:val="98"/>
              </w:rPr>
              <w:t>Adjustments</w:t>
            </w:r>
          </w:p>
        </w:tc>
        <w:tc>
          <w:tcPr>
            <w:tcW w:w="920" w:type="dxa"/>
            <w:vAlign w:val="bottom"/>
            <w:gridSpan w:val="3"/>
          </w:tcPr>
          <w:p>
            <w:pPr>
              <w:ind w:left="20"/>
              <w:spacing w:after="0"/>
              <w:rPr>
                <w:sz w:val="20"/>
                <w:szCs w:val="20"/>
                <w:color w:val="auto"/>
              </w:rPr>
            </w:pPr>
            <w:r>
              <w:rPr>
                <w:rFonts w:ascii="Arial" w:cs="Arial" w:eastAsia="Arial" w:hAnsi="Arial"/>
                <w:sz w:val="14"/>
                <w:szCs w:val="14"/>
                <w:color w:val="auto"/>
              </w:rPr>
              <w:t>July 16, 2019</w:t>
            </w:r>
          </w:p>
        </w:tc>
        <w:tc>
          <w:tcPr>
            <w:tcW w:w="0" w:type="dxa"/>
            <w:vAlign w:val="bottom"/>
          </w:tcPr>
          <w:p>
            <w:pPr>
              <w:spacing w:after="0"/>
              <w:rPr>
                <w:sz w:val="1"/>
                <w:szCs w:val="1"/>
                <w:color w:val="auto"/>
              </w:rPr>
            </w:pPr>
          </w:p>
        </w:tc>
      </w:tr>
      <w:tr>
        <w:trPr>
          <w:trHeight w:val="210"/>
        </w:trPr>
        <w:tc>
          <w:tcPr>
            <w:tcW w:w="41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Cash</w:t>
            </w:r>
          </w:p>
        </w:tc>
        <w:tc>
          <w:tcPr>
            <w:tcW w:w="27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17,058</w:t>
            </w:r>
          </w:p>
        </w:tc>
        <w:tc>
          <w:tcPr>
            <w:tcW w:w="30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auto"/>
            </w:tcBorders>
            <w:shd w:val="clear" w:color="auto" w:fill="000000"/>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w:t>
            </w:r>
          </w:p>
        </w:tc>
        <w:tc>
          <w:tcPr>
            <w:tcW w:w="2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17,058</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00" w:type="dxa"/>
            <w:vAlign w:val="bottom"/>
          </w:tcPr>
          <w:p>
            <w:pPr>
              <w:spacing w:after="0"/>
              <w:rPr>
                <w:sz w:val="20"/>
                <w:szCs w:val="20"/>
                <w:color w:val="auto"/>
              </w:rPr>
            </w:pPr>
            <w:r>
              <w:rPr>
                <w:rFonts w:ascii="Arial" w:cs="Arial" w:eastAsia="Arial" w:hAnsi="Arial"/>
                <w:sz w:val="18"/>
                <w:szCs w:val="18"/>
                <w:color w:val="auto"/>
              </w:rPr>
              <w:t>Accounts receivable</w:t>
            </w:r>
          </w:p>
        </w:tc>
        <w:tc>
          <w:tcPr>
            <w:tcW w:w="27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0" w:type="dxa"/>
            <w:vAlign w:val="bottom"/>
            <w:gridSpan w:val="2"/>
          </w:tcPr>
          <w:p>
            <w:pPr>
              <w:jc w:val="right"/>
              <w:ind w:right="300"/>
              <w:spacing w:after="0"/>
              <w:rPr>
                <w:sz w:val="20"/>
                <w:szCs w:val="20"/>
                <w:color w:val="auto"/>
              </w:rPr>
            </w:pPr>
            <w:r>
              <w:rPr>
                <w:rFonts w:ascii="Arial" w:cs="Arial" w:eastAsia="Arial" w:hAnsi="Arial"/>
                <w:sz w:val="18"/>
                <w:szCs w:val="18"/>
                <w:color w:val="auto"/>
              </w:rPr>
              <w:t>12,747</w:t>
            </w:r>
          </w:p>
        </w:tc>
        <w:tc>
          <w:tcPr>
            <w:tcW w:w="20" w:type="dxa"/>
            <w:vAlign w:val="bottom"/>
            <w:shd w:val="clear" w:color="auto" w:fill="000000"/>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12,747</w:t>
            </w:r>
          </w:p>
        </w:tc>
        <w:tc>
          <w:tcPr>
            <w:tcW w:w="0" w:type="dxa"/>
            <w:vAlign w:val="bottom"/>
          </w:tcPr>
          <w:p>
            <w:pPr>
              <w:spacing w:after="0"/>
              <w:rPr>
                <w:sz w:val="1"/>
                <w:szCs w:val="1"/>
                <w:color w:val="auto"/>
              </w:rPr>
            </w:pPr>
          </w:p>
        </w:tc>
      </w:tr>
      <w:tr>
        <w:trPr>
          <w:trHeight w:val="216"/>
        </w:trPr>
        <w:tc>
          <w:tcPr>
            <w:tcW w:w="4100" w:type="dxa"/>
            <w:vAlign w:val="bottom"/>
            <w:shd w:val="clear" w:color="auto" w:fill="CCEEFF"/>
          </w:tcPr>
          <w:p>
            <w:pPr>
              <w:spacing w:after="0"/>
              <w:rPr>
                <w:sz w:val="20"/>
                <w:szCs w:val="20"/>
                <w:color w:val="auto"/>
              </w:rPr>
            </w:pPr>
            <w:r>
              <w:rPr>
                <w:rFonts w:ascii="Arial" w:cs="Arial" w:eastAsia="Arial" w:hAnsi="Arial"/>
                <w:sz w:val="18"/>
                <w:szCs w:val="18"/>
                <w:color w:val="auto"/>
              </w:rPr>
              <w:t>Deferred contract costs</w:t>
            </w:r>
          </w:p>
        </w:tc>
        <w:tc>
          <w:tcPr>
            <w:tcW w:w="27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5,735</w:t>
            </w:r>
          </w:p>
        </w:tc>
        <w:tc>
          <w:tcPr>
            <w:tcW w:w="20" w:type="dxa"/>
            <w:vAlign w:val="bottom"/>
            <w:shd w:val="clear" w:color="auto" w:fill="000000"/>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(5,735)</w:t>
            </w: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100" w:type="dxa"/>
            <w:vAlign w:val="bottom"/>
          </w:tcPr>
          <w:p>
            <w:pPr>
              <w:spacing w:after="0"/>
              <w:rPr>
                <w:sz w:val="20"/>
                <w:szCs w:val="20"/>
                <w:color w:val="auto"/>
              </w:rPr>
            </w:pPr>
            <w:r>
              <w:rPr>
                <w:rFonts w:ascii="Arial" w:cs="Arial" w:eastAsia="Arial" w:hAnsi="Arial"/>
                <w:sz w:val="18"/>
                <w:szCs w:val="18"/>
                <w:color w:val="auto"/>
              </w:rPr>
              <w:t>Prepaid expenses and other current assets</w:t>
            </w:r>
          </w:p>
        </w:tc>
        <w:tc>
          <w:tcPr>
            <w:tcW w:w="27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0" w:type="dxa"/>
            <w:vAlign w:val="bottom"/>
            <w:gridSpan w:val="2"/>
          </w:tcPr>
          <w:p>
            <w:pPr>
              <w:jc w:val="right"/>
              <w:ind w:right="300"/>
              <w:spacing w:after="0"/>
              <w:rPr>
                <w:sz w:val="20"/>
                <w:szCs w:val="20"/>
                <w:color w:val="auto"/>
              </w:rPr>
            </w:pPr>
            <w:r>
              <w:rPr>
                <w:rFonts w:ascii="Arial" w:cs="Arial" w:eastAsia="Arial" w:hAnsi="Arial"/>
                <w:sz w:val="18"/>
                <w:szCs w:val="18"/>
                <w:color w:val="auto"/>
              </w:rPr>
              <w:t>1,539</w:t>
            </w:r>
          </w:p>
        </w:tc>
        <w:tc>
          <w:tcPr>
            <w:tcW w:w="20" w:type="dxa"/>
            <w:vAlign w:val="bottom"/>
            <w:shd w:val="clear" w:color="auto" w:fill="000000"/>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200"/>
              <w:spacing w:after="0"/>
              <w:rPr>
                <w:sz w:val="20"/>
                <w:szCs w:val="20"/>
                <w:color w:val="auto"/>
              </w:rPr>
            </w:pPr>
            <w:r>
              <w:rPr>
                <w:rFonts w:ascii="Arial" w:cs="Arial" w:eastAsia="Arial" w:hAnsi="Arial"/>
                <w:sz w:val="18"/>
                <w:szCs w:val="18"/>
                <w:color w:val="auto"/>
              </w:rPr>
              <w:t>150</w:t>
            </w:r>
          </w:p>
        </w:tc>
        <w:tc>
          <w:tcPr>
            <w:tcW w:w="10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1,689</w:t>
            </w:r>
          </w:p>
        </w:tc>
        <w:tc>
          <w:tcPr>
            <w:tcW w:w="0" w:type="dxa"/>
            <w:vAlign w:val="bottom"/>
          </w:tcPr>
          <w:p>
            <w:pPr>
              <w:spacing w:after="0"/>
              <w:rPr>
                <w:sz w:val="1"/>
                <w:szCs w:val="1"/>
                <w:color w:val="auto"/>
              </w:rPr>
            </w:pPr>
          </w:p>
        </w:tc>
      </w:tr>
      <w:tr>
        <w:trPr>
          <w:trHeight w:val="216"/>
        </w:trPr>
        <w:tc>
          <w:tcPr>
            <w:tcW w:w="4100" w:type="dxa"/>
            <w:vAlign w:val="bottom"/>
            <w:shd w:val="clear" w:color="auto" w:fill="CCEEFF"/>
          </w:tcPr>
          <w:p>
            <w:pPr>
              <w:spacing w:after="0"/>
              <w:rPr>
                <w:sz w:val="20"/>
                <w:szCs w:val="20"/>
                <w:color w:val="auto"/>
              </w:rPr>
            </w:pPr>
            <w:r>
              <w:rPr>
                <w:rFonts w:ascii="Arial" w:cs="Arial" w:eastAsia="Arial" w:hAnsi="Arial"/>
                <w:sz w:val="18"/>
                <w:szCs w:val="18"/>
                <w:color w:val="auto"/>
              </w:rPr>
              <w:t>Other assets</w:t>
            </w:r>
          </w:p>
        </w:tc>
        <w:tc>
          <w:tcPr>
            <w:tcW w:w="27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49</w:t>
            </w:r>
          </w:p>
        </w:tc>
        <w:tc>
          <w:tcPr>
            <w:tcW w:w="20" w:type="dxa"/>
            <w:vAlign w:val="bottom"/>
            <w:shd w:val="clear" w:color="auto" w:fill="000000"/>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49</w:t>
            </w:r>
          </w:p>
        </w:tc>
        <w:tc>
          <w:tcPr>
            <w:tcW w:w="0" w:type="dxa"/>
            <w:vAlign w:val="bottom"/>
          </w:tcPr>
          <w:p>
            <w:pPr>
              <w:spacing w:after="0"/>
              <w:rPr>
                <w:sz w:val="1"/>
                <w:szCs w:val="1"/>
                <w:color w:val="auto"/>
              </w:rPr>
            </w:pPr>
          </w:p>
        </w:tc>
      </w:tr>
      <w:tr>
        <w:trPr>
          <w:trHeight w:val="216"/>
        </w:trPr>
        <w:tc>
          <w:tcPr>
            <w:tcW w:w="4100" w:type="dxa"/>
            <w:vAlign w:val="bottom"/>
          </w:tcPr>
          <w:p>
            <w:pPr>
              <w:spacing w:after="0"/>
              <w:rPr>
                <w:sz w:val="20"/>
                <w:szCs w:val="20"/>
                <w:color w:val="auto"/>
              </w:rPr>
            </w:pPr>
            <w:r>
              <w:rPr>
                <w:rFonts w:ascii="Arial" w:cs="Arial" w:eastAsia="Arial" w:hAnsi="Arial"/>
                <w:sz w:val="18"/>
                <w:szCs w:val="18"/>
                <w:color w:val="auto"/>
              </w:rPr>
              <w:t>Property and equipment</w:t>
            </w:r>
          </w:p>
        </w:tc>
        <w:tc>
          <w:tcPr>
            <w:tcW w:w="27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0" w:type="dxa"/>
            <w:vAlign w:val="bottom"/>
            <w:gridSpan w:val="2"/>
          </w:tcPr>
          <w:p>
            <w:pPr>
              <w:jc w:val="right"/>
              <w:ind w:right="300"/>
              <w:spacing w:after="0"/>
              <w:rPr>
                <w:sz w:val="20"/>
                <w:szCs w:val="20"/>
                <w:color w:val="auto"/>
              </w:rPr>
            </w:pPr>
            <w:r>
              <w:rPr>
                <w:rFonts w:ascii="Arial" w:cs="Arial" w:eastAsia="Arial" w:hAnsi="Arial"/>
                <w:sz w:val="18"/>
                <w:szCs w:val="18"/>
                <w:color w:val="auto"/>
              </w:rPr>
              <w:t>2,201</w:t>
            </w:r>
          </w:p>
        </w:tc>
        <w:tc>
          <w:tcPr>
            <w:tcW w:w="20" w:type="dxa"/>
            <w:vAlign w:val="bottom"/>
            <w:shd w:val="clear" w:color="auto" w:fill="000000"/>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2,201</w:t>
            </w:r>
          </w:p>
        </w:tc>
        <w:tc>
          <w:tcPr>
            <w:tcW w:w="0" w:type="dxa"/>
            <w:vAlign w:val="bottom"/>
          </w:tcPr>
          <w:p>
            <w:pPr>
              <w:spacing w:after="0"/>
              <w:rPr>
                <w:sz w:val="1"/>
                <w:szCs w:val="1"/>
                <w:color w:val="auto"/>
              </w:rPr>
            </w:pPr>
          </w:p>
        </w:tc>
      </w:tr>
      <w:tr>
        <w:trPr>
          <w:trHeight w:val="216"/>
        </w:trPr>
        <w:tc>
          <w:tcPr>
            <w:tcW w:w="4100" w:type="dxa"/>
            <w:vAlign w:val="bottom"/>
            <w:shd w:val="clear" w:color="auto" w:fill="CCEEFF"/>
          </w:tcPr>
          <w:p>
            <w:pPr>
              <w:spacing w:after="0"/>
              <w:rPr>
                <w:sz w:val="20"/>
                <w:szCs w:val="20"/>
                <w:color w:val="auto"/>
              </w:rPr>
            </w:pPr>
            <w:r>
              <w:rPr>
                <w:rFonts w:ascii="Arial" w:cs="Arial" w:eastAsia="Arial" w:hAnsi="Arial"/>
                <w:sz w:val="18"/>
                <w:szCs w:val="18"/>
                <w:color w:val="auto"/>
              </w:rPr>
              <w:t>Intangible assets</w:t>
            </w:r>
          </w:p>
        </w:tc>
        <w:tc>
          <w:tcPr>
            <w:tcW w:w="27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19,108</w:t>
            </w:r>
          </w:p>
        </w:tc>
        <w:tc>
          <w:tcPr>
            <w:tcW w:w="20" w:type="dxa"/>
            <w:vAlign w:val="bottom"/>
            <w:shd w:val="clear" w:color="auto" w:fill="000000"/>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456,292</w:t>
            </w: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475,400</w:t>
            </w:r>
          </w:p>
        </w:tc>
        <w:tc>
          <w:tcPr>
            <w:tcW w:w="0" w:type="dxa"/>
            <w:vAlign w:val="bottom"/>
          </w:tcPr>
          <w:p>
            <w:pPr>
              <w:spacing w:after="0"/>
              <w:rPr>
                <w:sz w:val="1"/>
                <w:szCs w:val="1"/>
                <w:color w:val="auto"/>
              </w:rPr>
            </w:pPr>
          </w:p>
        </w:tc>
      </w:tr>
      <w:tr>
        <w:trPr>
          <w:trHeight w:val="216"/>
        </w:trPr>
        <w:tc>
          <w:tcPr>
            <w:tcW w:w="4100" w:type="dxa"/>
            <w:vAlign w:val="bottom"/>
          </w:tcPr>
          <w:p>
            <w:pPr>
              <w:spacing w:after="0"/>
              <w:rPr>
                <w:sz w:val="20"/>
                <w:szCs w:val="20"/>
                <w:color w:val="auto"/>
              </w:rPr>
            </w:pPr>
            <w:r>
              <w:rPr>
                <w:rFonts w:ascii="Arial" w:cs="Arial" w:eastAsia="Arial" w:hAnsi="Arial"/>
                <w:sz w:val="18"/>
                <w:szCs w:val="18"/>
                <w:color w:val="auto"/>
              </w:rPr>
              <w:t>Accounts payable and accrued expenses</w:t>
            </w:r>
          </w:p>
        </w:tc>
        <w:tc>
          <w:tcPr>
            <w:tcW w:w="27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0" w:type="dxa"/>
            <w:vAlign w:val="bottom"/>
            <w:gridSpan w:val="2"/>
          </w:tcPr>
          <w:p>
            <w:pPr>
              <w:jc w:val="right"/>
              <w:ind w:right="240"/>
              <w:spacing w:after="0"/>
              <w:rPr>
                <w:sz w:val="20"/>
                <w:szCs w:val="20"/>
                <w:color w:val="auto"/>
              </w:rPr>
            </w:pPr>
            <w:r>
              <w:rPr>
                <w:rFonts w:ascii="Arial" w:cs="Arial" w:eastAsia="Arial" w:hAnsi="Arial"/>
                <w:sz w:val="18"/>
                <w:szCs w:val="18"/>
                <w:color w:val="auto"/>
              </w:rPr>
              <w:t>(5,477)</w:t>
            </w:r>
          </w:p>
        </w:tc>
        <w:tc>
          <w:tcPr>
            <w:tcW w:w="20" w:type="dxa"/>
            <w:vAlign w:val="bottom"/>
            <w:shd w:val="clear" w:color="auto" w:fill="000000"/>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200"/>
              <w:spacing w:after="0"/>
              <w:rPr>
                <w:sz w:val="20"/>
                <w:szCs w:val="20"/>
                <w:color w:val="auto"/>
              </w:rPr>
            </w:pPr>
            <w:r>
              <w:rPr>
                <w:rFonts w:ascii="Arial" w:cs="Arial" w:eastAsia="Arial" w:hAnsi="Arial"/>
                <w:sz w:val="18"/>
                <w:szCs w:val="18"/>
                <w:color w:val="auto"/>
              </w:rPr>
              <w:t>684</w:t>
            </w:r>
          </w:p>
        </w:tc>
        <w:tc>
          <w:tcPr>
            <w:tcW w:w="100" w:type="dxa"/>
            <w:vAlign w:val="bottom"/>
          </w:tcPr>
          <w:p>
            <w:pPr>
              <w:spacing w:after="0"/>
              <w:rPr>
                <w:sz w:val="18"/>
                <w:szCs w:val="18"/>
                <w:color w:val="auto"/>
              </w:rPr>
            </w:pPr>
          </w:p>
        </w:tc>
        <w:tc>
          <w:tcPr>
            <w:tcW w:w="820" w:type="dxa"/>
            <w:vAlign w:val="bottom"/>
            <w:gridSpan w:val="2"/>
          </w:tcPr>
          <w:p>
            <w:pPr>
              <w:jc w:val="right"/>
              <w:ind w:right="40"/>
              <w:spacing w:after="0"/>
              <w:rPr>
                <w:sz w:val="20"/>
                <w:szCs w:val="20"/>
                <w:color w:val="auto"/>
              </w:rPr>
            </w:pPr>
            <w:r>
              <w:rPr>
                <w:rFonts w:ascii="Arial" w:cs="Arial" w:eastAsia="Arial" w:hAnsi="Arial"/>
                <w:sz w:val="18"/>
                <w:szCs w:val="18"/>
                <w:color w:val="auto"/>
              </w:rPr>
              <w:t>(4,793)</w:t>
            </w:r>
          </w:p>
        </w:tc>
        <w:tc>
          <w:tcPr>
            <w:tcW w:w="0" w:type="dxa"/>
            <w:vAlign w:val="bottom"/>
          </w:tcPr>
          <w:p>
            <w:pPr>
              <w:spacing w:after="0"/>
              <w:rPr>
                <w:sz w:val="1"/>
                <w:szCs w:val="1"/>
                <w:color w:val="auto"/>
              </w:rPr>
            </w:pPr>
          </w:p>
        </w:tc>
      </w:tr>
      <w:tr>
        <w:trPr>
          <w:trHeight w:val="216"/>
        </w:trPr>
        <w:tc>
          <w:tcPr>
            <w:tcW w:w="4100" w:type="dxa"/>
            <w:vAlign w:val="bottom"/>
            <w:shd w:val="clear" w:color="auto" w:fill="CCEEFF"/>
          </w:tcPr>
          <w:p>
            <w:pPr>
              <w:spacing w:after="0"/>
              <w:rPr>
                <w:sz w:val="20"/>
                <w:szCs w:val="20"/>
                <w:color w:val="auto"/>
              </w:rPr>
            </w:pPr>
            <w:r>
              <w:rPr>
                <w:rFonts w:ascii="Arial" w:cs="Arial" w:eastAsia="Arial" w:hAnsi="Arial"/>
                <w:sz w:val="18"/>
                <w:szCs w:val="18"/>
                <w:color w:val="auto"/>
              </w:rPr>
              <w:t>Deferred revenue</w:t>
            </w:r>
          </w:p>
        </w:tc>
        <w:tc>
          <w:tcPr>
            <w:tcW w:w="27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(38,278)</w:t>
            </w:r>
          </w:p>
        </w:tc>
        <w:tc>
          <w:tcPr>
            <w:tcW w:w="20" w:type="dxa"/>
            <w:vAlign w:val="bottom"/>
            <w:shd w:val="clear" w:color="auto" w:fill="000000"/>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6,278</w:t>
            </w: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(32,000)</w:t>
            </w:r>
          </w:p>
        </w:tc>
        <w:tc>
          <w:tcPr>
            <w:tcW w:w="0" w:type="dxa"/>
            <w:vAlign w:val="bottom"/>
          </w:tcPr>
          <w:p>
            <w:pPr>
              <w:spacing w:after="0"/>
              <w:rPr>
                <w:sz w:val="1"/>
                <w:szCs w:val="1"/>
                <w:color w:val="auto"/>
              </w:rPr>
            </w:pPr>
          </w:p>
        </w:tc>
      </w:tr>
      <w:tr>
        <w:trPr>
          <w:trHeight w:val="223"/>
        </w:trPr>
        <w:tc>
          <w:tcPr>
            <w:tcW w:w="4100" w:type="dxa"/>
            <w:vAlign w:val="bottom"/>
          </w:tcPr>
          <w:p>
            <w:pPr>
              <w:spacing w:after="0"/>
              <w:rPr>
                <w:sz w:val="20"/>
                <w:szCs w:val="20"/>
                <w:color w:val="auto"/>
              </w:rPr>
            </w:pPr>
            <w:r>
              <w:rPr>
                <w:rFonts w:ascii="Arial" w:cs="Arial" w:eastAsia="Arial" w:hAnsi="Arial"/>
                <w:sz w:val="18"/>
                <w:szCs w:val="18"/>
                <w:color w:val="auto"/>
              </w:rPr>
              <w:t>Total assets acquired and liabilities assumed</w:t>
            </w:r>
          </w:p>
        </w:tc>
        <w:tc>
          <w:tcPr>
            <w:tcW w:w="272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14,682</w:t>
            </w:r>
          </w:p>
        </w:tc>
        <w:tc>
          <w:tcPr>
            <w:tcW w:w="300" w:type="dxa"/>
            <w:vAlign w:val="bottom"/>
          </w:tcPr>
          <w:p>
            <w:pPr>
              <w:spacing w:after="0"/>
              <w:rPr>
                <w:sz w:val="19"/>
                <w:szCs w:val="19"/>
                <w:color w:val="auto"/>
              </w:rPr>
            </w:pPr>
          </w:p>
        </w:tc>
        <w:tc>
          <w:tcPr>
            <w:tcW w:w="20" w:type="dxa"/>
            <w:vAlign w:val="bottom"/>
            <w:tcBorders>
              <w:top w:val="single" w:sz="8" w:color="auto"/>
            </w:tcBorders>
            <w:shd w:val="clear" w:color="auto" w:fill="000000"/>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457,669</w:t>
            </w:r>
          </w:p>
        </w:tc>
        <w:tc>
          <w:tcPr>
            <w:tcW w:w="2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472,351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100" w:type="dxa"/>
            <w:vAlign w:val="bottom"/>
            <w:shd w:val="clear" w:color="auto" w:fill="CCEEFF"/>
          </w:tcPr>
          <w:p>
            <w:pPr>
              <w:spacing w:after="0"/>
              <w:rPr>
                <w:sz w:val="20"/>
                <w:szCs w:val="20"/>
                <w:color w:val="auto"/>
              </w:rPr>
            </w:pPr>
            <w:r>
              <w:rPr>
                <w:rFonts w:ascii="Arial" w:cs="Arial" w:eastAsia="Arial" w:hAnsi="Arial"/>
                <w:sz w:val="18"/>
                <w:szCs w:val="18"/>
                <w:color w:val="auto"/>
              </w:rPr>
              <w:t>Goodwill</w:t>
            </w:r>
          </w:p>
        </w:tc>
        <w:tc>
          <w:tcPr>
            <w:tcW w:w="2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82,767</w:t>
            </w:r>
          </w:p>
        </w:tc>
        <w:tc>
          <w:tcPr>
            <w:tcW w:w="20" w:type="dxa"/>
            <w:vAlign w:val="bottom"/>
            <w:shd w:val="clear" w:color="auto" w:fill="000000"/>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79"/>
              </w:rPr>
              <w:t>$</w:t>
            </w:r>
          </w:p>
        </w:tc>
        <w:tc>
          <w:tcPr>
            <w:tcW w:w="9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89"/>
              </w:rPr>
              <w:t>1,144,494</w:t>
            </w: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7"/>
              </w:rPr>
              <w:t>1,227,261</w:t>
            </w:r>
          </w:p>
        </w:tc>
        <w:tc>
          <w:tcPr>
            <w:tcW w:w="0" w:type="dxa"/>
            <w:vAlign w:val="bottom"/>
          </w:tcPr>
          <w:p>
            <w:pPr>
              <w:spacing w:after="0"/>
              <w:rPr>
                <w:sz w:val="1"/>
                <w:szCs w:val="1"/>
                <w:color w:val="auto"/>
              </w:rPr>
            </w:pPr>
          </w:p>
        </w:tc>
      </w:tr>
      <w:tr>
        <w:trPr>
          <w:trHeight w:val="223"/>
        </w:trPr>
        <w:tc>
          <w:tcPr>
            <w:tcW w:w="4100" w:type="dxa"/>
            <w:vAlign w:val="bottom"/>
          </w:tcPr>
          <w:p>
            <w:pPr>
              <w:spacing w:after="0"/>
              <w:rPr>
                <w:sz w:val="20"/>
                <w:szCs w:val="20"/>
                <w:color w:val="auto"/>
              </w:rPr>
            </w:pPr>
            <w:r>
              <w:rPr>
                <w:rFonts w:ascii="Arial" w:cs="Arial" w:eastAsia="Arial" w:hAnsi="Arial"/>
                <w:sz w:val="18"/>
                <w:szCs w:val="18"/>
                <w:color w:val="auto"/>
              </w:rPr>
              <w:t>Total purchase price</w:t>
            </w:r>
          </w:p>
        </w:tc>
        <w:tc>
          <w:tcPr>
            <w:tcW w:w="272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700" w:type="dxa"/>
            <w:vAlign w:val="bottom"/>
            <w:tcBorders>
              <w:top w:val="single" w:sz="8" w:color="auto"/>
            </w:tcBorders>
          </w:tcPr>
          <w:p>
            <w:pPr>
              <w:spacing w:after="0"/>
              <w:rPr>
                <w:sz w:val="19"/>
                <w:szCs w:val="19"/>
                <w:color w:val="auto"/>
              </w:rPr>
            </w:pPr>
          </w:p>
        </w:tc>
        <w:tc>
          <w:tcPr>
            <w:tcW w:w="300" w:type="dxa"/>
            <w:vAlign w:val="bottom"/>
          </w:tcPr>
          <w:p>
            <w:pPr>
              <w:spacing w:after="0"/>
              <w:rPr>
                <w:sz w:val="19"/>
                <w:szCs w:val="19"/>
                <w:color w:val="auto"/>
              </w:rPr>
            </w:pPr>
          </w:p>
        </w:tc>
        <w:tc>
          <w:tcPr>
            <w:tcW w:w="20" w:type="dxa"/>
            <w:vAlign w:val="bottom"/>
            <w:tcBorders>
              <w:top w:val="single" w:sz="8" w:color="auto"/>
              <w:bottom w:val="single" w:sz="8" w:color="auto"/>
            </w:tcBorders>
            <w:shd w:val="clear" w:color="auto" w:fill="000000"/>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u w:val="single" w:color="auto"/>
                <w:color w:val="auto"/>
                <w:w w:val="79"/>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7"/>
              </w:rPr>
              <w:t>1,699,612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100" w:type="dxa"/>
            <w:vAlign w:val="bottom"/>
          </w:tcPr>
          <w:p>
            <w:pPr>
              <w:spacing w:after="0" w:line="20" w:lineRule="exact"/>
              <w:rPr>
                <w:sz w:val="1"/>
                <w:szCs w:val="1"/>
                <w:color w:val="auto"/>
              </w:rPr>
            </w:pPr>
          </w:p>
        </w:tc>
        <w:tc>
          <w:tcPr>
            <w:tcW w:w="2800" w:type="dxa"/>
            <w:vAlign w:val="bottom"/>
            <w:gridSpan w:val="2"/>
            <w:vMerge w:val="restart"/>
          </w:tcPr>
          <w:p>
            <w:pPr>
              <w:jc w:val="right"/>
              <w:ind w:right="1488"/>
              <w:spacing w:after="0"/>
              <w:rPr>
                <w:sz w:val="20"/>
                <w:szCs w:val="20"/>
                <w:color w:val="auto"/>
              </w:rPr>
            </w:pPr>
            <w:r>
              <w:rPr>
                <w:rFonts w:ascii="Arial" w:cs="Arial" w:eastAsia="Arial" w:hAnsi="Arial"/>
                <w:sz w:val="18"/>
                <w:szCs w:val="18"/>
                <w:color w:val="auto"/>
              </w:rPr>
              <w:t>F-27</w:t>
            </w:r>
          </w:p>
        </w:tc>
        <w:tc>
          <w:tcPr>
            <w:tcW w:w="7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Borders>
              <w:bottom w:val="single" w:sz="8" w:color="auto"/>
            </w:tcBorders>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4100" w:type="dxa"/>
            <w:vAlign w:val="bottom"/>
          </w:tcPr>
          <w:p>
            <w:pPr>
              <w:spacing w:after="0"/>
              <w:rPr>
                <w:sz w:val="24"/>
                <w:szCs w:val="24"/>
                <w:color w:val="auto"/>
              </w:rPr>
            </w:pPr>
          </w:p>
        </w:tc>
        <w:tc>
          <w:tcPr>
            <w:tcW w:w="2800" w:type="dxa"/>
            <w:vAlign w:val="bottom"/>
            <w:gridSpan w:val="2"/>
            <w:vMerge w:val="continue"/>
          </w:tcPr>
          <w:p>
            <w:pPr>
              <w:spacing w:after="0"/>
              <w:rPr>
                <w:sz w:val="24"/>
                <w:szCs w:val="24"/>
                <w:color w:val="auto"/>
              </w:rPr>
            </w:pPr>
          </w:p>
        </w:tc>
        <w:tc>
          <w:tcPr>
            <w:tcW w:w="7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100"/>
          </w:cols>
          <w:pgMar w:left="320" w:top="459" w:right="479" w:bottom="1440" w:gutter="0" w:footer="0" w:header="0"/>
        </w:sectPr>
      </w:pPr>
    </w:p>
    <w:bookmarkStart w:id="233" w:name="page234"/>
    <w:bookmarkEnd w:id="2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18">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Confidential Treatment Requested by Definitive Healthcare Corp.</w:t>
      </w:r>
    </w:p>
    <w:p>
      <w:pPr>
        <w:spacing w:after="0" w:line="27"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Pursuant to 17 C.F.R. Section 200.83</w:t>
      </w:r>
    </w:p>
    <w:p>
      <w:pPr>
        <w:spacing w:after="0" w:line="143" w:lineRule="exact"/>
        <w:rPr>
          <w:sz w:val="20"/>
          <w:szCs w:val="20"/>
          <w:color w:val="auto"/>
        </w:rPr>
      </w:pPr>
    </w:p>
    <w:p>
      <w:pPr>
        <w:ind w:left="120" w:right="20" w:firstLine="440"/>
        <w:spacing w:after="0" w:line="311" w:lineRule="auto"/>
        <w:rPr>
          <w:sz w:val="20"/>
          <w:szCs w:val="20"/>
          <w:color w:val="auto"/>
        </w:rPr>
      </w:pPr>
      <w:r>
        <w:rPr>
          <w:rFonts w:ascii="Arial" w:cs="Arial" w:eastAsia="Arial" w:hAnsi="Arial"/>
          <w:sz w:val="16"/>
          <w:szCs w:val="16"/>
          <w:color w:val="auto"/>
        </w:rPr>
        <w:t>The adjustments set forth in the following consolidated balance sheet as of July 15, 2019, reflect the effect of the Debt Financing and Finance Merger (reflected in the column “Debt Financing / Finance Merger”), and the fair value adjustments to assets acquired and liabilities assumed, as a result of the purchase accounting, in connection with the Definitive Holdco Acquisition (reflected in the column “Fair Value Adjustments”) (in thousands):</w:t>
      </w:r>
    </w:p>
    <w:p>
      <w:pPr>
        <w:spacing w:after="0" w:line="155" w:lineRule="exact"/>
        <w:rPr>
          <w:sz w:val="20"/>
          <w:szCs w:val="20"/>
          <w:color w:val="auto"/>
        </w:rPr>
      </w:pPr>
    </w:p>
    <w:tbl>
      <w:tblPr>
        <w:tblLayout w:type="fixed"/>
        <w:tblInd w:w="120" w:type="dxa"/>
        <w:tblCellMar>
          <w:top w:w="0" w:type="dxa"/>
          <w:left w:w="0" w:type="dxa"/>
          <w:bottom w:w="0" w:type="dxa"/>
          <w:right w:w="0" w:type="dxa"/>
        </w:tblCellMar>
      </w:tblPr>
      <w:tr>
        <w:trPr>
          <w:trHeight w:val="35"/>
        </w:trPr>
        <w:tc>
          <w:tcPr>
            <w:tcW w:w="4920" w:type="dxa"/>
            <w:vAlign w:val="bottom"/>
          </w:tcPr>
          <w:p>
            <w:pPr>
              <w:spacing w:after="0"/>
              <w:rPr>
                <w:sz w:val="3"/>
                <w:szCs w:val="3"/>
                <w:color w:val="auto"/>
              </w:rPr>
            </w:pPr>
          </w:p>
        </w:tc>
        <w:tc>
          <w:tcPr>
            <w:tcW w:w="1940" w:type="dxa"/>
            <w:vAlign w:val="bottom"/>
          </w:tcPr>
          <w:p>
            <w:pPr>
              <w:spacing w:after="0"/>
              <w:rPr>
                <w:sz w:val="3"/>
                <w:szCs w:val="3"/>
                <w:color w:val="auto"/>
              </w:rPr>
            </w:pPr>
          </w:p>
        </w:tc>
        <w:tc>
          <w:tcPr>
            <w:tcW w:w="100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rPr>
              <w:t>Predecessor</w:t>
            </w:r>
          </w:p>
        </w:tc>
        <w:tc>
          <w:tcPr>
            <w:tcW w:w="300" w:type="dxa"/>
            <w:vAlign w:val="bottom"/>
          </w:tcPr>
          <w:p>
            <w:pPr>
              <w:spacing w:after="0"/>
              <w:rPr>
                <w:sz w:val="3"/>
                <w:szCs w:val="3"/>
                <w:color w:val="auto"/>
              </w:rPr>
            </w:pPr>
          </w:p>
        </w:tc>
        <w:tc>
          <w:tcPr>
            <w:tcW w:w="100" w:type="dxa"/>
            <w:vAlign w:val="bottom"/>
          </w:tcPr>
          <w:p>
            <w:pPr>
              <w:spacing w:after="0"/>
              <w:rPr>
                <w:sz w:val="3"/>
                <w:szCs w:val="3"/>
                <w:color w:val="auto"/>
              </w:rPr>
            </w:pPr>
          </w:p>
        </w:tc>
        <w:tc>
          <w:tcPr>
            <w:tcW w:w="78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w w:val="96"/>
              </w:rPr>
              <w:t>Debt</w:t>
            </w:r>
          </w:p>
        </w:tc>
        <w:tc>
          <w:tcPr>
            <w:tcW w:w="60" w:type="dxa"/>
            <w:vAlign w:val="bottom"/>
          </w:tcPr>
          <w:p>
            <w:pPr>
              <w:spacing w:after="0"/>
              <w:rPr>
                <w:sz w:val="3"/>
                <w:szCs w:val="3"/>
                <w:color w:val="auto"/>
              </w:rPr>
            </w:pPr>
          </w:p>
        </w:tc>
        <w:tc>
          <w:tcPr>
            <w:tcW w:w="100" w:type="dxa"/>
            <w:vAlign w:val="bottom"/>
          </w:tcPr>
          <w:p>
            <w:pPr>
              <w:spacing w:after="0"/>
              <w:rPr>
                <w:sz w:val="3"/>
                <w:szCs w:val="3"/>
                <w:color w:val="auto"/>
              </w:rPr>
            </w:pPr>
          </w:p>
        </w:tc>
        <w:tc>
          <w:tcPr>
            <w:tcW w:w="740" w:type="dxa"/>
            <w:vAlign w:val="bottom"/>
          </w:tcPr>
          <w:p>
            <w:pPr>
              <w:spacing w:after="0"/>
              <w:rPr>
                <w:sz w:val="3"/>
                <w:szCs w:val="3"/>
                <w:color w:val="auto"/>
              </w:rPr>
            </w:pPr>
          </w:p>
        </w:tc>
        <w:tc>
          <w:tcPr>
            <w:tcW w:w="12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720" w:type="dxa"/>
            <w:vAlign w:val="bottom"/>
          </w:tcPr>
          <w:p>
            <w:pPr>
              <w:spacing w:after="0"/>
              <w:rPr>
                <w:sz w:val="3"/>
                <w:szCs w:val="3"/>
                <w:color w:val="auto"/>
              </w:rPr>
            </w:pPr>
          </w:p>
        </w:tc>
        <w:tc>
          <w:tcPr>
            <w:tcW w:w="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6"/>
        </w:trPr>
        <w:tc>
          <w:tcPr>
            <w:tcW w:w="4920" w:type="dxa"/>
            <w:vAlign w:val="bottom"/>
          </w:tcPr>
          <w:p>
            <w:pPr>
              <w:spacing w:after="0"/>
              <w:rPr>
                <w:sz w:val="10"/>
                <w:szCs w:val="10"/>
                <w:color w:val="auto"/>
              </w:rPr>
            </w:pPr>
          </w:p>
        </w:tc>
        <w:tc>
          <w:tcPr>
            <w:tcW w:w="1940" w:type="dxa"/>
            <w:vAlign w:val="bottom"/>
          </w:tcPr>
          <w:p>
            <w:pPr>
              <w:spacing w:after="0"/>
              <w:rPr>
                <w:sz w:val="10"/>
                <w:szCs w:val="10"/>
                <w:color w:val="auto"/>
              </w:rPr>
            </w:pPr>
          </w:p>
        </w:tc>
        <w:tc>
          <w:tcPr>
            <w:tcW w:w="1000" w:type="dxa"/>
            <w:vAlign w:val="bottom"/>
            <w:gridSpan w:val="3"/>
            <w:vMerge w:val="continue"/>
          </w:tcPr>
          <w:p>
            <w:pPr>
              <w:spacing w:after="0"/>
              <w:rPr>
                <w:sz w:val="10"/>
                <w:szCs w:val="10"/>
                <w:color w:val="auto"/>
              </w:rPr>
            </w:pPr>
          </w:p>
        </w:tc>
        <w:tc>
          <w:tcPr>
            <w:tcW w:w="300" w:type="dxa"/>
            <w:vAlign w:val="bottom"/>
            <w:tcBorders>
              <w:left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780" w:type="dxa"/>
            <w:vAlign w:val="bottom"/>
            <w:gridSpan w:val="2"/>
            <w:vMerge w:val="continue"/>
          </w:tcPr>
          <w:p>
            <w:pPr>
              <w:spacing w:after="0"/>
              <w:rPr>
                <w:sz w:val="10"/>
                <w:szCs w:val="10"/>
                <w:color w:val="auto"/>
              </w:rPr>
            </w:pP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4920" w:type="dxa"/>
            <w:vAlign w:val="bottom"/>
          </w:tcPr>
          <w:p>
            <w:pPr>
              <w:spacing w:after="0"/>
              <w:rPr>
                <w:sz w:val="12"/>
                <w:szCs w:val="12"/>
                <w:color w:val="auto"/>
              </w:rPr>
            </w:pPr>
          </w:p>
        </w:tc>
        <w:tc>
          <w:tcPr>
            <w:tcW w:w="1940" w:type="dxa"/>
            <w:vAlign w:val="bottom"/>
          </w:tcPr>
          <w:p>
            <w:pPr>
              <w:spacing w:after="0"/>
              <w:rPr>
                <w:sz w:val="12"/>
                <w:szCs w:val="12"/>
                <w:color w:val="auto"/>
              </w:rPr>
            </w:pPr>
          </w:p>
        </w:tc>
        <w:tc>
          <w:tcPr>
            <w:tcW w:w="1000" w:type="dxa"/>
            <w:vAlign w:val="bottom"/>
            <w:gridSpan w:val="3"/>
            <w:vMerge w:val="continue"/>
          </w:tcPr>
          <w:p>
            <w:pPr>
              <w:spacing w:after="0"/>
              <w:rPr>
                <w:sz w:val="12"/>
                <w:szCs w:val="12"/>
                <w:color w:val="auto"/>
              </w:rPr>
            </w:pPr>
          </w:p>
        </w:tc>
        <w:tc>
          <w:tcPr>
            <w:tcW w:w="300" w:type="dxa"/>
            <w:vAlign w:val="bottom"/>
            <w:tcBorders>
              <w:left w:val="single" w:sz="8" w:color="auto"/>
            </w:tcBorders>
          </w:tcPr>
          <w:p>
            <w:pPr>
              <w:spacing w:after="0"/>
              <w:rPr>
                <w:sz w:val="12"/>
                <w:szCs w:val="12"/>
                <w:color w:val="auto"/>
              </w:rPr>
            </w:pPr>
          </w:p>
        </w:tc>
        <w:tc>
          <w:tcPr>
            <w:tcW w:w="880" w:type="dxa"/>
            <w:vAlign w:val="bottom"/>
            <w:gridSpan w:val="3"/>
          </w:tcPr>
          <w:p>
            <w:pPr>
              <w:jc w:val="center"/>
              <w:ind w:right="140"/>
              <w:spacing w:after="0" w:line="149" w:lineRule="exact"/>
              <w:rPr>
                <w:sz w:val="20"/>
                <w:szCs w:val="20"/>
                <w:color w:val="auto"/>
              </w:rPr>
            </w:pPr>
            <w:r>
              <w:rPr>
                <w:rFonts w:ascii="Arial" w:cs="Arial" w:eastAsia="Arial" w:hAnsi="Arial"/>
                <w:sz w:val="14"/>
                <w:szCs w:val="14"/>
                <w:b w:val="1"/>
                <w:bCs w:val="1"/>
                <w:color w:val="auto"/>
                <w:w w:val="93"/>
              </w:rPr>
              <w:t>Financing</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gridSpan w:val="2"/>
            <w:vMerge w:val="restart"/>
          </w:tcPr>
          <w:p>
            <w:pPr>
              <w:jc w:val="right"/>
              <w:ind w:right="220"/>
              <w:spacing w:after="0"/>
              <w:rPr>
                <w:sz w:val="20"/>
                <w:szCs w:val="20"/>
                <w:color w:val="auto"/>
              </w:rPr>
            </w:pPr>
            <w:r>
              <w:rPr>
                <w:rFonts w:ascii="Arial" w:cs="Arial" w:eastAsia="Arial" w:hAnsi="Arial"/>
                <w:sz w:val="14"/>
                <w:szCs w:val="14"/>
                <w:b w:val="1"/>
                <w:bCs w:val="1"/>
                <w:color w:val="auto"/>
                <w:w w:val="92"/>
              </w:rPr>
              <w:t>Fair Value</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Successor</w:t>
            </w:r>
          </w:p>
        </w:tc>
        <w:tc>
          <w:tcPr>
            <w:tcW w:w="0" w:type="dxa"/>
            <w:vAlign w:val="bottom"/>
          </w:tcPr>
          <w:p>
            <w:pPr>
              <w:spacing w:after="0"/>
              <w:rPr>
                <w:sz w:val="1"/>
                <w:szCs w:val="1"/>
                <w:color w:val="auto"/>
              </w:rPr>
            </w:pPr>
          </w:p>
        </w:tc>
      </w:tr>
      <w:tr>
        <w:trPr>
          <w:trHeight w:val="148"/>
        </w:trPr>
        <w:tc>
          <w:tcPr>
            <w:tcW w:w="4920" w:type="dxa"/>
            <w:vAlign w:val="bottom"/>
          </w:tcPr>
          <w:p>
            <w:pPr>
              <w:spacing w:after="0"/>
              <w:rPr>
                <w:sz w:val="12"/>
                <w:szCs w:val="12"/>
                <w:color w:val="auto"/>
              </w:rPr>
            </w:pPr>
          </w:p>
        </w:tc>
        <w:tc>
          <w:tcPr>
            <w:tcW w:w="19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gridSpan w:val="2"/>
          </w:tcPr>
          <w:p>
            <w:pPr>
              <w:jc w:val="right"/>
              <w:ind w:right="380"/>
              <w:spacing w:after="0" w:line="149" w:lineRule="exact"/>
              <w:rPr>
                <w:sz w:val="20"/>
                <w:szCs w:val="20"/>
                <w:color w:val="auto"/>
              </w:rPr>
            </w:pPr>
            <w:r>
              <w:rPr>
                <w:rFonts w:ascii="Arial" w:cs="Arial" w:eastAsia="Arial" w:hAnsi="Arial"/>
                <w:sz w:val="14"/>
                <w:szCs w:val="14"/>
                <w:b w:val="1"/>
                <w:bCs w:val="1"/>
                <w:color w:val="auto"/>
                <w:w w:val="93"/>
              </w:rPr>
              <w:t>July 15,</w:t>
            </w:r>
          </w:p>
        </w:tc>
        <w:tc>
          <w:tcPr>
            <w:tcW w:w="300" w:type="dxa"/>
            <w:vAlign w:val="bottom"/>
            <w:tcBorders>
              <w:left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gridSpan w:val="2"/>
          </w:tcPr>
          <w:p>
            <w:pPr>
              <w:jc w:val="right"/>
              <w:ind w:right="220"/>
              <w:spacing w:after="0" w:line="149" w:lineRule="exact"/>
              <w:rPr>
                <w:sz w:val="20"/>
                <w:szCs w:val="20"/>
                <w:color w:val="auto"/>
              </w:rPr>
            </w:pPr>
            <w:r>
              <w:rPr>
                <w:rFonts w:ascii="Arial" w:cs="Arial" w:eastAsia="Arial" w:hAnsi="Arial"/>
                <w:sz w:val="14"/>
                <w:szCs w:val="14"/>
                <w:b w:val="1"/>
                <w:bCs w:val="1"/>
                <w:color w:val="auto"/>
                <w:w w:val="88"/>
              </w:rPr>
              <w:t>/ Finance</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4920" w:type="dxa"/>
            <w:vAlign w:val="bottom"/>
          </w:tcPr>
          <w:p>
            <w:pPr>
              <w:spacing w:after="0"/>
              <w:rPr>
                <w:sz w:val="14"/>
                <w:szCs w:val="14"/>
                <w:color w:val="auto"/>
              </w:rPr>
            </w:pPr>
          </w:p>
        </w:tc>
        <w:tc>
          <w:tcPr>
            <w:tcW w:w="19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tcPr>
          <w:p>
            <w:pPr>
              <w:jc w:val="right"/>
              <w:ind w:right="132"/>
              <w:spacing w:after="0"/>
              <w:rPr>
                <w:sz w:val="20"/>
                <w:szCs w:val="20"/>
                <w:color w:val="auto"/>
              </w:rPr>
            </w:pPr>
            <w:r>
              <w:rPr>
                <w:rFonts w:ascii="Arial" w:cs="Arial" w:eastAsia="Arial" w:hAnsi="Arial"/>
                <w:sz w:val="14"/>
                <w:szCs w:val="14"/>
                <w:b w:val="1"/>
                <w:bCs w:val="1"/>
                <w:color w:val="auto"/>
              </w:rPr>
              <w:t>2019</w:t>
            </w:r>
          </w:p>
        </w:tc>
        <w:tc>
          <w:tcPr>
            <w:tcW w:w="260" w:type="dxa"/>
            <w:vAlign w:val="bottom"/>
          </w:tcPr>
          <w:p>
            <w:pPr>
              <w:spacing w:after="0"/>
              <w:rPr>
                <w:sz w:val="14"/>
                <w:szCs w:val="14"/>
                <w:color w:val="auto"/>
              </w:rPr>
            </w:pPr>
          </w:p>
        </w:tc>
        <w:tc>
          <w:tcPr>
            <w:tcW w:w="300" w:type="dxa"/>
            <w:vAlign w:val="bottom"/>
            <w:tcBorders>
              <w:left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8"/>
              </w:rPr>
              <w:t>Merger</w:t>
            </w:r>
          </w:p>
        </w:tc>
        <w:tc>
          <w:tcPr>
            <w:tcW w:w="60" w:type="dxa"/>
            <w:vAlign w:val="bottom"/>
          </w:tcPr>
          <w:p>
            <w:pPr>
              <w:spacing w:after="0"/>
              <w:rPr>
                <w:sz w:val="14"/>
                <w:szCs w:val="14"/>
                <w:color w:val="auto"/>
              </w:rPr>
            </w:pPr>
          </w:p>
        </w:tc>
        <w:tc>
          <w:tcPr>
            <w:tcW w:w="960" w:type="dxa"/>
            <w:vAlign w:val="bottom"/>
            <w:gridSpan w:val="3"/>
          </w:tcPr>
          <w:p>
            <w:pPr>
              <w:ind w:left="20"/>
              <w:spacing w:after="0"/>
              <w:rPr>
                <w:sz w:val="20"/>
                <w:szCs w:val="20"/>
                <w:color w:val="auto"/>
              </w:rPr>
            </w:pPr>
            <w:r>
              <w:rPr>
                <w:rFonts w:ascii="Arial" w:cs="Arial" w:eastAsia="Arial" w:hAnsi="Arial"/>
                <w:sz w:val="14"/>
                <w:szCs w:val="14"/>
                <w:b w:val="1"/>
                <w:bCs w:val="1"/>
                <w:color w:val="auto"/>
              </w:rPr>
              <w:t>Adjustments</w:t>
            </w:r>
          </w:p>
        </w:tc>
        <w:tc>
          <w:tcPr>
            <w:tcW w:w="80" w:type="dxa"/>
            <w:vAlign w:val="bottom"/>
          </w:tcPr>
          <w:p>
            <w:pPr>
              <w:spacing w:after="0"/>
              <w:rPr>
                <w:sz w:val="14"/>
                <w:szCs w:val="14"/>
                <w:color w:val="auto"/>
              </w:rPr>
            </w:pPr>
          </w:p>
        </w:tc>
        <w:tc>
          <w:tcPr>
            <w:tcW w:w="880" w:type="dxa"/>
            <w:vAlign w:val="bottom"/>
            <w:gridSpan w:val="3"/>
          </w:tcPr>
          <w:p>
            <w:pPr>
              <w:spacing w:after="0"/>
              <w:rPr>
                <w:sz w:val="20"/>
                <w:szCs w:val="20"/>
                <w:color w:val="auto"/>
              </w:rPr>
            </w:pPr>
            <w:r>
              <w:rPr>
                <w:rFonts w:ascii="Arial" w:cs="Arial" w:eastAsia="Arial" w:hAnsi="Arial"/>
                <w:sz w:val="14"/>
                <w:szCs w:val="14"/>
                <w:b w:val="1"/>
                <w:bCs w:val="1"/>
                <w:color w:val="auto"/>
                <w:w w:val="99"/>
              </w:rPr>
              <w:t>July 16, 2019</w:t>
            </w:r>
          </w:p>
        </w:tc>
        <w:tc>
          <w:tcPr>
            <w:tcW w:w="0" w:type="dxa"/>
            <w:vAlign w:val="bottom"/>
          </w:tcPr>
          <w:p>
            <w:pPr>
              <w:spacing w:after="0"/>
              <w:rPr>
                <w:sz w:val="1"/>
                <w:szCs w:val="1"/>
                <w:color w:val="auto"/>
              </w:rPr>
            </w:pPr>
          </w:p>
        </w:tc>
      </w:tr>
      <w:tr>
        <w:trPr>
          <w:trHeight w:val="209"/>
        </w:trPr>
        <w:tc>
          <w:tcPr>
            <w:tcW w:w="49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Cash</w:t>
            </w:r>
          </w:p>
        </w:tc>
        <w:tc>
          <w:tcPr>
            <w:tcW w:w="19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17,058</w:t>
            </w:r>
          </w:p>
        </w:tc>
        <w:tc>
          <w:tcPr>
            <w:tcW w:w="26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CCEEFF"/>
              <w:left w:val="single" w:sz="8" w:color="auto"/>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1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17,058</w:t>
            </w: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20" w:type="dxa"/>
            <w:vAlign w:val="bottom"/>
          </w:tcPr>
          <w:p>
            <w:pPr>
              <w:spacing w:after="0"/>
              <w:rPr>
                <w:sz w:val="20"/>
                <w:szCs w:val="20"/>
                <w:color w:val="auto"/>
              </w:rPr>
            </w:pPr>
            <w:r>
              <w:rPr>
                <w:rFonts w:ascii="Arial" w:cs="Arial" w:eastAsia="Arial" w:hAnsi="Arial"/>
                <w:sz w:val="18"/>
                <w:szCs w:val="18"/>
                <w:color w:val="auto"/>
              </w:rPr>
              <w:t>Accounts receivable</w:t>
            </w:r>
          </w:p>
        </w:tc>
        <w:tc>
          <w:tcPr>
            <w:tcW w:w="1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gridSpan w:val="2"/>
          </w:tcPr>
          <w:p>
            <w:pPr>
              <w:jc w:val="right"/>
              <w:ind w:right="240"/>
              <w:spacing w:after="0"/>
              <w:rPr>
                <w:sz w:val="20"/>
                <w:szCs w:val="20"/>
                <w:color w:val="auto"/>
              </w:rPr>
            </w:pPr>
            <w:r>
              <w:rPr>
                <w:rFonts w:ascii="Arial" w:cs="Arial" w:eastAsia="Arial" w:hAnsi="Arial"/>
                <w:sz w:val="18"/>
                <w:szCs w:val="18"/>
                <w:color w:val="auto"/>
              </w:rPr>
              <w:t>12,747</w:t>
            </w:r>
          </w:p>
        </w:tc>
        <w:tc>
          <w:tcPr>
            <w:tcW w:w="300" w:type="dxa"/>
            <w:vAlign w:val="bottom"/>
            <w:tcBorders>
              <w:lef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ind w:right="60"/>
              <w:spacing w:after="0"/>
              <w:rPr>
                <w:sz w:val="20"/>
                <w:szCs w:val="20"/>
                <w:color w:val="auto"/>
              </w:rPr>
            </w:pPr>
            <w:r>
              <w:rPr>
                <w:rFonts w:ascii="Arial" w:cs="Arial" w:eastAsia="Arial" w:hAnsi="Arial"/>
                <w:sz w:val="18"/>
                <w:szCs w:val="18"/>
                <w:color w:val="auto"/>
              </w:rPr>
              <w:t>12,747</w:t>
            </w:r>
          </w:p>
        </w:tc>
        <w:tc>
          <w:tcPr>
            <w:tcW w:w="0" w:type="dxa"/>
            <w:vAlign w:val="bottom"/>
          </w:tcPr>
          <w:p>
            <w:pPr>
              <w:spacing w:after="0"/>
              <w:rPr>
                <w:sz w:val="1"/>
                <w:szCs w:val="1"/>
                <w:color w:val="auto"/>
              </w:rPr>
            </w:pPr>
          </w:p>
        </w:tc>
      </w:tr>
      <w:tr>
        <w:trPr>
          <w:trHeight w:val="216"/>
        </w:trPr>
        <w:tc>
          <w:tcPr>
            <w:tcW w:w="4920" w:type="dxa"/>
            <w:vAlign w:val="bottom"/>
            <w:shd w:val="clear" w:color="auto" w:fill="CCEEFF"/>
          </w:tcPr>
          <w:p>
            <w:pPr>
              <w:spacing w:after="0"/>
              <w:rPr>
                <w:sz w:val="20"/>
                <w:szCs w:val="20"/>
                <w:color w:val="auto"/>
              </w:rPr>
            </w:pPr>
            <w:r>
              <w:rPr>
                <w:rFonts w:ascii="Arial" w:cs="Arial" w:eastAsia="Arial" w:hAnsi="Arial"/>
                <w:sz w:val="18"/>
                <w:szCs w:val="18"/>
                <w:color w:val="auto"/>
              </w:rPr>
              <w:t>Prepaid expenses and other current assets</w:t>
            </w:r>
          </w:p>
        </w:tc>
        <w:tc>
          <w:tcPr>
            <w:tcW w:w="19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1,539</w:t>
            </w:r>
          </w:p>
        </w:tc>
        <w:tc>
          <w:tcPr>
            <w:tcW w:w="300" w:type="dxa"/>
            <w:vAlign w:val="bottom"/>
            <w:tcBorders>
              <w:left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16</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150</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1,705</w:t>
            </w:r>
          </w:p>
        </w:tc>
        <w:tc>
          <w:tcPr>
            <w:tcW w:w="0" w:type="dxa"/>
            <w:vAlign w:val="bottom"/>
          </w:tcPr>
          <w:p>
            <w:pPr>
              <w:spacing w:after="0"/>
              <w:rPr>
                <w:sz w:val="1"/>
                <w:szCs w:val="1"/>
                <w:color w:val="auto"/>
              </w:rPr>
            </w:pPr>
          </w:p>
        </w:tc>
      </w:tr>
      <w:tr>
        <w:trPr>
          <w:trHeight w:val="216"/>
        </w:trPr>
        <w:tc>
          <w:tcPr>
            <w:tcW w:w="4920" w:type="dxa"/>
            <w:vAlign w:val="bottom"/>
          </w:tcPr>
          <w:p>
            <w:pPr>
              <w:spacing w:after="0"/>
              <w:rPr>
                <w:sz w:val="20"/>
                <w:szCs w:val="20"/>
                <w:color w:val="auto"/>
              </w:rPr>
            </w:pPr>
            <w:r>
              <w:rPr>
                <w:rFonts w:ascii="Arial" w:cs="Arial" w:eastAsia="Arial" w:hAnsi="Arial"/>
                <w:sz w:val="18"/>
                <w:szCs w:val="18"/>
                <w:color w:val="auto"/>
              </w:rPr>
              <w:t>Deferred contract costs</w:t>
            </w:r>
          </w:p>
        </w:tc>
        <w:tc>
          <w:tcPr>
            <w:tcW w:w="1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gridSpan w:val="2"/>
          </w:tcPr>
          <w:p>
            <w:pPr>
              <w:jc w:val="right"/>
              <w:ind w:right="240"/>
              <w:spacing w:after="0"/>
              <w:rPr>
                <w:sz w:val="20"/>
                <w:szCs w:val="20"/>
                <w:color w:val="auto"/>
              </w:rPr>
            </w:pPr>
            <w:r>
              <w:rPr>
                <w:rFonts w:ascii="Arial" w:cs="Arial" w:eastAsia="Arial" w:hAnsi="Arial"/>
                <w:sz w:val="18"/>
                <w:szCs w:val="18"/>
                <w:color w:val="auto"/>
              </w:rPr>
              <w:t>5,735</w:t>
            </w:r>
          </w:p>
        </w:tc>
        <w:tc>
          <w:tcPr>
            <w:tcW w:w="300" w:type="dxa"/>
            <w:vAlign w:val="bottom"/>
            <w:tcBorders>
              <w:lef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ind w:right="60"/>
              <w:spacing w:after="0"/>
              <w:rPr>
                <w:sz w:val="20"/>
                <w:szCs w:val="20"/>
                <w:color w:val="auto"/>
              </w:rPr>
            </w:pPr>
            <w:r>
              <w:rPr>
                <w:rFonts w:ascii="Arial" w:cs="Arial" w:eastAsia="Arial" w:hAnsi="Arial"/>
                <w:sz w:val="18"/>
                <w:szCs w:val="18"/>
                <w:color w:val="auto"/>
              </w:rPr>
              <w:t>(5,735)</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ind w:left="4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920" w:type="dxa"/>
            <w:vAlign w:val="bottom"/>
            <w:shd w:val="clear" w:color="auto" w:fill="CCEEFF"/>
          </w:tcPr>
          <w:p>
            <w:pPr>
              <w:spacing w:after="0"/>
              <w:rPr>
                <w:sz w:val="20"/>
                <w:szCs w:val="20"/>
                <w:color w:val="auto"/>
              </w:rPr>
            </w:pPr>
            <w:r>
              <w:rPr>
                <w:rFonts w:ascii="Arial" w:cs="Arial" w:eastAsia="Arial" w:hAnsi="Arial"/>
                <w:sz w:val="18"/>
                <w:szCs w:val="18"/>
                <w:color w:val="auto"/>
              </w:rPr>
              <w:t>Property and equipment</w:t>
            </w:r>
          </w:p>
        </w:tc>
        <w:tc>
          <w:tcPr>
            <w:tcW w:w="19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2,201</w:t>
            </w:r>
          </w:p>
        </w:tc>
        <w:tc>
          <w:tcPr>
            <w:tcW w:w="300" w:type="dxa"/>
            <w:vAlign w:val="bottom"/>
            <w:tcBorders>
              <w:left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2,201</w:t>
            </w:r>
          </w:p>
        </w:tc>
        <w:tc>
          <w:tcPr>
            <w:tcW w:w="0" w:type="dxa"/>
            <w:vAlign w:val="bottom"/>
          </w:tcPr>
          <w:p>
            <w:pPr>
              <w:spacing w:after="0"/>
              <w:rPr>
                <w:sz w:val="1"/>
                <w:szCs w:val="1"/>
                <w:color w:val="auto"/>
              </w:rPr>
            </w:pPr>
          </w:p>
        </w:tc>
      </w:tr>
      <w:tr>
        <w:trPr>
          <w:trHeight w:val="216"/>
        </w:trPr>
        <w:tc>
          <w:tcPr>
            <w:tcW w:w="4920" w:type="dxa"/>
            <w:vAlign w:val="bottom"/>
          </w:tcPr>
          <w:p>
            <w:pPr>
              <w:spacing w:after="0"/>
              <w:rPr>
                <w:sz w:val="20"/>
                <w:szCs w:val="20"/>
                <w:color w:val="auto"/>
              </w:rPr>
            </w:pPr>
            <w:r>
              <w:rPr>
                <w:rFonts w:ascii="Arial" w:cs="Arial" w:eastAsia="Arial" w:hAnsi="Arial"/>
                <w:sz w:val="18"/>
                <w:szCs w:val="18"/>
                <w:color w:val="auto"/>
              </w:rPr>
              <w:t>Intangible assets</w:t>
            </w:r>
          </w:p>
        </w:tc>
        <w:tc>
          <w:tcPr>
            <w:tcW w:w="1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gridSpan w:val="2"/>
          </w:tcPr>
          <w:p>
            <w:pPr>
              <w:jc w:val="right"/>
              <w:ind w:right="240"/>
              <w:spacing w:after="0"/>
              <w:rPr>
                <w:sz w:val="20"/>
                <w:szCs w:val="20"/>
                <w:color w:val="auto"/>
              </w:rPr>
            </w:pPr>
            <w:r>
              <w:rPr>
                <w:rFonts w:ascii="Arial" w:cs="Arial" w:eastAsia="Arial" w:hAnsi="Arial"/>
                <w:sz w:val="18"/>
                <w:szCs w:val="18"/>
                <w:color w:val="auto"/>
              </w:rPr>
              <w:t>19,108</w:t>
            </w:r>
          </w:p>
        </w:tc>
        <w:tc>
          <w:tcPr>
            <w:tcW w:w="300" w:type="dxa"/>
            <w:vAlign w:val="bottom"/>
            <w:tcBorders>
              <w:lef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ind w:right="120"/>
              <w:spacing w:after="0"/>
              <w:rPr>
                <w:sz w:val="20"/>
                <w:szCs w:val="20"/>
                <w:color w:val="auto"/>
              </w:rPr>
            </w:pPr>
            <w:r>
              <w:rPr>
                <w:rFonts w:ascii="Arial" w:cs="Arial" w:eastAsia="Arial" w:hAnsi="Arial"/>
                <w:sz w:val="18"/>
                <w:szCs w:val="18"/>
                <w:color w:val="auto"/>
              </w:rPr>
              <w:t>456,292</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ind w:right="60"/>
              <w:spacing w:after="0"/>
              <w:rPr>
                <w:sz w:val="20"/>
                <w:szCs w:val="20"/>
                <w:color w:val="auto"/>
              </w:rPr>
            </w:pPr>
            <w:r>
              <w:rPr>
                <w:rFonts w:ascii="Arial" w:cs="Arial" w:eastAsia="Arial" w:hAnsi="Arial"/>
                <w:sz w:val="18"/>
                <w:szCs w:val="18"/>
                <w:color w:val="auto"/>
              </w:rPr>
              <w:t>475,400</w:t>
            </w:r>
          </w:p>
        </w:tc>
        <w:tc>
          <w:tcPr>
            <w:tcW w:w="0" w:type="dxa"/>
            <w:vAlign w:val="bottom"/>
          </w:tcPr>
          <w:p>
            <w:pPr>
              <w:spacing w:after="0"/>
              <w:rPr>
                <w:sz w:val="1"/>
                <w:szCs w:val="1"/>
                <w:color w:val="auto"/>
              </w:rPr>
            </w:pPr>
          </w:p>
        </w:tc>
      </w:tr>
      <w:tr>
        <w:trPr>
          <w:trHeight w:val="216"/>
        </w:trPr>
        <w:tc>
          <w:tcPr>
            <w:tcW w:w="4920" w:type="dxa"/>
            <w:vAlign w:val="bottom"/>
            <w:shd w:val="clear" w:color="auto" w:fill="CCEEFF"/>
          </w:tcPr>
          <w:p>
            <w:pPr>
              <w:spacing w:after="0"/>
              <w:rPr>
                <w:sz w:val="20"/>
                <w:szCs w:val="20"/>
                <w:color w:val="auto"/>
              </w:rPr>
            </w:pPr>
            <w:r>
              <w:rPr>
                <w:rFonts w:ascii="Arial" w:cs="Arial" w:eastAsia="Arial" w:hAnsi="Arial"/>
                <w:sz w:val="18"/>
                <w:szCs w:val="18"/>
                <w:color w:val="auto"/>
              </w:rPr>
              <w:t>Goodwill</w:t>
            </w:r>
          </w:p>
        </w:tc>
        <w:tc>
          <w:tcPr>
            <w:tcW w:w="19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82,767</w:t>
            </w:r>
          </w:p>
        </w:tc>
        <w:tc>
          <w:tcPr>
            <w:tcW w:w="300" w:type="dxa"/>
            <w:vAlign w:val="bottom"/>
            <w:tcBorders>
              <w:left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89"/>
              </w:rPr>
              <w:t>1,144,494</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87"/>
              </w:rPr>
              <w:t>1,227,261</w:t>
            </w:r>
          </w:p>
        </w:tc>
        <w:tc>
          <w:tcPr>
            <w:tcW w:w="0" w:type="dxa"/>
            <w:vAlign w:val="bottom"/>
          </w:tcPr>
          <w:p>
            <w:pPr>
              <w:spacing w:after="0"/>
              <w:rPr>
                <w:sz w:val="1"/>
                <w:szCs w:val="1"/>
                <w:color w:val="auto"/>
              </w:rPr>
            </w:pPr>
          </w:p>
        </w:tc>
      </w:tr>
      <w:tr>
        <w:trPr>
          <w:trHeight w:val="216"/>
        </w:trPr>
        <w:tc>
          <w:tcPr>
            <w:tcW w:w="4920" w:type="dxa"/>
            <w:vAlign w:val="bottom"/>
          </w:tcPr>
          <w:p>
            <w:pPr>
              <w:spacing w:after="0"/>
              <w:rPr>
                <w:sz w:val="20"/>
                <w:szCs w:val="20"/>
                <w:color w:val="auto"/>
              </w:rPr>
            </w:pPr>
            <w:r>
              <w:rPr>
                <w:rFonts w:ascii="Arial" w:cs="Arial" w:eastAsia="Arial" w:hAnsi="Arial"/>
                <w:sz w:val="18"/>
                <w:szCs w:val="18"/>
                <w:color w:val="auto"/>
              </w:rPr>
              <w:t>Other assets</w:t>
            </w:r>
          </w:p>
        </w:tc>
        <w:tc>
          <w:tcPr>
            <w:tcW w:w="1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gridSpan w:val="2"/>
          </w:tcPr>
          <w:p>
            <w:pPr>
              <w:jc w:val="right"/>
              <w:ind w:right="240"/>
              <w:spacing w:after="0"/>
              <w:rPr>
                <w:sz w:val="20"/>
                <w:szCs w:val="20"/>
                <w:color w:val="auto"/>
              </w:rPr>
            </w:pPr>
            <w:r>
              <w:rPr>
                <w:rFonts w:ascii="Arial" w:cs="Arial" w:eastAsia="Arial" w:hAnsi="Arial"/>
                <w:sz w:val="18"/>
                <w:szCs w:val="18"/>
                <w:color w:val="auto"/>
              </w:rPr>
              <w:t>49</w:t>
            </w:r>
          </w:p>
        </w:tc>
        <w:tc>
          <w:tcPr>
            <w:tcW w:w="300" w:type="dxa"/>
            <w:vAlign w:val="bottom"/>
            <w:tcBorders>
              <w:lef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ind w:right="140"/>
              <w:spacing w:after="0"/>
              <w:rPr>
                <w:sz w:val="20"/>
                <w:szCs w:val="20"/>
                <w:color w:val="auto"/>
              </w:rPr>
            </w:pPr>
            <w:r>
              <w:rPr>
                <w:rFonts w:ascii="Arial" w:cs="Arial" w:eastAsia="Arial" w:hAnsi="Arial"/>
                <w:sz w:val="18"/>
                <w:szCs w:val="18"/>
                <w:color w:val="auto"/>
              </w:rPr>
              <w:t>14,589</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ind w:right="60"/>
              <w:spacing w:after="0"/>
              <w:rPr>
                <w:sz w:val="20"/>
                <w:szCs w:val="20"/>
                <w:color w:val="auto"/>
              </w:rPr>
            </w:pPr>
            <w:r>
              <w:rPr>
                <w:rFonts w:ascii="Arial" w:cs="Arial" w:eastAsia="Arial" w:hAnsi="Arial"/>
                <w:sz w:val="18"/>
                <w:szCs w:val="18"/>
                <w:color w:val="auto"/>
              </w:rPr>
              <w:t>14,638</w:t>
            </w:r>
          </w:p>
        </w:tc>
        <w:tc>
          <w:tcPr>
            <w:tcW w:w="0" w:type="dxa"/>
            <w:vAlign w:val="bottom"/>
          </w:tcPr>
          <w:p>
            <w:pPr>
              <w:spacing w:after="0"/>
              <w:rPr>
                <w:sz w:val="1"/>
                <w:szCs w:val="1"/>
                <w:color w:val="auto"/>
              </w:rPr>
            </w:pPr>
          </w:p>
        </w:tc>
      </w:tr>
      <w:tr>
        <w:trPr>
          <w:trHeight w:val="27"/>
        </w:trPr>
        <w:tc>
          <w:tcPr>
            <w:tcW w:w="4920" w:type="dxa"/>
            <w:vAlign w:val="bottom"/>
          </w:tcPr>
          <w:p>
            <w:pPr>
              <w:spacing w:after="0"/>
              <w:rPr>
                <w:sz w:val="2"/>
                <w:szCs w:val="2"/>
                <w:color w:val="auto"/>
              </w:rPr>
            </w:pPr>
          </w:p>
        </w:tc>
        <w:tc>
          <w:tcPr>
            <w:tcW w:w="19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300" w:type="dxa"/>
            <w:vAlign w:val="bottom"/>
            <w:tcBorders>
              <w:left w:val="single" w:sz="8" w:color="auto"/>
            </w:tcBorders>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9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Total assets</w:t>
            </w:r>
          </w:p>
        </w:tc>
        <w:tc>
          <w:tcPr>
            <w:tcW w:w="19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8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95"/>
              </w:rPr>
              <w:t>141,204</w:t>
            </w:r>
          </w:p>
        </w:tc>
        <w:tc>
          <w:tcPr>
            <w:tcW w:w="400" w:type="dxa"/>
            <w:vAlign w:val="bottom"/>
            <w:tcBorders>
              <w:left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14,605</w:t>
            </w:r>
          </w:p>
        </w:tc>
        <w:tc>
          <w:tcPr>
            <w:tcW w:w="160" w:type="dxa"/>
            <w:vAlign w:val="bottom"/>
            <w:gridSpan w:val="2"/>
            <w:shd w:val="clear" w:color="auto" w:fill="CCEEFF"/>
          </w:tcPr>
          <w:p>
            <w:pPr>
              <w:ind w:left="60"/>
              <w:spacing w:after="0"/>
              <w:rPr>
                <w:sz w:val="20"/>
                <w:szCs w:val="20"/>
                <w:color w:val="auto"/>
              </w:rPr>
            </w:pPr>
            <w:r>
              <w:rPr>
                <w:rFonts w:ascii="Arial" w:cs="Arial" w:eastAsia="Arial" w:hAnsi="Arial"/>
                <w:sz w:val="18"/>
                <w:szCs w:val="18"/>
                <w:u w:val="single" w:color="auto"/>
                <w:color w:val="auto"/>
                <w:w w:val="79"/>
              </w:rPr>
              <w:t>$</w:t>
            </w:r>
          </w:p>
        </w:tc>
        <w:tc>
          <w:tcPr>
            <w:tcW w:w="8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89"/>
              </w:rPr>
              <w:t>1,595,201</w:t>
            </w:r>
          </w:p>
        </w:tc>
        <w:tc>
          <w:tcPr>
            <w:tcW w:w="180" w:type="dxa"/>
            <w:vAlign w:val="bottom"/>
            <w:gridSpan w:val="2"/>
            <w:shd w:val="clear" w:color="auto" w:fill="CCEEFF"/>
          </w:tcPr>
          <w:p>
            <w:pPr>
              <w:ind w:left="80"/>
              <w:spacing w:after="0"/>
              <w:rPr>
                <w:sz w:val="20"/>
                <w:szCs w:val="20"/>
                <w:color w:val="auto"/>
              </w:rPr>
            </w:pPr>
            <w:r>
              <w:rPr>
                <w:rFonts w:ascii="Arial" w:cs="Arial" w:eastAsia="Arial" w:hAnsi="Arial"/>
                <w:sz w:val="18"/>
                <w:szCs w:val="18"/>
                <w:u w:val="single" w:color="auto"/>
                <w:color w:val="auto"/>
                <w:w w:val="79"/>
              </w:rPr>
              <w:t>$</w:t>
            </w: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87"/>
              </w:rPr>
              <w:t>1,751,010</w:t>
            </w:r>
          </w:p>
        </w:tc>
        <w:tc>
          <w:tcPr>
            <w:tcW w:w="0" w:type="dxa"/>
            <w:vAlign w:val="bottom"/>
          </w:tcPr>
          <w:p>
            <w:pPr>
              <w:spacing w:after="0"/>
              <w:rPr>
                <w:sz w:val="1"/>
                <w:szCs w:val="1"/>
                <w:color w:val="auto"/>
              </w:rPr>
            </w:pPr>
          </w:p>
        </w:tc>
      </w:tr>
      <w:tr>
        <w:trPr>
          <w:trHeight w:val="223"/>
        </w:trPr>
        <w:tc>
          <w:tcPr>
            <w:tcW w:w="4920" w:type="dxa"/>
            <w:vAlign w:val="bottom"/>
          </w:tcPr>
          <w:p>
            <w:pPr>
              <w:spacing w:after="0"/>
              <w:rPr>
                <w:sz w:val="20"/>
                <w:szCs w:val="20"/>
                <w:color w:val="auto"/>
              </w:rPr>
            </w:pPr>
            <w:r>
              <w:rPr>
                <w:rFonts w:ascii="Arial" w:cs="Arial" w:eastAsia="Arial" w:hAnsi="Arial"/>
                <w:sz w:val="18"/>
                <w:szCs w:val="18"/>
                <w:color w:val="auto"/>
              </w:rPr>
              <w:t>Accounts payable and accrued expenses</w:t>
            </w:r>
          </w:p>
        </w:tc>
        <w:tc>
          <w:tcPr>
            <w:tcW w:w="1940" w:type="dxa"/>
            <w:vAlign w:val="bottom"/>
          </w:tcPr>
          <w:p>
            <w:pPr>
              <w:spacing w:after="0"/>
              <w:rPr>
                <w:sz w:val="19"/>
                <w:szCs w:val="19"/>
                <w:color w:val="auto"/>
              </w:rPr>
            </w:pPr>
          </w:p>
        </w:tc>
        <w:tc>
          <w:tcPr>
            <w:tcW w:w="120" w:type="dxa"/>
            <w:vAlign w:val="bottom"/>
            <w:tcBorders>
              <w:top w:val="single" w:sz="8" w:color="auto"/>
            </w:tcBorders>
          </w:tcPr>
          <w:p>
            <w:pPr>
              <w:spacing w:after="0"/>
              <w:rPr>
                <w:sz w:val="20"/>
                <w:szCs w:val="20"/>
                <w:color w:val="auto"/>
              </w:rPr>
            </w:pPr>
            <w:r>
              <w:rPr>
                <w:rFonts w:ascii="Arial" w:cs="Arial" w:eastAsia="Arial" w:hAnsi="Arial"/>
                <w:sz w:val="18"/>
                <w:szCs w:val="18"/>
                <w:color w:val="auto"/>
                <w:w w:val="99"/>
              </w:rPr>
              <w:t>$</w:t>
            </w: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5,477</w:t>
            </w:r>
          </w:p>
        </w:tc>
        <w:tc>
          <w:tcPr>
            <w:tcW w:w="260" w:type="dxa"/>
            <w:vAlign w:val="bottom"/>
          </w:tcPr>
          <w:p>
            <w:pPr>
              <w:spacing w:after="0"/>
              <w:rPr>
                <w:sz w:val="19"/>
                <w:szCs w:val="19"/>
                <w:color w:val="auto"/>
              </w:rPr>
            </w:pPr>
          </w:p>
        </w:tc>
        <w:tc>
          <w:tcPr>
            <w:tcW w:w="300" w:type="dxa"/>
            <w:vAlign w:val="bottom"/>
            <w:tcBorders>
              <w:left w:val="single" w:sz="8" w:color="auto"/>
            </w:tcBorders>
          </w:tcPr>
          <w:p>
            <w:pPr>
              <w:spacing w:after="0"/>
              <w:rPr>
                <w:sz w:val="19"/>
                <w:szCs w:val="19"/>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10,407</w:t>
            </w:r>
          </w:p>
        </w:tc>
        <w:tc>
          <w:tcPr>
            <w:tcW w:w="1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Borders>
              <w:top w:val="single" w:sz="8" w:color="auto"/>
            </w:tcBorders>
          </w:tcPr>
          <w:p>
            <w:pPr>
              <w:spacing w:after="0"/>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(684)</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Borders>
              <w:top w:val="single" w:sz="8" w:color="auto"/>
            </w:tcBorders>
          </w:tcPr>
          <w:p>
            <w:pPr>
              <w:spacing w:after="0"/>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15,200</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920" w:type="dxa"/>
            <w:vAlign w:val="bottom"/>
            <w:shd w:val="clear" w:color="auto" w:fill="CCEEFF"/>
          </w:tcPr>
          <w:p>
            <w:pPr>
              <w:spacing w:after="0"/>
              <w:rPr>
                <w:sz w:val="20"/>
                <w:szCs w:val="20"/>
                <w:color w:val="auto"/>
              </w:rPr>
            </w:pPr>
            <w:r>
              <w:rPr>
                <w:rFonts w:ascii="Arial" w:cs="Arial" w:eastAsia="Arial" w:hAnsi="Arial"/>
                <w:sz w:val="18"/>
                <w:szCs w:val="18"/>
                <w:color w:val="auto"/>
              </w:rPr>
              <w:t>Deferred revenue</w:t>
            </w:r>
          </w:p>
        </w:tc>
        <w:tc>
          <w:tcPr>
            <w:tcW w:w="19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38,278</w:t>
            </w:r>
          </w:p>
        </w:tc>
        <w:tc>
          <w:tcPr>
            <w:tcW w:w="300" w:type="dxa"/>
            <w:vAlign w:val="bottom"/>
            <w:tcBorders>
              <w:left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(6,278)</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32,000</w:t>
            </w:r>
          </w:p>
        </w:tc>
        <w:tc>
          <w:tcPr>
            <w:tcW w:w="0" w:type="dxa"/>
            <w:vAlign w:val="bottom"/>
          </w:tcPr>
          <w:p>
            <w:pPr>
              <w:spacing w:after="0"/>
              <w:rPr>
                <w:sz w:val="1"/>
                <w:szCs w:val="1"/>
                <w:color w:val="auto"/>
              </w:rPr>
            </w:pPr>
          </w:p>
        </w:tc>
      </w:tr>
      <w:tr>
        <w:trPr>
          <w:trHeight w:val="216"/>
        </w:trPr>
        <w:tc>
          <w:tcPr>
            <w:tcW w:w="4920" w:type="dxa"/>
            <w:vAlign w:val="bottom"/>
          </w:tcPr>
          <w:p>
            <w:pPr>
              <w:spacing w:after="0"/>
              <w:rPr>
                <w:sz w:val="20"/>
                <w:szCs w:val="20"/>
                <w:color w:val="auto"/>
              </w:rPr>
            </w:pPr>
            <w:r>
              <w:rPr>
                <w:rFonts w:ascii="Arial" w:cs="Arial" w:eastAsia="Arial" w:hAnsi="Arial"/>
                <w:sz w:val="18"/>
                <w:szCs w:val="18"/>
                <w:color w:val="auto"/>
              </w:rPr>
              <w:t>Term Loan</w:t>
            </w:r>
          </w:p>
        </w:tc>
        <w:tc>
          <w:tcPr>
            <w:tcW w:w="1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300" w:type="dxa"/>
            <w:vAlign w:val="bottom"/>
            <w:tcBorders>
              <w:lef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ind w:right="140"/>
              <w:spacing w:after="0"/>
              <w:rPr>
                <w:sz w:val="20"/>
                <w:szCs w:val="20"/>
                <w:color w:val="auto"/>
              </w:rPr>
            </w:pPr>
            <w:r>
              <w:rPr>
                <w:rFonts w:ascii="Arial" w:cs="Arial" w:eastAsia="Arial" w:hAnsi="Arial"/>
                <w:sz w:val="18"/>
                <w:szCs w:val="18"/>
                <w:color w:val="auto"/>
                <w:w w:val="95"/>
              </w:rPr>
              <w:t>436,553</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ind w:right="60"/>
              <w:spacing w:after="0"/>
              <w:rPr>
                <w:sz w:val="20"/>
                <w:szCs w:val="20"/>
                <w:color w:val="auto"/>
              </w:rPr>
            </w:pPr>
            <w:r>
              <w:rPr>
                <w:rFonts w:ascii="Arial" w:cs="Arial" w:eastAsia="Arial" w:hAnsi="Arial"/>
                <w:sz w:val="18"/>
                <w:szCs w:val="18"/>
                <w:color w:val="auto"/>
              </w:rPr>
              <w:t>436,553</w:t>
            </w:r>
          </w:p>
        </w:tc>
        <w:tc>
          <w:tcPr>
            <w:tcW w:w="0" w:type="dxa"/>
            <w:vAlign w:val="bottom"/>
          </w:tcPr>
          <w:p>
            <w:pPr>
              <w:spacing w:after="0"/>
              <w:rPr>
                <w:sz w:val="1"/>
                <w:szCs w:val="1"/>
                <w:color w:val="auto"/>
              </w:rPr>
            </w:pPr>
          </w:p>
        </w:tc>
      </w:tr>
      <w:tr>
        <w:trPr>
          <w:trHeight w:val="27"/>
        </w:trPr>
        <w:tc>
          <w:tcPr>
            <w:tcW w:w="4920" w:type="dxa"/>
            <w:vAlign w:val="bottom"/>
          </w:tcPr>
          <w:p>
            <w:pPr>
              <w:spacing w:after="0"/>
              <w:rPr>
                <w:sz w:val="2"/>
                <w:szCs w:val="2"/>
                <w:color w:val="auto"/>
              </w:rPr>
            </w:pPr>
          </w:p>
        </w:tc>
        <w:tc>
          <w:tcPr>
            <w:tcW w:w="19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300" w:type="dxa"/>
            <w:vAlign w:val="bottom"/>
            <w:tcBorders>
              <w:left w:val="single" w:sz="8" w:color="auto"/>
            </w:tcBorders>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920" w:type="dxa"/>
            <w:vAlign w:val="bottom"/>
            <w:shd w:val="clear" w:color="auto" w:fill="CCEEFF"/>
          </w:tcPr>
          <w:p>
            <w:pPr>
              <w:spacing w:after="0"/>
              <w:rPr>
                <w:sz w:val="20"/>
                <w:szCs w:val="20"/>
                <w:color w:val="auto"/>
              </w:rPr>
            </w:pPr>
            <w:r>
              <w:rPr>
                <w:rFonts w:ascii="Arial" w:cs="Arial" w:eastAsia="Arial" w:hAnsi="Arial"/>
                <w:sz w:val="18"/>
                <w:szCs w:val="18"/>
                <w:color w:val="auto"/>
              </w:rPr>
              <w:t>Total liabilities</w:t>
            </w:r>
          </w:p>
        </w:tc>
        <w:tc>
          <w:tcPr>
            <w:tcW w:w="19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43,755</w:t>
            </w:r>
          </w:p>
        </w:tc>
        <w:tc>
          <w:tcPr>
            <w:tcW w:w="300" w:type="dxa"/>
            <w:vAlign w:val="bottom"/>
            <w:tcBorders>
              <w:left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95"/>
              </w:rPr>
              <w:t>446,960</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(6,962)</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483,753</w:t>
            </w:r>
          </w:p>
        </w:tc>
        <w:tc>
          <w:tcPr>
            <w:tcW w:w="0" w:type="dxa"/>
            <w:vAlign w:val="bottom"/>
          </w:tcPr>
          <w:p>
            <w:pPr>
              <w:spacing w:after="0"/>
              <w:rPr>
                <w:sz w:val="1"/>
                <w:szCs w:val="1"/>
                <w:color w:val="auto"/>
              </w:rPr>
            </w:pPr>
          </w:p>
        </w:tc>
      </w:tr>
      <w:tr>
        <w:trPr>
          <w:trHeight w:val="216"/>
        </w:trPr>
        <w:tc>
          <w:tcPr>
            <w:tcW w:w="4920" w:type="dxa"/>
            <w:vAlign w:val="bottom"/>
          </w:tcPr>
          <w:p>
            <w:pPr>
              <w:spacing w:after="0"/>
              <w:rPr>
                <w:sz w:val="20"/>
                <w:szCs w:val="20"/>
                <w:color w:val="auto"/>
              </w:rPr>
            </w:pPr>
            <w:r>
              <w:rPr>
                <w:rFonts w:ascii="Arial" w:cs="Arial" w:eastAsia="Arial" w:hAnsi="Arial"/>
                <w:sz w:val="18"/>
                <w:szCs w:val="18"/>
                <w:color w:val="auto"/>
              </w:rPr>
              <w:t>Members’ Capital</w:t>
            </w:r>
          </w:p>
        </w:tc>
        <w:tc>
          <w:tcPr>
            <w:tcW w:w="1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gridSpan w:val="2"/>
          </w:tcPr>
          <w:p>
            <w:pPr>
              <w:jc w:val="right"/>
              <w:ind w:right="240"/>
              <w:spacing w:after="0"/>
              <w:rPr>
                <w:sz w:val="20"/>
                <w:szCs w:val="20"/>
                <w:color w:val="auto"/>
              </w:rPr>
            </w:pPr>
            <w:r>
              <w:rPr>
                <w:rFonts w:ascii="Arial" w:cs="Arial" w:eastAsia="Arial" w:hAnsi="Arial"/>
                <w:sz w:val="18"/>
                <w:szCs w:val="18"/>
                <w:color w:val="auto"/>
              </w:rPr>
              <w:t>97,449</w:t>
            </w:r>
          </w:p>
        </w:tc>
        <w:tc>
          <w:tcPr>
            <w:tcW w:w="300" w:type="dxa"/>
            <w:vAlign w:val="bottom"/>
            <w:tcBorders>
              <w:lef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ind w:right="80"/>
              <w:spacing w:after="0"/>
              <w:rPr>
                <w:sz w:val="20"/>
                <w:szCs w:val="20"/>
                <w:color w:val="auto"/>
              </w:rPr>
            </w:pPr>
            <w:r>
              <w:rPr>
                <w:rFonts w:ascii="Arial" w:cs="Arial" w:eastAsia="Arial" w:hAnsi="Arial"/>
                <w:sz w:val="18"/>
                <w:szCs w:val="18"/>
                <w:color w:val="auto"/>
                <w:w w:val="88"/>
              </w:rPr>
              <w:t>(432,355)</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ind w:right="120"/>
              <w:spacing w:after="0"/>
              <w:rPr>
                <w:sz w:val="20"/>
                <w:szCs w:val="20"/>
                <w:color w:val="auto"/>
              </w:rPr>
            </w:pPr>
            <w:r>
              <w:rPr>
                <w:rFonts w:ascii="Arial" w:cs="Arial" w:eastAsia="Arial" w:hAnsi="Arial"/>
                <w:sz w:val="18"/>
                <w:szCs w:val="18"/>
                <w:color w:val="auto"/>
                <w:w w:val="89"/>
              </w:rPr>
              <w:t>1,602,163</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ind w:right="60"/>
              <w:spacing w:after="0"/>
              <w:rPr>
                <w:sz w:val="20"/>
                <w:szCs w:val="20"/>
                <w:color w:val="auto"/>
              </w:rPr>
            </w:pPr>
            <w:r>
              <w:rPr>
                <w:rFonts w:ascii="Arial" w:cs="Arial" w:eastAsia="Arial" w:hAnsi="Arial"/>
                <w:sz w:val="18"/>
                <w:szCs w:val="18"/>
                <w:color w:val="auto"/>
                <w:w w:val="87"/>
              </w:rPr>
              <w:t>1,267,257</w:t>
            </w:r>
          </w:p>
        </w:tc>
        <w:tc>
          <w:tcPr>
            <w:tcW w:w="0" w:type="dxa"/>
            <w:vAlign w:val="bottom"/>
          </w:tcPr>
          <w:p>
            <w:pPr>
              <w:spacing w:after="0"/>
              <w:rPr>
                <w:sz w:val="1"/>
                <w:szCs w:val="1"/>
                <w:color w:val="auto"/>
              </w:rPr>
            </w:pPr>
          </w:p>
        </w:tc>
      </w:tr>
      <w:tr>
        <w:trPr>
          <w:trHeight w:val="27"/>
        </w:trPr>
        <w:tc>
          <w:tcPr>
            <w:tcW w:w="4920" w:type="dxa"/>
            <w:vAlign w:val="bottom"/>
          </w:tcPr>
          <w:p>
            <w:pPr>
              <w:spacing w:after="0"/>
              <w:rPr>
                <w:sz w:val="2"/>
                <w:szCs w:val="2"/>
                <w:color w:val="auto"/>
              </w:rPr>
            </w:pPr>
          </w:p>
        </w:tc>
        <w:tc>
          <w:tcPr>
            <w:tcW w:w="19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300" w:type="dxa"/>
            <w:vAlign w:val="bottom"/>
            <w:tcBorders>
              <w:left w:val="single" w:sz="8" w:color="auto"/>
            </w:tcBorders>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920" w:type="dxa"/>
            <w:vAlign w:val="bottom"/>
            <w:shd w:val="clear" w:color="auto" w:fill="CCEEFF"/>
          </w:tcPr>
          <w:p>
            <w:pPr>
              <w:spacing w:after="0"/>
              <w:rPr>
                <w:sz w:val="20"/>
                <w:szCs w:val="20"/>
                <w:color w:val="auto"/>
              </w:rPr>
            </w:pPr>
            <w:r>
              <w:rPr>
                <w:rFonts w:ascii="Arial" w:cs="Arial" w:eastAsia="Arial" w:hAnsi="Arial"/>
                <w:sz w:val="18"/>
                <w:szCs w:val="18"/>
                <w:color w:val="auto"/>
              </w:rPr>
              <w:t>Total liabilities and equity</w:t>
            </w:r>
          </w:p>
        </w:tc>
        <w:tc>
          <w:tcPr>
            <w:tcW w:w="19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8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95"/>
              </w:rPr>
              <w:t>141,204</w:t>
            </w:r>
          </w:p>
        </w:tc>
        <w:tc>
          <w:tcPr>
            <w:tcW w:w="400" w:type="dxa"/>
            <w:vAlign w:val="bottom"/>
            <w:tcBorders>
              <w:left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14,605</w:t>
            </w:r>
          </w:p>
        </w:tc>
        <w:tc>
          <w:tcPr>
            <w:tcW w:w="160" w:type="dxa"/>
            <w:vAlign w:val="bottom"/>
            <w:gridSpan w:val="2"/>
            <w:shd w:val="clear" w:color="auto" w:fill="CCEEFF"/>
          </w:tcPr>
          <w:p>
            <w:pPr>
              <w:ind w:left="60"/>
              <w:spacing w:after="0"/>
              <w:rPr>
                <w:sz w:val="20"/>
                <w:szCs w:val="20"/>
                <w:color w:val="auto"/>
              </w:rPr>
            </w:pPr>
            <w:r>
              <w:rPr>
                <w:rFonts w:ascii="Arial" w:cs="Arial" w:eastAsia="Arial" w:hAnsi="Arial"/>
                <w:sz w:val="18"/>
                <w:szCs w:val="18"/>
                <w:u w:val="single" w:color="auto"/>
                <w:color w:val="auto"/>
                <w:w w:val="79"/>
              </w:rPr>
              <w:t>$</w:t>
            </w:r>
          </w:p>
        </w:tc>
        <w:tc>
          <w:tcPr>
            <w:tcW w:w="8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89"/>
              </w:rPr>
              <w:t>1,595,201</w:t>
            </w:r>
          </w:p>
        </w:tc>
        <w:tc>
          <w:tcPr>
            <w:tcW w:w="180" w:type="dxa"/>
            <w:vAlign w:val="bottom"/>
            <w:gridSpan w:val="2"/>
            <w:shd w:val="clear" w:color="auto" w:fill="CCEEFF"/>
          </w:tcPr>
          <w:p>
            <w:pPr>
              <w:ind w:left="80"/>
              <w:spacing w:after="0"/>
              <w:rPr>
                <w:sz w:val="20"/>
                <w:szCs w:val="20"/>
                <w:color w:val="auto"/>
              </w:rPr>
            </w:pPr>
            <w:r>
              <w:rPr>
                <w:rFonts w:ascii="Arial" w:cs="Arial" w:eastAsia="Arial" w:hAnsi="Arial"/>
                <w:sz w:val="18"/>
                <w:szCs w:val="18"/>
                <w:u w:val="single" w:color="auto"/>
                <w:color w:val="auto"/>
                <w:w w:val="79"/>
              </w:rPr>
              <w:t>$</w:t>
            </w: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87"/>
              </w:rPr>
              <w:t>1,751,010</w:t>
            </w:r>
          </w:p>
        </w:tc>
        <w:tc>
          <w:tcPr>
            <w:tcW w:w="0" w:type="dxa"/>
            <w:vAlign w:val="bottom"/>
          </w:tcPr>
          <w:p>
            <w:pPr>
              <w:spacing w:after="0"/>
              <w:rPr>
                <w:sz w:val="1"/>
                <w:szCs w:val="1"/>
                <w:color w:val="auto"/>
              </w:rPr>
            </w:pPr>
          </w:p>
        </w:tc>
      </w:tr>
      <w:tr>
        <w:trPr>
          <w:trHeight w:val="20"/>
        </w:trPr>
        <w:tc>
          <w:tcPr>
            <w:tcW w:w="492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tcBorders>
              <w:left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120" w:right="100" w:firstLine="440"/>
        <w:spacing w:after="0" w:line="263" w:lineRule="auto"/>
        <w:rPr>
          <w:sz w:val="20"/>
          <w:szCs w:val="20"/>
          <w:color w:val="auto"/>
        </w:rPr>
      </w:pPr>
      <w:r>
        <w:rPr>
          <w:rFonts w:ascii="Arial" w:cs="Arial" w:eastAsia="Arial" w:hAnsi="Arial"/>
          <w:sz w:val="18"/>
          <w:szCs w:val="18"/>
          <w:color w:val="auto"/>
        </w:rPr>
        <w:t>The Company recorded adjustments to goodwill of $1,144.5 million, and intangible assets of $456.3 million, as of the acquisition date of July 16, 2019, including adjustments to customer relationships, technology, tradenames and data of $340.8 million, $48.5 million, $32.7 million and $34.3 million, respectively.</w:t>
      </w:r>
    </w:p>
    <w:p>
      <w:pPr>
        <w:spacing w:after="0" w:line="184" w:lineRule="exact"/>
        <w:rPr>
          <w:sz w:val="20"/>
          <w:szCs w:val="20"/>
          <w:color w:val="auto"/>
        </w:rPr>
      </w:pPr>
    </w:p>
    <w:p>
      <w:pPr>
        <w:ind w:left="120" w:right="180" w:firstLine="440"/>
        <w:spacing w:after="0" w:line="263" w:lineRule="auto"/>
        <w:rPr>
          <w:sz w:val="20"/>
          <w:szCs w:val="20"/>
          <w:color w:val="auto"/>
        </w:rPr>
      </w:pPr>
      <w:r>
        <w:rPr>
          <w:rFonts w:ascii="Arial" w:cs="Arial" w:eastAsia="Arial" w:hAnsi="Arial"/>
          <w:sz w:val="18"/>
          <w:szCs w:val="18"/>
          <w:color w:val="auto"/>
        </w:rPr>
        <w:t>The goodwill recognized includes the fair value of the assembled workforce, which is not recognized as an intangible asset separable from goodwill, and any expected synergies gained through the acquisition. The Company determined that the goodwill resulting from the acquisition was in part deductible for tax purposes.</w:t>
      </w:r>
    </w:p>
    <w:p>
      <w:pPr>
        <w:spacing w:after="0" w:line="184" w:lineRule="exact"/>
        <w:rPr>
          <w:sz w:val="20"/>
          <w:szCs w:val="20"/>
          <w:color w:val="auto"/>
        </w:rPr>
      </w:pPr>
    </w:p>
    <w:p>
      <w:pPr>
        <w:jc w:val="both"/>
        <w:ind w:left="120" w:right="320" w:firstLine="440"/>
        <w:spacing w:after="0" w:line="263" w:lineRule="auto"/>
        <w:rPr>
          <w:sz w:val="20"/>
          <w:szCs w:val="20"/>
          <w:color w:val="auto"/>
        </w:rPr>
      </w:pPr>
      <w:r>
        <w:rPr>
          <w:rFonts w:ascii="Arial" w:cs="Arial" w:eastAsia="Arial" w:hAnsi="Arial"/>
          <w:sz w:val="18"/>
          <w:szCs w:val="18"/>
          <w:color w:val="auto"/>
        </w:rPr>
        <w:t>The Company performed an ASC 805 fair valuation of the acquired identifiable intangible assets as of July 16, 2019. Key assumptions used to determine such fair values included growth rates, retention/attrition, research and development expenses, operating expenses, selling and marketing expenses, tax rates, royalty rates, obsolescence, utilization factors and others.</w:t>
      </w:r>
    </w:p>
    <w:p>
      <w:pPr>
        <w:spacing w:after="0" w:line="184" w:lineRule="exact"/>
        <w:rPr>
          <w:sz w:val="20"/>
          <w:szCs w:val="20"/>
          <w:color w:val="auto"/>
        </w:rPr>
      </w:pPr>
    </w:p>
    <w:p>
      <w:pPr>
        <w:ind w:left="120" w:right="20" w:firstLine="440"/>
        <w:spacing w:after="0" w:line="257" w:lineRule="auto"/>
        <w:rPr>
          <w:sz w:val="20"/>
          <w:szCs w:val="20"/>
          <w:color w:val="auto"/>
        </w:rPr>
      </w:pPr>
      <w:r>
        <w:rPr>
          <w:rFonts w:ascii="Arial" w:cs="Arial" w:eastAsia="Arial" w:hAnsi="Arial"/>
          <w:sz w:val="18"/>
          <w:szCs w:val="18"/>
          <w:color w:val="auto"/>
        </w:rPr>
        <w:t>Customer relationships represent the estimated fair value of the underlying relationships with the Company’s customers. The Company valued customer relationships using the income approach, specifically the excess earnings method. Significant assumptions include forecast of revenues, cost of revenues, estimated attrition rates, and discount rates reflecting the different risk profiles of the asset depending upon the acquisition. The value assigned to customer relationships is $358.0 million and is amortized using the annual pattern of cash flows (economic value method) over the estimated 15-year life of this asset.</w:t>
      </w:r>
    </w:p>
    <w:p>
      <w:pPr>
        <w:spacing w:after="0" w:line="188" w:lineRule="exact"/>
        <w:rPr>
          <w:sz w:val="20"/>
          <w:szCs w:val="20"/>
          <w:color w:val="auto"/>
        </w:rPr>
      </w:pPr>
    </w:p>
    <w:p>
      <w:pPr>
        <w:ind w:left="120" w:right="20" w:firstLine="440"/>
        <w:spacing w:after="0" w:line="257" w:lineRule="auto"/>
        <w:rPr>
          <w:sz w:val="20"/>
          <w:szCs w:val="20"/>
          <w:color w:val="auto"/>
        </w:rPr>
      </w:pPr>
      <w:r>
        <w:rPr>
          <w:rFonts w:ascii="Arial" w:cs="Arial" w:eastAsia="Arial" w:hAnsi="Arial"/>
          <w:sz w:val="18"/>
          <w:szCs w:val="18"/>
          <w:color w:val="auto"/>
        </w:rPr>
        <w:t>The technology recognized includes Definitive’s existing technology, which provides users access to in-depth and interactive analytics of high quality and up-to-date healthcare data through an online platform, and provides for user customization as well as watchlist functionality, advanced search functionality and integration with customer’s other internal and external systems. The Company used the income approach, specifically the relief-from-royalty method, to determine the value of technology, which was valued at $48.5 million and is amortized using the straight-line method over the estimated remaining useful life of 10 years.</w:t>
      </w:r>
    </w:p>
    <w:p>
      <w:pPr>
        <w:spacing w:after="0" w:line="120"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F-28</w:t>
      </w:r>
    </w:p>
    <w:p>
      <w:pPr>
        <w:sectPr>
          <w:pgSz w:w="11900" w:h="16838" w:orient="portrait"/>
          <w:cols w:equalWidth="0" w:num="1">
            <w:col w:w="11140"/>
          </w:cols>
          <w:pgMar w:left="320" w:top="459" w:right="439" w:bottom="1440" w:gutter="0" w:footer="0" w:header="0"/>
        </w:sectPr>
      </w:pPr>
    </w:p>
    <w:bookmarkStart w:id="234" w:name="page235"/>
    <w:bookmarkEnd w:id="2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19">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Confidential Treatment Requested by Definitive Healthcare Corp.</w:t>
      </w:r>
    </w:p>
    <w:p>
      <w:pPr>
        <w:spacing w:after="0" w:line="27"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Pursuant to 17 C.F.R. Section 200.83</w:t>
      </w:r>
    </w:p>
    <w:p>
      <w:pPr>
        <w:spacing w:after="0" w:line="143" w:lineRule="exact"/>
        <w:rPr>
          <w:sz w:val="20"/>
          <w:szCs w:val="20"/>
          <w:color w:val="auto"/>
        </w:rPr>
      </w:pPr>
    </w:p>
    <w:p>
      <w:pPr>
        <w:ind w:left="120" w:firstLine="440"/>
        <w:spacing w:after="0" w:line="259" w:lineRule="auto"/>
        <w:rPr>
          <w:sz w:val="20"/>
          <w:szCs w:val="20"/>
          <w:color w:val="auto"/>
        </w:rPr>
      </w:pPr>
      <w:r>
        <w:rPr>
          <w:rFonts w:ascii="Arial" w:cs="Arial" w:eastAsia="Arial" w:hAnsi="Arial"/>
          <w:sz w:val="18"/>
          <w:szCs w:val="18"/>
          <w:color w:val="auto"/>
        </w:rPr>
        <w:t>Tradenames includes the estimated fair value of the acquired registered trademarks, logo and domain names associated with the Definitive Healthcare corporate brand. The Company estimated the fair value of the trademark using a relief from royalty method. Significant assumptions include forecast of royalty rate, company revenues, tax rate, and discount rate. The trademark was valued at $34.1 million and is amortized using the straight-line method over the estimated remaining useful life of 22 years.</w:t>
      </w:r>
    </w:p>
    <w:p>
      <w:pPr>
        <w:spacing w:after="0" w:line="187" w:lineRule="exact"/>
        <w:rPr>
          <w:sz w:val="20"/>
          <w:szCs w:val="20"/>
          <w:color w:val="auto"/>
        </w:rPr>
      </w:pPr>
    </w:p>
    <w:p>
      <w:pPr>
        <w:ind w:left="120" w:firstLine="440"/>
        <w:spacing w:after="0" w:line="259" w:lineRule="auto"/>
        <w:rPr>
          <w:sz w:val="20"/>
          <w:szCs w:val="20"/>
          <w:color w:val="auto"/>
        </w:rPr>
      </w:pPr>
      <w:r>
        <w:rPr>
          <w:rFonts w:ascii="Arial" w:cs="Arial" w:eastAsia="Arial" w:hAnsi="Arial"/>
          <w:sz w:val="18"/>
          <w:szCs w:val="18"/>
          <w:color w:val="auto"/>
        </w:rPr>
        <w:t>Data includes proprietary data and insights on healthcare providers, including coverage of providers across the healthcare ecosystem from hospitals to physician groups to ambulatory surgery centers and accountable care organizations. The Company used the cost approach, specifically the replacement cost method to value the data. The Fair Value of the Data was estimated to be $34.8 million and is amortized using the straight-line method over the estimated remaining useful live of 3 years.</w:t>
      </w:r>
    </w:p>
    <w:p>
      <w:pPr>
        <w:spacing w:after="0" w:line="187" w:lineRule="exact"/>
        <w:rPr>
          <w:sz w:val="20"/>
          <w:szCs w:val="20"/>
          <w:color w:val="auto"/>
        </w:rPr>
      </w:pPr>
    </w:p>
    <w:p>
      <w:pPr>
        <w:ind w:left="120" w:right="340" w:firstLine="440"/>
        <w:spacing w:after="0" w:line="277" w:lineRule="auto"/>
        <w:rPr>
          <w:sz w:val="20"/>
          <w:szCs w:val="20"/>
          <w:color w:val="auto"/>
        </w:rPr>
      </w:pPr>
      <w:r>
        <w:rPr>
          <w:rFonts w:ascii="Arial" w:cs="Arial" w:eastAsia="Arial" w:hAnsi="Arial"/>
          <w:sz w:val="18"/>
          <w:szCs w:val="18"/>
          <w:color w:val="auto"/>
        </w:rPr>
        <w:t>The fair value of deferred revenue was estimated at $32.0 million, using the income approach, specifically the cost build-up method, and was calculated as the estimated cost for the Company to fulfill the contractual obligations plus a normal profit margin.</w:t>
      </w:r>
    </w:p>
    <w:p>
      <w:pPr>
        <w:spacing w:after="0" w:line="170"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following table reconciles the purchase price to the capital contribution made by Sponsor as July 16, 2019 (in thousands):</w:t>
      </w:r>
    </w:p>
    <w:p>
      <w:pPr>
        <w:spacing w:after="0" w:line="266" w:lineRule="exact"/>
        <w:rPr>
          <w:sz w:val="20"/>
          <w:szCs w:val="20"/>
          <w:color w:val="auto"/>
        </w:rPr>
      </w:pPr>
    </w:p>
    <w:tbl>
      <w:tblPr>
        <w:tblLayout w:type="fixed"/>
        <w:tblInd w:w="1880" w:type="dxa"/>
        <w:tblCellMar>
          <w:top w:w="0" w:type="dxa"/>
          <w:left w:w="0" w:type="dxa"/>
          <w:bottom w:w="0" w:type="dxa"/>
          <w:right w:w="0" w:type="dxa"/>
        </w:tblCellMar>
      </w:tblPr>
      <w:tr>
        <w:trPr>
          <w:trHeight w:val="216"/>
        </w:trPr>
        <w:tc>
          <w:tcPr>
            <w:tcW w:w="6500" w:type="dxa"/>
            <w:vAlign w:val="bottom"/>
            <w:shd w:val="clear" w:color="auto" w:fill="CCEEFF"/>
          </w:tcPr>
          <w:p>
            <w:pPr>
              <w:spacing w:after="0"/>
              <w:rPr>
                <w:sz w:val="20"/>
                <w:szCs w:val="20"/>
                <w:color w:val="auto"/>
              </w:rPr>
            </w:pPr>
            <w:r>
              <w:rPr>
                <w:rFonts w:ascii="Arial" w:cs="Arial" w:eastAsia="Arial" w:hAnsi="Arial"/>
                <w:sz w:val="18"/>
                <w:szCs w:val="18"/>
                <w:color w:val="auto"/>
              </w:rPr>
              <w:t>Total purchase price</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4"/>
              </w:rPr>
              <w:t>1,699,612</w:t>
            </w:r>
          </w:p>
        </w:tc>
        <w:tc>
          <w:tcPr>
            <w:tcW w:w="40" w:type="dxa"/>
            <w:vAlign w:val="bottom"/>
            <w:shd w:val="clear" w:color="auto" w:fill="CCEEFF"/>
          </w:tcPr>
          <w:p>
            <w:pPr>
              <w:spacing w:after="0"/>
              <w:rPr>
                <w:sz w:val="18"/>
                <w:szCs w:val="18"/>
                <w:color w:val="auto"/>
              </w:rPr>
            </w:pPr>
          </w:p>
        </w:tc>
      </w:tr>
      <w:tr>
        <w:trPr>
          <w:trHeight w:val="216"/>
        </w:trPr>
        <w:tc>
          <w:tcPr>
            <w:tcW w:w="6500" w:type="dxa"/>
            <w:vAlign w:val="bottom"/>
          </w:tcPr>
          <w:p>
            <w:pPr>
              <w:spacing w:after="0"/>
              <w:rPr>
                <w:sz w:val="20"/>
                <w:szCs w:val="20"/>
                <w:color w:val="auto"/>
              </w:rPr>
            </w:pPr>
            <w:r>
              <w:rPr>
                <w:rFonts w:ascii="Arial" w:cs="Arial" w:eastAsia="Arial" w:hAnsi="Arial"/>
                <w:sz w:val="18"/>
                <w:szCs w:val="18"/>
                <w:color w:val="auto"/>
              </w:rPr>
              <w:t>Transaction costs paid from proceeds</w:t>
            </w:r>
          </w:p>
        </w:tc>
        <w:tc>
          <w:tcPr>
            <w:tcW w:w="140" w:type="dxa"/>
            <w:vAlign w:val="bottom"/>
          </w:tcPr>
          <w:p>
            <w:pPr>
              <w:spacing w:after="0"/>
              <w:rPr>
                <w:sz w:val="18"/>
                <w:szCs w:val="18"/>
                <w:color w:val="auto"/>
              </w:rPr>
            </w:pPr>
          </w:p>
        </w:tc>
        <w:tc>
          <w:tcPr>
            <w:tcW w:w="800" w:type="dxa"/>
            <w:vAlign w:val="bottom"/>
            <w:gridSpan w:val="2"/>
          </w:tcPr>
          <w:p>
            <w:pPr>
              <w:jc w:val="right"/>
              <w:ind w:right="20"/>
              <w:spacing w:after="0"/>
              <w:rPr>
                <w:sz w:val="20"/>
                <w:szCs w:val="20"/>
                <w:color w:val="auto"/>
              </w:rPr>
            </w:pPr>
            <w:r>
              <w:rPr>
                <w:rFonts w:ascii="Arial" w:cs="Arial" w:eastAsia="Arial" w:hAnsi="Arial"/>
                <w:sz w:val="18"/>
                <w:szCs w:val="18"/>
                <w:color w:val="auto"/>
              </w:rPr>
              <w:t>4,004</w:t>
            </w:r>
          </w:p>
        </w:tc>
        <w:tc>
          <w:tcPr>
            <w:tcW w:w="40" w:type="dxa"/>
            <w:vAlign w:val="bottom"/>
          </w:tcPr>
          <w:p>
            <w:pPr>
              <w:spacing w:after="0"/>
              <w:rPr>
                <w:sz w:val="18"/>
                <w:szCs w:val="18"/>
                <w:color w:val="auto"/>
              </w:rPr>
            </w:pPr>
          </w:p>
        </w:tc>
      </w:tr>
      <w:tr>
        <w:trPr>
          <w:trHeight w:val="216"/>
        </w:trPr>
        <w:tc>
          <w:tcPr>
            <w:tcW w:w="65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Less Debt Financing</w:t>
            </w: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436,359</w:t>
            </w:r>
          </w:p>
        </w:tc>
        <w:tc>
          <w:tcPr>
            <w:tcW w:w="40" w:type="dxa"/>
            <w:vAlign w:val="bottom"/>
            <w:shd w:val="clear" w:color="auto" w:fill="CCEEFF"/>
          </w:tcPr>
          <w:p>
            <w:pPr>
              <w:spacing w:after="0"/>
              <w:rPr>
                <w:sz w:val="18"/>
                <w:szCs w:val="18"/>
                <w:color w:val="auto"/>
              </w:rPr>
            </w:pPr>
          </w:p>
        </w:tc>
      </w:tr>
      <w:tr>
        <w:trPr>
          <w:trHeight w:val="223"/>
        </w:trPr>
        <w:tc>
          <w:tcPr>
            <w:tcW w:w="6500" w:type="dxa"/>
            <w:vAlign w:val="bottom"/>
          </w:tcPr>
          <w:p>
            <w:pPr>
              <w:ind w:left="720"/>
              <w:spacing w:after="0"/>
              <w:rPr>
                <w:sz w:val="20"/>
                <w:szCs w:val="20"/>
                <w:color w:val="auto"/>
              </w:rPr>
            </w:pPr>
            <w:r>
              <w:rPr>
                <w:rFonts w:ascii="Arial" w:cs="Arial" w:eastAsia="Arial" w:hAnsi="Arial"/>
                <w:sz w:val="18"/>
                <w:szCs w:val="18"/>
                <w:color w:val="auto"/>
              </w:rPr>
              <w:t>Capital Contribution</w:t>
            </w: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4"/>
              </w:rPr>
              <w:t>1,267,257</w:t>
            </w:r>
          </w:p>
        </w:tc>
        <w:tc>
          <w:tcPr>
            <w:tcW w:w="20" w:type="dxa"/>
            <w:vAlign w:val="bottom"/>
            <w:tcBorders>
              <w:bottom w:val="single" w:sz="8" w:color="auto"/>
            </w:tcBorders>
          </w:tcPr>
          <w:p>
            <w:pPr>
              <w:spacing w:after="0"/>
              <w:rPr>
                <w:sz w:val="19"/>
                <w:szCs w:val="19"/>
                <w:color w:val="auto"/>
              </w:rPr>
            </w:pPr>
          </w:p>
        </w:tc>
        <w:tc>
          <w:tcPr>
            <w:tcW w:w="40" w:type="dxa"/>
            <w:vAlign w:val="bottom"/>
          </w:tcPr>
          <w:p>
            <w:pPr>
              <w:spacing w:after="0"/>
              <w:rPr>
                <w:sz w:val="19"/>
                <w:szCs w:val="19"/>
                <w:color w:val="auto"/>
              </w:rPr>
            </w:pPr>
          </w:p>
        </w:tc>
      </w:tr>
      <w:tr>
        <w:trPr>
          <w:trHeight w:val="20"/>
        </w:trPr>
        <w:tc>
          <w:tcPr>
            <w:tcW w:w="65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15" w:lineRule="exact"/>
        <w:rPr>
          <w:sz w:val="20"/>
          <w:szCs w:val="20"/>
          <w:color w:val="auto"/>
        </w:rPr>
      </w:pPr>
    </w:p>
    <w:p>
      <w:pPr>
        <w:jc w:val="both"/>
        <w:ind w:left="120" w:right="440" w:firstLine="440"/>
        <w:spacing w:after="0" w:line="287" w:lineRule="auto"/>
        <w:rPr>
          <w:sz w:val="20"/>
          <w:szCs w:val="20"/>
          <w:color w:val="auto"/>
        </w:rPr>
      </w:pPr>
      <w:r>
        <w:rPr>
          <w:rFonts w:ascii="Arial" w:cs="Arial" w:eastAsia="Arial" w:hAnsi="Arial"/>
          <w:sz w:val="16"/>
          <w:szCs w:val="16"/>
          <w:color w:val="auto"/>
        </w:rPr>
        <w:t>The results of Definitive Holdco are included in the Company’s consolidated results since the date of acquisition. The revenue of Definitive Holdco reflected in the consolidated statements of income (loss) for the year ended December 31, 2020 (Successor), period from July 16, 2019 to December 31, 2019 (Successor) and the period from January 1, 2019 to July 15, 2019 (Predecessor) was $116.9 million, $40.0 million and</w:t>
      </w:r>
    </w:p>
    <w:p>
      <w:pPr>
        <w:spacing w:after="0" w:line="2" w:lineRule="exact"/>
        <w:rPr>
          <w:sz w:val="20"/>
          <w:szCs w:val="20"/>
          <w:color w:val="auto"/>
        </w:rPr>
      </w:pPr>
    </w:p>
    <w:p>
      <w:pPr>
        <w:jc w:val="both"/>
        <w:ind w:left="120" w:right="300"/>
        <w:spacing w:after="0" w:line="255" w:lineRule="auto"/>
        <w:rPr>
          <w:sz w:val="20"/>
          <w:szCs w:val="20"/>
          <w:color w:val="auto"/>
        </w:rPr>
      </w:pPr>
      <w:r>
        <w:rPr>
          <w:rFonts w:ascii="Arial" w:cs="Arial" w:eastAsia="Arial" w:hAnsi="Arial"/>
          <w:sz w:val="18"/>
          <w:szCs w:val="18"/>
          <w:color w:val="auto"/>
        </w:rPr>
        <w:t>$45.5 million, respectively. The net (loss) income of Definitive Holdco, reflected in the consolidated statements of income (loss) for the year ended December 31, 2020 (Successor), period from July 16, 2019 to December 31, 2019 (Successor) and the period from January 1, 2019 to July 15, 2019 (Predecessor) was ($49.9 million), ($49.2 million) and $12.9 million, respectively.</w:t>
      </w:r>
    </w:p>
    <w:p>
      <w:pPr>
        <w:spacing w:after="0" w:line="190" w:lineRule="exact"/>
        <w:rPr>
          <w:sz w:val="20"/>
          <w:szCs w:val="20"/>
          <w:color w:val="auto"/>
        </w:rPr>
      </w:pPr>
    </w:p>
    <w:p>
      <w:pPr>
        <w:ind w:left="560"/>
        <w:spacing w:after="0"/>
        <w:rPr>
          <w:sz w:val="20"/>
          <w:szCs w:val="20"/>
          <w:color w:val="auto"/>
        </w:rPr>
      </w:pPr>
      <w:r>
        <w:rPr>
          <w:rFonts w:ascii="Arial" w:cs="Arial" w:eastAsia="Arial" w:hAnsi="Arial"/>
          <w:sz w:val="18"/>
          <w:szCs w:val="18"/>
          <w:color w:val="auto"/>
        </w:rPr>
        <w:t>Unaudited Pro Forma Supplementary Data</w:t>
      </w:r>
    </w:p>
    <w:p>
      <w:pPr>
        <w:spacing w:after="0" w:line="235" w:lineRule="exact"/>
        <w:rPr>
          <w:sz w:val="20"/>
          <w:szCs w:val="20"/>
          <w:color w:val="auto"/>
        </w:rPr>
      </w:pPr>
    </w:p>
    <w:tbl>
      <w:tblPr>
        <w:tblLayout w:type="fixed"/>
        <w:tblInd w:w="1880" w:type="dxa"/>
        <w:tblCellMar>
          <w:top w:w="0" w:type="dxa"/>
          <w:left w:w="0" w:type="dxa"/>
          <w:bottom w:w="0" w:type="dxa"/>
          <w:right w:w="0" w:type="dxa"/>
        </w:tblCellMar>
      </w:tblPr>
      <w:tr>
        <w:trPr>
          <w:trHeight w:val="161"/>
        </w:trPr>
        <w:tc>
          <w:tcPr>
            <w:tcW w:w="62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80" w:type="dxa"/>
            <w:vAlign w:val="bottom"/>
            <w:gridSpan w:val="2"/>
          </w:tcPr>
          <w:p>
            <w:pPr>
              <w:jc w:val="right"/>
              <w:ind w:right="340"/>
              <w:spacing w:after="0"/>
              <w:rPr>
                <w:sz w:val="20"/>
                <w:szCs w:val="20"/>
                <w:color w:val="auto"/>
              </w:rPr>
            </w:pPr>
            <w:r>
              <w:rPr>
                <w:rFonts w:ascii="Arial" w:cs="Arial" w:eastAsia="Arial" w:hAnsi="Arial"/>
                <w:sz w:val="14"/>
                <w:szCs w:val="14"/>
                <w:color w:val="auto"/>
                <w:w w:val="97"/>
              </w:rPr>
              <w:t>Year Ended</w:t>
            </w:r>
          </w:p>
        </w:tc>
      </w:tr>
      <w:tr>
        <w:trPr>
          <w:trHeight w:val="167"/>
        </w:trPr>
        <w:tc>
          <w:tcPr>
            <w:tcW w:w="6240" w:type="dxa"/>
            <w:vAlign w:val="bottom"/>
          </w:tcPr>
          <w:p>
            <w:pPr>
              <w:spacing w:after="0"/>
              <w:rPr>
                <w:sz w:val="20"/>
                <w:szCs w:val="20"/>
                <w:color w:val="auto"/>
              </w:rPr>
            </w:pPr>
            <w:r>
              <w:rPr>
                <w:rFonts w:ascii="Arial" w:cs="Arial" w:eastAsia="Arial" w:hAnsi="Arial"/>
                <w:sz w:val="14"/>
                <w:szCs w:val="14"/>
                <w:color w:val="auto"/>
              </w:rPr>
              <w:t>(in thousands)</w:t>
            </w:r>
          </w:p>
        </w:tc>
        <w:tc>
          <w:tcPr>
            <w:tcW w:w="1240" w:type="dxa"/>
            <w:vAlign w:val="bottom"/>
            <w:gridSpan w:val="3"/>
          </w:tcPr>
          <w:p>
            <w:pPr>
              <w:spacing w:after="0"/>
              <w:rPr>
                <w:sz w:val="20"/>
                <w:szCs w:val="20"/>
                <w:color w:val="auto"/>
              </w:rPr>
            </w:pPr>
            <w:r>
              <w:rPr>
                <w:rFonts w:ascii="Arial" w:cs="Arial" w:eastAsia="Arial" w:hAnsi="Arial"/>
                <w:sz w:val="14"/>
                <w:szCs w:val="14"/>
                <w:color w:val="auto"/>
                <w:w w:val="99"/>
              </w:rPr>
              <w:t>December 31, 2019</w:t>
            </w:r>
          </w:p>
        </w:tc>
      </w:tr>
      <w:tr>
        <w:trPr>
          <w:trHeight w:val="210"/>
        </w:trPr>
        <w:tc>
          <w:tcPr>
            <w:tcW w:w="62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Revenue</w:t>
            </w:r>
          </w:p>
        </w:tc>
        <w:tc>
          <w:tcPr>
            <w:tcW w:w="1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84,122</w:t>
            </w:r>
          </w:p>
        </w:tc>
        <w:tc>
          <w:tcPr>
            <w:tcW w:w="100" w:type="dxa"/>
            <w:vAlign w:val="bottom"/>
            <w:tcBorders>
              <w:top w:val="single" w:sz="8" w:color="CCEEFF"/>
            </w:tcBorders>
            <w:shd w:val="clear" w:color="auto" w:fill="CCEEFF"/>
          </w:tcPr>
          <w:p>
            <w:pPr>
              <w:spacing w:after="0"/>
              <w:rPr>
                <w:sz w:val="18"/>
                <w:szCs w:val="18"/>
                <w:color w:val="auto"/>
              </w:rPr>
            </w:pPr>
          </w:p>
        </w:tc>
      </w:tr>
      <w:tr>
        <w:trPr>
          <w:trHeight w:val="230"/>
        </w:trPr>
        <w:tc>
          <w:tcPr>
            <w:tcW w:w="6240" w:type="dxa"/>
            <w:vAlign w:val="bottom"/>
          </w:tcPr>
          <w:p>
            <w:pPr>
              <w:spacing w:after="0"/>
              <w:rPr>
                <w:sz w:val="20"/>
                <w:szCs w:val="20"/>
                <w:color w:val="auto"/>
              </w:rPr>
            </w:pPr>
            <w:r>
              <w:rPr>
                <w:rFonts w:ascii="Arial" w:cs="Arial" w:eastAsia="Arial" w:hAnsi="Arial"/>
                <w:sz w:val="18"/>
                <w:szCs w:val="18"/>
                <w:color w:val="auto"/>
              </w:rPr>
              <w:t>Net loss</w:t>
            </w:r>
          </w:p>
        </w:tc>
        <w:tc>
          <w:tcPr>
            <w:tcW w:w="160" w:type="dxa"/>
            <w:vAlign w:val="bottom"/>
          </w:tcPr>
          <w:p>
            <w:pPr>
              <w:spacing w:after="0"/>
              <w:rPr>
                <w:sz w:val="20"/>
                <w:szCs w:val="20"/>
                <w:color w:val="auto"/>
              </w:rPr>
            </w:pPr>
          </w:p>
        </w:tc>
        <w:tc>
          <w:tcPr>
            <w:tcW w:w="1080" w:type="dxa"/>
            <w:vAlign w:val="bottom"/>
            <w:gridSpan w:val="2"/>
          </w:tcPr>
          <w:p>
            <w:pPr>
              <w:jc w:val="right"/>
              <w:ind w:right="40"/>
              <w:spacing w:after="0"/>
              <w:rPr>
                <w:sz w:val="20"/>
                <w:szCs w:val="20"/>
                <w:color w:val="auto"/>
              </w:rPr>
            </w:pPr>
            <w:r>
              <w:rPr>
                <w:rFonts w:ascii="Arial" w:cs="Arial" w:eastAsia="Arial" w:hAnsi="Arial"/>
                <w:sz w:val="18"/>
                <w:szCs w:val="18"/>
                <w:color w:val="auto"/>
              </w:rPr>
              <w:t>(92,228)</w:t>
            </w:r>
          </w:p>
        </w:tc>
      </w:tr>
    </w:tbl>
    <w:p>
      <w:pPr>
        <w:spacing w:after="0" w:line="187" w:lineRule="exact"/>
        <w:rPr>
          <w:sz w:val="20"/>
          <w:szCs w:val="20"/>
          <w:color w:val="auto"/>
        </w:rPr>
      </w:pPr>
    </w:p>
    <w:p>
      <w:pPr>
        <w:ind w:left="120" w:right="140" w:firstLine="440"/>
        <w:spacing w:after="0" w:line="273" w:lineRule="auto"/>
        <w:rPr>
          <w:sz w:val="20"/>
          <w:szCs w:val="20"/>
          <w:color w:val="auto"/>
        </w:rPr>
      </w:pPr>
      <w:r>
        <w:rPr>
          <w:rFonts w:ascii="Arial" w:cs="Arial" w:eastAsia="Arial" w:hAnsi="Arial"/>
          <w:sz w:val="17"/>
          <w:szCs w:val="17"/>
          <w:color w:val="auto"/>
        </w:rPr>
        <w:t>The unaudited pro forma supplementary data presented in the table above shows the effect of the Definitive Holdco acquisition, as if the transaction had occurred at the beginning of fiscal year 2019. The pro forma net loss for the year-ended December 31, 2019 includes interest expense related to incremental borrowings used to finance the transaction of $21.0 million, adjustments to amortization expense for the valuation of other intangible assets of $33.4 million and fair value adjustments for deferred revenue of $1.4 million. The unaudited pro forma supplementary data is provided for informational purposes only and should not be construed to be indicative of the Company’s results of operations had the acquisition been consummated on the date assumed or of the Company’s results of operations for any future date.</w:t>
      </w:r>
    </w:p>
    <w:p>
      <w:pPr>
        <w:spacing w:after="0" w:line="286"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HIMSS</w:t>
      </w:r>
    </w:p>
    <w:p>
      <w:pPr>
        <w:spacing w:after="0" w:line="117" w:lineRule="exact"/>
        <w:rPr>
          <w:sz w:val="20"/>
          <w:szCs w:val="20"/>
          <w:color w:val="auto"/>
        </w:rPr>
      </w:pPr>
    </w:p>
    <w:p>
      <w:pPr>
        <w:ind w:left="120" w:right="160" w:firstLine="440"/>
        <w:spacing w:after="0" w:line="277" w:lineRule="auto"/>
        <w:rPr>
          <w:sz w:val="20"/>
          <w:szCs w:val="20"/>
          <w:color w:val="auto"/>
        </w:rPr>
      </w:pPr>
      <w:r>
        <w:rPr>
          <w:rFonts w:ascii="Arial" w:cs="Arial" w:eastAsia="Arial" w:hAnsi="Arial"/>
          <w:sz w:val="18"/>
          <w:szCs w:val="18"/>
          <w:color w:val="auto"/>
        </w:rPr>
        <w:t>On January 15, 2019, the Predecessor Company acquired substantially all of the assets and assumed substantially all of the liabilities of HIMSS for a total purchase price of $29.8 million. The Company recognized</w:t>
      </w:r>
    </w:p>
    <w:p>
      <w:pPr>
        <w:spacing w:after="0" w:line="103" w:lineRule="exact"/>
        <w:rPr>
          <w:sz w:val="20"/>
          <w:szCs w:val="20"/>
          <w:color w:val="auto"/>
        </w:rPr>
      </w:pPr>
    </w:p>
    <w:p>
      <w:pPr>
        <w:jc w:val="center"/>
        <w:ind w:right="-419"/>
        <w:spacing w:after="0"/>
        <w:rPr>
          <w:sz w:val="20"/>
          <w:szCs w:val="20"/>
          <w:color w:val="auto"/>
        </w:rPr>
      </w:pPr>
      <w:r>
        <w:rPr>
          <w:rFonts w:ascii="Arial" w:cs="Arial" w:eastAsia="Arial" w:hAnsi="Arial"/>
          <w:sz w:val="18"/>
          <w:szCs w:val="18"/>
          <w:color w:val="auto"/>
        </w:rPr>
        <w:t>F-29</w:t>
      </w:r>
    </w:p>
    <w:p>
      <w:pPr>
        <w:sectPr>
          <w:pgSz w:w="11900" w:h="16838" w:orient="portrait"/>
          <w:cols w:equalWidth="0" w:num="1">
            <w:col w:w="11060"/>
          </w:cols>
          <w:pgMar w:left="320" w:top="459" w:right="519" w:bottom="1440" w:gutter="0" w:footer="0" w:header="0"/>
        </w:sectPr>
      </w:pPr>
    </w:p>
    <w:bookmarkStart w:id="235" w:name="page236"/>
    <w:bookmarkEnd w:id="2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20">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Confidential Treatment Requested by Definitive Healthcare Corp.</w:t>
      </w:r>
    </w:p>
    <w:p>
      <w:pPr>
        <w:spacing w:after="0" w:line="27"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Pursuant to 17 C.F.R. Section 200.83</w:t>
      </w:r>
    </w:p>
    <w:p>
      <w:pPr>
        <w:spacing w:after="0" w:line="143" w:lineRule="exact"/>
        <w:rPr>
          <w:sz w:val="20"/>
          <w:szCs w:val="20"/>
          <w:color w:val="auto"/>
        </w:rPr>
      </w:pPr>
    </w:p>
    <w:p>
      <w:pPr>
        <w:ind w:left="120" w:right="140"/>
        <w:spacing w:after="0" w:line="272" w:lineRule="auto"/>
        <w:rPr>
          <w:sz w:val="20"/>
          <w:szCs w:val="20"/>
          <w:color w:val="auto"/>
        </w:rPr>
      </w:pPr>
      <w:r>
        <w:rPr>
          <w:rFonts w:ascii="Arial" w:cs="Arial" w:eastAsia="Arial" w:hAnsi="Arial"/>
          <w:sz w:val="17"/>
          <w:szCs w:val="17"/>
          <w:color w:val="auto"/>
        </w:rPr>
        <w:t>goodwill of $19.1 million, intangible assets of $11.4 million, accounts receivable of $1.3 million, and deferred revenue of $2.0 million, in connection with the acquisition. The acquisition was made to increase the Company’s market footprint. The goodwill recognized consisted largely of the estimated value of the assembled workforce and anticipated growth opportunities. The fair value of acquired intangible assets was determined using certain variations of the income approach and market approach. The estimated fair value of deferred revenue was based upon the applicable guidance and was calculated as the estimated cost for the Company to fulfill the contractual obligations plus a normal profit margin. The Company has included the financial results of HIMSS in the consolidated financial statements from the date of acquisition, which were not material. The transaction costs associated with the acquisition were not material.</w:t>
      </w:r>
    </w:p>
    <w:p>
      <w:pPr>
        <w:spacing w:after="0" w:line="285"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HSE</w:t>
      </w:r>
    </w:p>
    <w:p>
      <w:pPr>
        <w:spacing w:after="0" w:line="117" w:lineRule="exact"/>
        <w:rPr>
          <w:sz w:val="20"/>
          <w:szCs w:val="20"/>
          <w:color w:val="auto"/>
        </w:rPr>
      </w:pPr>
    </w:p>
    <w:p>
      <w:pPr>
        <w:ind w:left="120" w:firstLine="440"/>
        <w:spacing w:after="0" w:line="287" w:lineRule="auto"/>
        <w:rPr>
          <w:sz w:val="20"/>
          <w:szCs w:val="20"/>
          <w:color w:val="auto"/>
        </w:rPr>
      </w:pPr>
      <w:r>
        <w:rPr>
          <w:rFonts w:ascii="Arial" w:cs="Arial" w:eastAsia="Arial" w:hAnsi="Arial"/>
          <w:sz w:val="16"/>
          <w:szCs w:val="16"/>
          <w:color w:val="auto"/>
        </w:rPr>
        <w:t>On December 2, 2019, the Company acquired 100% of the issued and outstanding common and preferred stock of HSE for a total purchase price of $6.8 million, consisting of $2.8 million of cash and $4.0 million of equity issued. The Company recognized goodwill of $5.9 million, intangible assets of $1.2 million, deferred tax assets of $0.2 million, accounts receivable of $0.1 million, accounts payable of $0.3 million and deferred revenue of</w:t>
      </w:r>
    </w:p>
    <w:p>
      <w:pPr>
        <w:spacing w:after="0" w:line="2" w:lineRule="exact"/>
        <w:rPr>
          <w:sz w:val="20"/>
          <w:szCs w:val="20"/>
          <w:color w:val="auto"/>
        </w:rPr>
      </w:pPr>
    </w:p>
    <w:p>
      <w:pPr>
        <w:ind w:left="120" w:right="60"/>
        <w:spacing w:after="0" w:line="269" w:lineRule="auto"/>
        <w:rPr>
          <w:sz w:val="20"/>
          <w:szCs w:val="20"/>
          <w:color w:val="auto"/>
        </w:rPr>
      </w:pPr>
      <w:r>
        <w:rPr>
          <w:rFonts w:ascii="Arial" w:cs="Arial" w:eastAsia="Arial" w:hAnsi="Arial"/>
          <w:sz w:val="17"/>
          <w:szCs w:val="17"/>
          <w:color w:val="auto"/>
        </w:rPr>
        <w:t>$0.3 million, in connection with the acquisition. The acquisition was made to increase the Company’s market footprint. The goodwill arising from the acquisition consists largely of the estimated value of the assembled workforce and anticipated growth opportunities. The fair value of acquired intangible assets was determined using certain variations of the income approach and market approach. The fair values of current assets and liabilities were based upon their historical costs at the date of acquisition due to their short-term nature. The estimated fair value of deferred revenue was based upon the applicable guidance and was calculated as the estimated cost for the Company to fulfill the contractual obligations plus a normal profit margin. The Company has included the financial results of HSE in the consolidated financial statements from the date of acquisition, which were not material. The transaction costs associated with the acquisition were not material.</w:t>
      </w:r>
    </w:p>
    <w:p>
      <w:pPr>
        <w:spacing w:after="0" w:line="329" w:lineRule="exact"/>
        <w:rPr>
          <w:sz w:val="20"/>
          <w:szCs w:val="20"/>
          <w:color w:val="auto"/>
        </w:rPr>
      </w:pPr>
    </w:p>
    <w:p>
      <w:pPr>
        <w:ind w:left="540" w:hanging="424"/>
        <w:spacing w:after="0"/>
        <w:tabs>
          <w:tab w:leader="none" w:pos="540" w:val="left"/>
        </w:tabs>
        <w:numPr>
          <w:ilvl w:val="0"/>
          <w:numId w:val="185"/>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Revenue</w:t>
      </w:r>
    </w:p>
    <w:p>
      <w:pPr>
        <w:spacing w:after="0" w:line="117" w:lineRule="exact"/>
        <w:rPr>
          <w:sz w:val="20"/>
          <w:szCs w:val="20"/>
          <w:color w:val="auto"/>
        </w:rPr>
      </w:pPr>
    </w:p>
    <w:p>
      <w:pPr>
        <w:ind w:left="120" w:right="220" w:firstLine="440"/>
        <w:spacing w:after="0" w:line="277" w:lineRule="auto"/>
        <w:rPr>
          <w:sz w:val="20"/>
          <w:szCs w:val="20"/>
          <w:color w:val="auto"/>
        </w:rPr>
      </w:pPr>
      <w:r>
        <w:rPr>
          <w:rFonts w:ascii="Arial" w:cs="Arial" w:eastAsia="Arial" w:hAnsi="Arial"/>
          <w:sz w:val="18"/>
          <w:szCs w:val="18"/>
          <w:color w:val="auto"/>
        </w:rPr>
        <w:t>The Company disaggregates revenue from its arrangements with customers by type of service as it believes these categories best depict how the nature, amount, timing, and uncertainty of revenue and cash flows are affected by economic factors.</w:t>
      </w:r>
    </w:p>
    <w:p>
      <w:pPr>
        <w:spacing w:after="0" w:line="170" w:lineRule="exact"/>
        <w:rPr>
          <w:sz w:val="20"/>
          <w:szCs w:val="20"/>
          <w:color w:val="auto"/>
        </w:rPr>
      </w:pPr>
    </w:p>
    <w:p>
      <w:pPr>
        <w:ind w:left="120" w:right="120" w:firstLine="440"/>
        <w:spacing w:after="0" w:line="342" w:lineRule="auto"/>
        <w:rPr>
          <w:sz w:val="20"/>
          <w:szCs w:val="20"/>
          <w:color w:val="auto"/>
        </w:rPr>
      </w:pPr>
      <w:r>
        <w:rPr>
          <w:rFonts w:ascii="Arial" w:cs="Arial" w:eastAsia="Arial" w:hAnsi="Arial"/>
          <w:sz w:val="16"/>
          <w:szCs w:val="16"/>
          <w:color w:val="auto"/>
        </w:rPr>
        <w:t>The following table represents a disaggregation of revenue from arrangements with customers for the year ended December 31, 2020 (Successor) and the periods from July 16, 2019 to December 31, 2019 (Successor) and January 1, 2019 to July 15, 2019 (Predecessor) (in thousands).</w:t>
      </w:r>
    </w:p>
    <w:p>
      <w:pPr>
        <w:spacing w:after="0" w:line="130" w:lineRule="exact"/>
        <w:rPr>
          <w:sz w:val="20"/>
          <w:szCs w:val="20"/>
          <w:color w:val="auto"/>
        </w:rPr>
      </w:pPr>
    </w:p>
    <w:tbl>
      <w:tblPr>
        <w:tblLayout w:type="fixed"/>
        <w:tblInd w:w="1000" w:type="dxa"/>
        <w:tblCellMar>
          <w:top w:w="0" w:type="dxa"/>
          <w:left w:w="0" w:type="dxa"/>
          <w:bottom w:w="0" w:type="dxa"/>
          <w:right w:w="0" w:type="dxa"/>
        </w:tblCellMar>
      </w:tblPr>
      <w:tr>
        <w:trPr>
          <w:trHeight w:val="35"/>
        </w:trPr>
        <w:tc>
          <w:tcPr>
            <w:tcW w:w="20" w:type="dxa"/>
            <w:vAlign w:val="bottom"/>
          </w:tcPr>
          <w:p>
            <w:pPr>
              <w:spacing w:after="0"/>
              <w:rPr>
                <w:sz w:val="3"/>
                <w:szCs w:val="3"/>
                <w:color w:val="auto"/>
              </w:rPr>
            </w:pPr>
          </w:p>
        </w:tc>
        <w:tc>
          <w:tcPr>
            <w:tcW w:w="3080" w:type="dxa"/>
            <w:vAlign w:val="bottom"/>
          </w:tcPr>
          <w:p>
            <w:pPr>
              <w:spacing w:after="0"/>
              <w:rPr>
                <w:sz w:val="3"/>
                <w:szCs w:val="3"/>
                <w:color w:val="auto"/>
              </w:rPr>
            </w:pPr>
          </w:p>
        </w:tc>
        <w:tc>
          <w:tcPr>
            <w:tcW w:w="2800" w:type="dxa"/>
            <w:vAlign w:val="bottom"/>
          </w:tcPr>
          <w:p>
            <w:pPr>
              <w:spacing w:after="0"/>
              <w:rPr>
                <w:sz w:val="3"/>
                <w:szCs w:val="3"/>
                <w:color w:val="auto"/>
              </w:rPr>
            </w:pPr>
          </w:p>
        </w:tc>
        <w:tc>
          <w:tcPr>
            <w:tcW w:w="140" w:type="dxa"/>
            <w:vAlign w:val="bottom"/>
          </w:tcPr>
          <w:p>
            <w:pPr>
              <w:spacing w:after="0"/>
              <w:rPr>
                <w:sz w:val="3"/>
                <w:szCs w:val="3"/>
                <w:color w:val="auto"/>
              </w:rPr>
            </w:pPr>
          </w:p>
        </w:tc>
        <w:tc>
          <w:tcPr>
            <w:tcW w:w="1740" w:type="dxa"/>
            <w:vAlign w:val="bottom"/>
            <w:gridSpan w:val="4"/>
            <w:vMerge w:val="restart"/>
          </w:tcPr>
          <w:p>
            <w:pPr>
              <w:jc w:val="right"/>
              <w:ind w:right="257"/>
              <w:spacing w:after="0"/>
              <w:rPr>
                <w:sz w:val="20"/>
                <w:szCs w:val="20"/>
                <w:color w:val="auto"/>
              </w:rPr>
            </w:pPr>
            <w:r>
              <w:rPr>
                <w:rFonts w:ascii="Arial" w:cs="Arial" w:eastAsia="Arial" w:hAnsi="Arial"/>
                <w:sz w:val="14"/>
                <w:szCs w:val="14"/>
                <w:b w:val="1"/>
                <w:bCs w:val="1"/>
                <w:color w:val="auto"/>
                <w:w w:val="99"/>
              </w:rPr>
              <w:t>Successor Company</w:t>
            </w:r>
          </w:p>
        </w:tc>
        <w:tc>
          <w:tcPr>
            <w:tcW w:w="260" w:type="dxa"/>
            <w:vAlign w:val="bottom"/>
          </w:tcPr>
          <w:p>
            <w:pPr>
              <w:spacing w:after="0"/>
              <w:rPr>
                <w:sz w:val="3"/>
                <w:szCs w:val="3"/>
                <w:color w:val="auto"/>
              </w:rPr>
            </w:pPr>
          </w:p>
        </w:tc>
        <w:tc>
          <w:tcPr>
            <w:tcW w:w="240" w:type="dxa"/>
            <w:vAlign w:val="bottom"/>
          </w:tcPr>
          <w:p>
            <w:pPr>
              <w:spacing w:after="0"/>
              <w:rPr>
                <w:sz w:val="3"/>
                <w:szCs w:val="3"/>
                <w:color w:val="auto"/>
              </w:rPr>
            </w:pPr>
          </w:p>
        </w:tc>
        <w:tc>
          <w:tcPr>
            <w:tcW w:w="80" w:type="dxa"/>
            <w:vAlign w:val="bottom"/>
          </w:tcPr>
          <w:p>
            <w:pPr>
              <w:spacing w:after="0"/>
              <w:rPr>
                <w:sz w:val="3"/>
                <w:szCs w:val="3"/>
                <w:color w:val="auto"/>
              </w:rPr>
            </w:pPr>
          </w:p>
        </w:tc>
        <w:tc>
          <w:tcPr>
            <w:tcW w:w="900" w:type="dxa"/>
            <w:vAlign w:val="bottom"/>
            <w:gridSpan w:val="2"/>
            <w:vMerge w:val="restart"/>
          </w:tcPr>
          <w:p>
            <w:pPr>
              <w:jc w:val="center"/>
              <w:ind w:right="160"/>
              <w:spacing w:after="0"/>
              <w:rPr>
                <w:sz w:val="20"/>
                <w:szCs w:val="20"/>
                <w:color w:val="auto"/>
              </w:rPr>
            </w:pPr>
            <w:r>
              <w:rPr>
                <w:rFonts w:ascii="Arial" w:cs="Arial" w:eastAsia="Arial" w:hAnsi="Arial"/>
                <w:sz w:val="14"/>
                <w:szCs w:val="14"/>
                <w:b w:val="1"/>
                <w:bCs w:val="1"/>
                <w:color w:val="auto"/>
                <w:w w:val="87"/>
              </w:rPr>
              <w:t>Predecessor</w:t>
            </w:r>
          </w:p>
        </w:tc>
        <w:tc>
          <w:tcPr>
            <w:tcW w:w="0" w:type="dxa"/>
            <w:vAlign w:val="bottom"/>
          </w:tcPr>
          <w:p>
            <w:pPr>
              <w:spacing w:after="0" w:line="20" w:lineRule="exact"/>
              <w:rPr>
                <w:sz w:val="1"/>
                <w:szCs w:val="1"/>
                <w:color w:val="auto"/>
              </w:rPr>
            </w:pPr>
          </w:p>
        </w:tc>
      </w:tr>
      <w:tr>
        <w:trPr>
          <w:trHeight w:val="126"/>
        </w:trPr>
        <w:tc>
          <w:tcPr>
            <w:tcW w:w="20" w:type="dxa"/>
            <w:vAlign w:val="bottom"/>
          </w:tcPr>
          <w:p>
            <w:pPr>
              <w:spacing w:after="0"/>
              <w:rPr>
                <w:sz w:val="10"/>
                <w:szCs w:val="10"/>
                <w:color w:val="auto"/>
              </w:rPr>
            </w:pPr>
          </w:p>
        </w:tc>
        <w:tc>
          <w:tcPr>
            <w:tcW w:w="3080" w:type="dxa"/>
            <w:vAlign w:val="bottom"/>
          </w:tcPr>
          <w:p>
            <w:pPr>
              <w:spacing w:after="0"/>
              <w:rPr>
                <w:sz w:val="10"/>
                <w:szCs w:val="10"/>
                <w:color w:val="auto"/>
              </w:rPr>
            </w:pPr>
          </w:p>
        </w:tc>
        <w:tc>
          <w:tcPr>
            <w:tcW w:w="28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740" w:type="dxa"/>
            <w:vAlign w:val="bottom"/>
            <w:gridSpan w:val="4"/>
            <w:vMerge w:val="continue"/>
          </w:tcPr>
          <w:p>
            <w:pPr>
              <w:spacing w:after="0"/>
              <w:rPr>
                <w:sz w:val="10"/>
                <w:szCs w:val="10"/>
                <w:color w:val="auto"/>
              </w:rPr>
            </w:pPr>
          </w:p>
        </w:tc>
        <w:tc>
          <w:tcPr>
            <w:tcW w:w="260" w:type="dxa"/>
            <w:vAlign w:val="bottom"/>
            <w:tcBorders>
              <w:right w:val="single" w:sz="8" w:color="auto"/>
            </w:tcBorders>
          </w:tcPr>
          <w:p>
            <w:pPr>
              <w:spacing w:after="0"/>
              <w:rPr>
                <w:sz w:val="10"/>
                <w:szCs w:val="10"/>
                <w:color w:val="auto"/>
              </w:rPr>
            </w:pPr>
          </w:p>
        </w:tc>
        <w:tc>
          <w:tcPr>
            <w:tcW w:w="2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0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3080" w:type="dxa"/>
            <w:vAlign w:val="bottom"/>
          </w:tcPr>
          <w:p>
            <w:pPr>
              <w:spacing w:after="0"/>
              <w:rPr>
                <w:sz w:val="14"/>
                <w:szCs w:val="14"/>
                <w:color w:val="auto"/>
              </w:rPr>
            </w:pPr>
          </w:p>
        </w:tc>
        <w:tc>
          <w:tcPr>
            <w:tcW w:w="28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740" w:type="dxa"/>
            <w:vAlign w:val="bottom"/>
            <w:gridSpan w:val="4"/>
            <w:vMerge w:val="continue"/>
          </w:tcPr>
          <w:p>
            <w:pPr>
              <w:spacing w:after="0"/>
              <w:rPr>
                <w:sz w:val="14"/>
                <w:szCs w:val="14"/>
                <w:color w:val="auto"/>
              </w:rPr>
            </w:pPr>
          </w:p>
        </w:tc>
        <w:tc>
          <w:tcPr>
            <w:tcW w:w="260" w:type="dxa"/>
            <w:vAlign w:val="bottom"/>
            <w:tcBorders>
              <w:right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0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3"/>
              </w:rPr>
              <w:t>Company</w:t>
            </w: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3080" w:type="dxa"/>
            <w:vAlign w:val="bottom"/>
          </w:tcPr>
          <w:p>
            <w:pPr>
              <w:spacing w:after="0"/>
              <w:rPr>
                <w:sz w:val="10"/>
                <w:szCs w:val="10"/>
                <w:color w:val="auto"/>
              </w:rPr>
            </w:pPr>
          </w:p>
        </w:tc>
        <w:tc>
          <w:tcPr>
            <w:tcW w:w="2800" w:type="dxa"/>
            <w:vAlign w:val="bottom"/>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660" w:type="dxa"/>
            <w:vAlign w:val="bottom"/>
            <w:tcBorders>
              <w:top w:val="single" w:sz="8" w:color="auto"/>
            </w:tcBorders>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840" w:type="dxa"/>
            <w:vAlign w:val="bottom"/>
            <w:tcBorders>
              <w:top w:val="single" w:sz="8" w:color="auto"/>
            </w:tcBorders>
          </w:tcPr>
          <w:p>
            <w:pPr>
              <w:jc w:val="center"/>
              <w:ind w:right="17"/>
              <w:spacing w:after="0" w:line="123" w:lineRule="exact"/>
              <w:rPr>
                <w:sz w:val="20"/>
                <w:szCs w:val="20"/>
                <w:color w:val="auto"/>
              </w:rPr>
            </w:pPr>
            <w:r>
              <w:rPr>
                <w:rFonts w:ascii="Arial" w:cs="Arial" w:eastAsia="Arial" w:hAnsi="Arial"/>
                <w:sz w:val="14"/>
                <w:szCs w:val="14"/>
                <w:color w:val="auto"/>
                <w:w w:val="96"/>
              </w:rPr>
              <w:t>Period from</w:t>
            </w:r>
          </w:p>
        </w:tc>
        <w:tc>
          <w:tcPr>
            <w:tcW w:w="260" w:type="dxa"/>
            <w:vAlign w:val="bottom"/>
            <w:tcBorders>
              <w:right w:val="single" w:sz="8" w:color="auto"/>
            </w:tcBorders>
          </w:tcPr>
          <w:p>
            <w:pPr>
              <w:spacing w:after="0"/>
              <w:rPr>
                <w:sz w:val="10"/>
                <w:szCs w:val="10"/>
                <w:color w:val="auto"/>
              </w:rPr>
            </w:pPr>
          </w:p>
        </w:tc>
        <w:tc>
          <w:tcPr>
            <w:tcW w:w="240" w:type="dxa"/>
            <w:vAlign w:val="bottom"/>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840" w:type="dxa"/>
            <w:vAlign w:val="bottom"/>
            <w:tcBorders>
              <w:top w:val="single" w:sz="8" w:color="auto"/>
            </w:tcBorders>
          </w:tcPr>
          <w:p>
            <w:pPr>
              <w:jc w:val="center"/>
              <w:ind w:right="21"/>
              <w:spacing w:after="0" w:line="123" w:lineRule="exact"/>
              <w:rPr>
                <w:sz w:val="20"/>
                <w:szCs w:val="20"/>
                <w:color w:val="auto"/>
              </w:rPr>
            </w:pPr>
            <w:r>
              <w:rPr>
                <w:rFonts w:ascii="Arial" w:cs="Arial" w:eastAsia="Arial" w:hAnsi="Arial"/>
                <w:sz w:val="14"/>
                <w:szCs w:val="14"/>
                <w:color w:val="auto"/>
                <w:w w:val="96"/>
              </w:rPr>
              <w:t>Period from</w:t>
            </w: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080" w:type="dxa"/>
            <w:vAlign w:val="bottom"/>
          </w:tcPr>
          <w:p>
            <w:pPr>
              <w:spacing w:after="0"/>
              <w:rPr>
                <w:sz w:val="12"/>
                <w:szCs w:val="12"/>
                <w:color w:val="auto"/>
              </w:rPr>
            </w:pPr>
          </w:p>
        </w:tc>
        <w:tc>
          <w:tcPr>
            <w:tcW w:w="2800" w:type="dxa"/>
            <w:vAlign w:val="bottom"/>
          </w:tcPr>
          <w:p>
            <w:pPr>
              <w:spacing w:after="0"/>
              <w:rPr>
                <w:sz w:val="12"/>
                <w:szCs w:val="12"/>
                <w:color w:val="auto"/>
              </w:rPr>
            </w:pPr>
          </w:p>
        </w:tc>
        <w:tc>
          <w:tcPr>
            <w:tcW w:w="800" w:type="dxa"/>
            <w:vAlign w:val="bottom"/>
            <w:gridSpan w:val="2"/>
          </w:tcPr>
          <w:p>
            <w:pPr>
              <w:jc w:val="center"/>
              <w:spacing w:after="0" w:line="149" w:lineRule="exact"/>
              <w:rPr>
                <w:sz w:val="20"/>
                <w:szCs w:val="20"/>
                <w:color w:val="auto"/>
              </w:rPr>
            </w:pPr>
            <w:r>
              <w:rPr>
                <w:rFonts w:ascii="Arial" w:cs="Arial" w:eastAsia="Arial" w:hAnsi="Arial"/>
                <w:sz w:val="14"/>
                <w:szCs w:val="14"/>
                <w:color w:val="auto"/>
                <w:w w:val="89"/>
              </w:rPr>
              <w:t>Year Ended</w:t>
            </w:r>
          </w:p>
        </w:tc>
        <w:tc>
          <w:tcPr>
            <w:tcW w:w="1080" w:type="dxa"/>
            <w:vAlign w:val="bottom"/>
            <w:gridSpan w:val="3"/>
          </w:tcPr>
          <w:p>
            <w:pPr>
              <w:jc w:val="center"/>
              <w:ind w:left="59"/>
              <w:spacing w:after="0" w:line="149" w:lineRule="exact"/>
              <w:rPr>
                <w:sz w:val="20"/>
                <w:szCs w:val="20"/>
                <w:color w:val="auto"/>
              </w:rPr>
            </w:pPr>
            <w:r>
              <w:rPr>
                <w:rFonts w:ascii="Arial" w:cs="Arial" w:eastAsia="Arial" w:hAnsi="Arial"/>
                <w:sz w:val="14"/>
                <w:szCs w:val="14"/>
                <w:color w:val="auto"/>
                <w:w w:val="95"/>
              </w:rPr>
              <w:t>July 16, 2019 to</w:t>
            </w:r>
          </w:p>
        </w:tc>
        <w:tc>
          <w:tcPr>
            <w:tcW w:w="260" w:type="dxa"/>
            <w:vAlign w:val="bottom"/>
            <w:tcBorders>
              <w:right w:val="single" w:sz="8" w:color="auto"/>
            </w:tcBorders>
          </w:tcPr>
          <w:p>
            <w:pPr>
              <w:spacing w:after="0"/>
              <w:rPr>
                <w:sz w:val="12"/>
                <w:szCs w:val="12"/>
                <w:color w:val="auto"/>
              </w:rPr>
            </w:pPr>
          </w:p>
        </w:tc>
        <w:tc>
          <w:tcPr>
            <w:tcW w:w="1220" w:type="dxa"/>
            <w:vAlign w:val="bottom"/>
            <w:gridSpan w:val="4"/>
          </w:tcPr>
          <w:p>
            <w:pPr>
              <w:jc w:val="center"/>
              <w:ind w:left="99"/>
              <w:spacing w:after="0" w:line="149" w:lineRule="exact"/>
              <w:rPr>
                <w:sz w:val="20"/>
                <w:szCs w:val="20"/>
                <w:color w:val="auto"/>
              </w:rPr>
            </w:pPr>
            <w:r>
              <w:rPr>
                <w:rFonts w:ascii="Arial" w:cs="Arial" w:eastAsia="Arial" w:hAnsi="Arial"/>
                <w:sz w:val="14"/>
                <w:szCs w:val="14"/>
                <w:color w:val="auto"/>
                <w:w w:val="91"/>
              </w:rPr>
              <w:t>January 1, 2019</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3080" w:type="dxa"/>
            <w:vAlign w:val="bottom"/>
          </w:tcPr>
          <w:p>
            <w:pPr>
              <w:spacing w:after="0"/>
              <w:rPr>
                <w:sz w:val="12"/>
                <w:szCs w:val="12"/>
                <w:color w:val="auto"/>
              </w:rPr>
            </w:pPr>
          </w:p>
        </w:tc>
        <w:tc>
          <w:tcPr>
            <w:tcW w:w="3600" w:type="dxa"/>
            <w:vAlign w:val="bottom"/>
            <w:gridSpan w:val="3"/>
          </w:tcPr>
          <w:p>
            <w:pPr>
              <w:jc w:val="center"/>
              <w:ind w:left="2696"/>
              <w:spacing w:after="0" w:line="149" w:lineRule="exact"/>
              <w:rPr>
                <w:sz w:val="20"/>
                <w:szCs w:val="20"/>
                <w:color w:val="auto"/>
              </w:rPr>
            </w:pPr>
            <w:r>
              <w:rPr>
                <w:rFonts w:ascii="Arial" w:cs="Arial" w:eastAsia="Arial" w:hAnsi="Arial"/>
                <w:sz w:val="14"/>
                <w:szCs w:val="14"/>
                <w:color w:val="auto"/>
                <w:w w:val="93"/>
              </w:rPr>
              <w:t>December 31,</w:t>
            </w:r>
          </w:p>
        </w:tc>
        <w:tc>
          <w:tcPr>
            <w:tcW w:w="160" w:type="dxa"/>
            <w:vAlign w:val="bottom"/>
          </w:tcPr>
          <w:p>
            <w:pPr>
              <w:spacing w:after="0"/>
              <w:rPr>
                <w:sz w:val="12"/>
                <w:szCs w:val="12"/>
                <w:color w:val="auto"/>
              </w:rPr>
            </w:pPr>
          </w:p>
        </w:tc>
        <w:tc>
          <w:tcPr>
            <w:tcW w:w="920" w:type="dxa"/>
            <w:vAlign w:val="bottom"/>
            <w:gridSpan w:val="2"/>
          </w:tcPr>
          <w:p>
            <w:pPr>
              <w:jc w:val="center"/>
              <w:spacing w:after="0" w:line="149" w:lineRule="exact"/>
              <w:rPr>
                <w:sz w:val="20"/>
                <w:szCs w:val="20"/>
                <w:color w:val="auto"/>
              </w:rPr>
            </w:pPr>
            <w:r>
              <w:rPr>
                <w:rFonts w:ascii="Arial" w:cs="Arial" w:eastAsia="Arial" w:hAnsi="Arial"/>
                <w:sz w:val="14"/>
                <w:szCs w:val="14"/>
                <w:color w:val="auto"/>
                <w:w w:val="93"/>
              </w:rPr>
              <w:t>December 31,</w:t>
            </w:r>
          </w:p>
        </w:tc>
        <w:tc>
          <w:tcPr>
            <w:tcW w:w="260" w:type="dxa"/>
            <w:vAlign w:val="bottom"/>
            <w:tcBorders>
              <w:right w:val="single" w:sz="8" w:color="auto"/>
            </w:tcBorders>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gridSpan w:val="2"/>
          </w:tcPr>
          <w:p>
            <w:pPr>
              <w:jc w:val="center"/>
              <w:ind w:right="140"/>
              <w:spacing w:after="0" w:line="149" w:lineRule="exact"/>
              <w:rPr>
                <w:sz w:val="20"/>
                <w:szCs w:val="20"/>
                <w:color w:val="auto"/>
              </w:rPr>
            </w:pPr>
            <w:r>
              <w:rPr>
                <w:rFonts w:ascii="Arial" w:cs="Arial" w:eastAsia="Arial" w:hAnsi="Arial"/>
                <w:sz w:val="14"/>
                <w:szCs w:val="14"/>
                <w:color w:val="auto"/>
                <w:w w:val="93"/>
              </w:rPr>
              <w:t>to July 15,</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3080" w:type="dxa"/>
            <w:vAlign w:val="bottom"/>
            <w:tcBorders>
              <w:bottom w:val="single" w:sz="8" w:color="CCEEFF"/>
            </w:tcBorders>
          </w:tcPr>
          <w:p>
            <w:pPr>
              <w:spacing w:after="0"/>
              <w:rPr>
                <w:sz w:val="14"/>
                <w:szCs w:val="14"/>
                <w:color w:val="auto"/>
              </w:rPr>
            </w:pPr>
          </w:p>
        </w:tc>
        <w:tc>
          <w:tcPr>
            <w:tcW w:w="280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center"/>
              <w:ind w:right="77"/>
              <w:spacing w:after="0"/>
              <w:rPr>
                <w:sz w:val="20"/>
                <w:szCs w:val="20"/>
                <w:color w:val="auto"/>
              </w:rPr>
            </w:pPr>
            <w:r>
              <w:rPr>
                <w:rFonts w:ascii="Arial" w:cs="Arial" w:eastAsia="Arial" w:hAnsi="Arial"/>
                <w:sz w:val="14"/>
                <w:szCs w:val="14"/>
                <w:color w:val="auto"/>
                <w:w w:val="96"/>
              </w:rPr>
              <w:t>2020</w:t>
            </w:r>
          </w:p>
        </w:tc>
        <w:tc>
          <w:tcPr>
            <w:tcW w:w="16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center"/>
              <w:ind w:right="17"/>
              <w:spacing w:after="0"/>
              <w:rPr>
                <w:sz w:val="20"/>
                <w:szCs w:val="20"/>
                <w:color w:val="auto"/>
              </w:rPr>
            </w:pPr>
            <w:r>
              <w:rPr>
                <w:rFonts w:ascii="Arial" w:cs="Arial" w:eastAsia="Arial" w:hAnsi="Arial"/>
                <w:sz w:val="14"/>
                <w:szCs w:val="14"/>
                <w:color w:val="auto"/>
                <w:w w:val="96"/>
              </w:rPr>
              <w:t>2019</w:t>
            </w:r>
          </w:p>
        </w:tc>
        <w:tc>
          <w:tcPr>
            <w:tcW w:w="260" w:type="dxa"/>
            <w:vAlign w:val="bottom"/>
            <w:tcBorders>
              <w:bottom w:val="single" w:sz="8" w:color="CCEEFF"/>
              <w:right w:val="single" w:sz="8" w:color="auto"/>
            </w:tcBorders>
          </w:tcPr>
          <w:p>
            <w:pPr>
              <w:spacing w:after="0"/>
              <w:rPr>
                <w:sz w:val="14"/>
                <w:szCs w:val="14"/>
                <w:color w:val="auto"/>
              </w:rPr>
            </w:pPr>
          </w:p>
        </w:tc>
        <w:tc>
          <w:tcPr>
            <w:tcW w:w="24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center"/>
              <w:ind w:right="1"/>
              <w:spacing w:after="0"/>
              <w:rPr>
                <w:sz w:val="20"/>
                <w:szCs w:val="20"/>
                <w:color w:val="auto"/>
              </w:rPr>
            </w:pPr>
            <w:r>
              <w:rPr>
                <w:rFonts w:ascii="Arial" w:cs="Arial" w:eastAsia="Arial" w:hAnsi="Arial"/>
                <w:sz w:val="14"/>
                <w:szCs w:val="14"/>
                <w:color w:val="auto"/>
                <w:w w:val="89"/>
              </w:rPr>
              <w:t>2019</w:t>
            </w:r>
          </w:p>
        </w:tc>
        <w:tc>
          <w:tcPr>
            <w:tcW w:w="6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080" w:type="dxa"/>
            <w:vAlign w:val="bottom"/>
            <w:shd w:val="clear" w:color="auto" w:fill="CCEEFF"/>
          </w:tcPr>
          <w:p>
            <w:pPr>
              <w:spacing w:after="0"/>
              <w:rPr>
                <w:sz w:val="20"/>
                <w:szCs w:val="20"/>
                <w:color w:val="auto"/>
              </w:rPr>
            </w:pPr>
            <w:r>
              <w:rPr>
                <w:rFonts w:ascii="Arial" w:cs="Arial" w:eastAsia="Arial" w:hAnsi="Arial"/>
                <w:sz w:val="18"/>
                <w:szCs w:val="18"/>
                <w:color w:val="auto"/>
              </w:rPr>
              <w:t>Platform subscriptions</w:t>
            </w:r>
          </w:p>
        </w:tc>
        <w:tc>
          <w:tcPr>
            <w:tcW w:w="28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117,080</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39,872</w:t>
            </w:r>
          </w:p>
        </w:tc>
        <w:tc>
          <w:tcPr>
            <w:tcW w:w="260" w:type="dxa"/>
            <w:vAlign w:val="bottom"/>
            <w:tcBorders>
              <w:right w:val="single" w:sz="8" w:color="auto"/>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45,244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080" w:type="dxa"/>
            <w:vAlign w:val="bottom"/>
          </w:tcPr>
          <w:p>
            <w:pPr>
              <w:spacing w:after="0"/>
              <w:rPr>
                <w:sz w:val="20"/>
                <w:szCs w:val="20"/>
                <w:color w:val="auto"/>
              </w:rPr>
            </w:pPr>
            <w:r>
              <w:rPr>
                <w:rFonts w:ascii="Arial" w:cs="Arial" w:eastAsia="Arial" w:hAnsi="Arial"/>
                <w:sz w:val="18"/>
                <w:szCs w:val="18"/>
                <w:color w:val="auto"/>
              </w:rPr>
              <w:t>Professional services</w:t>
            </w:r>
          </w:p>
        </w:tc>
        <w:tc>
          <w:tcPr>
            <w:tcW w:w="280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1,237</w:t>
            </w:r>
          </w:p>
        </w:tc>
        <w:tc>
          <w:tcPr>
            <w:tcW w:w="16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173</w:t>
            </w:r>
          </w:p>
        </w:tc>
        <w:tc>
          <w:tcPr>
            <w:tcW w:w="260" w:type="dxa"/>
            <w:vAlign w:val="bottom"/>
            <w:tcBorders>
              <w:right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214</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80" w:type="dxa"/>
            <w:vAlign w:val="bottom"/>
            <w:shd w:val="clear" w:color="auto" w:fill="CCEEFF"/>
          </w:tcPr>
          <w:p>
            <w:pPr>
              <w:spacing w:after="0"/>
              <w:rPr>
                <w:sz w:val="20"/>
                <w:szCs w:val="20"/>
                <w:color w:val="auto"/>
              </w:rPr>
            </w:pPr>
            <w:r>
              <w:rPr>
                <w:rFonts w:ascii="Arial" w:cs="Arial" w:eastAsia="Arial" w:hAnsi="Arial"/>
                <w:sz w:val="18"/>
                <w:szCs w:val="18"/>
                <w:color w:val="auto"/>
              </w:rPr>
              <w:t>Total revenue</w:t>
            </w:r>
          </w:p>
        </w:tc>
        <w:tc>
          <w:tcPr>
            <w:tcW w:w="2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118,317</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40,045</w:t>
            </w:r>
          </w:p>
        </w:tc>
        <w:tc>
          <w:tcPr>
            <w:tcW w:w="260" w:type="dxa"/>
            <w:vAlign w:val="bottom"/>
            <w:tcBorders>
              <w:right w:val="single" w:sz="8" w:color="auto"/>
            </w:tcBorders>
            <w:shd w:val="clear" w:color="auto" w:fill="CCEEFF"/>
          </w:tcPr>
          <w:p>
            <w:pPr>
              <w:spacing w:after="0"/>
              <w:rPr>
                <w:sz w:val="18"/>
                <w:szCs w:val="18"/>
                <w:color w:val="auto"/>
              </w:rPr>
            </w:pP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45,458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3080" w:type="dxa"/>
            <w:vAlign w:val="bottom"/>
          </w:tcPr>
          <w:p>
            <w:pPr>
              <w:spacing w:after="0"/>
              <w:rPr>
                <w:sz w:val="3"/>
                <w:szCs w:val="3"/>
                <w:color w:val="auto"/>
              </w:rPr>
            </w:pPr>
          </w:p>
        </w:tc>
        <w:tc>
          <w:tcPr>
            <w:tcW w:w="2800" w:type="dxa"/>
            <w:vAlign w:val="bottom"/>
          </w:tcPr>
          <w:p>
            <w:pPr>
              <w:spacing w:after="0"/>
              <w:rPr>
                <w:sz w:val="3"/>
                <w:szCs w:val="3"/>
                <w:color w:val="auto"/>
              </w:rPr>
            </w:pPr>
          </w:p>
        </w:tc>
        <w:tc>
          <w:tcPr>
            <w:tcW w:w="140" w:type="dxa"/>
            <w:vAlign w:val="bottom"/>
            <w:tcBorders>
              <w:top w:val="single" w:sz="8" w:color="auto"/>
              <w:bottom w:val="single" w:sz="8" w:color="auto"/>
            </w:tcBorders>
          </w:tcPr>
          <w:p>
            <w:pPr>
              <w:spacing w:after="0"/>
              <w:rPr>
                <w:sz w:val="3"/>
                <w:szCs w:val="3"/>
                <w:color w:val="auto"/>
              </w:rPr>
            </w:pPr>
          </w:p>
        </w:tc>
        <w:tc>
          <w:tcPr>
            <w:tcW w:w="660" w:type="dxa"/>
            <w:vAlign w:val="bottom"/>
            <w:tcBorders>
              <w:top w:val="single" w:sz="8" w:color="auto"/>
              <w:bottom w:val="single" w:sz="8" w:color="auto"/>
            </w:tcBorders>
          </w:tcPr>
          <w:p>
            <w:pPr>
              <w:spacing w:after="0"/>
              <w:rPr>
                <w:sz w:val="3"/>
                <w:szCs w:val="3"/>
                <w:color w:val="auto"/>
              </w:rPr>
            </w:pPr>
          </w:p>
        </w:tc>
        <w:tc>
          <w:tcPr>
            <w:tcW w:w="160" w:type="dxa"/>
            <w:vAlign w:val="bottom"/>
          </w:tcPr>
          <w:p>
            <w:pPr>
              <w:spacing w:after="0"/>
              <w:rPr>
                <w:sz w:val="3"/>
                <w:szCs w:val="3"/>
                <w:color w:val="auto"/>
              </w:rPr>
            </w:pPr>
          </w:p>
        </w:tc>
        <w:tc>
          <w:tcPr>
            <w:tcW w:w="80" w:type="dxa"/>
            <w:vAlign w:val="bottom"/>
            <w:tcBorders>
              <w:top w:val="single" w:sz="8" w:color="auto"/>
              <w:bottom w:val="single" w:sz="8" w:color="auto"/>
            </w:tcBorders>
          </w:tcPr>
          <w:p>
            <w:pPr>
              <w:spacing w:after="0"/>
              <w:rPr>
                <w:sz w:val="3"/>
                <w:szCs w:val="3"/>
                <w:color w:val="auto"/>
              </w:rPr>
            </w:pPr>
          </w:p>
        </w:tc>
        <w:tc>
          <w:tcPr>
            <w:tcW w:w="840" w:type="dxa"/>
            <w:vAlign w:val="bottom"/>
            <w:tcBorders>
              <w:top w:val="single" w:sz="8" w:color="auto"/>
              <w:bottom w:val="single" w:sz="8" w:color="auto"/>
            </w:tcBorders>
          </w:tcPr>
          <w:p>
            <w:pPr>
              <w:spacing w:after="0"/>
              <w:rPr>
                <w:sz w:val="3"/>
                <w:szCs w:val="3"/>
                <w:color w:val="auto"/>
              </w:rPr>
            </w:pPr>
          </w:p>
        </w:tc>
        <w:tc>
          <w:tcPr>
            <w:tcW w:w="260" w:type="dxa"/>
            <w:vAlign w:val="bottom"/>
            <w:tcBorders>
              <w:right w:val="single" w:sz="8" w:color="auto"/>
            </w:tcBorders>
          </w:tcPr>
          <w:p>
            <w:pPr>
              <w:spacing w:after="0"/>
              <w:rPr>
                <w:sz w:val="3"/>
                <w:szCs w:val="3"/>
                <w:color w:val="auto"/>
              </w:rPr>
            </w:pPr>
          </w:p>
        </w:tc>
        <w:tc>
          <w:tcPr>
            <w:tcW w:w="240" w:type="dxa"/>
            <w:vAlign w:val="bottom"/>
          </w:tcPr>
          <w:p>
            <w:pPr>
              <w:spacing w:after="0"/>
              <w:rPr>
                <w:sz w:val="3"/>
                <w:szCs w:val="3"/>
                <w:color w:val="auto"/>
              </w:rPr>
            </w:pPr>
          </w:p>
        </w:tc>
        <w:tc>
          <w:tcPr>
            <w:tcW w:w="80" w:type="dxa"/>
            <w:vAlign w:val="bottom"/>
            <w:tcBorders>
              <w:top w:val="single" w:sz="8" w:color="auto"/>
              <w:bottom w:val="single" w:sz="8" w:color="auto"/>
            </w:tcBorders>
          </w:tcPr>
          <w:p>
            <w:pPr>
              <w:spacing w:after="0"/>
              <w:rPr>
                <w:sz w:val="3"/>
                <w:szCs w:val="3"/>
                <w:color w:val="auto"/>
              </w:rPr>
            </w:pPr>
          </w:p>
        </w:tc>
        <w:tc>
          <w:tcPr>
            <w:tcW w:w="840" w:type="dxa"/>
            <w:vAlign w:val="bottom"/>
            <w:tcBorders>
              <w:top w:val="single" w:sz="8" w:color="auto"/>
              <w:bottom w:val="single" w:sz="8" w:color="auto"/>
            </w:tcBorders>
          </w:tcPr>
          <w:p>
            <w:pPr>
              <w:spacing w:after="0"/>
              <w:rPr>
                <w:sz w:val="3"/>
                <w:szCs w:val="3"/>
                <w:color w:val="auto"/>
              </w:rPr>
            </w:pPr>
          </w:p>
        </w:tc>
        <w:tc>
          <w:tcPr>
            <w:tcW w:w="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39"/>
        </w:trPr>
        <w:tc>
          <w:tcPr>
            <w:tcW w:w="20" w:type="dxa"/>
            <w:vAlign w:val="bottom"/>
          </w:tcPr>
          <w:p>
            <w:pPr>
              <w:spacing w:after="0"/>
              <w:rPr>
                <w:sz w:val="24"/>
                <w:szCs w:val="24"/>
                <w:color w:val="auto"/>
              </w:rPr>
            </w:pPr>
          </w:p>
        </w:tc>
        <w:tc>
          <w:tcPr>
            <w:tcW w:w="3080" w:type="dxa"/>
            <w:vAlign w:val="bottom"/>
          </w:tcPr>
          <w:p>
            <w:pPr>
              <w:spacing w:after="0"/>
              <w:rPr>
                <w:sz w:val="24"/>
                <w:szCs w:val="24"/>
                <w:color w:val="auto"/>
              </w:rPr>
            </w:pPr>
          </w:p>
        </w:tc>
        <w:tc>
          <w:tcPr>
            <w:tcW w:w="2940" w:type="dxa"/>
            <w:vAlign w:val="bottom"/>
            <w:gridSpan w:val="2"/>
          </w:tcPr>
          <w:p>
            <w:pPr>
              <w:jc w:val="right"/>
              <w:ind w:right="1067"/>
              <w:spacing w:after="0"/>
              <w:rPr>
                <w:sz w:val="20"/>
                <w:szCs w:val="20"/>
                <w:color w:val="auto"/>
              </w:rPr>
            </w:pPr>
            <w:r>
              <w:rPr>
                <w:rFonts w:ascii="Arial" w:cs="Arial" w:eastAsia="Arial" w:hAnsi="Arial"/>
                <w:sz w:val="18"/>
                <w:szCs w:val="18"/>
                <w:color w:val="auto"/>
              </w:rPr>
              <w:t>F-30</w:t>
            </w:r>
          </w:p>
        </w:tc>
        <w:tc>
          <w:tcPr>
            <w:tcW w:w="6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140"/>
          </w:cols>
          <w:pgMar w:left="320" w:top="459" w:right="439" w:bottom="1440" w:gutter="0" w:footer="0" w:header="0"/>
        </w:sectPr>
      </w:pPr>
    </w:p>
    <w:bookmarkStart w:id="236" w:name="page237"/>
    <w:bookmarkEnd w:id="2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21">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Confidential Treatment Requested by Definitive Healthcare Corp.</w:t>
      </w:r>
    </w:p>
    <w:p>
      <w:pPr>
        <w:spacing w:after="0" w:line="27"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Pursuant to 17 C.F.R. Section 200.83</w:t>
      </w:r>
    </w:p>
    <w:p>
      <w:pPr>
        <w:spacing w:after="0" w:line="143" w:lineRule="exact"/>
        <w:rPr>
          <w:sz w:val="20"/>
          <w:szCs w:val="20"/>
          <w:color w:val="auto"/>
        </w:rPr>
      </w:pPr>
    </w:p>
    <w:p>
      <w:pPr>
        <w:ind w:left="120" w:right="120" w:firstLine="440"/>
        <w:spacing w:after="0" w:line="277" w:lineRule="auto"/>
        <w:rPr>
          <w:sz w:val="20"/>
          <w:szCs w:val="20"/>
          <w:color w:val="auto"/>
        </w:rPr>
      </w:pPr>
      <w:r>
        <w:rPr>
          <w:rFonts w:ascii="Arial" w:cs="Arial" w:eastAsia="Arial" w:hAnsi="Arial"/>
          <w:sz w:val="18"/>
          <w:szCs w:val="18"/>
          <w:color w:val="auto"/>
        </w:rPr>
        <w:t>The opening and closing balances of the Company’s receivables, deferred contract costs and contract liabilities from contracts with customers are as follows (in thousands):</w:t>
      </w:r>
    </w:p>
    <w:p>
      <w:pPr>
        <w:spacing w:after="0" w:line="176" w:lineRule="exact"/>
        <w:rPr>
          <w:sz w:val="20"/>
          <w:szCs w:val="20"/>
          <w:color w:val="auto"/>
        </w:rPr>
      </w:pPr>
    </w:p>
    <w:tbl>
      <w:tblPr>
        <w:tblLayout w:type="fixed"/>
        <w:tblInd w:w="120" w:type="dxa"/>
        <w:tblCellMar>
          <w:top w:w="0" w:type="dxa"/>
          <w:left w:w="0" w:type="dxa"/>
          <w:bottom w:w="0" w:type="dxa"/>
          <w:right w:w="0" w:type="dxa"/>
        </w:tblCellMar>
      </w:tblPr>
      <w:tr>
        <w:trPr>
          <w:trHeight w:val="35"/>
        </w:trPr>
        <w:tc>
          <w:tcPr>
            <w:tcW w:w="6520" w:type="dxa"/>
            <w:vAlign w:val="bottom"/>
          </w:tcPr>
          <w:p>
            <w:pPr>
              <w:spacing w:after="0"/>
              <w:rPr>
                <w:sz w:val="3"/>
                <w:szCs w:val="3"/>
                <w:color w:val="auto"/>
              </w:rPr>
            </w:pPr>
          </w:p>
        </w:tc>
        <w:tc>
          <w:tcPr>
            <w:tcW w:w="180" w:type="dxa"/>
            <w:vAlign w:val="bottom"/>
          </w:tcPr>
          <w:p>
            <w:pPr>
              <w:spacing w:after="0"/>
              <w:rPr>
                <w:sz w:val="3"/>
                <w:szCs w:val="3"/>
                <w:color w:val="auto"/>
              </w:rPr>
            </w:pPr>
          </w:p>
        </w:tc>
        <w:tc>
          <w:tcPr>
            <w:tcW w:w="1780" w:type="dxa"/>
            <w:vAlign w:val="bottom"/>
            <w:gridSpan w:val="5"/>
            <w:vMerge w:val="restart"/>
          </w:tcPr>
          <w:p>
            <w:pPr>
              <w:ind w:left="480"/>
              <w:spacing w:after="0"/>
              <w:rPr>
                <w:sz w:val="20"/>
                <w:szCs w:val="20"/>
                <w:color w:val="auto"/>
              </w:rPr>
            </w:pPr>
            <w:r>
              <w:rPr>
                <w:rFonts w:ascii="Arial" w:cs="Arial" w:eastAsia="Arial" w:hAnsi="Arial"/>
                <w:sz w:val="14"/>
                <w:szCs w:val="14"/>
                <w:b w:val="1"/>
                <w:bCs w:val="1"/>
                <w:color w:val="auto"/>
                <w:w w:val="92"/>
              </w:rPr>
              <w:t>Successor Company</w:t>
            </w: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260" w:type="dxa"/>
            <w:vAlign w:val="bottom"/>
          </w:tcPr>
          <w:p>
            <w:pPr>
              <w:spacing w:after="0"/>
              <w:rPr>
                <w:sz w:val="3"/>
                <w:szCs w:val="3"/>
                <w:color w:val="auto"/>
              </w:rPr>
            </w:pPr>
          </w:p>
        </w:tc>
        <w:tc>
          <w:tcPr>
            <w:tcW w:w="1420" w:type="dxa"/>
            <w:vAlign w:val="bottom"/>
            <w:gridSpan w:val="4"/>
            <w:vMerge w:val="restart"/>
          </w:tcPr>
          <w:p>
            <w:pPr>
              <w:jc w:val="center"/>
              <w:ind w:right="60"/>
              <w:spacing w:after="0"/>
              <w:rPr>
                <w:sz w:val="20"/>
                <w:szCs w:val="20"/>
                <w:color w:val="auto"/>
              </w:rPr>
            </w:pPr>
            <w:r>
              <w:rPr>
                <w:rFonts w:ascii="Arial" w:cs="Arial" w:eastAsia="Arial" w:hAnsi="Arial"/>
                <w:sz w:val="14"/>
                <w:szCs w:val="14"/>
                <w:b w:val="1"/>
                <w:bCs w:val="1"/>
                <w:color w:val="auto"/>
                <w:w w:val="85"/>
              </w:rPr>
              <w:t>Predecessor</w:t>
            </w:r>
          </w:p>
        </w:tc>
        <w:tc>
          <w:tcPr>
            <w:tcW w:w="0" w:type="dxa"/>
            <w:vAlign w:val="bottom"/>
          </w:tcPr>
          <w:p>
            <w:pPr>
              <w:spacing w:after="0" w:line="20" w:lineRule="exact"/>
              <w:rPr>
                <w:sz w:val="1"/>
                <w:szCs w:val="1"/>
                <w:color w:val="auto"/>
              </w:rPr>
            </w:pPr>
          </w:p>
        </w:tc>
      </w:tr>
      <w:tr>
        <w:trPr>
          <w:trHeight w:val="126"/>
        </w:trPr>
        <w:tc>
          <w:tcPr>
            <w:tcW w:w="65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780" w:type="dxa"/>
            <w:vAlign w:val="bottom"/>
            <w:gridSpan w:val="5"/>
            <w:vMerge w:val="continue"/>
          </w:tcPr>
          <w:p>
            <w:pPr>
              <w:spacing w:after="0"/>
              <w:rPr>
                <w:sz w:val="10"/>
                <w:szCs w:val="10"/>
                <w:color w:val="auto"/>
              </w:rPr>
            </w:pPr>
          </w:p>
        </w:tc>
        <w:tc>
          <w:tcPr>
            <w:tcW w:w="580" w:type="dxa"/>
            <w:vAlign w:val="bottom"/>
          </w:tcPr>
          <w:p>
            <w:pPr>
              <w:spacing w:after="0"/>
              <w:rPr>
                <w:sz w:val="10"/>
                <w:szCs w:val="10"/>
                <w:color w:val="auto"/>
              </w:rPr>
            </w:pPr>
          </w:p>
        </w:tc>
        <w:tc>
          <w:tcPr>
            <w:tcW w:w="280" w:type="dxa"/>
            <w:vAlign w:val="bottom"/>
            <w:tcBorders>
              <w:right w:val="single" w:sz="8" w:color="auto"/>
            </w:tcBorders>
          </w:tcPr>
          <w:p>
            <w:pPr>
              <w:spacing w:after="0"/>
              <w:rPr>
                <w:sz w:val="10"/>
                <w:szCs w:val="10"/>
                <w:color w:val="auto"/>
              </w:rPr>
            </w:pPr>
          </w:p>
        </w:tc>
        <w:tc>
          <w:tcPr>
            <w:tcW w:w="260" w:type="dxa"/>
            <w:vAlign w:val="bottom"/>
          </w:tcPr>
          <w:p>
            <w:pPr>
              <w:spacing w:after="0"/>
              <w:rPr>
                <w:sz w:val="10"/>
                <w:szCs w:val="10"/>
                <w:color w:val="auto"/>
              </w:rPr>
            </w:pPr>
          </w:p>
        </w:tc>
        <w:tc>
          <w:tcPr>
            <w:tcW w:w="1420" w:type="dxa"/>
            <w:vAlign w:val="bottom"/>
            <w:gridSpan w:val="4"/>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65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780" w:type="dxa"/>
            <w:vAlign w:val="bottom"/>
            <w:gridSpan w:val="5"/>
            <w:vMerge w:val="continue"/>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Borders>
              <w:right w:val="single" w:sz="8" w:color="auto"/>
            </w:tcBorders>
          </w:tcPr>
          <w:p>
            <w:pPr>
              <w:spacing w:after="0"/>
              <w:rPr>
                <w:sz w:val="14"/>
                <w:szCs w:val="14"/>
                <w:color w:val="auto"/>
              </w:rPr>
            </w:pPr>
          </w:p>
        </w:tc>
        <w:tc>
          <w:tcPr>
            <w:tcW w:w="260" w:type="dxa"/>
            <w:vAlign w:val="bottom"/>
          </w:tcPr>
          <w:p>
            <w:pPr>
              <w:spacing w:after="0"/>
              <w:rPr>
                <w:sz w:val="14"/>
                <w:szCs w:val="14"/>
                <w:color w:val="auto"/>
              </w:rPr>
            </w:pPr>
          </w:p>
        </w:tc>
        <w:tc>
          <w:tcPr>
            <w:tcW w:w="1420" w:type="dxa"/>
            <w:vAlign w:val="bottom"/>
            <w:gridSpan w:val="4"/>
          </w:tcPr>
          <w:p>
            <w:pPr>
              <w:jc w:val="center"/>
              <w:ind w:right="60"/>
              <w:spacing w:after="0"/>
              <w:rPr>
                <w:sz w:val="20"/>
                <w:szCs w:val="20"/>
                <w:color w:val="auto"/>
              </w:rPr>
            </w:pPr>
            <w:r>
              <w:rPr>
                <w:rFonts w:ascii="Arial" w:cs="Arial" w:eastAsia="Arial" w:hAnsi="Arial"/>
                <w:sz w:val="14"/>
                <w:szCs w:val="14"/>
                <w:b w:val="1"/>
                <w:bCs w:val="1"/>
                <w:color w:val="auto"/>
                <w:w w:val="93"/>
              </w:rPr>
              <w:t>Company</w:t>
            </w:r>
          </w:p>
        </w:tc>
        <w:tc>
          <w:tcPr>
            <w:tcW w:w="0" w:type="dxa"/>
            <w:vAlign w:val="bottom"/>
          </w:tcPr>
          <w:p>
            <w:pPr>
              <w:spacing w:after="0"/>
              <w:rPr>
                <w:sz w:val="1"/>
                <w:szCs w:val="1"/>
                <w:color w:val="auto"/>
              </w:rPr>
            </w:pPr>
          </w:p>
        </w:tc>
      </w:tr>
      <w:tr>
        <w:trPr>
          <w:trHeight w:val="123"/>
        </w:trPr>
        <w:tc>
          <w:tcPr>
            <w:tcW w:w="6520" w:type="dxa"/>
            <w:vAlign w:val="bottom"/>
          </w:tcPr>
          <w:p>
            <w:pPr>
              <w:spacing w:after="0"/>
              <w:rPr>
                <w:sz w:val="10"/>
                <w:szCs w:val="10"/>
                <w:color w:val="auto"/>
              </w:rPr>
            </w:pPr>
          </w:p>
        </w:tc>
        <w:tc>
          <w:tcPr>
            <w:tcW w:w="980" w:type="dxa"/>
            <w:vAlign w:val="bottom"/>
            <w:tcBorders>
              <w:top w:val="single" w:sz="8" w:color="auto"/>
            </w:tcBorders>
            <w:gridSpan w:val="3"/>
          </w:tcPr>
          <w:p>
            <w:pPr>
              <w:ind w:left="20"/>
              <w:spacing w:after="0" w:line="123" w:lineRule="exact"/>
              <w:rPr>
                <w:sz w:val="20"/>
                <w:szCs w:val="20"/>
                <w:color w:val="auto"/>
              </w:rPr>
            </w:pPr>
            <w:r>
              <w:rPr>
                <w:rFonts w:ascii="Arial" w:cs="Arial" w:eastAsia="Arial" w:hAnsi="Arial"/>
                <w:sz w:val="14"/>
                <w:szCs w:val="14"/>
                <w:color w:val="auto"/>
              </w:rPr>
              <w:t>December 31,</w:t>
            </w:r>
          </w:p>
        </w:tc>
        <w:tc>
          <w:tcPr>
            <w:tcW w:w="980" w:type="dxa"/>
            <w:vAlign w:val="bottom"/>
            <w:tcBorders>
              <w:top w:val="single" w:sz="8" w:color="auto"/>
            </w:tcBorders>
            <w:gridSpan w:val="3"/>
          </w:tcPr>
          <w:p>
            <w:pPr>
              <w:spacing w:after="0" w:line="123" w:lineRule="exact"/>
              <w:rPr>
                <w:sz w:val="20"/>
                <w:szCs w:val="20"/>
                <w:color w:val="auto"/>
              </w:rPr>
            </w:pPr>
            <w:r>
              <w:rPr>
                <w:rFonts w:ascii="Arial" w:cs="Arial" w:eastAsia="Arial" w:hAnsi="Arial"/>
                <w:sz w:val="14"/>
                <w:szCs w:val="14"/>
                <w:color w:val="auto"/>
              </w:rPr>
              <w:t>December 31,</w:t>
            </w:r>
          </w:p>
        </w:tc>
        <w:tc>
          <w:tcPr>
            <w:tcW w:w="580" w:type="dxa"/>
            <w:vAlign w:val="bottom"/>
            <w:tcBorders>
              <w:top w:val="single" w:sz="8" w:color="auto"/>
            </w:tcBorders>
          </w:tcPr>
          <w:p>
            <w:pPr>
              <w:ind w:left="60"/>
              <w:spacing w:after="0" w:line="123" w:lineRule="exact"/>
              <w:rPr>
                <w:sz w:val="20"/>
                <w:szCs w:val="20"/>
                <w:color w:val="auto"/>
              </w:rPr>
            </w:pPr>
            <w:r>
              <w:rPr>
                <w:rFonts w:ascii="Arial" w:cs="Arial" w:eastAsia="Arial" w:hAnsi="Arial"/>
                <w:sz w:val="14"/>
                <w:szCs w:val="14"/>
                <w:color w:val="auto"/>
              </w:rPr>
              <w:t>July 16,</w:t>
            </w:r>
          </w:p>
        </w:tc>
        <w:tc>
          <w:tcPr>
            <w:tcW w:w="280" w:type="dxa"/>
            <w:vAlign w:val="bottom"/>
            <w:tcBorders>
              <w:right w:val="single" w:sz="8" w:color="auto"/>
            </w:tcBorders>
          </w:tcPr>
          <w:p>
            <w:pPr>
              <w:spacing w:after="0"/>
              <w:rPr>
                <w:sz w:val="10"/>
                <w:szCs w:val="10"/>
                <w:color w:val="auto"/>
              </w:rPr>
            </w:pPr>
          </w:p>
        </w:tc>
        <w:tc>
          <w:tcPr>
            <w:tcW w:w="260" w:type="dxa"/>
            <w:vAlign w:val="bottom"/>
          </w:tcPr>
          <w:p>
            <w:pPr>
              <w:spacing w:after="0"/>
              <w:rPr>
                <w:sz w:val="10"/>
                <w:szCs w:val="10"/>
                <w:color w:val="auto"/>
              </w:rPr>
            </w:pPr>
          </w:p>
        </w:tc>
        <w:tc>
          <w:tcPr>
            <w:tcW w:w="760" w:type="dxa"/>
            <w:vAlign w:val="bottom"/>
            <w:tcBorders>
              <w:top w:val="single" w:sz="8" w:color="auto"/>
            </w:tcBorders>
            <w:gridSpan w:val="2"/>
          </w:tcPr>
          <w:p>
            <w:pPr>
              <w:jc w:val="right"/>
              <w:ind w:right="220"/>
              <w:spacing w:after="0" w:line="123" w:lineRule="exact"/>
              <w:rPr>
                <w:sz w:val="20"/>
                <w:szCs w:val="20"/>
                <w:color w:val="auto"/>
              </w:rPr>
            </w:pPr>
            <w:r>
              <w:rPr>
                <w:rFonts w:ascii="Arial" w:cs="Arial" w:eastAsia="Arial" w:hAnsi="Arial"/>
                <w:sz w:val="14"/>
                <w:szCs w:val="14"/>
                <w:color w:val="auto"/>
              </w:rPr>
              <w:t>July 15,</w:t>
            </w:r>
          </w:p>
        </w:tc>
        <w:tc>
          <w:tcPr>
            <w:tcW w:w="600" w:type="dxa"/>
            <w:vAlign w:val="bottom"/>
            <w:tcBorders>
              <w:top w:val="single" w:sz="8" w:color="auto"/>
            </w:tcBorders>
          </w:tcPr>
          <w:p>
            <w:pPr>
              <w:jc w:val="right"/>
              <w:spacing w:after="0" w:line="123" w:lineRule="exact"/>
              <w:rPr>
                <w:sz w:val="20"/>
                <w:szCs w:val="20"/>
                <w:color w:val="auto"/>
              </w:rPr>
            </w:pPr>
            <w:r>
              <w:rPr>
                <w:rFonts w:ascii="Arial" w:cs="Arial" w:eastAsia="Arial" w:hAnsi="Arial"/>
                <w:sz w:val="14"/>
                <w:szCs w:val="14"/>
                <w:color w:val="auto"/>
                <w:w w:val="88"/>
              </w:rPr>
              <w:t>January 1,</w:t>
            </w: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7"/>
        </w:trPr>
        <w:tc>
          <w:tcPr>
            <w:tcW w:w="652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176"/>
              <w:spacing w:after="0"/>
              <w:rPr>
                <w:sz w:val="20"/>
                <w:szCs w:val="20"/>
                <w:color w:val="auto"/>
              </w:rPr>
            </w:pPr>
            <w:r>
              <w:rPr>
                <w:rFonts w:ascii="Arial" w:cs="Arial" w:eastAsia="Arial" w:hAnsi="Arial"/>
                <w:sz w:val="14"/>
                <w:szCs w:val="14"/>
                <w:color w:val="auto"/>
              </w:rPr>
              <w:t>2020</w:t>
            </w:r>
          </w:p>
        </w:tc>
        <w:tc>
          <w:tcPr>
            <w:tcW w:w="16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174"/>
              <w:spacing w:after="0"/>
              <w:rPr>
                <w:sz w:val="20"/>
                <w:szCs w:val="20"/>
                <w:color w:val="auto"/>
              </w:rPr>
            </w:pPr>
            <w:r>
              <w:rPr>
                <w:rFonts w:ascii="Arial" w:cs="Arial" w:eastAsia="Arial" w:hAnsi="Arial"/>
                <w:sz w:val="14"/>
                <w:szCs w:val="14"/>
                <w:color w:val="auto"/>
              </w:rPr>
              <w:t>2019</w:t>
            </w:r>
          </w:p>
        </w:tc>
        <w:tc>
          <w:tcPr>
            <w:tcW w:w="160" w:type="dxa"/>
            <w:vAlign w:val="bottom"/>
            <w:tcBorders>
              <w:bottom w:val="single" w:sz="8" w:color="CCEEFF"/>
            </w:tcBorders>
          </w:tcPr>
          <w:p>
            <w:pPr>
              <w:spacing w:after="0"/>
              <w:rPr>
                <w:sz w:val="14"/>
                <w:szCs w:val="14"/>
                <w:color w:val="auto"/>
              </w:rPr>
            </w:pPr>
          </w:p>
        </w:tc>
        <w:tc>
          <w:tcPr>
            <w:tcW w:w="58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6"/>
              </w:rPr>
              <w:t>2019</w:t>
            </w:r>
          </w:p>
        </w:tc>
        <w:tc>
          <w:tcPr>
            <w:tcW w:w="280" w:type="dxa"/>
            <w:vAlign w:val="bottom"/>
            <w:tcBorders>
              <w:bottom w:val="single" w:sz="8" w:color="CCEEFF"/>
              <w:right w:val="single" w:sz="8" w:color="auto"/>
            </w:tcBorders>
          </w:tcPr>
          <w:p>
            <w:pPr>
              <w:spacing w:after="0"/>
              <w:rPr>
                <w:sz w:val="14"/>
                <w:szCs w:val="14"/>
                <w:color w:val="auto"/>
              </w:rPr>
            </w:pPr>
          </w:p>
        </w:tc>
        <w:tc>
          <w:tcPr>
            <w:tcW w:w="260" w:type="dxa"/>
            <w:vAlign w:val="bottom"/>
            <w:tcBorders>
              <w:bottom w:val="single" w:sz="8" w:color="CCEEFF"/>
            </w:tcBorders>
          </w:tcPr>
          <w:p>
            <w:pPr>
              <w:spacing w:after="0"/>
              <w:rPr>
                <w:sz w:val="14"/>
                <w:szCs w:val="14"/>
                <w:color w:val="auto"/>
              </w:rPr>
            </w:pPr>
          </w:p>
        </w:tc>
        <w:tc>
          <w:tcPr>
            <w:tcW w:w="600" w:type="dxa"/>
            <w:vAlign w:val="bottom"/>
            <w:tcBorders>
              <w:bottom w:val="single" w:sz="8" w:color="auto"/>
            </w:tcBorders>
          </w:tcPr>
          <w:p>
            <w:pPr>
              <w:jc w:val="right"/>
              <w:ind w:right="79"/>
              <w:spacing w:after="0"/>
              <w:rPr>
                <w:sz w:val="20"/>
                <w:szCs w:val="20"/>
                <w:color w:val="auto"/>
              </w:rPr>
            </w:pPr>
            <w:r>
              <w:rPr>
                <w:rFonts w:ascii="Arial" w:cs="Arial" w:eastAsia="Arial" w:hAnsi="Arial"/>
                <w:sz w:val="14"/>
                <w:szCs w:val="14"/>
                <w:color w:val="auto"/>
              </w:rPr>
              <w:t>2019</w:t>
            </w:r>
          </w:p>
        </w:tc>
        <w:tc>
          <w:tcPr>
            <w:tcW w:w="160" w:type="dxa"/>
            <w:vAlign w:val="bottom"/>
            <w:tcBorders>
              <w:bottom w:val="single" w:sz="8" w:color="CCEEFF"/>
            </w:tcBorders>
          </w:tcPr>
          <w:p>
            <w:pPr>
              <w:spacing w:after="0"/>
              <w:rPr>
                <w:sz w:val="14"/>
                <w:szCs w:val="14"/>
                <w:color w:val="auto"/>
              </w:rPr>
            </w:pPr>
          </w:p>
        </w:tc>
        <w:tc>
          <w:tcPr>
            <w:tcW w:w="600" w:type="dxa"/>
            <w:vAlign w:val="bottom"/>
            <w:tcBorders>
              <w:bottom w:val="single" w:sz="8" w:color="auto"/>
            </w:tcBorders>
          </w:tcPr>
          <w:p>
            <w:pPr>
              <w:jc w:val="right"/>
              <w:ind w:right="76"/>
              <w:spacing w:after="0"/>
              <w:rPr>
                <w:sz w:val="20"/>
                <w:szCs w:val="20"/>
                <w:color w:val="auto"/>
              </w:rPr>
            </w:pPr>
            <w:r>
              <w:rPr>
                <w:rFonts w:ascii="Arial" w:cs="Arial" w:eastAsia="Arial" w:hAnsi="Arial"/>
                <w:sz w:val="14"/>
                <w:szCs w:val="14"/>
                <w:color w:val="auto"/>
              </w:rPr>
              <w:t>2019</w:t>
            </w:r>
          </w:p>
        </w:tc>
        <w:tc>
          <w:tcPr>
            <w:tcW w:w="6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209"/>
        </w:trPr>
        <w:tc>
          <w:tcPr>
            <w:tcW w:w="6520" w:type="dxa"/>
            <w:vAlign w:val="bottom"/>
            <w:shd w:val="clear" w:color="auto" w:fill="CCEEFF"/>
          </w:tcPr>
          <w:p>
            <w:pPr>
              <w:spacing w:after="0"/>
              <w:rPr>
                <w:sz w:val="20"/>
                <w:szCs w:val="20"/>
                <w:color w:val="auto"/>
              </w:rPr>
            </w:pPr>
            <w:r>
              <w:rPr>
                <w:rFonts w:ascii="Arial" w:cs="Arial" w:eastAsia="Arial" w:hAnsi="Arial"/>
                <w:sz w:val="18"/>
                <w:szCs w:val="18"/>
                <w:color w:val="auto"/>
              </w:rPr>
              <w:t>Accounts receivables, net</w:t>
            </w:r>
          </w:p>
        </w:tc>
        <w:tc>
          <w:tcPr>
            <w:tcW w:w="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33,108</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25,021</w:t>
            </w:r>
          </w:p>
        </w:tc>
        <w:tc>
          <w:tcPr>
            <w:tcW w:w="160" w:type="dxa"/>
            <w:vAlign w:val="bottom"/>
            <w:shd w:val="clear" w:color="auto" w:fill="CCEEFF"/>
          </w:tcPr>
          <w:p>
            <w:pPr>
              <w:spacing w:after="0"/>
              <w:rPr>
                <w:sz w:val="18"/>
                <w:szCs w:val="18"/>
                <w:color w:val="auto"/>
              </w:rPr>
            </w:pPr>
          </w:p>
        </w:tc>
        <w:tc>
          <w:tcPr>
            <w:tcW w:w="5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$12,747</w:t>
            </w:r>
          </w:p>
        </w:tc>
        <w:tc>
          <w:tcPr>
            <w:tcW w:w="280" w:type="dxa"/>
            <w:vAlign w:val="bottom"/>
            <w:tcBorders>
              <w:right w:val="single" w:sz="8" w:color="auto"/>
            </w:tcBorders>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$12,747</w:t>
            </w: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$15,299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20" w:type="dxa"/>
            <w:vAlign w:val="bottom"/>
          </w:tcPr>
          <w:p>
            <w:pPr>
              <w:spacing w:after="0"/>
              <w:rPr>
                <w:sz w:val="20"/>
                <w:szCs w:val="20"/>
                <w:color w:val="auto"/>
              </w:rPr>
            </w:pPr>
            <w:r>
              <w:rPr>
                <w:rFonts w:ascii="Arial" w:cs="Arial" w:eastAsia="Arial" w:hAnsi="Arial"/>
                <w:sz w:val="18"/>
                <w:szCs w:val="18"/>
                <w:color w:val="auto"/>
              </w:rPr>
              <w:t>Deferred contract costs</w:t>
            </w:r>
          </w:p>
        </w:tc>
        <w:tc>
          <w:tcPr>
            <w:tcW w:w="180" w:type="dxa"/>
            <w:vAlign w:val="bottom"/>
          </w:tcPr>
          <w:p>
            <w:pPr>
              <w:spacing w:after="0"/>
              <w:rPr>
                <w:sz w:val="18"/>
                <w:szCs w:val="18"/>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8"/>
                <w:szCs w:val="18"/>
                <w:color w:val="auto"/>
              </w:rPr>
              <w:t>2,947</w:t>
            </w:r>
          </w:p>
        </w:tc>
        <w:tc>
          <w:tcPr>
            <w:tcW w:w="180" w:type="dxa"/>
            <w:vAlign w:val="bottom"/>
          </w:tcPr>
          <w:p>
            <w:pPr>
              <w:spacing w:after="0"/>
              <w:rPr>
                <w:sz w:val="18"/>
                <w:szCs w:val="18"/>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8"/>
                <w:szCs w:val="18"/>
                <w:color w:val="auto"/>
              </w:rPr>
              <w:t>769</w:t>
            </w:r>
          </w:p>
        </w:tc>
        <w:tc>
          <w:tcPr>
            <w:tcW w:w="860" w:type="dxa"/>
            <w:vAlign w:val="bottom"/>
            <w:tcBorders>
              <w:right w:val="single" w:sz="8" w:color="auto"/>
            </w:tcBorders>
            <w:gridSpan w:val="2"/>
          </w:tcPr>
          <w:p>
            <w:pPr>
              <w:ind w:left="3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760" w:type="dxa"/>
            <w:vAlign w:val="bottom"/>
            <w:gridSpan w:val="2"/>
          </w:tcPr>
          <w:p>
            <w:pPr>
              <w:jc w:val="right"/>
              <w:ind w:right="160"/>
              <w:spacing w:after="0"/>
              <w:rPr>
                <w:sz w:val="20"/>
                <w:szCs w:val="20"/>
                <w:color w:val="auto"/>
              </w:rPr>
            </w:pPr>
            <w:r>
              <w:rPr>
                <w:rFonts w:ascii="Arial" w:cs="Arial" w:eastAsia="Arial" w:hAnsi="Arial"/>
                <w:sz w:val="18"/>
                <w:szCs w:val="18"/>
                <w:color w:val="auto"/>
              </w:rPr>
              <w:t>1,906</w:t>
            </w:r>
          </w:p>
        </w:tc>
        <w:tc>
          <w:tcPr>
            <w:tcW w:w="660" w:type="dxa"/>
            <w:vAlign w:val="bottom"/>
            <w:gridSpan w:val="2"/>
          </w:tcPr>
          <w:p>
            <w:pPr>
              <w:jc w:val="right"/>
              <w:ind w:right="60"/>
              <w:spacing w:after="0"/>
              <w:rPr>
                <w:sz w:val="20"/>
                <w:szCs w:val="20"/>
                <w:color w:val="auto"/>
              </w:rPr>
            </w:pPr>
            <w:r>
              <w:rPr>
                <w:rFonts w:ascii="Arial" w:cs="Arial" w:eastAsia="Arial" w:hAnsi="Arial"/>
                <w:sz w:val="18"/>
                <w:szCs w:val="18"/>
                <w:color w:val="auto"/>
              </w:rPr>
              <w:t>1,346</w:t>
            </w:r>
          </w:p>
        </w:tc>
        <w:tc>
          <w:tcPr>
            <w:tcW w:w="0" w:type="dxa"/>
            <w:vAlign w:val="bottom"/>
          </w:tcPr>
          <w:p>
            <w:pPr>
              <w:spacing w:after="0"/>
              <w:rPr>
                <w:sz w:val="1"/>
                <w:szCs w:val="1"/>
                <w:color w:val="auto"/>
              </w:rPr>
            </w:pPr>
          </w:p>
        </w:tc>
      </w:tr>
      <w:tr>
        <w:trPr>
          <w:trHeight w:val="216"/>
        </w:trPr>
        <w:tc>
          <w:tcPr>
            <w:tcW w:w="6520" w:type="dxa"/>
            <w:vAlign w:val="bottom"/>
            <w:shd w:val="clear" w:color="auto" w:fill="CCEEFF"/>
          </w:tcPr>
          <w:p>
            <w:pPr>
              <w:spacing w:after="0"/>
              <w:rPr>
                <w:sz w:val="20"/>
                <w:szCs w:val="20"/>
                <w:color w:val="auto"/>
              </w:rPr>
            </w:pPr>
            <w:r>
              <w:rPr>
                <w:rFonts w:ascii="Arial" w:cs="Arial" w:eastAsia="Arial" w:hAnsi="Arial"/>
                <w:sz w:val="18"/>
                <w:szCs w:val="18"/>
                <w:color w:val="auto"/>
              </w:rPr>
              <w:t>Long-term deferred contract costs</w:t>
            </w:r>
          </w:p>
        </w:tc>
        <w:tc>
          <w:tcPr>
            <w:tcW w:w="1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5,952</w:t>
            </w:r>
          </w:p>
        </w:tc>
        <w:tc>
          <w:tcPr>
            <w:tcW w:w="1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2,116</w:t>
            </w:r>
          </w:p>
        </w:tc>
        <w:tc>
          <w:tcPr>
            <w:tcW w:w="860" w:type="dxa"/>
            <w:vAlign w:val="bottom"/>
            <w:tcBorders>
              <w:right w:val="single" w:sz="8" w:color="auto"/>
            </w:tcBorders>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3,829</w:t>
            </w:r>
          </w:p>
        </w:tc>
        <w:tc>
          <w:tcPr>
            <w:tcW w:w="6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2,973</w:t>
            </w:r>
          </w:p>
        </w:tc>
        <w:tc>
          <w:tcPr>
            <w:tcW w:w="0" w:type="dxa"/>
            <w:vAlign w:val="bottom"/>
          </w:tcPr>
          <w:p>
            <w:pPr>
              <w:spacing w:after="0"/>
              <w:rPr>
                <w:sz w:val="1"/>
                <w:szCs w:val="1"/>
                <w:color w:val="auto"/>
              </w:rPr>
            </w:pPr>
          </w:p>
        </w:tc>
      </w:tr>
      <w:tr>
        <w:trPr>
          <w:trHeight w:val="216"/>
        </w:trPr>
        <w:tc>
          <w:tcPr>
            <w:tcW w:w="6520" w:type="dxa"/>
            <w:vAlign w:val="bottom"/>
          </w:tcPr>
          <w:p>
            <w:pPr>
              <w:spacing w:after="0"/>
              <w:rPr>
                <w:sz w:val="20"/>
                <w:szCs w:val="20"/>
                <w:color w:val="auto"/>
              </w:rPr>
            </w:pPr>
            <w:r>
              <w:rPr>
                <w:rFonts w:ascii="Arial" w:cs="Arial" w:eastAsia="Arial" w:hAnsi="Arial"/>
                <w:sz w:val="18"/>
                <w:szCs w:val="18"/>
                <w:color w:val="auto"/>
              </w:rPr>
              <w:t>Deferred revenues</w:t>
            </w:r>
          </w:p>
        </w:tc>
        <w:tc>
          <w:tcPr>
            <w:tcW w:w="180" w:type="dxa"/>
            <w:vAlign w:val="bottom"/>
          </w:tcPr>
          <w:p>
            <w:pPr>
              <w:ind w:left="20"/>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160"/>
              <w:spacing w:after="0"/>
              <w:rPr>
                <w:sz w:val="20"/>
                <w:szCs w:val="20"/>
                <w:color w:val="auto"/>
              </w:rPr>
            </w:pPr>
            <w:r>
              <w:rPr>
                <w:rFonts w:ascii="Arial" w:cs="Arial" w:eastAsia="Arial" w:hAnsi="Arial"/>
                <w:sz w:val="18"/>
                <w:szCs w:val="18"/>
                <w:color w:val="auto"/>
              </w:rPr>
              <w:t>61,200</w:t>
            </w: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160"/>
              <w:spacing w:after="0"/>
              <w:rPr>
                <w:sz w:val="20"/>
                <w:szCs w:val="20"/>
                <w:color w:val="auto"/>
              </w:rPr>
            </w:pPr>
            <w:r>
              <w:rPr>
                <w:rFonts w:ascii="Arial" w:cs="Arial" w:eastAsia="Arial" w:hAnsi="Arial"/>
                <w:sz w:val="18"/>
                <w:szCs w:val="18"/>
                <w:color w:val="auto"/>
              </w:rPr>
              <w:t>46,125</w:t>
            </w:r>
          </w:p>
        </w:tc>
        <w:tc>
          <w:tcPr>
            <w:tcW w:w="860" w:type="dxa"/>
            <w:vAlign w:val="bottom"/>
            <w:tcBorders>
              <w:right w:val="single" w:sz="8" w:color="auto"/>
            </w:tcBorders>
            <w:gridSpan w:val="2"/>
          </w:tcPr>
          <w:p>
            <w:pPr>
              <w:jc w:val="center"/>
              <w:ind w:right="280"/>
              <w:spacing w:after="0"/>
              <w:rPr>
                <w:sz w:val="20"/>
                <w:szCs w:val="20"/>
                <w:color w:val="auto"/>
              </w:rPr>
            </w:pPr>
            <w:r>
              <w:rPr>
                <w:rFonts w:ascii="Arial" w:cs="Arial" w:eastAsia="Arial" w:hAnsi="Arial"/>
                <w:sz w:val="18"/>
                <w:szCs w:val="18"/>
                <w:color w:val="auto"/>
                <w:w w:val="89"/>
              </w:rPr>
              <w:t>$32,000</w:t>
            </w:r>
          </w:p>
        </w:tc>
        <w:tc>
          <w:tcPr>
            <w:tcW w:w="260" w:type="dxa"/>
            <w:vAlign w:val="bottom"/>
          </w:tcPr>
          <w:p>
            <w:pPr>
              <w:spacing w:after="0"/>
              <w:rPr>
                <w:sz w:val="18"/>
                <w:szCs w:val="18"/>
                <w:color w:val="auto"/>
              </w:rPr>
            </w:pPr>
          </w:p>
        </w:tc>
        <w:tc>
          <w:tcPr>
            <w:tcW w:w="760" w:type="dxa"/>
            <w:vAlign w:val="bottom"/>
            <w:gridSpan w:val="2"/>
          </w:tcPr>
          <w:p>
            <w:pPr>
              <w:jc w:val="right"/>
              <w:ind w:right="160"/>
              <w:spacing w:after="0"/>
              <w:rPr>
                <w:sz w:val="20"/>
                <w:szCs w:val="20"/>
                <w:color w:val="auto"/>
              </w:rPr>
            </w:pPr>
            <w:r>
              <w:rPr>
                <w:rFonts w:ascii="Arial" w:cs="Arial" w:eastAsia="Arial" w:hAnsi="Arial"/>
                <w:sz w:val="18"/>
                <w:szCs w:val="18"/>
                <w:color w:val="auto"/>
                <w:w w:val="89"/>
              </w:rPr>
              <w:t>$38,278</w:t>
            </w:r>
          </w:p>
        </w:tc>
        <w:tc>
          <w:tcPr>
            <w:tcW w:w="660" w:type="dxa"/>
            <w:vAlign w:val="bottom"/>
            <w:gridSpan w:val="2"/>
          </w:tcPr>
          <w:p>
            <w:pPr>
              <w:jc w:val="right"/>
              <w:ind w:right="60"/>
              <w:spacing w:after="0"/>
              <w:rPr>
                <w:sz w:val="20"/>
                <w:szCs w:val="20"/>
                <w:color w:val="auto"/>
              </w:rPr>
            </w:pPr>
            <w:r>
              <w:rPr>
                <w:rFonts w:ascii="Arial" w:cs="Arial" w:eastAsia="Arial" w:hAnsi="Arial"/>
                <w:sz w:val="18"/>
                <w:szCs w:val="18"/>
                <w:color w:val="auto"/>
                <w:w w:val="89"/>
              </w:rPr>
              <w:t>$31,458</w:t>
            </w:r>
          </w:p>
        </w:tc>
        <w:tc>
          <w:tcPr>
            <w:tcW w:w="0" w:type="dxa"/>
            <w:vAlign w:val="bottom"/>
          </w:tcPr>
          <w:p>
            <w:pPr>
              <w:spacing w:after="0"/>
              <w:rPr>
                <w:sz w:val="1"/>
                <w:szCs w:val="1"/>
                <w:color w:val="auto"/>
              </w:rPr>
            </w:pPr>
          </w:p>
        </w:tc>
      </w:tr>
    </w:tbl>
    <w:p>
      <w:pPr>
        <w:spacing w:after="0" w:line="310"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Deferred Contract Costs</w:t>
      </w:r>
    </w:p>
    <w:p>
      <w:pPr>
        <w:spacing w:after="0" w:line="117" w:lineRule="exact"/>
        <w:rPr>
          <w:sz w:val="20"/>
          <w:szCs w:val="20"/>
          <w:color w:val="auto"/>
        </w:rPr>
      </w:pPr>
    </w:p>
    <w:p>
      <w:pPr>
        <w:ind w:left="560"/>
        <w:spacing w:after="0"/>
        <w:rPr>
          <w:sz w:val="20"/>
          <w:szCs w:val="20"/>
          <w:color w:val="auto"/>
        </w:rPr>
      </w:pPr>
      <w:r>
        <w:rPr>
          <w:rFonts w:ascii="Arial" w:cs="Arial" w:eastAsia="Arial" w:hAnsi="Arial"/>
          <w:sz w:val="17"/>
          <w:szCs w:val="17"/>
          <w:color w:val="auto"/>
        </w:rPr>
        <w:t>A summary of the activity impacting the deferred contract costs during the year ended December 31, 2020 and the periods from July 16, to</w:t>
      </w:r>
    </w:p>
    <w:p>
      <w:pPr>
        <w:spacing w:after="0" w:line="35" w:lineRule="exact"/>
        <w:rPr>
          <w:sz w:val="20"/>
          <w:szCs w:val="20"/>
          <w:color w:val="auto"/>
        </w:rPr>
      </w:pPr>
    </w:p>
    <w:p>
      <w:pPr>
        <w:ind w:left="120"/>
        <w:spacing w:after="0"/>
        <w:rPr>
          <w:sz w:val="20"/>
          <w:szCs w:val="20"/>
          <w:color w:val="auto"/>
        </w:rPr>
      </w:pPr>
      <w:r>
        <w:rPr>
          <w:rFonts w:ascii="Arial" w:cs="Arial" w:eastAsia="Arial" w:hAnsi="Arial"/>
          <w:sz w:val="18"/>
          <w:szCs w:val="18"/>
          <w:color w:val="auto"/>
        </w:rPr>
        <w:t>December 31, 2019 (Successor) and January 1, 2019 to July 15, 2019 (Predecessor) is presented below (in thousands):</w:t>
      </w:r>
    </w:p>
    <w:p>
      <w:pPr>
        <w:spacing w:after="0" w:line="217" w:lineRule="exact"/>
        <w:rPr>
          <w:sz w:val="20"/>
          <w:szCs w:val="20"/>
          <w:color w:val="auto"/>
        </w:rPr>
      </w:pPr>
    </w:p>
    <w:tbl>
      <w:tblPr>
        <w:tblLayout w:type="fixed"/>
        <w:tblInd w:w="120" w:type="dxa"/>
        <w:tblCellMar>
          <w:top w:w="0" w:type="dxa"/>
          <w:left w:w="0" w:type="dxa"/>
          <w:bottom w:w="0" w:type="dxa"/>
          <w:right w:w="0" w:type="dxa"/>
        </w:tblCellMar>
      </w:tblPr>
      <w:tr>
        <w:trPr>
          <w:trHeight w:val="35"/>
        </w:trPr>
        <w:tc>
          <w:tcPr>
            <w:tcW w:w="6240" w:type="dxa"/>
            <w:vAlign w:val="bottom"/>
          </w:tcPr>
          <w:p>
            <w:pPr>
              <w:spacing w:after="0"/>
              <w:rPr>
                <w:sz w:val="3"/>
                <w:szCs w:val="3"/>
                <w:color w:val="auto"/>
              </w:rPr>
            </w:pPr>
          </w:p>
        </w:tc>
        <w:tc>
          <w:tcPr>
            <w:tcW w:w="20" w:type="dxa"/>
            <w:vAlign w:val="bottom"/>
          </w:tcPr>
          <w:p>
            <w:pPr>
              <w:spacing w:after="0"/>
              <w:rPr>
                <w:sz w:val="3"/>
                <w:szCs w:val="3"/>
                <w:color w:val="auto"/>
              </w:rPr>
            </w:pPr>
          </w:p>
        </w:tc>
        <w:tc>
          <w:tcPr>
            <w:tcW w:w="160" w:type="dxa"/>
            <w:vAlign w:val="bottom"/>
          </w:tcPr>
          <w:p>
            <w:pPr>
              <w:spacing w:after="0"/>
              <w:rPr>
                <w:sz w:val="3"/>
                <w:szCs w:val="3"/>
                <w:color w:val="auto"/>
              </w:rPr>
            </w:pPr>
          </w:p>
        </w:tc>
        <w:tc>
          <w:tcPr>
            <w:tcW w:w="2600" w:type="dxa"/>
            <w:vAlign w:val="bottom"/>
            <w:gridSpan w:val="6"/>
            <w:vMerge w:val="restart"/>
          </w:tcPr>
          <w:p>
            <w:pPr>
              <w:jc w:val="right"/>
              <w:ind w:right="1040"/>
              <w:spacing w:after="0"/>
              <w:rPr>
                <w:sz w:val="20"/>
                <w:szCs w:val="20"/>
                <w:color w:val="auto"/>
              </w:rPr>
            </w:pPr>
            <w:r>
              <w:rPr>
                <w:rFonts w:ascii="Arial" w:cs="Arial" w:eastAsia="Arial" w:hAnsi="Arial"/>
                <w:sz w:val="14"/>
                <w:szCs w:val="14"/>
                <w:b w:val="1"/>
                <w:bCs w:val="1"/>
                <w:color w:val="auto"/>
              </w:rPr>
              <w:t>Successor Company</w:t>
            </w:r>
          </w:p>
        </w:tc>
        <w:tc>
          <w:tcPr>
            <w:tcW w:w="82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6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w w:val="87"/>
              </w:rPr>
              <w:t>Predecessor</w:t>
            </w:r>
          </w:p>
        </w:tc>
        <w:tc>
          <w:tcPr>
            <w:tcW w:w="0" w:type="dxa"/>
            <w:vAlign w:val="bottom"/>
          </w:tcPr>
          <w:p>
            <w:pPr>
              <w:spacing w:after="0" w:line="20" w:lineRule="exact"/>
              <w:rPr>
                <w:sz w:val="1"/>
                <w:szCs w:val="1"/>
                <w:color w:val="auto"/>
              </w:rPr>
            </w:pPr>
          </w:p>
        </w:tc>
      </w:tr>
      <w:tr>
        <w:trPr>
          <w:trHeight w:val="126"/>
        </w:trPr>
        <w:tc>
          <w:tcPr>
            <w:tcW w:w="62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2600" w:type="dxa"/>
            <w:vAlign w:val="bottom"/>
            <w:gridSpan w:val="6"/>
            <w:vMerge w:val="continue"/>
          </w:tcPr>
          <w:p>
            <w:pPr>
              <w:spacing w:after="0"/>
              <w:rPr>
                <w:sz w:val="10"/>
                <w:szCs w:val="10"/>
                <w:color w:val="auto"/>
              </w:rPr>
            </w:pPr>
          </w:p>
        </w:tc>
        <w:tc>
          <w:tcPr>
            <w:tcW w:w="820" w:type="dxa"/>
            <w:vAlign w:val="bottom"/>
            <w:tcBorders>
              <w:left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106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62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600" w:type="dxa"/>
            <w:vAlign w:val="bottom"/>
            <w:gridSpan w:val="6"/>
            <w:vMerge w:val="continue"/>
          </w:tcPr>
          <w:p>
            <w:pPr>
              <w:spacing w:after="0"/>
              <w:rPr>
                <w:sz w:val="14"/>
                <w:szCs w:val="14"/>
                <w:color w:val="auto"/>
              </w:rPr>
            </w:pPr>
          </w:p>
        </w:tc>
        <w:tc>
          <w:tcPr>
            <w:tcW w:w="820" w:type="dxa"/>
            <w:vAlign w:val="bottom"/>
            <w:tcBorders>
              <w:left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106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3"/>
              </w:rPr>
              <w:t>Company</w:t>
            </w:r>
          </w:p>
        </w:tc>
        <w:tc>
          <w:tcPr>
            <w:tcW w:w="0" w:type="dxa"/>
            <w:vAlign w:val="bottom"/>
          </w:tcPr>
          <w:p>
            <w:pPr>
              <w:spacing w:after="0"/>
              <w:rPr>
                <w:sz w:val="1"/>
                <w:szCs w:val="1"/>
                <w:color w:val="auto"/>
              </w:rPr>
            </w:pPr>
          </w:p>
        </w:tc>
      </w:tr>
      <w:tr>
        <w:trPr>
          <w:trHeight w:val="123"/>
        </w:trPr>
        <w:tc>
          <w:tcPr>
            <w:tcW w:w="62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640" w:type="dxa"/>
            <w:vAlign w:val="bottom"/>
            <w:tcBorders>
              <w:top w:val="single" w:sz="8" w:color="auto"/>
            </w:tcBorders>
          </w:tcPr>
          <w:p>
            <w:pPr>
              <w:spacing w:after="0"/>
              <w:rPr>
                <w:sz w:val="10"/>
                <w:szCs w:val="10"/>
                <w:color w:val="auto"/>
              </w:rPr>
            </w:pPr>
          </w:p>
        </w:tc>
        <w:tc>
          <w:tcPr>
            <w:tcW w:w="20" w:type="dxa"/>
            <w:vAlign w:val="bottom"/>
            <w:tcBorders>
              <w:top w:val="single" w:sz="8" w:color="auto"/>
            </w:tcBorders>
          </w:tcPr>
          <w:p>
            <w:pPr>
              <w:spacing w:after="0"/>
              <w:rPr>
                <w:sz w:val="10"/>
                <w:szCs w:val="10"/>
                <w:color w:val="auto"/>
              </w:rPr>
            </w:pPr>
          </w:p>
        </w:tc>
        <w:tc>
          <w:tcPr>
            <w:tcW w:w="440" w:type="dxa"/>
            <w:vAlign w:val="bottom"/>
            <w:tcBorders>
              <w:top w:val="single" w:sz="8" w:color="auto"/>
            </w:tcBorders>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820" w:type="dxa"/>
            <w:vAlign w:val="bottom"/>
            <w:tcBorders>
              <w:top w:val="single" w:sz="8" w:color="auto"/>
            </w:tcBorders>
          </w:tcPr>
          <w:p>
            <w:pPr>
              <w:jc w:val="center"/>
              <w:ind w:right="33"/>
              <w:spacing w:after="0" w:line="123" w:lineRule="exact"/>
              <w:rPr>
                <w:sz w:val="20"/>
                <w:szCs w:val="20"/>
                <w:color w:val="auto"/>
              </w:rPr>
            </w:pPr>
            <w:r>
              <w:rPr>
                <w:rFonts w:ascii="Arial" w:cs="Arial" w:eastAsia="Arial" w:hAnsi="Arial"/>
                <w:sz w:val="14"/>
                <w:szCs w:val="14"/>
                <w:color w:val="auto"/>
                <w:w w:val="96"/>
              </w:rPr>
              <w:t>Period from</w:t>
            </w:r>
          </w:p>
        </w:tc>
        <w:tc>
          <w:tcPr>
            <w:tcW w:w="560" w:type="dxa"/>
            <w:vAlign w:val="bottom"/>
          </w:tcPr>
          <w:p>
            <w:pPr>
              <w:spacing w:after="0"/>
              <w:rPr>
                <w:sz w:val="10"/>
                <w:szCs w:val="10"/>
                <w:color w:val="auto"/>
              </w:rPr>
            </w:pPr>
          </w:p>
        </w:tc>
        <w:tc>
          <w:tcPr>
            <w:tcW w:w="820" w:type="dxa"/>
            <w:vAlign w:val="bottom"/>
            <w:tcBorders>
              <w:left w:val="single" w:sz="8" w:color="auto"/>
            </w:tcBorders>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940" w:type="dxa"/>
            <w:vAlign w:val="bottom"/>
            <w:tcBorders>
              <w:top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62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60" w:type="dxa"/>
            <w:vAlign w:val="bottom"/>
            <w:gridSpan w:val="4"/>
          </w:tcPr>
          <w:p>
            <w:pPr>
              <w:jc w:val="right"/>
              <w:ind w:right="540"/>
              <w:spacing w:after="0" w:line="149" w:lineRule="exact"/>
              <w:rPr>
                <w:sz w:val="20"/>
                <w:szCs w:val="20"/>
                <w:color w:val="auto"/>
              </w:rPr>
            </w:pPr>
            <w:r>
              <w:rPr>
                <w:rFonts w:ascii="Arial" w:cs="Arial" w:eastAsia="Arial" w:hAnsi="Arial"/>
                <w:sz w:val="14"/>
                <w:szCs w:val="14"/>
                <w:color w:val="auto"/>
                <w:w w:val="94"/>
              </w:rPr>
              <w:t>Year Ended</w:t>
            </w:r>
          </w:p>
        </w:tc>
        <w:tc>
          <w:tcPr>
            <w:tcW w:w="1500" w:type="dxa"/>
            <w:vAlign w:val="bottom"/>
            <w:gridSpan w:val="3"/>
          </w:tcPr>
          <w:p>
            <w:pPr>
              <w:ind w:left="20"/>
              <w:spacing w:after="0" w:line="149" w:lineRule="exact"/>
              <w:rPr>
                <w:sz w:val="20"/>
                <w:szCs w:val="20"/>
                <w:color w:val="auto"/>
              </w:rPr>
            </w:pPr>
            <w:r>
              <w:rPr>
                <w:rFonts w:ascii="Arial" w:cs="Arial" w:eastAsia="Arial" w:hAnsi="Arial"/>
                <w:sz w:val="14"/>
                <w:szCs w:val="14"/>
                <w:color w:val="auto"/>
              </w:rPr>
              <w:t>July 16, 2019 to</w:t>
            </w:r>
          </w:p>
        </w:tc>
        <w:tc>
          <w:tcPr>
            <w:tcW w:w="820" w:type="dxa"/>
            <w:vAlign w:val="bottom"/>
            <w:tcBorders>
              <w:left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1060" w:type="dxa"/>
            <w:vAlign w:val="bottom"/>
            <w:gridSpan w:val="2"/>
          </w:tcPr>
          <w:p>
            <w:pPr>
              <w:jc w:val="center"/>
              <w:ind w:right="240"/>
              <w:spacing w:after="0" w:line="149" w:lineRule="exact"/>
              <w:rPr>
                <w:sz w:val="20"/>
                <w:szCs w:val="20"/>
                <w:color w:val="auto"/>
              </w:rPr>
            </w:pPr>
            <w:r>
              <w:rPr>
                <w:rFonts w:ascii="Arial" w:cs="Arial" w:eastAsia="Arial" w:hAnsi="Arial"/>
                <w:sz w:val="14"/>
                <w:szCs w:val="14"/>
                <w:color w:val="auto"/>
                <w:w w:val="96"/>
              </w:rPr>
              <w:t>Period from</w:t>
            </w:r>
          </w:p>
        </w:tc>
        <w:tc>
          <w:tcPr>
            <w:tcW w:w="0" w:type="dxa"/>
            <w:vAlign w:val="bottom"/>
          </w:tcPr>
          <w:p>
            <w:pPr>
              <w:spacing w:after="0"/>
              <w:rPr>
                <w:sz w:val="1"/>
                <w:szCs w:val="1"/>
                <w:color w:val="auto"/>
              </w:rPr>
            </w:pPr>
          </w:p>
        </w:tc>
      </w:tr>
      <w:tr>
        <w:trPr>
          <w:trHeight w:val="148"/>
        </w:trPr>
        <w:tc>
          <w:tcPr>
            <w:tcW w:w="62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60" w:type="dxa"/>
            <w:vAlign w:val="bottom"/>
            <w:gridSpan w:val="4"/>
          </w:tcPr>
          <w:p>
            <w:pPr>
              <w:spacing w:after="0" w:line="149" w:lineRule="exact"/>
              <w:rPr>
                <w:sz w:val="20"/>
                <w:szCs w:val="20"/>
                <w:color w:val="auto"/>
              </w:rPr>
            </w:pPr>
            <w:r>
              <w:rPr>
                <w:rFonts w:ascii="Arial" w:cs="Arial" w:eastAsia="Arial" w:hAnsi="Arial"/>
                <w:sz w:val="14"/>
                <w:szCs w:val="14"/>
                <w:color w:val="auto"/>
              </w:rPr>
              <w:t>December 31,</w:t>
            </w:r>
          </w:p>
        </w:tc>
        <w:tc>
          <w:tcPr>
            <w:tcW w:w="1500" w:type="dxa"/>
            <w:vAlign w:val="bottom"/>
            <w:gridSpan w:val="3"/>
          </w:tcPr>
          <w:p>
            <w:pPr>
              <w:jc w:val="center"/>
              <w:ind w:right="540"/>
              <w:spacing w:after="0" w:line="149" w:lineRule="exact"/>
              <w:rPr>
                <w:sz w:val="20"/>
                <w:szCs w:val="20"/>
                <w:color w:val="auto"/>
              </w:rPr>
            </w:pPr>
            <w:r>
              <w:rPr>
                <w:rFonts w:ascii="Arial" w:cs="Arial" w:eastAsia="Arial" w:hAnsi="Arial"/>
                <w:sz w:val="14"/>
                <w:szCs w:val="14"/>
                <w:color w:val="auto"/>
                <w:w w:val="90"/>
              </w:rPr>
              <w:t>December 31,</w:t>
            </w:r>
          </w:p>
        </w:tc>
        <w:tc>
          <w:tcPr>
            <w:tcW w:w="820" w:type="dxa"/>
            <w:vAlign w:val="bottom"/>
            <w:tcBorders>
              <w:left w:val="single" w:sz="8" w:color="auto"/>
            </w:tcBorders>
          </w:tcPr>
          <w:p>
            <w:pPr>
              <w:spacing w:after="0"/>
              <w:rPr>
                <w:sz w:val="12"/>
                <w:szCs w:val="12"/>
                <w:color w:val="auto"/>
              </w:rPr>
            </w:pPr>
          </w:p>
        </w:tc>
        <w:tc>
          <w:tcPr>
            <w:tcW w:w="1180" w:type="dxa"/>
            <w:vAlign w:val="bottom"/>
            <w:gridSpan w:val="3"/>
          </w:tcPr>
          <w:p>
            <w:pPr>
              <w:spacing w:after="0" w:line="149" w:lineRule="exact"/>
              <w:rPr>
                <w:sz w:val="20"/>
                <w:szCs w:val="20"/>
                <w:color w:val="auto"/>
              </w:rPr>
            </w:pPr>
            <w:r>
              <w:rPr>
                <w:rFonts w:ascii="Arial" w:cs="Arial" w:eastAsia="Arial" w:hAnsi="Arial"/>
                <w:sz w:val="14"/>
                <w:szCs w:val="14"/>
                <w:color w:val="auto"/>
                <w:w w:val="99"/>
              </w:rPr>
              <w:t>January 1, 2019 to</w:t>
            </w:r>
          </w:p>
        </w:tc>
        <w:tc>
          <w:tcPr>
            <w:tcW w:w="0" w:type="dxa"/>
            <w:vAlign w:val="bottom"/>
          </w:tcPr>
          <w:p>
            <w:pPr>
              <w:spacing w:after="0"/>
              <w:rPr>
                <w:sz w:val="1"/>
                <w:szCs w:val="1"/>
                <w:color w:val="auto"/>
              </w:rPr>
            </w:pPr>
          </w:p>
        </w:tc>
      </w:tr>
      <w:tr>
        <w:trPr>
          <w:trHeight w:val="167"/>
        </w:trPr>
        <w:tc>
          <w:tcPr>
            <w:tcW w:w="62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40" w:type="dxa"/>
            <w:vAlign w:val="bottom"/>
          </w:tcPr>
          <w:p>
            <w:pPr>
              <w:jc w:val="right"/>
              <w:ind w:right="173"/>
              <w:spacing w:after="0"/>
              <w:rPr>
                <w:sz w:val="20"/>
                <w:szCs w:val="20"/>
                <w:color w:val="auto"/>
              </w:rPr>
            </w:pPr>
            <w:r>
              <w:rPr>
                <w:rFonts w:ascii="Arial" w:cs="Arial" w:eastAsia="Arial" w:hAnsi="Arial"/>
                <w:sz w:val="14"/>
                <w:szCs w:val="14"/>
                <w:color w:val="auto"/>
              </w:rPr>
              <w:t>2020</w:t>
            </w:r>
          </w:p>
        </w:tc>
        <w:tc>
          <w:tcPr>
            <w:tcW w:w="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tcPr>
          <w:p>
            <w:pPr>
              <w:jc w:val="center"/>
              <w:ind w:right="13"/>
              <w:spacing w:after="0"/>
              <w:rPr>
                <w:sz w:val="20"/>
                <w:szCs w:val="20"/>
                <w:color w:val="auto"/>
              </w:rPr>
            </w:pPr>
            <w:r>
              <w:rPr>
                <w:rFonts w:ascii="Arial" w:cs="Arial" w:eastAsia="Arial" w:hAnsi="Arial"/>
                <w:sz w:val="14"/>
                <w:szCs w:val="14"/>
                <w:color w:val="auto"/>
                <w:w w:val="89"/>
              </w:rPr>
              <w:t>2019</w:t>
            </w:r>
          </w:p>
        </w:tc>
        <w:tc>
          <w:tcPr>
            <w:tcW w:w="560" w:type="dxa"/>
            <w:vAlign w:val="bottom"/>
          </w:tcPr>
          <w:p>
            <w:pPr>
              <w:spacing w:after="0"/>
              <w:rPr>
                <w:sz w:val="14"/>
                <w:szCs w:val="14"/>
                <w:color w:val="auto"/>
              </w:rPr>
            </w:pPr>
          </w:p>
        </w:tc>
        <w:tc>
          <w:tcPr>
            <w:tcW w:w="820" w:type="dxa"/>
            <w:vAlign w:val="bottom"/>
            <w:tcBorders>
              <w:left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1060" w:type="dxa"/>
            <w:vAlign w:val="bottom"/>
            <w:gridSpan w:val="2"/>
          </w:tcPr>
          <w:p>
            <w:pPr>
              <w:jc w:val="center"/>
              <w:ind w:right="240"/>
              <w:spacing w:after="0"/>
              <w:rPr>
                <w:sz w:val="20"/>
                <w:szCs w:val="20"/>
                <w:color w:val="auto"/>
              </w:rPr>
            </w:pPr>
            <w:r>
              <w:rPr>
                <w:rFonts w:ascii="Arial" w:cs="Arial" w:eastAsia="Arial" w:hAnsi="Arial"/>
                <w:sz w:val="14"/>
                <w:szCs w:val="14"/>
                <w:color w:val="auto"/>
                <w:w w:val="93"/>
              </w:rPr>
              <w:t>July 15, 2019</w:t>
            </w:r>
          </w:p>
        </w:tc>
        <w:tc>
          <w:tcPr>
            <w:tcW w:w="0" w:type="dxa"/>
            <w:vAlign w:val="bottom"/>
          </w:tcPr>
          <w:p>
            <w:pPr>
              <w:spacing w:after="0"/>
              <w:rPr>
                <w:sz w:val="1"/>
                <w:szCs w:val="1"/>
                <w:color w:val="auto"/>
              </w:rPr>
            </w:pPr>
          </w:p>
        </w:tc>
      </w:tr>
      <w:tr>
        <w:trPr>
          <w:trHeight w:val="210"/>
        </w:trPr>
        <w:tc>
          <w:tcPr>
            <w:tcW w:w="62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Balance at beginning of period</w:t>
            </w:r>
          </w:p>
        </w:tc>
        <w:tc>
          <w:tcPr>
            <w:tcW w:w="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2,885</w:t>
            </w:r>
          </w:p>
        </w:tc>
        <w:tc>
          <w:tcPr>
            <w:tcW w:w="20" w:type="dxa"/>
            <w:vAlign w:val="bottom"/>
            <w:tcBorders>
              <w:top w:val="single" w:sz="8" w:color="CCEEFF"/>
            </w:tcBorders>
            <w:shd w:val="clear" w:color="auto" w:fill="CCEEFF"/>
          </w:tcPr>
          <w:p>
            <w:pPr>
              <w:spacing w:after="0"/>
              <w:rPr>
                <w:sz w:val="18"/>
                <w:szCs w:val="18"/>
                <w:color w:val="auto"/>
              </w:rPr>
            </w:pPr>
          </w:p>
        </w:tc>
        <w:tc>
          <w:tcPr>
            <w:tcW w:w="4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5,735</w:t>
            </w:r>
          </w:p>
        </w:tc>
        <w:tc>
          <w:tcPr>
            <w:tcW w:w="560" w:type="dxa"/>
            <w:vAlign w:val="bottom"/>
            <w:tcBorders>
              <w:top w:val="single" w:sz="8" w:color="CCEEFF"/>
            </w:tcBorders>
            <w:shd w:val="clear" w:color="auto" w:fill="CCEEFF"/>
          </w:tcPr>
          <w:p>
            <w:pPr>
              <w:spacing w:after="0"/>
              <w:rPr>
                <w:sz w:val="18"/>
                <w:szCs w:val="18"/>
                <w:color w:val="auto"/>
              </w:rPr>
            </w:pPr>
          </w:p>
        </w:tc>
        <w:tc>
          <w:tcPr>
            <w:tcW w:w="820" w:type="dxa"/>
            <w:vAlign w:val="bottom"/>
            <w:tcBorders>
              <w:top w:val="single" w:sz="8" w:color="CCEEFF"/>
              <w:left w:val="single" w:sz="8" w:color="auto"/>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40" w:type="dxa"/>
            <w:vAlign w:val="bottom"/>
          </w:tcPr>
          <w:p>
            <w:pPr>
              <w:ind w:left="360"/>
              <w:spacing w:after="0"/>
              <w:rPr>
                <w:sz w:val="20"/>
                <w:szCs w:val="20"/>
                <w:color w:val="auto"/>
              </w:rPr>
            </w:pPr>
            <w:r>
              <w:rPr>
                <w:rFonts w:ascii="Arial" w:cs="Arial" w:eastAsia="Arial" w:hAnsi="Arial"/>
                <w:sz w:val="18"/>
                <w:szCs w:val="18"/>
                <w:color w:val="auto"/>
              </w:rPr>
              <w:t>Adoption of ASC 606</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gridSpan w:val="3"/>
          </w:tcPr>
          <w:p>
            <w:pPr>
              <w:jc w:val="right"/>
              <w:ind w:right="5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380" w:type="dxa"/>
            <w:vAlign w:val="bottom"/>
            <w:gridSpan w:val="2"/>
          </w:tcPr>
          <w:p>
            <w:pPr>
              <w:jc w:val="right"/>
              <w:ind w:right="640"/>
              <w:spacing w:after="0"/>
              <w:rPr>
                <w:sz w:val="20"/>
                <w:szCs w:val="20"/>
                <w:color w:val="auto"/>
              </w:rPr>
            </w:pPr>
            <w:r>
              <w:rPr>
                <w:rFonts w:ascii="Arial" w:cs="Arial" w:eastAsia="Arial" w:hAnsi="Arial"/>
                <w:sz w:val="18"/>
                <w:szCs w:val="18"/>
                <w:color w:val="auto"/>
              </w:rPr>
              <w:t>—</w:t>
            </w:r>
          </w:p>
        </w:tc>
        <w:tc>
          <w:tcPr>
            <w:tcW w:w="820" w:type="dxa"/>
            <w:vAlign w:val="bottom"/>
            <w:tcBorders>
              <w:left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gridSpan w:val="2"/>
          </w:tcPr>
          <w:p>
            <w:pPr>
              <w:jc w:val="right"/>
              <w:ind w:right="120"/>
              <w:spacing w:after="0"/>
              <w:rPr>
                <w:sz w:val="20"/>
                <w:szCs w:val="20"/>
                <w:color w:val="auto"/>
              </w:rPr>
            </w:pPr>
            <w:r>
              <w:rPr>
                <w:rFonts w:ascii="Arial" w:cs="Arial" w:eastAsia="Arial" w:hAnsi="Arial"/>
                <w:sz w:val="18"/>
                <w:szCs w:val="18"/>
                <w:color w:val="auto"/>
              </w:rPr>
              <w:t>4,320</w:t>
            </w:r>
          </w:p>
        </w:tc>
        <w:tc>
          <w:tcPr>
            <w:tcW w:w="0" w:type="dxa"/>
            <w:vAlign w:val="bottom"/>
          </w:tcPr>
          <w:p>
            <w:pPr>
              <w:spacing w:after="0"/>
              <w:rPr>
                <w:sz w:val="1"/>
                <w:szCs w:val="1"/>
                <w:color w:val="auto"/>
              </w:rPr>
            </w:pPr>
          </w:p>
        </w:tc>
      </w:tr>
      <w:tr>
        <w:trPr>
          <w:trHeight w:val="216"/>
        </w:trPr>
        <w:tc>
          <w:tcPr>
            <w:tcW w:w="62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Costs amortized</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00" w:type="dxa"/>
            <w:vAlign w:val="bottom"/>
            <w:gridSpan w:val="3"/>
            <w:shd w:val="clear" w:color="auto" w:fill="CCEEFF"/>
          </w:tcPr>
          <w:p>
            <w:pPr>
              <w:jc w:val="right"/>
              <w:ind w:right="400"/>
              <w:spacing w:after="0"/>
              <w:rPr>
                <w:sz w:val="20"/>
                <w:szCs w:val="20"/>
                <w:color w:val="auto"/>
              </w:rPr>
            </w:pPr>
            <w:r>
              <w:rPr>
                <w:rFonts w:ascii="Arial" w:cs="Arial" w:eastAsia="Arial" w:hAnsi="Arial"/>
                <w:sz w:val="18"/>
                <w:szCs w:val="18"/>
                <w:color w:val="auto"/>
              </w:rPr>
              <w:t>(1,670)</w:t>
            </w:r>
          </w:p>
        </w:tc>
        <w:tc>
          <w:tcPr>
            <w:tcW w:w="12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(189)</w:t>
            </w:r>
          </w:p>
        </w:tc>
        <w:tc>
          <w:tcPr>
            <w:tcW w:w="820" w:type="dxa"/>
            <w:vAlign w:val="bottom"/>
            <w:tcBorders>
              <w:left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(824)</w:t>
            </w:r>
          </w:p>
        </w:tc>
        <w:tc>
          <w:tcPr>
            <w:tcW w:w="0" w:type="dxa"/>
            <w:vAlign w:val="bottom"/>
          </w:tcPr>
          <w:p>
            <w:pPr>
              <w:spacing w:after="0"/>
              <w:rPr>
                <w:sz w:val="1"/>
                <w:szCs w:val="1"/>
                <w:color w:val="auto"/>
              </w:rPr>
            </w:pPr>
          </w:p>
        </w:tc>
      </w:tr>
      <w:tr>
        <w:trPr>
          <w:trHeight w:val="216"/>
        </w:trPr>
        <w:tc>
          <w:tcPr>
            <w:tcW w:w="6240" w:type="dxa"/>
            <w:vAlign w:val="bottom"/>
          </w:tcPr>
          <w:p>
            <w:pPr>
              <w:ind w:left="360"/>
              <w:spacing w:after="0"/>
              <w:rPr>
                <w:sz w:val="20"/>
                <w:szCs w:val="20"/>
                <w:color w:val="auto"/>
              </w:rPr>
            </w:pPr>
            <w:r>
              <w:rPr>
                <w:rFonts w:ascii="Arial" w:cs="Arial" w:eastAsia="Arial" w:hAnsi="Arial"/>
                <w:sz w:val="18"/>
                <w:szCs w:val="18"/>
                <w:color w:val="auto"/>
              </w:rPr>
              <w:t>Additional amounts deferred</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gridSpan w:val="2"/>
          </w:tcPr>
          <w:p>
            <w:pPr>
              <w:jc w:val="right"/>
              <w:ind w:right="20"/>
              <w:spacing w:after="0"/>
              <w:rPr>
                <w:sz w:val="20"/>
                <w:szCs w:val="20"/>
                <w:color w:val="auto"/>
              </w:rPr>
            </w:pPr>
            <w:r>
              <w:rPr>
                <w:rFonts w:ascii="Arial" w:cs="Arial" w:eastAsia="Arial" w:hAnsi="Arial"/>
                <w:sz w:val="18"/>
                <w:szCs w:val="18"/>
                <w:color w:val="auto"/>
              </w:rPr>
              <w:t>7,684</w:t>
            </w:r>
          </w:p>
        </w:tc>
        <w:tc>
          <w:tcPr>
            <w:tcW w:w="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gridSpan w:val="2"/>
          </w:tcPr>
          <w:p>
            <w:pPr>
              <w:jc w:val="right"/>
              <w:ind w:right="560"/>
              <w:spacing w:after="0"/>
              <w:rPr>
                <w:sz w:val="20"/>
                <w:szCs w:val="20"/>
                <w:color w:val="auto"/>
              </w:rPr>
            </w:pPr>
            <w:r>
              <w:rPr>
                <w:rFonts w:ascii="Arial" w:cs="Arial" w:eastAsia="Arial" w:hAnsi="Arial"/>
                <w:sz w:val="18"/>
                <w:szCs w:val="18"/>
                <w:color w:val="auto"/>
              </w:rPr>
              <w:t>3,074</w:t>
            </w:r>
          </w:p>
        </w:tc>
        <w:tc>
          <w:tcPr>
            <w:tcW w:w="820" w:type="dxa"/>
            <w:vAlign w:val="bottom"/>
            <w:tcBorders>
              <w:left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gridSpan w:val="2"/>
          </w:tcPr>
          <w:p>
            <w:pPr>
              <w:jc w:val="right"/>
              <w:ind w:right="120"/>
              <w:spacing w:after="0"/>
              <w:rPr>
                <w:sz w:val="20"/>
                <w:szCs w:val="20"/>
                <w:color w:val="auto"/>
              </w:rPr>
            </w:pPr>
            <w:r>
              <w:rPr>
                <w:rFonts w:ascii="Arial" w:cs="Arial" w:eastAsia="Arial" w:hAnsi="Arial"/>
                <w:sz w:val="18"/>
                <w:szCs w:val="18"/>
                <w:color w:val="auto"/>
              </w:rPr>
              <w:t>2,239</w:t>
            </w:r>
          </w:p>
        </w:tc>
        <w:tc>
          <w:tcPr>
            <w:tcW w:w="0" w:type="dxa"/>
            <w:vAlign w:val="bottom"/>
          </w:tcPr>
          <w:p>
            <w:pPr>
              <w:spacing w:after="0"/>
              <w:rPr>
                <w:sz w:val="1"/>
                <w:szCs w:val="1"/>
                <w:color w:val="auto"/>
              </w:rPr>
            </w:pPr>
          </w:p>
        </w:tc>
      </w:tr>
      <w:tr>
        <w:trPr>
          <w:trHeight w:val="216"/>
        </w:trPr>
        <w:tc>
          <w:tcPr>
            <w:tcW w:w="62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Acquisition-related adjustment</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00" w:type="dxa"/>
            <w:vAlign w:val="bottom"/>
            <w:gridSpan w:val="3"/>
            <w:shd w:val="clear" w:color="auto" w:fill="CCEEFF"/>
          </w:tcPr>
          <w:p>
            <w:pPr>
              <w:jc w:val="right"/>
              <w:ind w:right="5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(5,735)</w:t>
            </w:r>
          </w:p>
        </w:tc>
        <w:tc>
          <w:tcPr>
            <w:tcW w:w="820" w:type="dxa"/>
            <w:vAlign w:val="bottom"/>
            <w:tcBorders>
              <w:left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6240" w:type="dxa"/>
            <w:vAlign w:val="bottom"/>
          </w:tcPr>
          <w:p>
            <w:pPr>
              <w:spacing w:after="0"/>
              <w:rPr>
                <w:sz w:val="20"/>
                <w:szCs w:val="20"/>
                <w:color w:val="auto"/>
              </w:rPr>
            </w:pPr>
            <w:r>
              <w:rPr>
                <w:rFonts w:ascii="Arial" w:cs="Arial" w:eastAsia="Arial" w:hAnsi="Arial"/>
                <w:sz w:val="18"/>
                <w:szCs w:val="18"/>
                <w:color w:val="auto"/>
              </w:rPr>
              <w:t>Balance at end of period</w:t>
            </w:r>
          </w:p>
        </w:tc>
        <w:tc>
          <w:tcPr>
            <w:tcW w:w="20" w:type="dxa"/>
            <w:vAlign w:val="bottom"/>
          </w:tcPr>
          <w:p>
            <w:pPr>
              <w:spacing w:after="0"/>
              <w:rPr>
                <w:sz w:val="19"/>
                <w:szCs w:val="19"/>
                <w:color w:val="auto"/>
              </w:rPr>
            </w:pPr>
          </w:p>
        </w:tc>
        <w:tc>
          <w:tcPr>
            <w:tcW w:w="16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w:t>
            </w: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8,899</w:t>
            </w:r>
          </w:p>
        </w:tc>
        <w:tc>
          <w:tcPr>
            <w:tcW w:w="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20" w:type="dxa"/>
            <w:vAlign w:val="bottom"/>
            <w:tcBorders>
              <w:top w:val="single" w:sz="8" w:color="auto"/>
            </w:tcBorders>
          </w:tcPr>
          <w:p>
            <w:pPr>
              <w:spacing w:after="0"/>
              <w:rPr>
                <w:sz w:val="20"/>
                <w:szCs w:val="20"/>
                <w:color w:val="auto"/>
              </w:rPr>
            </w:pPr>
            <w:r>
              <w:rPr>
                <w:rFonts w:ascii="Arial" w:cs="Arial" w:eastAsia="Arial" w:hAnsi="Arial"/>
                <w:sz w:val="18"/>
                <w:szCs w:val="18"/>
                <w:color w:val="auto"/>
                <w:w w:val="99"/>
              </w:rPr>
              <w:t>$</w:t>
            </w: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2,885</w:t>
            </w:r>
          </w:p>
        </w:tc>
        <w:tc>
          <w:tcPr>
            <w:tcW w:w="560" w:type="dxa"/>
            <w:vAlign w:val="bottom"/>
          </w:tcPr>
          <w:p>
            <w:pPr>
              <w:spacing w:after="0"/>
              <w:rPr>
                <w:sz w:val="19"/>
                <w:szCs w:val="19"/>
                <w:color w:val="auto"/>
              </w:rPr>
            </w:pPr>
          </w:p>
        </w:tc>
        <w:tc>
          <w:tcPr>
            <w:tcW w:w="820" w:type="dxa"/>
            <w:vAlign w:val="bottom"/>
            <w:tcBorders>
              <w:left w:val="single" w:sz="8" w:color="auto"/>
            </w:tcBorders>
          </w:tcPr>
          <w:p>
            <w:pPr>
              <w:spacing w:after="0"/>
              <w:rPr>
                <w:sz w:val="19"/>
                <w:szCs w:val="19"/>
                <w:color w:val="auto"/>
              </w:rPr>
            </w:pPr>
          </w:p>
        </w:tc>
        <w:tc>
          <w:tcPr>
            <w:tcW w:w="120" w:type="dxa"/>
            <w:vAlign w:val="bottom"/>
            <w:tcBorders>
              <w:top w:val="single" w:sz="8" w:color="auto"/>
            </w:tcBorders>
          </w:tcPr>
          <w:p>
            <w:pPr>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5,735</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6240" w:type="dxa"/>
            <w:vAlign w:val="bottom"/>
            <w:shd w:val="clear" w:color="auto" w:fill="CCEEFF"/>
          </w:tcPr>
          <w:p>
            <w:pPr>
              <w:spacing w:after="0"/>
              <w:rPr>
                <w:sz w:val="20"/>
                <w:szCs w:val="20"/>
                <w:color w:val="auto"/>
              </w:rPr>
            </w:pPr>
            <w:r>
              <w:rPr>
                <w:rFonts w:ascii="Arial" w:cs="Arial" w:eastAsia="Arial" w:hAnsi="Arial"/>
                <w:sz w:val="18"/>
                <w:szCs w:val="18"/>
                <w:color w:val="auto"/>
              </w:rPr>
              <w:t>Classified as:</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820" w:type="dxa"/>
            <w:vAlign w:val="bottom"/>
            <w:tcBorders>
              <w:left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40" w:type="dxa"/>
            <w:vAlign w:val="bottom"/>
          </w:tcPr>
          <w:p>
            <w:pPr>
              <w:ind w:left="360"/>
              <w:spacing w:after="0"/>
              <w:rPr>
                <w:sz w:val="20"/>
                <w:szCs w:val="20"/>
                <w:color w:val="auto"/>
              </w:rPr>
            </w:pPr>
            <w:r>
              <w:rPr>
                <w:rFonts w:ascii="Arial" w:cs="Arial" w:eastAsia="Arial" w:hAnsi="Arial"/>
                <w:sz w:val="18"/>
                <w:szCs w:val="18"/>
                <w:color w:val="auto"/>
              </w:rPr>
              <w:t>Current</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gridSpan w:val="2"/>
          </w:tcPr>
          <w:p>
            <w:pPr>
              <w:jc w:val="right"/>
              <w:ind w:right="20"/>
              <w:spacing w:after="0"/>
              <w:rPr>
                <w:sz w:val="20"/>
                <w:szCs w:val="20"/>
                <w:color w:val="auto"/>
              </w:rPr>
            </w:pPr>
            <w:r>
              <w:rPr>
                <w:rFonts w:ascii="Arial" w:cs="Arial" w:eastAsia="Arial" w:hAnsi="Arial"/>
                <w:sz w:val="18"/>
                <w:szCs w:val="18"/>
                <w:color w:val="auto"/>
              </w:rPr>
              <w:t>2,947</w:t>
            </w:r>
          </w:p>
        </w:tc>
        <w:tc>
          <w:tcPr>
            <w:tcW w:w="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gridSpan w:val="2"/>
          </w:tcPr>
          <w:p>
            <w:pPr>
              <w:jc w:val="right"/>
              <w:ind w:right="560"/>
              <w:spacing w:after="0"/>
              <w:rPr>
                <w:sz w:val="20"/>
                <w:szCs w:val="20"/>
                <w:color w:val="auto"/>
              </w:rPr>
            </w:pPr>
            <w:r>
              <w:rPr>
                <w:rFonts w:ascii="Arial" w:cs="Arial" w:eastAsia="Arial" w:hAnsi="Arial"/>
                <w:sz w:val="18"/>
                <w:szCs w:val="18"/>
                <w:color w:val="auto"/>
              </w:rPr>
              <w:t>769</w:t>
            </w:r>
          </w:p>
        </w:tc>
        <w:tc>
          <w:tcPr>
            <w:tcW w:w="820" w:type="dxa"/>
            <w:vAlign w:val="bottom"/>
            <w:tcBorders>
              <w:left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2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Non-current</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5,952</w:t>
            </w:r>
          </w:p>
        </w:tc>
        <w:tc>
          <w:tcPr>
            <w:tcW w:w="4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2,116</w:t>
            </w:r>
          </w:p>
        </w:tc>
        <w:tc>
          <w:tcPr>
            <w:tcW w:w="820" w:type="dxa"/>
            <w:vAlign w:val="bottom"/>
            <w:tcBorders>
              <w:left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6240" w:type="dxa"/>
            <w:vAlign w:val="bottom"/>
          </w:tcPr>
          <w:p>
            <w:pPr>
              <w:spacing w:after="0"/>
              <w:rPr>
                <w:sz w:val="20"/>
                <w:szCs w:val="20"/>
                <w:color w:val="auto"/>
              </w:rPr>
            </w:pPr>
            <w:r>
              <w:rPr>
                <w:rFonts w:ascii="Arial" w:cs="Arial" w:eastAsia="Arial" w:hAnsi="Arial"/>
                <w:sz w:val="18"/>
                <w:szCs w:val="18"/>
                <w:color w:val="auto"/>
              </w:rPr>
              <w:t>Total deferred contract costs (deferred commissions)</w:t>
            </w:r>
          </w:p>
        </w:tc>
        <w:tc>
          <w:tcPr>
            <w:tcW w:w="20" w:type="dxa"/>
            <w:vAlign w:val="bottom"/>
            <w:tcBorders>
              <w:bottom w:val="single" w:sz="8" w:color="auto"/>
            </w:tcBorders>
          </w:tcPr>
          <w:p>
            <w:pPr>
              <w:spacing w:after="0"/>
              <w:rPr>
                <w:sz w:val="19"/>
                <w:szCs w:val="19"/>
                <w:color w:val="auto"/>
              </w:rPr>
            </w:pPr>
          </w:p>
        </w:tc>
        <w:tc>
          <w:tcPr>
            <w:tcW w:w="16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8,899</w:t>
            </w:r>
          </w:p>
        </w:tc>
        <w:tc>
          <w:tcPr>
            <w:tcW w:w="20" w:type="dxa"/>
            <w:vAlign w:val="bottom"/>
            <w:tcBorders>
              <w:bottom w:val="single" w:sz="8" w:color="auto"/>
            </w:tcBorders>
          </w:tcPr>
          <w:p>
            <w:pPr>
              <w:spacing w:after="0"/>
              <w:rPr>
                <w:sz w:val="19"/>
                <w:szCs w:val="19"/>
                <w:color w:val="auto"/>
              </w:rPr>
            </w:pPr>
          </w:p>
        </w:tc>
        <w:tc>
          <w:tcPr>
            <w:tcW w:w="440" w:type="dxa"/>
            <w:vAlign w:val="bottom"/>
          </w:tcPr>
          <w:p>
            <w:pPr>
              <w:spacing w:after="0"/>
              <w:rPr>
                <w:sz w:val="19"/>
                <w:szCs w:val="19"/>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99"/>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2,885</w:t>
            </w:r>
          </w:p>
        </w:tc>
        <w:tc>
          <w:tcPr>
            <w:tcW w:w="560" w:type="dxa"/>
            <w:vAlign w:val="bottom"/>
          </w:tcPr>
          <w:p>
            <w:pPr>
              <w:spacing w:after="0"/>
              <w:rPr>
                <w:sz w:val="19"/>
                <w:szCs w:val="19"/>
                <w:color w:val="auto"/>
              </w:rPr>
            </w:pPr>
          </w:p>
        </w:tc>
        <w:tc>
          <w:tcPr>
            <w:tcW w:w="820" w:type="dxa"/>
            <w:vAlign w:val="bottom"/>
            <w:tcBorders>
              <w:left w:val="single" w:sz="8" w:color="auto"/>
            </w:tcBorders>
          </w:tcPr>
          <w:p>
            <w:pPr>
              <w:spacing w:after="0"/>
              <w:rPr>
                <w:sz w:val="19"/>
                <w:szCs w:val="19"/>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20" w:type="dxa"/>
            <w:vAlign w:val="bottom"/>
            <w:tcBorders>
              <w:left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0"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Contract Liabilities</w:t>
      </w:r>
    </w:p>
    <w:p>
      <w:pPr>
        <w:spacing w:after="0" w:line="117" w:lineRule="exact"/>
        <w:rPr>
          <w:sz w:val="20"/>
          <w:szCs w:val="20"/>
          <w:color w:val="auto"/>
        </w:rPr>
      </w:pPr>
    </w:p>
    <w:p>
      <w:pPr>
        <w:ind w:left="560"/>
        <w:spacing w:after="0"/>
        <w:rPr>
          <w:sz w:val="20"/>
          <w:szCs w:val="20"/>
          <w:color w:val="auto"/>
        </w:rPr>
      </w:pPr>
      <w:r>
        <w:rPr>
          <w:rFonts w:ascii="Arial" w:cs="Arial" w:eastAsia="Arial" w:hAnsi="Arial"/>
          <w:sz w:val="16"/>
          <w:szCs w:val="16"/>
          <w:color w:val="auto"/>
        </w:rPr>
        <w:t>A summary of the activity impacting deferred revenue balances during the year ended December 31, 2020 and the periods from July 16, 2019 to</w:t>
      </w:r>
    </w:p>
    <w:p>
      <w:pPr>
        <w:spacing w:after="0" w:line="46" w:lineRule="exact"/>
        <w:rPr>
          <w:sz w:val="20"/>
          <w:szCs w:val="20"/>
          <w:color w:val="auto"/>
        </w:rPr>
      </w:pPr>
    </w:p>
    <w:p>
      <w:pPr>
        <w:ind w:left="120"/>
        <w:spacing w:after="0"/>
        <w:rPr>
          <w:sz w:val="20"/>
          <w:szCs w:val="20"/>
          <w:color w:val="auto"/>
        </w:rPr>
      </w:pPr>
      <w:r>
        <w:rPr>
          <w:rFonts w:ascii="Arial" w:cs="Arial" w:eastAsia="Arial" w:hAnsi="Arial"/>
          <w:sz w:val="18"/>
          <w:szCs w:val="18"/>
          <w:color w:val="auto"/>
        </w:rPr>
        <w:t>December 31, 2019 and January 1, 2019 to July 15, 2019, is presented below (in thousands):</w:t>
      </w:r>
    </w:p>
    <w:p>
      <w:pPr>
        <w:spacing w:after="0" w:line="217" w:lineRule="exact"/>
        <w:rPr>
          <w:sz w:val="20"/>
          <w:szCs w:val="20"/>
          <w:color w:val="auto"/>
        </w:rPr>
      </w:pPr>
    </w:p>
    <w:tbl>
      <w:tblPr>
        <w:tblLayout w:type="fixed"/>
        <w:tblInd w:w="1000" w:type="dxa"/>
        <w:tblCellMar>
          <w:top w:w="0" w:type="dxa"/>
          <w:left w:w="0" w:type="dxa"/>
          <w:bottom w:w="0" w:type="dxa"/>
          <w:right w:w="0" w:type="dxa"/>
        </w:tblCellMar>
      </w:tblPr>
      <w:tr>
        <w:trPr>
          <w:trHeight w:val="35"/>
        </w:trPr>
        <w:tc>
          <w:tcPr>
            <w:tcW w:w="5600" w:type="dxa"/>
            <w:vAlign w:val="bottom"/>
          </w:tcPr>
          <w:p>
            <w:pPr>
              <w:spacing w:after="0"/>
              <w:rPr>
                <w:sz w:val="3"/>
                <w:szCs w:val="3"/>
                <w:color w:val="auto"/>
              </w:rPr>
            </w:pPr>
          </w:p>
        </w:tc>
        <w:tc>
          <w:tcPr>
            <w:tcW w:w="20" w:type="dxa"/>
            <w:vAlign w:val="bottom"/>
          </w:tcPr>
          <w:p>
            <w:pPr>
              <w:spacing w:after="0"/>
              <w:rPr>
                <w:sz w:val="3"/>
                <w:szCs w:val="3"/>
                <w:color w:val="auto"/>
              </w:rPr>
            </w:pPr>
          </w:p>
        </w:tc>
        <w:tc>
          <w:tcPr>
            <w:tcW w:w="120" w:type="dxa"/>
            <w:vAlign w:val="bottom"/>
          </w:tcPr>
          <w:p>
            <w:pPr>
              <w:spacing w:after="0"/>
              <w:rPr>
                <w:sz w:val="3"/>
                <w:szCs w:val="3"/>
                <w:color w:val="auto"/>
              </w:rPr>
            </w:pPr>
          </w:p>
        </w:tc>
        <w:tc>
          <w:tcPr>
            <w:tcW w:w="2080" w:type="dxa"/>
            <w:vAlign w:val="bottom"/>
            <w:gridSpan w:val="6"/>
            <w:vMerge w:val="restart"/>
          </w:tcPr>
          <w:p>
            <w:pPr>
              <w:jc w:val="right"/>
              <w:ind w:right="640"/>
              <w:spacing w:after="0"/>
              <w:rPr>
                <w:sz w:val="20"/>
                <w:szCs w:val="20"/>
                <w:color w:val="auto"/>
              </w:rPr>
            </w:pPr>
            <w:r>
              <w:rPr>
                <w:rFonts w:ascii="Arial" w:cs="Arial" w:eastAsia="Arial" w:hAnsi="Arial"/>
                <w:sz w:val="14"/>
                <w:szCs w:val="14"/>
                <w:b w:val="1"/>
                <w:bCs w:val="1"/>
                <w:color w:val="auto"/>
              </w:rPr>
              <w:t>Successor Company</w:t>
            </w:r>
          </w:p>
        </w:tc>
        <w:tc>
          <w:tcPr>
            <w:tcW w:w="26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6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w w:val="87"/>
              </w:rPr>
              <w:t>Predecessor</w:t>
            </w:r>
          </w:p>
        </w:tc>
        <w:tc>
          <w:tcPr>
            <w:tcW w:w="0" w:type="dxa"/>
            <w:vAlign w:val="bottom"/>
          </w:tcPr>
          <w:p>
            <w:pPr>
              <w:spacing w:after="0" w:line="20" w:lineRule="exact"/>
              <w:rPr>
                <w:sz w:val="1"/>
                <w:szCs w:val="1"/>
                <w:color w:val="auto"/>
              </w:rPr>
            </w:pPr>
          </w:p>
        </w:tc>
      </w:tr>
      <w:tr>
        <w:trPr>
          <w:trHeight w:val="126"/>
        </w:trPr>
        <w:tc>
          <w:tcPr>
            <w:tcW w:w="56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080" w:type="dxa"/>
            <w:vAlign w:val="bottom"/>
            <w:gridSpan w:val="6"/>
            <w:vMerge w:val="continue"/>
          </w:tcPr>
          <w:p>
            <w:pPr>
              <w:spacing w:after="0"/>
              <w:rPr>
                <w:sz w:val="10"/>
                <w:szCs w:val="10"/>
                <w:color w:val="auto"/>
              </w:rPr>
            </w:pPr>
          </w:p>
        </w:tc>
        <w:tc>
          <w:tcPr>
            <w:tcW w:w="260" w:type="dxa"/>
            <w:vAlign w:val="bottom"/>
            <w:tcBorders>
              <w:left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106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56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80" w:type="dxa"/>
            <w:vAlign w:val="bottom"/>
            <w:gridSpan w:val="6"/>
            <w:vMerge w:val="continue"/>
          </w:tcPr>
          <w:p>
            <w:pPr>
              <w:spacing w:after="0"/>
              <w:rPr>
                <w:sz w:val="14"/>
                <w:szCs w:val="14"/>
                <w:color w:val="auto"/>
              </w:rPr>
            </w:pPr>
          </w:p>
        </w:tc>
        <w:tc>
          <w:tcPr>
            <w:tcW w:w="260" w:type="dxa"/>
            <w:vAlign w:val="bottom"/>
            <w:tcBorders>
              <w:left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106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3"/>
              </w:rPr>
              <w:t>Company</w:t>
            </w:r>
          </w:p>
        </w:tc>
        <w:tc>
          <w:tcPr>
            <w:tcW w:w="0" w:type="dxa"/>
            <w:vAlign w:val="bottom"/>
          </w:tcPr>
          <w:p>
            <w:pPr>
              <w:spacing w:after="0"/>
              <w:rPr>
                <w:sz w:val="1"/>
                <w:szCs w:val="1"/>
                <w:color w:val="auto"/>
              </w:rPr>
            </w:pPr>
          </w:p>
        </w:tc>
      </w:tr>
      <w:tr>
        <w:trPr>
          <w:trHeight w:val="123"/>
        </w:trPr>
        <w:tc>
          <w:tcPr>
            <w:tcW w:w="56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680" w:type="dxa"/>
            <w:vAlign w:val="bottom"/>
            <w:tcBorders>
              <w:top w:val="single" w:sz="8" w:color="auto"/>
            </w:tcBorders>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60" w:type="dxa"/>
            <w:vAlign w:val="bottom"/>
            <w:tcBorders>
              <w:top w:val="single" w:sz="8" w:color="auto"/>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840" w:type="dxa"/>
            <w:vAlign w:val="bottom"/>
            <w:tcBorders>
              <w:top w:val="single" w:sz="8" w:color="auto"/>
            </w:tcBorders>
          </w:tcPr>
          <w:p>
            <w:pPr>
              <w:jc w:val="center"/>
              <w:ind w:right="15"/>
              <w:spacing w:after="0" w:line="123" w:lineRule="exact"/>
              <w:rPr>
                <w:sz w:val="20"/>
                <w:szCs w:val="20"/>
                <w:color w:val="auto"/>
              </w:rPr>
            </w:pPr>
            <w:r>
              <w:rPr>
                <w:rFonts w:ascii="Arial" w:cs="Arial" w:eastAsia="Arial" w:hAnsi="Arial"/>
                <w:sz w:val="14"/>
                <w:szCs w:val="14"/>
                <w:color w:val="auto"/>
                <w:w w:val="96"/>
              </w:rPr>
              <w:t>Period from</w:t>
            </w:r>
          </w:p>
        </w:tc>
        <w:tc>
          <w:tcPr>
            <w:tcW w:w="280" w:type="dxa"/>
            <w:vAlign w:val="bottom"/>
          </w:tcPr>
          <w:p>
            <w:pPr>
              <w:spacing w:after="0"/>
              <w:rPr>
                <w:sz w:val="10"/>
                <w:szCs w:val="10"/>
                <w:color w:val="auto"/>
              </w:rPr>
            </w:pPr>
          </w:p>
        </w:tc>
        <w:tc>
          <w:tcPr>
            <w:tcW w:w="260" w:type="dxa"/>
            <w:vAlign w:val="bottom"/>
            <w:tcBorders>
              <w:left w:val="single" w:sz="8" w:color="auto"/>
            </w:tcBorders>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940" w:type="dxa"/>
            <w:vAlign w:val="bottom"/>
            <w:tcBorders>
              <w:top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56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920" w:type="dxa"/>
            <w:vAlign w:val="bottom"/>
            <w:gridSpan w:val="3"/>
          </w:tcPr>
          <w:p>
            <w:pPr>
              <w:jc w:val="right"/>
              <w:ind w:right="200"/>
              <w:spacing w:after="0" w:line="149" w:lineRule="exact"/>
              <w:rPr>
                <w:sz w:val="20"/>
                <w:szCs w:val="20"/>
                <w:color w:val="auto"/>
              </w:rPr>
            </w:pPr>
            <w:r>
              <w:rPr>
                <w:rFonts w:ascii="Arial" w:cs="Arial" w:eastAsia="Arial" w:hAnsi="Arial"/>
                <w:sz w:val="14"/>
                <w:szCs w:val="14"/>
                <w:color w:val="auto"/>
                <w:w w:val="94"/>
              </w:rPr>
              <w:t>Year Ended</w:t>
            </w:r>
          </w:p>
        </w:tc>
        <w:tc>
          <w:tcPr>
            <w:tcW w:w="1280" w:type="dxa"/>
            <w:vAlign w:val="bottom"/>
            <w:gridSpan w:val="4"/>
          </w:tcPr>
          <w:p>
            <w:pPr>
              <w:jc w:val="center"/>
              <w:ind w:right="220"/>
              <w:spacing w:after="0" w:line="149" w:lineRule="exact"/>
              <w:rPr>
                <w:sz w:val="20"/>
                <w:szCs w:val="20"/>
                <w:color w:val="auto"/>
              </w:rPr>
            </w:pPr>
            <w:r>
              <w:rPr>
                <w:rFonts w:ascii="Arial" w:cs="Arial" w:eastAsia="Arial" w:hAnsi="Arial"/>
                <w:sz w:val="14"/>
                <w:szCs w:val="14"/>
                <w:color w:val="auto"/>
                <w:w w:val="95"/>
              </w:rPr>
              <w:t>July 16, 2019 to</w:t>
            </w:r>
          </w:p>
        </w:tc>
        <w:tc>
          <w:tcPr>
            <w:tcW w:w="260" w:type="dxa"/>
            <w:vAlign w:val="bottom"/>
            <w:tcBorders>
              <w:left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1060" w:type="dxa"/>
            <w:vAlign w:val="bottom"/>
            <w:gridSpan w:val="2"/>
          </w:tcPr>
          <w:p>
            <w:pPr>
              <w:jc w:val="center"/>
              <w:ind w:right="240"/>
              <w:spacing w:after="0" w:line="149" w:lineRule="exact"/>
              <w:rPr>
                <w:sz w:val="20"/>
                <w:szCs w:val="20"/>
                <w:color w:val="auto"/>
              </w:rPr>
            </w:pPr>
            <w:r>
              <w:rPr>
                <w:rFonts w:ascii="Arial" w:cs="Arial" w:eastAsia="Arial" w:hAnsi="Arial"/>
                <w:sz w:val="14"/>
                <w:szCs w:val="14"/>
                <w:color w:val="auto"/>
                <w:w w:val="96"/>
              </w:rPr>
              <w:t>Period from</w:t>
            </w:r>
          </w:p>
        </w:tc>
        <w:tc>
          <w:tcPr>
            <w:tcW w:w="0" w:type="dxa"/>
            <w:vAlign w:val="bottom"/>
          </w:tcPr>
          <w:p>
            <w:pPr>
              <w:spacing w:after="0"/>
              <w:rPr>
                <w:sz w:val="1"/>
                <w:szCs w:val="1"/>
                <w:color w:val="auto"/>
              </w:rPr>
            </w:pPr>
          </w:p>
        </w:tc>
      </w:tr>
      <w:tr>
        <w:trPr>
          <w:trHeight w:val="148"/>
        </w:trPr>
        <w:tc>
          <w:tcPr>
            <w:tcW w:w="5600" w:type="dxa"/>
            <w:vAlign w:val="bottom"/>
          </w:tcPr>
          <w:p>
            <w:pPr>
              <w:spacing w:after="0"/>
              <w:rPr>
                <w:sz w:val="12"/>
                <w:szCs w:val="12"/>
                <w:color w:val="auto"/>
              </w:rPr>
            </w:pPr>
          </w:p>
        </w:tc>
        <w:tc>
          <w:tcPr>
            <w:tcW w:w="940" w:type="dxa"/>
            <w:vAlign w:val="bottom"/>
            <w:gridSpan w:val="4"/>
          </w:tcPr>
          <w:p>
            <w:pPr>
              <w:spacing w:after="0" w:line="149" w:lineRule="exact"/>
              <w:rPr>
                <w:sz w:val="20"/>
                <w:szCs w:val="20"/>
                <w:color w:val="auto"/>
              </w:rPr>
            </w:pPr>
            <w:r>
              <w:rPr>
                <w:rFonts w:ascii="Arial" w:cs="Arial" w:eastAsia="Arial" w:hAnsi="Arial"/>
                <w:sz w:val="14"/>
                <w:szCs w:val="14"/>
                <w:color w:val="auto"/>
              </w:rPr>
              <w:t>December 31,</w:t>
            </w:r>
          </w:p>
        </w:tc>
        <w:tc>
          <w:tcPr>
            <w:tcW w:w="60" w:type="dxa"/>
            <w:vAlign w:val="bottom"/>
          </w:tcPr>
          <w:p>
            <w:pPr>
              <w:spacing w:after="0"/>
              <w:rPr>
                <w:sz w:val="12"/>
                <w:szCs w:val="12"/>
                <w:color w:val="auto"/>
              </w:rPr>
            </w:pPr>
          </w:p>
        </w:tc>
        <w:tc>
          <w:tcPr>
            <w:tcW w:w="1220" w:type="dxa"/>
            <w:vAlign w:val="bottom"/>
            <w:gridSpan w:val="3"/>
          </w:tcPr>
          <w:p>
            <w:pPr>
              <w:jc w:val="center"/>
              <w:ind w:right="280"/>
              <w:spacing w:after="0" w:line="149" w:lineRule="exact"/>
              <w:rPr>
                <w:sz w:val="20"/>
                <w:szCs w:val="20"/>
                <w:color w:val="auto"/>
              </w:rPr>
            </w:pPr>
            <w:r>
              <w:rPr>
                <w:rFonts w:ascii="Arial" w:cs="Arial" w:eastAsia="Arial" w:hAnsi="Arial"/>
                <w:sz w:val="14"/>
                <w:szCs w:val="14"/>
                <w:color w:val="auto"/>
                <w:w w:val="93"/>
              </w:rPr>
              <w:t>December 31,</w:t>
            </w:r>
          </w:p>
        </w:tc>
        <w:tc>
          <w:tcPr>
            <w:tcW w:w="1440" w:type="dxa"/>
            <w:vAlign w:val="bottom"/>
            <w:tcBorders>
              <w:left w:val="single" w:sz="8" w:color="auto"/>
            </w:tcBorders>
            <w:gridSpan w:val="4"/>
          </w:tcPr>
          <w:p>
            <w:pPr>
              <w:jc w:val="center"/>
              <w:ind w:left="68"/>
              <w:spacing w:after="0" w:line="149" w:lineRule="exact"/>
              <w:rPr>
                <w:sz w:val="20"/>
                <w:szCs w:val="20"/>
                <w:color w:val="auto"/>
              </w:rPr>
            </w:pPr>
            <w:r>
              <w:rPr>
                <w:rFonts w:ascii="Arial" w:cs="Arial" w:eastAsia="Arial" w:hAnsi="Arial"/>
                <w:sz w:val="14"/>
                <w:szCs w:val="14"/>
                <w:color w:val="auto"/>
                <w:w w:val="91"/>
              </w:rPr>
              <w:t>January 1, 2019 to</w:t>
            </w:r>
          </w:p>
        </w:tc>
        <w:tc>
          <w:tcPr>
            <w:tcW w:w="0" w:type="dxa"/>
            <w:vAlign w:val="bottom"/>
          </w:tcPr>
          <w:p>
            <w:pPr>
              <w:spacing w:after="0"/>
              <w:rPr>
                <w:sz w:val="1"/>
                <w:szCs w:val="1"/>
                <w:color w:val="auto"/>
              </w:rPr>
            </w:pPr>
          </w:p>
        </w:tc>
      </w:tr>
      <w:tr>
        <w:trPr>
          <w:trHeight w:val="167"/>
        </w:trPr>
        <w:tc>
          <w:tcPr>
            <w:tcW w:w="56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tcPr>
          <w:p>
            <w:pPr>
              <w:jc w:val="right"/>
              <w:ind w:right="175"/>
              <w:spacing w:after="0"/>
              <w:rPr>
                <w:sz w:val="20"/>
                <w:szCs w:val="20"/>
                <w:color w:val="auto"/>
              </w:rPr>
            </w:pPr>
            <w:r>
              <w:rPr>
                <w:rFonts w:ascii="Arial" w:cs="Arial" w:eastAsia="Arial" w:hAnsi="Arial"/>
                <w:sz w:val="14"/>
                <w:szCs w:val="14"/>
                <w:color w:val="auto"/>
              </w:rPr>
              <w:t>2020</w:t>
            </w:r>
          </w:p>
        </w:tc>
        <w:tc>
          <w:tcPr>
            <w:tcW w:w="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tcPr>
          <w:p>
            <w:pPr>
              <w:jc w:val="center"/>
              <w:ind w:right="15"/>
              <w:spacing w:after="0"/>
              <w:rPr>
                <w:sz w:val="20"/>
                <w:szCs w:val="20"/>
                <w:color w:val="auto"/>
              </w:rPr>
            </w:pPr>
            <w:r>
              <w:rPr>
                <w:rFonts w:ascii="Arial" w:cs="Arial" w:eastAsia="Arial" w:hAnsi="Arial"/>
                <w:sz w:val="14"/>
                <w:szCs w:val="14"/>
                <w:color w:val="auto"/>
                <w:w w:val="96"/>
              </w:rPr>
              <w:t>2019</w:t>
            </w:r>
          </w:p>
        </w:tc>
        <w:tc>
          <w:tcPr>
            <w:tcW w:w="280" w:type="dxa"/>
            <w:vAlign w:val="bottom"/>
          </w:tcPr>
          <w:p>
            <w:pPr>
              <w:spacing w:after="0"/>
              <w:rPr>
                <w:sz w:val="14"/>
                <w:szCs w:val="14"/>
                <w:color w:val="auto"/>
              </w:rPr>
            </w:pPr>
          </w:p>
        </w:tc>
        <w:tc>
          <w:tcPr>
            <w:tcW w:w="260" w:type="dxa"/>
            <w:vAlign w:val="bottom"/>
            <w:tcBorders>
              <w:left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1060" w:type="dxa"/>
            <w:vAlign w:val="bottom"/>
            <w:gridSpan w:val="2"/>
          </w:tcPr>
          <w:p>
            <w:pPr>
              <w:jc w:val="center"/>
              <w:ind w:right="240"/>
              <w:spacing w:after="0"/>
              <w:rPr>
                <w:sz w:val="20"/>
                <w:szCs w:val="20"/>
                <w:color w:val="auto"/>
              </w:rPr>
            </w:pPr>
            <w:r>
              <w:rPr>
                <w:rFonts w:ascii="Arial" w:cs="Arial" w:eastAsia="Arial" w:hAnsi="Arial"/>
                <w:sz w:val="14"/>
                <w:szCs w:val="14"/>
                <w:color w:val="auto"/>
                <w:w w:val="93"/>
              </w:rPr>
              <w:t>July 15, 2019</w:t>
            </w:r>
          </w:p>
        </w:tc>
        <w:tc>
          <w:tcPr>
            <w:tcW w:w="0" w:type="dxa"/>
            <w:vAlign w:val="bottom"/>
          </w:tcPr>
          <w:p>
            <w:pPr>
              <w:spacing w:after="0"/>
              <w:rPr>
                <w:sz w:val="1"/>
                <w:szCs w:val="1"/>
                <w:color w:val="auto"/>
              </w:rPr>
            </w:pPr>
          </w:p>
        </w:tc>
      </w:tr>
      <w:tr>
        <w:trPr>
          <w:trHeight w:val="209"/>
        </w:trPr>
        <w:tc>
          <w:tcPr>
            <w:tcW w:w="56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Balance at beginning of period</w:t>
            </w:r>
          </w:p>
        </w:tc>
        <w:tc>
          <w:tcPr>
            <w:tcW w:w="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46,125</w:t>
            </w:r>
          </w:p>
        </w:tc>
        <w:tc>
          <w:tcPr>
            <w:tcW w:w="12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38,278</w:t>
            </w:r>
          </w:p>
        </w:tc>
        <w:tc>
          <w:tcPr>
            <w:tcW w:w="28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CCEEFF"/>
              <w:left w:val="single" w:sz="8" w:color="auto"/>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32,187</w:t>
            </w:r>
          </w:p>
        </w:tc>
        <w:tc>
          <w:tcPr>
            <w:tcW w:w="1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00" w:type="dxa"/>
            <w:vAlign w:val="bottom"/>
          </w:tcPr>
          <w:p>
            <w:pPr>
              <w:spacing w:after="0"/>
              <w:rPr>
                <w:sz w:val="20"/>
                <w:szCs w:val="20"/>
                <w:color w:val="auto"/>
              </w:rPr>
            </w:pPr>
            <w:r>
              <w:rPr>
                <w:rFonts w:ascii="Arial" w:cs="Arial" w:eastAsia="Arial" w:hAnsi="Arial"/>
                <w:sz w:val="18"/>
                <w:szCs w:val="18"/>
                <w:color w:val="auto"/>
              </w:rPr>
              <w:t>Adoption of ASC 606</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260" w:type="dxa"/>
            <w:vAlign w:val="bottom"/>
            <w:tcBorders>
              <w:left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gridSpan w:val="2"/>
          </w:tcPr>
          <w:p>
            <w:pPr>
              <w:jc w:val="right"/>
              <w:ind w:right="60"/>
              <w:spacing w:after="0"/>
              <w:rPr>
                <w:sz w:val="20"/>
                <w:szCs w:val="20"/>
                <w:color w:val="auto"/>
              </w:rPr>
            </w:pPr>
            <w:r>
              <w:rPr>
                <w:rFonts w:ascii="Arial" w:cs="Arial" w:eastAsia="Arial" w:hAnsi="Arial"/>
                <w:sz w:val="18"/>
                <w:szCs w:val="18"/>
                <w:color w:val="auto"/>
              </w:rPr>
              <w:t>(729)</w:t>
            </w:r>
          </w:p>
        </w:tc>
        <w:tc>
          <w:tcPr>
            <w:tcW w:w="0" w:type="dxa"/>
            <w:vAlign w:val="bottom"/>
          </w:tcPr>
          <w:p>
            <w:pPr>
              <w:spacing w:after="0"/>
              <w:rPr>
                <w:sz w:val="1"/>
                <w:szCs w:val="1"/>
                <w:color w:val="auto"/>
              </w:rPr>
            </w:pPr>
          </w:p>
        </w:tc>
      </w:tr>
      <w:tr>
        <w:trPr>
          <w:trHeight w:val="216"/>
        </w:trPr>
        <w:tc>
          <w:tcPr>
            <w:tcW w:w="5600" w:type="dxa"/>
            <w:vAlign w:val="bottom"/>
            <w:shd w:val="clear" w:color="auto" w:fill="CCEEFF"/>
          </w:tcPr>
          <w:p>
            <w:pPr>
              <w:spacing w:after="0"/>
              <w:rPr>
                <w:sz w:val="20"/>
                <w:szCs w:val="20"/>
                <w:color w:val="auto"/>
              </w:rPr>
            </w:pPr>
            <w:r>
              <w:rPr>
                <w:rFonts w:ascii="Arial" w:cs="Arial" w:eastAsia="Arial" w:hAnsi="Arial"/>
                <w:sz w:val="18"/>
                <w:szCs w:val="18"/>
                <w:color w:val="auto"/>
              </w:rPr>
              <w:t>Acquisition adjustment</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(6,278)</w:t>
            </w:r>
          </w:p>
        </w:tc>
        <w:tc>
          <w:tcPr>
            <w:tcW w:w="260" w:type="dxa"/>
            <w:vAlign w:val="bottom"/>
            <w:tcBorders>
              <w:left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600" w:type="dxa"/>
            <w:vAlign w:val="bottom"/>
          </w:tcPr>
          <w:p>
            <w:pPr>
              <w:spacing w:after="0"/>
              <w:rPr>
                <w:sz w:val="20"/>
                <w:szCs w:val="20"/>
                <w:color w:val="auto"/>
              </w:rPr>
            </w:pPr>
            <w:r>
              <w:rPr>
                <w:rFonts w:ascii="Arial" w:cs="Arial" w:eastAsia="Arial" w:hAnsi="Arial"/>
                <w:sz w:val="18"/>
                <w:szCs w:val="18"/>
                <w:color w:val="auto"/>
              </w:rPr>
              <w:t>Revenue recognized</w:t>
            </w:r>
            <w:r>
              <w:rPr>
                <w:rFonts w:ascii="Arial" w:cs="Arial" w:eastAsia="Arial" w:hAnsi="Arial"/>
                <w:sz w:val="15"/>
                <w:szCs w:val="15"/>
                <w:color w:val="auto"/>
              </w:rPr>
              <w:t>1</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gridSpan w:val="2"/>
          </w:tcPr>
          <w:p>
            <w:pPr>
              <w:jc w:val="right"/>
              <w:ind w:right="60"/>
              <w:spacing w:after="0"/>
              <w:rPr>
                <w:sz w:val="20"/>
                <w:szCs w:val="20"/>
                <w:color w:val="auto"/>
              </w:rPr>
            </w:pPr>
            <w:r>
              <w:rPr>
                <w:rFonts w:ascii="Arial" w:cs="Arial" w:eastAsia="Arial" w:hAnsi="Arial"/>
                <w:sz w:val="18"/>
                <w:szCs w:val="18"/>
                <w:color w:val="auto"/>
                <w:w w:val="93"/>
              </w:rPr>
              <w:t>(118,317)</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(40,045)</w:t>
            </w:r>
          </w:p>
        </w:tc>
        <w:tc>
          <w:tcPr>
            <w:tcW w:w="260" w:type="dxa"/>
            <w:vAlign w:val="bottom"/>
            <w:tcBorders>
              <w:left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gridSpan w:val="2"/>
          </w:tcPr>
          <w:p>
            <w:pPr>
              <w:jc w:val="right"/>
              <w:ind w:right="60"/>
              <w:spacing w:after="0"/>
              <w:rPr>
                <w:sz w:val="20"/>
                <w:szCs w:val="20"/>
                <w:color w:val="auto"/>
              </w:rPr>
            </w:pPr>
            <w:r>
              <w:rPr>
                <w:rFonts w:ascii="Arial" w:cs="Arial" w:eastAsia="Arial" w:hAnsi="Arial"/>
                <w:sz w:val="18"/>
                <w:szCs w:val="18"/>
                <w:color w:val="auto"/>
              </w:rPr>
              <w:t>(45,458)</w:t>
            </w:r>
          </w:p>
        </w:tc>
        <w:tc>
          <w:tcPr>
            <w:tcW w:w="0" w:type="dxa"/>
            <w:vAlign w:val="bottom"/>
          </w:tcPr>
          <w:p>
            <w:pPr>
              <w:spacing w:after="0"/>
              <w:rPr>
                <w:sz w:val="1"/>
                <w:szCs w:val="1"/>
                <w:color w:val="auto"/>
              </w:rPr>
            </w:pPr>
          </w:p>
        </w:tc>
      </w:tr>
      <w:tr>
        <w:trPr>
          <w:trHeight w:val="216"/>
        </w:trPr>
        <w:tc>
          <w:tcPr>
            <w:tcW w:w="5600" w:type="dxa"/>
            <w:vAlign w:val="bottom"/>
            <w:shd w:val="clear" w:color="auto" w:fill="CCEEFF"/>
          </w:tcPr>
          <w:p>
            <w:pPr>
              <w:spacing w:after="0"/>
              <w:rPr>
                <w:sz w:val="20"/>
                <w:szCs w:val="20"/>
                <w:color w:val="auto"/>
              </w:rPr>
            </w:pPr>
            <w:r>
              <w:rPr>
                <w:rFonts w:ascii="Arial" w:cs="Arial" w:eastAsia="Arial" w:hAnsi="Arial"/>
                <w:sz w:val="18"/>
                <w:szCs w:val="18"/>
                <w:color w:val="auto"/>
              </w:rPr>
              <w:t>Additional amounts deferred</w:t>
            </w:r>
            <w:r>
              <w:rPr>
                <w:rFonts w:ascii="Arial" w:cs="Arial" w:eastAsia="Arial" w:hAnsi="Arial"/>
                <w:sz w:val="15"/>
                <w:szCs w:val="15"/>
                <w:color w:val="auto"/>
              </w:rPr>
              <w:t>1</w:t>
            </w:r>
          </w:p>
        </w:tc>
        <w:tc>
          <w:tcPr>
            <w:tcW w:w="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133,392</w:t>
            </w: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54,170</w:t>
            </w:r>
          </w:p>
        </w:tc>
        <w:tc>
          <w:tcPr>
            <w:tcW w:w="280" w:type="dxa"/>
            <w:vAlign w:val="bottom"/>
            <w:shd w:val="clear" w:color="auto" w:fill="CCEEFF"/>
          </w:tcPr>
          <w:p>
            <w:pPr>
              <w:spacing w:after="0"/>
              <w:rPr>
                <w:sz w:val="18"/>
                <w:szCs w:val="18"/>
                <w:color w:val="auto"/>
              </w:rPr>
            </w:pPr>
          </w:p>
        </w:tc>
        <w:tc>
          <w:tcPr>
            <w:tcW w:w="260" w:type="dxa"/>
            <w:vAlign w:val="bottom"/>
            <w:tcBorders>
              <w:left w:val="single" w:sz="8" w:color="auto"/>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52,278</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5600" w:type="dxa"/>
            <w:vAlign w:val="bottom"/>
          </w:tcPr>
          <w:p>
            <w:pPr>
              <w:ind w:left="360"/>
              <w:spacing w:after="0"/>
              <w:rPr>
                <w:sz w:val="20"/>
                <w:szCs w:val="20"/>
                <w:color w:val="auto"/>
              </w:rPr>
            </w:pPr>
            <w:r>
              <w:rPr>
                <w:rFonts w:ascii="Arial" w:cs="Arial" w:eastAsia="Arial" w:hAnsi="Arial"/>
                <w:sz w:val="18"/>
                <w:szCs w:val="18"/>
                <w:color w:val="auto"/>
              </w:rPr>
              <w:t>Balance at end of period</w:t>
            </w:r>
          </w:p>
        </w:tc>
        <w:tc>
          <w:tcPr>
            <w:tcW w:w="2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99"/>
              </w:rPr>
              <w:t>$</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61,200</w:t>
            </w: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46,125</w:t>
            </w:r>
          </w:p>
        </w:tc>
        <w:tc>
          <w:tcPr>
            <w:tcW w:w="280" w:type="dxa"/>
            <w:vAlign w:val="bottom"/>
          </w:tcPr>
          <w:p>
            <w:pPr>
              <w:spacing w:after="0"/>
              <w:rPr>
                <w:sz w:val="19"/>
                <w:szCs w:val="19"/>
                <w:color w:val="auto"/>
              </w:rPr>
            </w:pPr>
          </w:p>
        </w:tc>
        <w:tc>
          <w:tcPr>
            <w:tcW w:w="260" w:type="dxa"/>
            <w:vAlign w:val="bottom"/>
            <w:tcBorders>
              <w:left w:val="single" w:sz="8" w:color="auto"/>
            </w:tcBorders>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38,278</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6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Borders>
              <w:left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ind w:left="5560" w:right="4380" w:hanging="5444"/>
        <w:spacing w:after="0" w:line="490" w:lineRule="auto"/>
        <w:tabs>
          <w:tab w:leader="none" w:pos="539" w:val="left"/>
        </w:tabs>
        <w:numPr>
          <w:ilvl w:val="0"/>
          <w:numId w:val="186"/>
        </w:numPr>
        <w:rPr>
          <w:rFonts w:ascii="Arial" w:cs="Arial" w:eastAsia="Arial" w:hAnsi="Arial"/>
          <w:sz w:val="14"/>
          <w:szCs w:val="14"/>
          <w:color w:val="auto"/>
        </w:rPr>
      </w:pPr>
      <w:r>
        <w:rPr>
          <w:rFonts w:ascii="Arial" w:cs="Arial" w:eastAsia="Arial" w:hAnsi="Arial"/>
          <w:sz w:val="17"/>
          <w:szCs w:val="17"/>
          <w:color w:val="auto"/>
        </w:rPr>
        <w:t>Amounts include total revenue deferred and recognized during each respective period. F-31</w:t>
      </w:r>
    </w:p>
    <w:p>
      <w:pPr>
        <w:sectPr>
          <w:pgSz w:w="11900" w:h="16838" w:orient="portrait"/>
          <w:cols w:equalWidth="0" w:num="1">
            <w:col w:w="11140"/>
          </w:cols>
          <w:pgMar w:left="320" w:top="459" w:right="439" w:bottom="1440" w:gutter="0" w:footer="0" w:header="0"/>
        </w:sectPr>
      </w:pPr>
    </w:p>
    <w:bookmarkStart w:id="237" w:name="page238"/>
    <w:bookmarkEnd w:id="2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22">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Confidential Treatment Requested by Definitive Healthcare Corp.</w:t>
      </w:r>
    </w:p>
    <w:p>
      <w:pPr>
        <w:spacing w:after="0" w:line="27"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Pursuant to 17 C.F.R. Section 200.83</w:t>
      </w:r>
    </w:p>
    <w:p>
      <w:pPr>
        <w:spacing w:after="0" w:line="143"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Remaining Performance Obligations</w:t>
      </w:r>
    </w:p>
    <w:p>
      <w:pPr>
        <w:spacing w:after="0" w:line="117" w:lineRule="exact"/>
        <w:rPr>
          <w:sz w:val="20"/>
          <w:szCs w:val="20"/>
          <w:color w:val="auto"/>
        </w:rPr>
      </w:pPr>
    </w:p>
    <w:p>
      <w:pPr>
        <w:ind w:left="120" w:firstLine="440"/>
        <w:spacing w:after="0" w:line="272" w:lineRule="auto"/>
        <w:rPr>
          <w:sz w:val="20"/>
          <w:szCs w:val="20"/>
          <w:color w:val="auto"/>
        </w:rPr>
      </w:pPr>
      <w:r>
        <w:rPr>
          <w:rFonts w:ascii="Arial" w:cs="Arial" w:eastAsia="Arial" w:hAnsi="Arial"/>
          <w:sz w:val="17"/>
          <w:szCs w:val="17"/>
          <w:color w:val="auto"/>
        </w:rPr>
        <w:t>ASC 606 introduced the concept of transaction price allocated to the remaining performance obligations of a contract, which is different than unbilled deferred revenue under ASC 605. Transaction price allocated to remaining performance obligations represents contracted revenue that has not yet been recognized, which includes unearned revenue and unbilled amounts that will be recognized as revenue in future periods. Transaction price allocated to remaining performance obligations is influenced by several factors, including seasonality, the timing of renewals, and disparate contract terms. Revenue allocated to remaining performance obligations represents contracted revenue that has not yet been recognized, which includes unearned revenue and backlog. The Company’s backlog represents installment billings for periods beyond the current billing cycle. The majority of the Company’s noncurrent remaining performance obligations will be recognized in the next 13 to 36 months.</w:t>
      </w:r>
    </w:p>
    <w:p>
      <w:pPr>
        <w:spacing w:after="0" w:line="177"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remaining performance obligations consisted of the following (in thousands):</w:t>
      </w:r>
    </w:p>
    <w:p>
      <w:pPr>
        <w:spacing w:after="0" w:line="244" w:lineRule="exact"/>
        <w:rPr>
          <w:sz w:val="20"/>
          <w:szCs w:val="20"/>
          <w:color w:val="auto"/>
        </w:rPr>
      </w:pPr>
    </w:p>
    <w:tbl>
      <w:tblPr>
        <w:tblLayout w:type="fixed"/>
        <w:tblInd w:w="1440" w:type="dxa"/>
        <w:tblCellMar>
          <w:top w:w="0" w:type="dxa"/>
          <w:left w:w="0" w:type="dxa"/>
          <w:bottom w:w="0" w:type="dxa"/>
          <w:right w:w="0" w:type="dxa"/>
        </w:tblCellMar>
      </w:tblPr>
      <w:tr>
        <w:trPr>
          <w:trHeight w:val="171"/>
        </w:trPr>
        <w:tc>
          <w:tcPr>
            <w:tcW w:w="60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200" w:type="dxa"/>
            <w:vAlign w:val="bottom"/>
            <w:gridSpan w:val="5"/>
          </w:tcPr>
          <w:p>
            <w:pPr>
              <w:ind w:left="380"/>
              <w:spacing w:after="0"/>
              <w:rPr>
                <w:sz w:val="20"/>
                <w:szCs w:val="20"/>
                <w:color w:val="auto"/>
              </w:rPr>
            </w:pPr>
            <w:r>
              <w:rPr>
                <w:rFonts w:ascii="Arial" w:cs="Arial" w:eastAsia="Arial" w:hAnsi="Arial"/>
                <w:sz w:val="14"/>
                <w:szCs w:val="14"/>
                <w:b w:val="1"/>
                <w:bCs w:val="1"/>
                <w:color w:val="auto"/>
              </w:rPr>
              <w:t>Successor Company</w:t>
            </w:r>
          </w:p>
        </w:tc>
      </w:tr>
      <w:tr>
        <w:trPr>
          <w:trHeight w:val="123"/>
        </w:trPr>
        <w:tc>
          <w:tcPr>
            <w:tcW w:w="6000" w:type="dxa"/>
            <w:vAlign w:val="bottom"/>
          </w:tcPr>
          <w:p>
            <w:pPr>
              <w:spacing w:after="0"/>
              <w:rPr>
                <w:sz w:val="10"/>
                <w:szCs w:val="10"/>
                <w:color w:val="auto"/>
              </w:rPr>
            </w:pPr>
          </w:p>
        </w:tc>
        <w:tc>
          <w:tcPr>
            <w:tcW w:w="1500" w:type="dxa"/>
            <w:vAlign w:val="bottom"/>
            <w:tcBorders>
              <w:top w:val="single" w:sz="8" w:color="auto"/>
            </w:tcBorders>
            <w:gridSpan w:val="3"/>
          </w:tcPr>
          <w:p>
            <w:pPr>
              <w:spacing w:after="0" w:line="123" w:lineRule="exact"/>
              <w:rPr>
                <w:sz w:val="20"/>
                <w:szCs w:val="20"/>
                <w:color w:val="auto"/>
              </w:rPr>
            </w:pPr>
            <w:r>
              <w:rPr>
                <w:rFonts w:ascii="Arial" w:cs="Arial" w:eastAsia="Arial" w:hAnsi="Arial"/>
                <w:sz w:val="14"/>
                <w:szCs w:val="14"/>
                <w:color w:val="auto"/>
              </w:rPr>
              <w:t>December 31,</w:t>
            </w:r>
          </w:p>
        </w:tc>
        <w:tc>
          <w:tcPr>
            <w:tcW w:w="820" w:type="dxa"/>
            <w:vAlign w:val="bottom"/>
            <w:tcBorders>
              <w:top w:val="single" w:sz="8" w:color="auto"/>
            </w:tcBorders>
            <w:gridSpan w:val="2"/>
          </w:tcPr>
          <w:p>
            <w:pPr>
              <w:spacing w:after="0" w:line="123" w:lineRule="exact"/>
              <w:rPr>
                <w:sz w:val="20"/>
                <w:szCs w:val="20"/>
                <w:color w:val="auto"/>
              </w:rPr>
            </w:pPr>
            <w:r>
              <w:rPr>
                <w:rFonts w:ascii="Arial" w:cs="Arial" w:eastAsia="Arial" w:hAnsi="Arial"/>
                <w:sz w:val="14"/>
                <w:szCs w:val="14"/>
                <w:color w:val="auto"/>
                <w:w w:val="90"/>
              </w:rPr>
              <w:t>December 31,</w:t>
            </w:r>
          </w:p>
        </w:tc>
        <w:tc>
          <w:tcPr>
            <w:tcW w:w="40" w:type="dxa"/>
            <w:vAlign w:val="bottom"/>
          </w:tcPr>
          <w:p>
            <w:pPr>
              <w:spacing w:after="0"/>
              <w:rPr>
                <w:sz w:val="10"/>
                <w:szCs w:val="10"/>
                <w:color w:val="auto"/>
              </w:rPr>
            </w:pPr>
          </w:p>
        </w:tc>
      </w:tr>
      <w:tr>
        <w:trPr>
          <w:trHeight w:val="167"/>
        </w:trPr>
        <w:tc>
          <w:tcPr>
            <w:tcW w:w="600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177"/>
              <w:spacing w:after="0"/>
              <w:rPr>
                <w:sz w:val="20"/>
                <w:szCs w:val="20"/>
                <w:color w:val="auto"/>
              </w:rPr>
            </w:pPr>
            <w:r>
              <w:rPr>
                <w:rFonts w:ascii="Arial" w:cs="Arial" w:eastAsia="Arial" w:hAnsi="Arial"/>
                <w:sz w:val="14"/>
                <w:szCs w:val="14"/>
                <w:color w:val="auto"/>
              </w:rPr>
              <w:t>2020</w:t>
            </w:r>
          </w:p>
        </w:tc>
        <w:tc>
          <w:tcPr>
            <w:tcW w:w="70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175"/>
              <w:spacing w:after="0"/>
              <w:rPr>
                <w:sz w:val="20"/>
                <w:szCs w:val="20"/>
                <w:color w:val="auto"/>
              </w:rPr>
            </w:pPr>
            <w:r>
              <w:rPr>
                <w:rFonts w:ascii="Arial" w:cs="Arial" w:eastAsia="Arial" w:hAnsi="Arial"/>
                <w:sz w:val="14"/>
                <w:szCs w:val="14"/>
                <w:color w:val="auto"/>
              </w:rPr>
              <w:t>2019</w:t>
            </w:r>
          </w:p>
        </w:tc>
        <w:tc>
          <w:tcPr>
            <w:tcW w:w="40" w:type="dxa"/>
            <w:vAlign w:val="bottom"/>
            <w:tcBorders>
              <w:bottom w:val="single" w:sz="8" w:color="CCEEFF"/>
            </w:tcBorders>
          </w:tcPr>
          <w:p>
            <w:pPr>
              <w:spacing w:after="0"/>
              <w:rPr>
                <w:sz w:val="14"/>
                <w:szCs w:val="14"/>
                <w:color w:val="auto"/>
              </w:rPr>
            </w:pPr>
          </w:p>
        </w:tc>
      </w:tr>
      <w:tr>
        <w:trPr>
          <w:trHeight w:val="209"/>
        </w:trPr>
        <w:tc>
          <w:tcPr>
            <w:tcW w:w="6000" w:type="dxa"/>
            <w:vAlign w:val="bottom"/>
            <w:shd w:val="clear" w:color="auto" w:fill="CCEEFF"/>
          </w:tcPr>
          <w:p>
            <w:pPr>
              <w:spacing w:after="0"/>
              <w:rPr>
                <w:sz w:val="20"/>
                <w:szCs w:val="20"/>
                <w:color w:val="auto"/>
              </w:rPr>
            </w:pPr>
            <w:r>
              <w:rPr>
                <w:rFonts w:ascii="Arial" w:cs="Arial" w:eastAsia="Arial" w:hAnsi="Arial"/>
                <w:sz w:val="18"/>
                <w:szCs w:val="18"/>
                <w:color w:val="auto"/>
              </w:rPr>
              <w:t>Current</w:t>
            </w:r>
            <w:r>
              <w:rPr>
                <w:rFonts w:ascii="Arial" w:cs="Arial" w:eastAsia="Arial" w:hAnsi="Arial"/>
                <w:sz w:val="15"/>
                <w:szCs w:val="15"/>
                <w:color w:val="auto"/>
              </w:rPr>
              <w:t>(1)</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114,284</w:t>
            </w:r>
          </w:p>
        </w:tc>
        <w:tc>
          <w:tcPr>
            <w:tcW w:w="7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82,291</w:t>
            </w:r>
          </w:p>
        </w:tc>
        <w:tc>
          <w:tcPr>
            <w:tcW w:w="40" w:type="dxa"/>
            <w:vAlign w:val="bottom"/>
            <w:shd w:val="clear" w:color="auto" w:fill="CCEEFF"/>
          </w:tcPr>
          <w:p>
            <w:pPr>
              <w:spacing w:after="0"/>
              <w:rPr>
                <w:sz w:val="18"/>
                <w:szCs w:val="18"/>
                <w:color w:val="auto"/>
              </w:rPr>
            </w:pPr>
          </w:p>
        </w:tc>
      </w:tr>
      <w:tr>
        <w:trPr>
          <w:trHeight w:val="216"/>
        </w:trPr>
        <w:tc>
          <w:tcPr>
            <w:tcW w:w="6000" w:type="dxa"/>
            <w:vAlign w:val="bottom"/>
          </w:tcPr>
          <w:p>
            <w:pPr>
              <w:spacing w:after="0"/>
              <w:rPr>
                <w:sz w:val="20"/>
                <w:szCs w:val="20"/>
                <w:color w:val="auto"/>
              </w:rPr>
            </w:pPr>
            <w:r>
              <w:rPr>
                <w:rFonts w:ascii="Arial" w:cs="Arial" w:eastAsia="Arial" w:hAnsi="Arial"/>
                <w:sz w:val="18"/>
                <w:szCs w:val="18"/>
                <w:color w:val="auto"/>
              </w:rPr>
              <w:t>Noncurrent</w:t>
            </w:r>
            <w:r>
              <w:rPr>
                <w:rFonts w:ascii="Arial" w:cs="Arial" w:eastAsia="Arial" w:hAnsi="Arial"/>
                <w:sz w:val="15"/>
                <w:szCs w:val="15"/>
                <w:color w:val="auto"/>
              </w:rPr>
              <w:t>(1)</w:t>
            </w:r>
          </w:p>
        </w:tc>
        <w:tc>
          <w:tcPr>
            <w:tcW w:w="160" w:type="dxa"/>
            <w:vAlign w:val="bottom"/>
          </w:tcPr>
          <w:p>
            <w:pPr>
              <w:spacing w:after="0"/>
              <w:rPr>
                <w:sz w:val="18"/>
                <w:szCs w:val="18"/>
                <w:color w:val="auto"/>
              </w:rPr>
            </w:pPr>
          </w:p>
        </w:tc>
        <w:tc>
          <w:tcPr>
            <w:tcW w:w="1340" w:type="dxa"/>
            <w:vAlign w:val="bottom"/>
            <w:gridSpan w:val="2"/>
          </w:tcPr>
          <w:p>
            <w:pPr>
              <w:jc w:val="right"/>
              <w:ind w:right="700"/>
              <w:spacing w:after="0"/>
              <w:rPr>
                <w:sz w:val="20"/>
                <w:szCs w:val="20"/>
                <w:color w:val="auto"/>
              </w:rPr>
            </w:pPr>
            <w:r>
              <w:rPr>
                <w:rFonts w:ascii="Arial" w:cs="Arial" w:eastAsia="Arial" w:hAnsi="Arial"/>
                <w:sz w:val="18"/>
                <w:szCs w:val="18"/>
                <w:color w:val="auto"/>
              </w:rPr>
              <w:t>58,250</w:t>
            </w:r>
          </w:p>
        </w:tc>
        <w:tc>
          <w:tcPr>
            <w:tcW w:w="160" w:type="dxa"/>
            <w:vAlign w:val="bottom"/>
          </w:tcPr>
          <w:p>
            <w:pPr>
              <w:spacing w:after="0"/>
              <w:rPr>
                <w:sz w:val="18"/>
                <w:szCs w:val="18"/>
                <w:color w:val="auto"/>
              </w:rPr>
            </w:pPr>
          </w:p>
        </w:tc>
        <w:tc>
          <w:tcPr>
            <w:tcW w:w="700" w:type="dxa"/>
            <w:vAlign w:val="bottom"/>
            <w:gridSpan w:val="2"/>
          </w:tcPr>
          <w:p>
            <w:pPr>
              <w:jc w:val="right"/>
              <w:ind w:right="40"/>
              <w:spacing w:after="0"/>
              <w:rPr>
                <w:sz w:val="20"/>
                <w:szCs w:val="20"/>
                <w:color w:val="auto"/>
              </w:rPr>
            </w:pPr>
            <w:r>
              <w:rPr>
                <w:rFonts w:ascii="Arial" w:cs="Arial" w:eastAsia="Arial" w:hAnsi="Arial"/>
                <w:sz w:val="18"/>
                <w:szCs w:val="18"/>
                <w:color w:val="auto"/>
              </w:rPr>
              <w:t>40,475</w:t>
            </w:r>
          </w:p>
        </w:tc>
      </w:tr>
      <w:tr>
        <w:trPr>
          <w:trHeight w:val="27"/>
        </w:trPr>
        <w:tc>
          <w:tcPr>
            <w:tcW w:w="600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70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r>
      <w:tr>
        <w:trPr>
          <w:trHeight w:val="216"/>
        </w:trPr>
        <w:tc>
          <w:tcPr>
            <w:tcW w:w="600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34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w w:val="95"/>
              </w:rPr>
              <w:t>172,534</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8"/>
              </w:rPr>
              <w:t>122,766</w:t>
            </w:r>
          </w:p>
        </w:tc>
      </w:tr>
      <w:tr>
        <w:trPr>
          <w:trHeight w:val="20"/>
        </w:trPr>
        <w:tc>
          <w:tcPr>
            <w:tcW w:w="60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94615</wp:posOffset>
            </wp:positionV>
            <wp:extent cx="771525" cy="8255"/>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23">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68" w:lineRule="exact"/>
        <w:rPr>
          <w:sz w:val="20"/>
          <w:szCs w:val="20"/>
          <w:color w:val="auto"/>
        </w:rPr>
      </w:pPr>
    </w:p>
    <w:p>
      <w:pPr>
        <w:ind w:left="540" w:right="380" w:hanging="424"/>
        <w:spacing w:after="0" w:line="277" w:lineRule="auto"/>
        <w:tabs>
          <w:tab w:leader="none" w:pos="540" w:val="left"/>
        </w:tabs>
        <w:numPr>
          <w:ilvl w:val="0"/>
          <w:numId w:val="187"/>
        </w:numPr>
        <w:rPr>
          <w:rFonts w:ascii="Arial" w:cs="Arial" w:eastAsia="Arial" w:hAnsi="Arial"/>
          <w:sz w:val="18"/>
          <w:szCs w:val="18"/>
          <w:color w:val="auto"/>
        </w:rPr>
      </w:pPr>
      <w:r>
        <w:rPr>
          <w:rFonts w:ascii="Arial" w:cs="Arial" w:eastAsia="Arial" w:hAnsi="Arial"/>
          <w:sz w:val="18"/>
          <w:szCs w:val="18"/>
          <w:color w:val="auto"/>
        </w:rPr>
        <w:t>The above table has been corrected for certain errors. Previously reported current, noncurrent and total amounts were $121,623, $51,368, and $172,991 respectively for 2020 and $90,237, $32,957, and $123,194 respectively for 2019.</w:t>
      </w:r>
    </w:p>
    <w:p>
      <w:pPr>
        <w:spacing w:after="0" w:line="319" w:lineRule="exact"/>
        <w:rPr>
          <w:sz w:val="20"/>
          <w:szCs w:val="20"/>
          <w:color w:val="auto"/>
        </w:rPr>
      </w:pPr>
    </w:p>
    <w:p>
      <w:pPr>
        <w:ind w:left="540" w:hanging="424"/>
        <w:spacing w:after="0"/>
        <w:tabs>
          <w:tab w:leader="none" w:pos="540" w:val="left"/>
        </w:tabs>
        <w:numPr>
          <w:ilvl w:val="0"/>
          <w:numId w:val="188"/>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Accounts Receivable</w:t>
      </w:r>
    </w:p>
    <w:p>
      <w:pPr>
        <w:spacing w:after="0" w:line="117" w:lineRule="exact"/>
        <w:rPr>
          <w:rFonts w:ascii="Arial" w:cs="Arial" w:eastAsia="Arial" w:hAnsi="Arial"/>
          <w:sz w:val="18"/>
          <w:szCs w:val="18"/>
          <w:b w:val="1"/>
          <w:bCs w:val="1"/>
          <w:color w:val="auto"/>
        </w:rPr>
      </w:pPr>
    </w:p>
    <w:p>
      <w:pPr>
        <w:ind w:left="560"/>
        <w:spacing w:after="0"/>
        <w:rPr>
          <w:rFonts w:ascii="Arial" w:cs="Arial" w:eastAsia="Arial" w:hAnsi="Arial"/>
          <w:sz w:val="18"/>
          <w:szCs w:val="18"/>
          <w:b w:val="1"/>
          <w:bCs w:val="1"/>
          <w:color w:val="auto"/>
        </w:rPr>
      </w:pPr>
      <w:r>
        <w:rPr>
          <w:rFonts w:ascii="Arial" w:cs="Arial" w:eastAsia="Arial" w:hAnsi="Arial"/>
          <w:sz w:val="18"/>
          <w:szCs w:val="18"/>
          <w:color w:val="auto"/>
        </w:rPr>
        <w:t>Accounts receivable consisted of the following (in thousands):</w:t>
      </w:r>
    </w:p>
    <w:p>
      <w:pPr>
        <w:spacing w:after="0" w:line="244" w:lineRule="exact"/>
        <w:rPr>
          <w:sz w:val="20"/>
          <w:szCs w:val="20"/>
          <w:color w:val="auto"/>
        </w:rPr>
      </w:pPr>
    </w:p>
    <w:tbl>
      <w:tblPr>
        <w:tblLayout w:type="fixed"/>
        <w:tblInd w:w="1440" w:type="dxa"/>
        <w:tblCellMar>
          <w:top w:w="0" w:type="dxa"/>
          <w:left w:w="0" w:type="dxa"/>
          <w:bottom w:w="0" w:type="dxa"/>
          <w:right w:w="0" w:type="dxa"/>
        </w:tblCellMar>
      </w:tblPr>
      <w:tr>
        <w:trPr>
          <w:trHeight w:val="171"/>
        </w:trPr>
        <w:tc>
          <w:tcPr>
            <w:tcW w:w="448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680" w:type="dxa"/>
            <w:vAlign w:val="bottom"/>
            <w:tcBorders>
              <w:bottom w:val="single" w:sz="8" w:color="auto"/>
            </w:tcBorders>
            <w:gridSpan w:val="3"/>
          </w:tcPr>
          <w:p>
            <w:pPr>
              <w:ind w:left="420"/>
              <w:spacing w:after="0"/>
              <w:rPr>
                <w:sz w:val="20"/>
                <w:szCs w:val="20"/>
                <w:color w:val="auto"/>
              </w:rPr>
            </w:pPr>
            <w:r>
              <w:rPr>
                <w:rFonts w:ascii="Arial" w:cs="Arial" w:eastAsia="Arial" w:hAnsi="Arial"/>
                <w:sz w:val="14"/>
                <w:szCs w:val="14"/>
                <w:b w:val="1"/>
                <w:bCs w:val="1"/>
                <w:color w:val="auto"/>
                <w:w w:val="89"/>
              </w:rPr>
              <w:t>Successor Company</w:t>
            </w:r>
          </w:p>
        </w:tc>
        <w:tc>
          <w:tcPr>
            <w:tcW w:w="5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23"/>
        </w:trPr>
        <w:tc>
          <w:tcPr>
            <w:tcW w:w="4480" w:type="dxa"/>
            <w:vAlign w:val="bottom"/>
          </w:tcPr>
          <w:p>
            <w:pPr>
              <w:spacing w:after="0"/>
              <w:rPr>
                <w:sz w:val="10"/>
                <w:szCs w:val="10"/>
                <w:color w:val="auto"/>
              </w:rPr>
            </w:pPr>
          </w:p>
        </w:tc>
        <w:tc>
          <w:tcPr>
            <w:tcW w:w="1360" w:type="dxa"/>
            <w:vAlign w:val="bottom"/>
          </w:tcPr>
          <w:p>
            <w:pPr>
              <w:spacing w:after="0"/>
              <w:rPr>
                <w:sz w:val="10"/>
                <w:szCs w:val="10"/>
                <w:color w:val="auto"/>
              </w:rPr>
            </w:pPr>
          </w:p>
        </w:tc>
        <w:tc>
          <w:tcPr>
            <w:tcW w:w="1620" w:type="dxa"/>
            <w:vAlign w:val="bottom"/>
            <w:gridSpan w:val="3"/>
          </w:tcPr>
          <w:p>
            <w:pPr>
              <w:spacing w:after="0" w:line="123" w:lineRule="exact"/>
              <w:rPr>
                <w:sz w:val="20"/>
                <w:szCs w:val="20"/>
                <w:color w:val="auto"/>
              </w:rPr>
            </w:pPr>
            <w:r>
              <w:rPr>
                <w:rFonts w:ascii="Arial" w:cs="Arial" w:eastAsia="Arial" w:hAnsi="Arial"/>
                <w:sz w:val="14"/>
                <w:szCs w:val="14"/>
                <w:color w:val="auto"/>
              </w:rPr>
              <w:t>December 31,</w:t>
            </w:r>
          </w:p>
        </w:tc>
        <w:tc>
          <w:tcPr>
            <w:tcW w:w="800" w:type="dxa"/>
            <w:vAlign w:val="bottom"/>
            <w:gridSpan w:val="2"/>
          </w:tcPr>
          <w:p>
            <w:pPr>
              <w:spacing w:after="0" w:line="123" w:lineRule="exact"/>
              <w:rPr>
                <w:sz w:val="20"/>
                <w:szCs w:val="20"/>
                <w:color w:val="auto"/>
              </w:rPr>
            </w:pPr>
            <w:r>
              <w:rPr>
                <w:rFonts w:ascii="Arial" w:cs="Arial" w:eastAsia="Arial" w:hAnsi="Arial"/>
                <w:sz w:val="14"/>
                <w:szCs w:val="14"/>
                <w:color w:val="auto"/>
                <w:w w:val="88"/>
              </w:rPr>
              <w:t>December 31,</w:t>
            </w:r>
          </w:p>
        </w:tc>
        <w:tc>
          <w:tcPr>
            <w:tcW w:w="100" w:type="dxa"/>
            <w:vAlign w:val="bottom"/>
          </w:tcPr>
          <w:p>
            <w:pPr>
              <w:spacing w:after="0"/>
              <w:rPr>
                <w:sz w:val="10"/>
                <w:szCs w:val="10"/>
                <w:color w:val="auto"/>
              </w:rPr>
            </w:pPr>
          </w:p>
        </w:tc>
      </w:tr>
      <w:tr>
        <w:trPr>
          <w:trHeight w:val="167"/>
        </w:trPr>
        <w:tc>
          <w:tcPr>
            <w:tcW w:w="4480" w:type="dxa"/>
            <w:vAlign w:val="bottom"/>
            <w:tcBorders>
              <w:bottom w:val="single" w:sz="8" w:color="CCEEFF"/>
            </w:tcBorders>
          </w:tcPr>
          <w:p>
            <w:pPr>
              <w:spacing w:after="0"/>
              <w:rPr>
                <w:sz w:val="14"/>
                <w:szCs w:val="14"/>
                <w:color w:val="auto"/>
              </w:rPr>
            </w:pPr>
          </w:p>
        </w:tc>
        <w:tc>
          <w:tcPr>
            <w:tcW w:w="136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175"/>
              <w:spacing w:after="0"/>
              <w:rPr>
                <w:sz w:val="20"/>
                <w:szCs w:val="20"/>
                <w:color w:val="auto"/>
              </w:rPr>
            </w:pPr>
            <w:r>
              <w:rPr>
                <w:rFonts w:ascii="Arial" w:cs="Arial" w:eastAsia="Arial" w:hAnsi="Arial"/>
                <w:sz w:val="14"/>
                <w:szCs w:val="14"/>
                <w:color w:val="auto"/>
              </w:rPr>
              <w:t>2020</w:t>
            </w:r>
          </w:p>
        </w:tc>
        <w:tc>
          <w:tcPr>
            <w:tcW w:w="800" w:type="dxa"/>
            <w:vAlign w:val="bottom"/>
            <w:tcBorders>
              <w:bottom w:val="single" w:sz="8" w:color="CCEEFF"/>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jc w:val="right"/>
              <w:ind w:right="173"/>
              <w:spacing w:after="0"/>
              <w:rPr>
                <w:sz w:val="20"/>
                <w:szCs w:val="20"/>
                <w:color w:val="auto"/>
              </w:rPr>
            </w:pPr>
            <w:r>
              <w:rPr>
                <w:rFonts w:ascii="Arial" w:cs="Arial" w:eastAsia="Arial" w:hAnsi="Arial"/>
                <w:sz w:val="14"/>
                <w:szCs w:val="14"/>
                <w:color w:val="auto"/>
                <w:w w:val="89"/>
              </w:rPr>
              <w:t>2019</w:t>
            </w:r>
          </w:p>
        </w:tc>
        <w:tc>
          <w:tcPr>
            <w:tcW w:w="100" w:type="dxa"/>
            <w:vAlign w:val="bottom"/>
            <w:tcBorders>
              <w:bottom w:val="single" w:sz="8" w:color="CCEEFF"/>
            </w:tcBorders>
          </w:tcPr>
          <w:p>
            <w:pPr>
              <w:spacing w:after="0"/>
              <w:rPr>
                <w:sz w:val="14"/>
                <w:szCs w:val="14"/>
                <w:color w:val="auto"/>
              </w:rPr>
            </w:pPr>
          </w:p>
        </w:tc>
      </w:tr>
      <w:tr>
        <w:trPr>
          <w:trHeight w:val="209"/>
        </w:trPr>
        <w:tc>
          <w:tcPr>
            <w:tcW w:w="4480" w:type="dxa"/>
            <w:vAlign w:val="bottom"/>
            <w:shd w:val="clear" w:color="auto" w:fill="CCEEFF"/>
          </w:tcPr>
          <w:p>
            <w:pPr>
              <w:spacing w:after="0"/>
              <w:rPr>
                <w:sz w:val="20"/>
                <w:szCs w:val="20"/>
                <w:color w:val="auto"/>
              </w:rPr>
            </w:pPr>
            <w:r>
              <w:rPr>
                <w:rFonts w:ascii="Arial" w:cs="Arial" w:eastAsia="Arial" w:hAnsi="Arial"/>
                <w:sz w:val="18"/>
                <w:szCs w:val="18"/>
                <w:color w:val="auto"/>
              </w:rPr>
              <w:t>Accounts receivable</w:t>
            </w:r>
          </w:p>
        </w:tc>
        <w:tc>
          <w:tcPr>
            <w:tcW w:w="13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33,635</w:t>
            </w:r>
          </w:p>
        </w:tc>
        <w:tc>
          <w:tcPr>
            <w:tcW w:w="8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25,220</w:t>
            </w:r>
          </w:p>
        </w:tc>
        <w:tc>
          <w:tcPr>
            <w:tcW w:w="100" w:type="dxa"/>
            <w:vAlign w:val="bottom"/>
            <w:shd w:val="clear" w:color="auto" w:fill="CCEEFF"/>
          </w:tcPr>
          <w:p>
            <w:pPr>
              <w:spacing w:after="0"/>
              <w:rPr>
                <w:sz w:val="18"/>
                <w:szCs w:val="18"/>
                <w:color w:val="auto"/>
              </w:rPr>
            </w:pPr>
          </w:p>
        </w:tc>
      </w:tr>
      <w:tr>
        <w:trPr>
          <w:trHeight w:val="216"/>
        </w:trPr>
        <w:tc>
          <w:tcPr>
            <w:tcW w:w="4480" w:type="dxa"/>
            <w:vAlign w:val="bottom"/>
          </w:tcPr>
          <w:p>
            <w:pPr>
              <w:spacing w:after="0"/>
              <w:rPr>
                <w:sz w:val="20"/>
                <w:szCs w:val="20"/>
                <w:color w:val="auto"/>
              </w:rPr>
            </w:pPr>
            <w:r>
              <w:rPr>
                <w:rFonts w:ascii="Arial" w:cs="Arial" w:eastAsia="Arial" w:hAnsi="Arial"/>
                <w:sz w:val="18"/>
                <w:szCs w:val="18"/>
                <w:color w:val="auto"/>
              </w:rPr>
              <w:t>Unbilled receivable</w:t>
            </w:r>
          </w:p>
        </w:tc>
        <w:tc>
          <w:tcPr>
            <w:tcW w:w="1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329</w:t>
            </w:r>
          </w:p>
        </w:tc>
        <w:tc>
          <w:tcPr>
            <w:tcW w:w="8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251</w:t>
            </w:r>
          </w:p>
        </w:tc>
      </w:tr>
      <w:tr>
        <w:trPr>
          <w:trHeight w:val="27"/>
        </w:trPr>
        <w:tc>
          <w:tcPr>
            <w:tcW w:w="448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80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448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33,964</w:t>
            </w:r>
          </w:p>
        </w:tc>
        <w:tc>
          <w:tcPr>
            <w:tcW w:w="8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8"/>
              </w:rPr>
              <w:t>25,471</w:t>
            </w:r>
          </w:p>
        </w:tc>
      </w:tr>
      <w:tr>
        <w:trPr>
          <w:trHeight w:val="216"/>
        </w:trPr>
        <w:tc>
          <w:tcPr>
            <w:tcW w:w="4480" w:type="dxa"/>
            <w:vAlign w:val="bottom"/>
          </w:tcPr>
          <w:p>
            <w:pPr>
              <w:ind w:left="360"/>
              <w:spacing w:after="0"/>
              <w:rPr>
                <w:sz w:val="20"/>
                <w:szCs w:val="20"/>
                <w:color w:val="auto"/>
              </w:rPr>
            </w:pPr>
            <w:r>
              <w:rPr>
                <w:rFonts w:ascii="Arial" w:cs="Arial" w:eastAsia="Arial" w:hAnsi="Arial"/>
                <w:sz w:val="18"/>
                <w:szCs w:val="18"/>
                <w:color w:val="auto"/>
              </w:rPr>
              <w:t>Less: allowance for doubtful accounts</w:t>
            </w:r>
          </w:p>
        </w:tc>
        <w:tc>
          <w:tcPr>
            <w:tcW w:w="1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40" w:type="dxa"/>
            <w:vAlign w:val="bottom"/>
            <w:gridSpan w:val="2"/>
          </w:tcPr>
          <w:p>
            <w:pPr>
              <w:jc w:val="right"/>
              <w:ind w:right="740"/>
              <w:spacing w:after="0"/>
              <w:rPr>
                <w:sz w:val="20"/>
                <w:szCs w:val="20"/>
                <w:color w:val="auto"/>
              </w:rPr>
            </w:pPr>
            <w:r>
              <w:rPr>
                <w:rFonts w:ascii="Arial" w:cs="Arial" w:eastAsia="Arial" w:hAnsi="Arial"/>
                <w:sz w:val="18"/>
                <w:szCs w:val="18"/>
                <w:color w:val="auto"/>
              </w:rPr>
              <w:t>(856)</w:t>
            </w:r>
          </w:p>
        </w:tc>
        <w:tc>
          <w:tcPr>
            <w:tcW w:w="240" w:type="dxa"/>
            <w:vAlign w:val="bottom"/>
          </w:tcPr>
          <w:p>
            <w:pPr>
              <w:spacing w:after="0"/>
              <w:rPr>
                <w:sz w:val="18"/>
                <w:szCs w:val="18"/>
                <w:color w:val="auto"/>
              </w:rPr>
            </w:pPr>
          </w:p>
        </w:tc>
        <w:tc>
          <w:tcPr>
            <w:tcW w:w="660" w:type="dxa"/>
            <w:vAlign w:val="bottom"/>
            <w:gridSpan w:val="2"/>
          </w:tcPr>
          <w:p>
            <w:pPr>
              <w:jc w:val="right"/>
              <w:ind w:right="40"/>
              <w:spacing w:after="0"/>
              <w:rPr>
                <w:sz w:val="20"/>
                <w:szCs w:val="20"/>
                <w:color w:val="auto"/>
              </w:rPr>
            </w:pPr>
            <w:r>
              <w:rPr>
                <w:rFonts w:ascii="Arial" w:cs="Arial" w:eastAsia="Arial" w:hAnsi="Arial"/>
                <w:sz w:val="18"/>
                <w:szCs w:val="18"/>
                <w:color w:val="auto"/>
              </w:rPr>
              <w:t>(450)</w:t>
            </w:r>
          </w:p>
        </w:tc>
      </w:tr>
      <w:tr>
        <w:trPr>
          <w:trHeight w:val="27"/>
        </w:trPr>
        <w:tc>
          <w:tcPr>
            <w:tcW w:w="448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80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4480" w:type="dxa"/>
            <w:vAlign w:val="bottom"/>
            <w:shd w:val="clear" w:color="auto" w:fill="CCEEFF"/>
          </w:tcPr>
          <w:p>
            <w:pPr>
              <w:spacing w:after="0"/>
              <w:rPr>
                <w:sz w:val="20"/>
                <w:szCs w:val="20"/>
                <w:color w:val="auto"/>
              </w:rPr>
            </w:pPr>
            <w:r>
              <w:rPr>
                <w:rFonts w:ascii="Arial" w:cs="Arial" w:eastAsia="Arial" w:hAnsi="Arial"/>
                <w:sz w:val="18"/>
                <w:szCs w:val="18"/>
                <w:color w:val="auto"/>
              </w:rPr>
              <w:t>Accounts receivable, net</w:t>
            </w:r>
          </w:p>
        </w:tc>
        <w:tc>
          <w:tcPr>
            <w:tcW w:w="13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33,108</w:t>
            </w:r>
          </w:p>
        </w:tc>
        <w:tc>
          <w:tcPr>
            <w:tcW w:w="8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8"/>
              </w:rPr>
              <w:t>25,021</w:t>
            </w:r>
          </w:p>
        </w:tc>
      </w:tr>
      <w:tr>
        <w:trPr>
          <w:trHeight w:val="20"/>
        </w:trPr>
        <w:tc>
          <w:tcPr>
            <w:tcW w:w="448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364" w:lineRule="exact"/>
        <w:rPr>
          <w:sz w:val="20"/>
          <w:szCs w:val="20"/>
          <w:color w:val="auto"/>
        </w:rPr>
      </w:pPr>
    </w:p>
    <w:p>
      <w:pPr>
        <w:ind w:left="540" w:hanging="424"/>
        <w:spacing w:after="0"/>
        <w:tabs>
          <w:tab w:leader="none" w:pos="540" w:val="left"/>
        </w:tabs>
        <w:numPr>
          <w:ilvl w:val="0"/>
          <w:numId w:val="189"/>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Property and Equipment</w:t>
      </w:r>
    </w:p>
    <w:p>
      <w:pPr>
        <w:spacing w:after="0" w:line="117" w:lineRule="exact"/>
        <w:rPr>
          <w:rFonts w:ascii="Arial" w:cs="Arial" w:eastAsia="Arial" w:hAnsi="Arial"/>
          <w:sz w:val="18"/>
          <w:szCs w:val="18"/>
          <w:b w:val="1"/>
          <w:bCs w:val="1"/>
          <w:color w:val="auto"/>
        </w:rPr>
      </w:pPr>
    </w:p>
    <w:p>
      <w:pPr>
        <w:ind w:left="560"/>
        <w:spacing w:after="0"/>
        <w:rPr>
          <w:rFonts w:ascii="Arial" w:cs="Arial" w:eastAsia="Arial" w:hAnsi="Arial"/>
          <w:sz w:val="18"/>
          <w:szCs w:val="18"/>
          <w:b w:val="1"/>
          <w:bCs w:val="1"/>
          <w:color w:val="auto"/>
        </w:rPr>
      </w:pPr>
      <w:r>
        <w:rPr>
          <w:rFonts w:ascii="Arial" w:cs="Arial" w:eastAsia="Arial" w:hAnsi="Arial"/>
          <w:sz w:val="18"/>
          <w:szCs w:val="18"/>
          <w:color w:val="auto"/>
        </w:rPr>
        <w:t>Property and equipment consisted of the following (in thousands):</w:t>
      </w:r>
    </w:p>
    <w:p>
      <w:pPr>
        <w:spacing w:after="0" w:line="244" w:lineRule="exact"/>
        <w:rPr>
          <w:sz w:val="20"/>
          <w:szCs w:val="20"/>
          <w:color w:val="auto"/>
        </w:rPr>
      </w:pPr>
    </w:p>
    <w:tbl>
      <w:tblPr>
        <w:tblLayout w:type="fixed"/>
        <w:tblInd w:w="100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4200" w:type="dxa"/>
            <w:vAlign w:val="bottom"/>
          </w:tcPr>
          <w:p>
            <w:pPr>
              <w:spacing w:after="0"/>
              <w:rPr>
                <w:sz w:val="14"/>
                <w:szCs w:val="14"/>
                <w:color w:val="auto"/>
              </w:rPr>
            </w:pPr>
          </w:p>
        </w:tc>
        <w:tc>
          <w:tcPr>
            <w:tcW w:w="244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72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Successor Company</w:t>
            </w:r>
          </w:p>
        </w:tc>
        <w:tc>
          <w:tcPr>
            <w:tcW w:w="58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4200" w:type="dxa"/>
            <w:vAlign w:val="bottom"/>
          </w:tcPr>
          <w:p>
            <w:pPr>
              <w:spacing w:after="0"/>
              <w:rPr>
                <w:sz w:val="10"/>
                <w:szCs w:val="10"/>
                <w:color w:val="auto"/>
              </w:rPr>
            </w:pPr>
          </w:p>
        </w:tc>
        <w:tc>
          <w:tcPr>
            <w:tcW w:w="2440" w:type="dxa"/>
            <w:vAlign w:val="bottom"/>
          </w:tcPr>
          <w:p>
            <w:pPr>
              <w:spacing w:after="0"/>
              <w:rPr>
                <w:sz w:val="10"/>
                <w:szCs w:val="10"/>
                <w:color w:val="auto"/>
              </w:rPr>
            </w:pPr>
          </w:p>
        </w:tc>
        <w:tc>
          <w:tcPr>
            <w:tcW w:w="1260" w:type="dxa"/>
            <w:vAlign w:val="bottom"/>
            <w:gridSpan w:val="3"/>
          </w:tcPr>
          <w:p>
            <w:pPr>
              <w:spacing w:after="0" w:line="123" w:lineRule="exact"/>
              <w:rPr>
                <w:sz w:val="20"/>
                <w:szCs w:val="20"/>
                <w:color w:val="auto"/>
              </w:rPr>
            </w:pPr>
            <w:r>
              <w:rPr>
                <w:rFonts w:ascii="Arial" w:cs="Arial" w:eastAsia="Arial" w:hAnsi="Arial"/>
                <w:sz w:val="14"/>
                <w:szCs w:val="14"/>
                <w:color w:val="auto"/>
              </w:rPr>
              <w:t>December 31,</w:t>
            </w:r>
          </w:p>
        </w:tc>
        <w:tc>
          <w:tcPr>
            <w:tcW w:w="1220" w:type="dxa"/>
            <w:vAlign w:val="bottom"/>
            <w:gridSpan w:val="3"/>
          </w:tcPr>
          <w:p>
            <w:pPr>
              <w:jc w:val="right"/>
              <w:spacing w:after="0" w:line="123" w:lineRule="exact"/>
              <w:rPr>
                <w:sz w:val="20"/>
                <w:szCs w:val="20"/>
                <w:color w:val="auto"/>
              </w:rPr>
            </w:pPr>
            <w:r>
              <w:rPr>
                <w:rFonts w:ascii="Arial" w:cs="Arial" w:eastAsia="Arial" w:hAnsi="Arial"/>
                <w:sz w:val="14"/>
                <w:szCs w:val="14"/>
                <w:color w:val="auto"/>
              </w:rPr>
              <w:t>December 31,</w:t>
            </w: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4200" w:type="dxa"/>
            <w:vAlign w:val="bottom"/>
            <w:tcBorders>
              <w:bottom w:val="single" w:sz="8" w:color="CCEEFF"/>
            </w:tcBorders>
          </w:tcPr>
          <w:p>
            <w:pPr>
              <w:spacing w:after="0"/>
              <w:rPr>
                <w:sz w:val="14"/>
                <w:szCs w:val="14"/>
                <w:color w:val="auto"/>
              </w:rPr>
            </w:pPr>
          </w:p>
        </w:tc>
        <w:tc>
          <w:tcPr>
            <w:tcW w:w="244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194"/>
              <w:spacing w:after="0"/>
              <w:rPr>
                <w:sz w:val="20"/>
                <w:szCs w:val="20"/>
                <w:color w:val="auto"/>
              </w:rPr>
            </w:pPr>
            <w:r>
              <w:rPr>
                <w:rFonts w:ascii="Arial" w:cs="Arial" w:eastAsia="Arial" w:hAnsi="Arial"/>
                <w:sz w:val="14"/>
                <w:szCs w:val="14"/>
                <w:color w:val="auto"/>
              </w:rPr>
              <w:t>2020</w:t>
            </w:r>
          </w:p>
        </w:tc>
        <w:tc>
          <w:tcPr>
            <w:tcW w:w="440" w:type="dxa"/>
            <w:vAlign w:val="bottom"/>
            <w:tcBorders>
              <w:bottom w:val="single" w:sz="8" w:color="CCEEFF"/>
            </w:tcBorders>
          </w:tcPr>
          <w:p>
            <w:pPr>
              <w:spacing w:after="0"/>
              <w:rPr>
                <w:sz w:val="14"/>
                <w:szCs w:val="14"/>
                <w:color w:val="auto"/>
              </w:rPr>
            </w:pPr>
          </w:p>
        </w:tc>
        <w:tc>
          <w:tcPr>
            <w:tcW w:w="420" w:type="dxa"/>
            <w:vAlign w:val="bottom"/>
            <w:tcBorders>
              <w:bottom w:val="single" w:sz="8" w:color="CCEEFF"/>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ind w:right="172"/>
              <w:spacing w:after="0"/>
              <w:rPr>
                <w:sz w:val="20"/>
                <w:szCs w:val="20"/>
                <w:color w:val="auto"/>
              </w:rPr>
            </w:pPr>
            <w:r>
              <w:rPr>
                <w:rFonts w:ascii="Arial" w:cs="Arial" w:eastAsia="Arial" w:hAnsi="Arial"/>
                <w:sz w:val="14"/>
                <w:szCs w:val="14"/>
                <w:color w:val="auto"/>
                <w:w w:val="96"/>
              </w:rPr>
              <w:t>2019</w:t>
            </w:r>
          </w:p>
        </w:tc>
        <w:tc>
          <w:tcPr>
            <w:tcW w:w="12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200" w:type="dxa"/>
            <w:vAlign w:val="bottom"/>
            <w:shd w:val="clear" w:color="auto" w:fill="CCEEFF"/>
          </w:tcPr>
          <w:p>
            <w:pPr>
              <w:spacing w:after="0"/>
              <w:rPr>
                <w:sz w:val="20"/>
                <w:szCs w:val="20"/>
                <w:color w:val="auto"/>
              </w:rPr>
            </w:pPr>
            <w:r>
              <w:rPr>
                <w:rFonts w:ascii="Arial" w:cs="Arial" w:eastAsia="Arial" w:hAnsi="Arial"/>
                <w:sz w:val="18"/>
                <w:szCs w:val="18"/>
                <w:color w:val="auto"/>
              </w:rPr>
              <w:t>Computers and software</w:t>
            </w:r>
          </w:p>
        </w:tc>
        <w:tc>
          <w:tcPr>
            <w:tcW w:w="24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3,141</w:t>
            </w:r>
          </w:p>
        </w:tc>
        <w:tc>
          <w:tcPr>
            <w:tcW w:w="4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67"/>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2,042</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00" w:type="dxa"/>
            <w:vAlign w:val="bottom"/>
          </w:tcPr>
          <w:p>
            <w:pPr>
              <w:spacing w:after="0"/>
              <w:rPr>
                <w:sz w:val="20"/>
                <w:szCs w:val="20"/>
                <w:color w:val="auto"/>
              </w:rPr>
            </w:pPr>
            <w:r>
              <w:rPr>
                <w:rFonts w:ascii="Arial" w:cs="Arial" w:eastAsia="Arial" w:hAnsi="Arial"/>
                <w:sz w:val="18"/>
                <w:szCs w:val="18"/>
                <w:color w:val="auto"/>
              </w:rPr>
              <w:t>Furniture and equipment</w:t>
            </w:r>
          </w:p>
        </w:tc>
        <w:tc>
          <w:tcPr>
            <w:tcW w:w="24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1,109</w:t>
            </w:r>
          </w:p>
        </w:tc>
        <w:tc>
          <w:tcPr>
            <w:tcW w:w="4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777</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00" w:type="dxa"/>
            <w:vAlign w:val="bottom"/>
            <w:shd w:val="clear" w:color="auto" w:fill="CCEEFF"/>
          </w:tcPr>
          <w:p>
            <w:pPr>
              <w:spacing w:after="0"/>
              <w:rPr>
                <w:sz w:val="20"/>
                <w:szCs w:val="20"/>
                <w:color w:val="auto"/>
              </w:rPr>
            </w:pPr>
            <w:r>
              <w:rPr>
                <w:rFonts w:ascii="Arial" w:cs="Arial" w:eastAsia="Arial" w:hAnsi="Arial"/>
                <w:sz w:val="18"/>
                <w:szCs w:val="18"/>
                <w:color w:val="auto"/>
              </w:rPr>
              <w:t>Leasehold improvements</w:t>
            </w:r>
          </w:p>
        </w:tc>
        <w:tc>
          <w:tcPr>
            <w:tcW w:w="24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1,781</w:t>
            </w:r>
          </w:p>
        </w:tc>
        <w:tc>
          <w:tcPr>
            <w:tcW w:w="4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1,188</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200" w:type="dxa"/>
            <w:vAlign w:val="bottom"/>
          </w:tcPr>
          <w:p>
            <w:pPr>
              <w:spacing w:after="0"/>
              <w:rPr>
                <w:sz w:val="20"/>
                <w:szCs w:val="20"/>
                <w:color w:val="auto"/>
              </w:rPr>
            </w:pPr>
            <w:r>
              <w:rPr>
                <w:rFonts w:ascii="Arial" w:cs="Arial" w:eastAsia="Arial" w:hAnsi="Arial"/>
                <w:sz w:val="18"/>
                <w:szCs w:val="18"/>
                <w:color w:val="auto"/>
              </w:rPr>
              <w:t>Construction in process</w:t>
            </w:r>
          </w:p>
        </w:tc>
        <w:tc>
          <w:tcPr>
            <w:tcW w:w="244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128</w:t>
            </w:r>
          </w:p>
        </w:tc>
        <w:tc>
          <w:tcPr>
            <w:tcW w:w="4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310</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00" w:type="dxa"/>
            <w:vAlign w:val="bottom"/>
            <w:shd w:val="clear" w:color="auto" w:fill="CCEEFF"/>
          </w:tcPr>
          <w:p>
            <w:pPr>
              <w:spacing w:after="0"/>
              <w:rPr>
                <w:sz w:val="18"/>
                <w:szCs w:val="18"/>
                <w:color w:val="auto"/>
              </w:rPr>
            </w:pPr>
          </w:p>
        </w:tc>
        <w:tc>
          <w:tcPr>
            <w:tcW w:w="2620" w:type="dxa"/>
            <w:vAlign w:val="bottom"/>
            <w:gridSpan w:val="2"/>
            <w:shd w:val="clear" w:color="auto" w:fill="CCEEFF"/>
          </w:tcPr>
          <w:p>
            <w:pPr>
              <w:ind w:left="2440"/>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6,159</w:t>
            </w:r>
          </w:p>
        </w:tc>
        <w:tc>
          <w:tcPr>
            <w:tcW w:w="4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67"/>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4,317</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00" w:type="dxa"/>
            <w:vAlign w:val="bottom"/>
          </w:tcPr>
          <w:p>
            <w:pPr>
              <w:ind w:left="340"/>
              <w:spacing w:after="0"/>
              <w:rPr>
                <w:sz w:val="20"/>
                <w:szCs w:val="20"/>
                <w:color w:val="auto"/>
              </w:rPr>
            </w:pPr>
            <w:r>
              <w:rPr>
                <w:rFonts w:ascii="Arial" w:cs="Arial" w:eastAsia="Arial" w:hAnsi="Arial"/>
                <w:sz w:val="18"/>
                <w:szCs w:val="18"/>
                <w:color w:val="auto"/>
                <w:w w:val="98"/>
              </w:rPr>
              <w:t>Less: accumulated depreciation and amortization</w:t>
            </w:r>
          </w:p>
        </w:tc>
        <w:tc>
          <w:tcPr>
            <w:tcW w:w="24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gridSpan w:val="2"/>
          </w:tcPr>
          <w:p>
            <w:pPr>
              <w:jc w:val="right"/>
              <w:ind w:right="400"/>
              <w:spacing w:after="0"/>
              <w:rPr>
                <w:sz w:val="20"/>
                <w:szCs w:val="20"/>
                <w:color w:val="auto"/>
              </w:rPr>
            </w:pPr>
            <w:r>
              <w:rPr>
                <w:rFonts w:ascii="Arial" w:cs="Arial" w:eastAsia="Arial" w:hAnsi="Arial"/>
                <w:sz w:val="18"/>
                <w:szCs w:val="18"/>
                <w:color w:val="auto"/>
              </w:rPr>
              <w:t>(2,911)</w:t>
            </w:r>
          </w:p>
        </w:tc>
        <w:tc>
          <w:tcPr>
            <w:tcW w:w="4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00" w:type="dxa"/>
            <w:vAlign w:val="bottom"/>
            <w:gridSpan w:val="2"/>
          </w:tcPr>
          <w:p>
            <w:pPr>
              <w:jc w:val="right"/>
              <w:ind w:right="60"/>
              <w:spacing w:after="0"/>
              <w:rPr>
                <w:sz w:val="20"/>
                <w:szCs w:val="20"/>
                <w:color w:val="auto"/>
              </w:rPr>
            </w:pPr>
            <w:r>
              <w:rPr>
                <w:rFonts w:ascii="Arial" w:cs="Arial" w:eastAsia="Arial" w:hAnsi="Arial"/>
                <w:sz w:val="18"/>
                <w:szCs w:val="18"/>
                <w:color w:val="auto"/>
              </w:rPr>
              <w:t>(1,759)</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200" w:type="dxa"/>
            <w:vAlign w:val="bottom"/>
          </w:tcPr>
          <w:p>
            <w:pPr>
              <w:spacing w:after="0"/>
              <w:rPr>
                <w:sz w:val="2"/>
                <w:szCs w:val="2"/>
                <w:color w:val="auto"/>
              </w:rPr>
            </w:pPr>
          </w:p>
        </w:tc>
        <w:tc>
          <w:tcPr>
            <w:tcW w:w="244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42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200" w:type="dxa"/>
            <w:vAlign w:val="bottom"/>
            <w:shd w:val="clear" w:color="auto" w:fill="CCEEFF"/>
          </w:tcPr>
          <w:p>
            <w:pPr>
              <w:spacing w:after="0"/>
              <w:rPr>
                <w:sz w:val="20"/>
                <w:szCs w:val="20"/>
                <w:color w:val="auto"/>
              </w:rPr>
            </w:pPr>
            <w:r>
              <w:rPr>
                <w:rFonts w:ascii="Arial" w:cs="Arial" w:eastAsia="Arial" w:hAnsi="Arial"/>
                <w:sz w:val="18"/>
                <w:szCs w:val="18"/>
                <w:color w:val="auto"/>
              </w:rPr>
              <w:t>Property and equipment, net</w:t>
            </w:r>
          </w:p>
        </w:tc>
        <w:tc>
          <w:tcPr>
            <w:tcW w:w="2620" w:type="dxa"/>
            <w:vAlign w:val="bottom"/>
            <w:gridSpan w:val="2"/>
            <w:shd w:val="clear" w:color="auto" w:fill="CCEEFF"/>
          </w:tcPr>
          <w:p>
            <w:pPr>
              <w:ind w:left="2440"/>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3,248</w:t>
            </w:r>
          </w:p>
        </w:tc>
        <w:tc>
          <w:tcPr>
            <w:tcW w:w="4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67"/>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2,558</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200" w:type="dxa"/>
            <w:vAlign w:val="bottom"/>
          </w:tcPr>
          <w:p>
            <w:pPr>
              <w:spacing w:after="0" w:line="20" w:lineRule="exact"/>
              <w:rPr>
                <w:sz w:val="1"/>
                <w:szCs w:val="1"/>
                <w:color w:val="auto"/>
              </w:rPr>
            </w:pPr>
          </w:p>
        </w:tc>
        <w:tc>
          <w:tcPr>
            <w:tcW w:w="24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20" w:type="dxa"/>
            <w:vAlign w:val="bottom"/>
          </w:tcPr>
          <w:p>
            <w:pPr>
              <w:spacing w:after="0"/>
              <w:rPr>
                <w:sz w:val="24"/>
                <w:szCs w:val="24"/>
                <w:color w:val="auto"/>
              </w:rPr>
            </w:pPr>
          </w:p>
        </w:tc>
        <w:tc>
          <w:tcPr>
            <w:tcW w:w="4200" w:type="dxa"/>
            <w:vAlign w:val="bottom"/>
          </w:tcPr>
          <w:p>
            <w:pPr>
              <w:spacing w:after="0"/>
              <w:rPr>
                <w:sz w:val="24"/>
                <w:szCs w:val="24"/>
                <w:color w:val="auto"/>
              </w:rPr>
            </w:pPr>
          </w:p>
        </w:tc>
        <w:tc>
          <w:tcPr>
            <w:tcW w:w="2620" w:type="dxa"/>
            <w:vAlign w:val="bottom"/>
            <w:gridSpan w:val="2"/>
          </w:tcPr>
          <w:p>
            <w:pPr>
              <w:ind w:left="340"/>
              <w:spacing w:after="0"/>
              <w:rPr>
                <w:sz w:val="20"/>
                <w:szCs w:val="20"/>
                <w:color w:val="auto"/>
              </w:rPr>
            </w:pPr>
            <w:r>
              <w:rPr>
                <w:rFonts w:ascii="Arial" w:cs="Arial" w:eastAsia="Arial" w:hAnsi="Arial"/>
                <w:sz w:val="18"/>
                <w:szCs w:val="18"/>
                <w:color w:val="auto"/>
              </w:rPr>
              <w:t>F-32</w:t>
            </w:r>
          </w:p>
        </w:tc>
        <w:tc>
          <w:tcPr>
            <w:tcW w:w="6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100"/>
          </w:cols>
          <w:pgMar w:left="320" w:top="459" w:right="479" w:bottom="1440" w:gutter="0" w:footer="0" w:header="0"/>
        </w:sectPr>
      </w:pPr>
    </w:p>
    <w:bookmarkStart w:id="238" w:name="page239"/>
    <w:bookmarkEnd w:id="23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24">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Confidential Treatment Requested by Definitive Healthcare Corp.</w:t>
      </w:r>
    </w:p>
    <w:p>
      <w:pPr>
        <w:spacing w:after="0" w:line="27"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Pursuant to 17 C.F.R. Section 200.83</w:t>
      </w:r>
    </w:p>
    <w:p>
      <w:pPr>
        <w:spacing w:after="0" w:line="143" w:lineRule="exact"/>
        <w:rPr>
          <w:sz w:val="20"/>
          <w:szCs w:val="20"/>
          <w:color w:val="auto"/>
        </w:rPr>
      </w:pPr>
    </w:p>
    <w:p>
      <w:pPr>
        <w:ind w:left="120" w:right="60" w:firstLine="440"/>
        <w:spacing w:after="0" w:line="342" w:lineRule="auto"/>
        <w:rPr>
          <w:sz w:val="20"/>
          <w:szCs w:val="20"/>
          <w:color w:val="auto"/>
        </w:rPr>
      </w:pPr>
      <w:r>
        <w:rPr>
          <w:rFonts w:ascii="Arial" w:cs="Arial" w:eastAsia="Arial" w:hAnsi="Arial"/>
          <w:sz w:val="16"/>
          <w:szCs w:val="16"/>
          <w:color w:val="auto"/>
        </w:rPr>
        <w:t>Depreciation and amortization expense was $1.2 million for the year ended December 31, 2020 (Successor), and $0.5 million and $0.4 million for the periods from July 16, 2019 through December 31, 2019 (Successor), and January 1, 2019 through July 15, 2019 (Predecessor), respectively.</w:t>
      </w:r>
    </w:p>
    <w:p>
      <w:pPr>
        <w:spacing w:after="0" w:line="272" w:lineRule="exact"/>
        <w:rPr>
          <w:sz w:val="20"/>
          <w:szCs w:val="20"/>
          <w:color w:val="auto"/>
        </w:rPr>
      </w:pPr>
    </w:p>
    <w:p>
      <w:pPr>
        <w:ind w:left="540" w:hanging="424"/>
        <w:spacing w:after="0"/>
        <w:tabs>
          <w:tab w:leader="none" w:pos="540" w:val="left"/>
        </w:tabs>
        <w:numPr>
          <w:ilvl w:val="0"/>
          <w:numId w:val="190"/>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Goodwill and Intangible Assets</w:t>
      </w:r>
    </w:p>
    <w:p>
      <w:pPr>
        <w:spacing w:after="0" w:line="117" w:lineRule="exact"/>
        <w:rPr>
          <w:rFonts w:ascii="Arial" w:cs="Arial" w:eastAsia="Arial" w:hAnsi="Arial"/>
          <w:sz w:val="18"/>
          <w:szCs w:val="18"/>
          <w:b w:val="1"/>
          <w:bCs w:val="1"/>
          <w:color w:val="auto"/>
        </w:rPr>
      </w:pPr>
    </w:p>
    <w:p>
      <w:pPr>
        <w:ind w:left="560"/>
        <w:spacing w:after="0"/>
        <w:rPr>
          <w:rFonts w:ascii="Arial" w:cs="Arial" w:eastAsia="Arial" w:hAnsi="Arial"/>
          <w:sz w:val="18"/>
          <w:szCs w:val="18"/>
          <w:b w:val="1"/>
          <w:bCs w:val="1"/>
          <w:color w:val="auto"/>
        </w:rPr>
      </w:pPr>
      <w:r>
        <w:rPr>
          <w:rFonts w:ascii="Arial" w:cs="Arial" w:eastAsia="Arial" w:hAnsi="Arial"/>
          <w:sz w:val="18"/>
          <w:szCs w:val="18"/>
          <w:color w:val="auto"/>
        </w:rPr>
        <w:t>The carrying amounts of goodwill and intangible assets, as of December 31, 2020 and 2019, consist of the following (in thousands):</w:t>
      </w:r>
    </w:p>
    <w:p>
      <w:pPr>
        <w:spacing w:after="0" w:line="244" w:lineRule="exact"/>
        <w:rPr>
          <w:sz w:val="20"/>
          <w:szCs w:val="20"/>
          <w:color w:val="auto"/>
        </w:rPr>
      </w:pPr>
    </w:p>
    <w:tbl>
      <w:tblPr>
        <w:tblLayout w:type="fixed"/>
        <w:tblInd w:w="1000" w:type="dxa"/>
        <w:tblCellMar>
          <w:top w:w="0" w:type="dxa"/>
          <w:left w:w="0" w:type="dxa"/>
          <w:bottom w:w="0" w:type="dxa"/>
          <w:right w:w="0" w:type="dxa"/>
        </w:tblCellMar>
      </w:tblPr>
      <w:tr>
        <w:trPr>
          <w:trHeight w:val="171"/>
        </w:trPr>
        <w:tc>
          <w:tcPr>
            <w:tcW w:w="56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2600" w:type="dxa"/>
            <w:vAlign w:val="bottom"/>
            <w:tcBorders>
              <w:bottom w:val="single" w:sz="8" w:color="auto"/>
            </w:tcBorders>
            <w:gridSpan w:val="5"/>
          </w:tcPr>
          <w:p>
            <w:pPr>
              <w:jc w:val="right"/>
              <w:spacing w:after="0"/>
              <w:rPr>
                <w:sz w:val="20"/>
                <w:szCs w:val="20"/>
                <w:color w:val="auto"/>
              </w:rPr>
            </w:pPr>
            <w:r>
              <w:rPr>
                <w:rFonts w:ascii="Arial" w:cs="Arial" w:eastAsia="Arial" w:hAnsi="Arial"/>
                <w:sz w:val="14"/>
                <w:szCs w:val="14"/>
                <w:b w:val="1"/>
                <w:bCs w:val="1"/>
                <w:color w:val="auto"/>
              </w:rPr>
              <w:t>December 31, 2020 (Successor)</w:t>
            </w:r>
          </w:p>
        </w:tc>
        <w:tc>
          <w:tcPr>
            <w:tcW w:w="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r>
      <w:tr>
        <w:trPr>
          <w:trHeight w:val="123"/>
        </w:trPr>
        <w:tc>
          <w:tcPr>
            <w:tcW w:w="56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80" w:type="dxa"/>
            <w:vAlign w:val="bottom"/>
            <w:gridSpan w:val="2"/>
          </w:tcPr>
          <w:p>
            <w:pPr>
              <w:spacing w:after="0" w:line="123" w:lineRule="exact"/>
              <w:rPr>
                <w:sz w:val="20"/>
                <w:szCs w:val="20"/>
                <w:color w:val="auto"/>
              </w:rPr>
            </w:pPr>
            <w:r>
              <w:rPr>
                <w:rFonts w:ascii="Arial" w:cs="Arial" w:eastAsia="Arial" w:hAnsi="Arial"/>
                <w:sz w:val="14"/>
                <w:szCs w:val="14"/>
                <w:color w:val="auto"/>
                <w:w w:val="91"/>
              </w:rPr>
              <w:t>Gross Carrying</w:t>
            </w:r>
          </w:p>
        </w:tc>
        <w:tc>
          <w:tcPr>
            <w:tcW w:w="1840" w:type="dxa"/>
            <w:vAlign w:val="bottom"/>
            <w:gridSpan w:val="4"/>
          </w:tcPr>
          <w:p>
            <w:pPr>
              <w:ind w:left="520"/>
              <w:spacing w:after="0" w:line="123" w:lineRule="exact"/>
              <w:rPr>
                <w:sz w:val="20"/>
                <w:szCs w:val="20"/>
                <w:color w:val="auto"/>
              </w:rPr>
            </w:pPr>
            <w:r>
              <w:rPr>
                <w:rFonts w:ascii="Arial" w:cs="Arial" w:eastAsia="Arial" w:hAnsi="Arial"/>
                <w:sz w:val="14"/>
                <w:szCs w:val="14"/>
                <w:color w:val="auto"/>
              </w:rPr>
              <w:t>Accumulated</w:t>
            </w:r>
          </w:p>
        </w:tc>
        <w:tc>
          <w:tcPr>
            <w:tcW w:w="20" w:type="dxa"/>
            <w:vAlign w:val="bottom"/>
          </w:tcPr>
          <w:p>
            <w:pPr>
              <w:spacing w:after="0"/>
              <w:rPr>
                <w:sz w:val="10"/>
                <w:szCs w:val="10"/>
                <w:color w:val="auto"/>
              </w:rPr>
            </w:pPr>
          </w:p>
        </w:tc>
        <w:tc>
          <w:tcPr>
            <w:tcW w:w="820" w:type="dxa"/>
            <w:vAlign w:val="bottom"/>
            <w:gridSpan w:val="2"/>
          </w:tcPr>
          <w:p>
            <w:pPr>
              <w:jc w:val="center"/>
              <w:spacing w:after="0" w:line="123" w:lineRule="exact"/>
              <w:rPr>
                <w:sz w:val="20"/>
                <w:szCs w:val="20"/>
                <w:color w:val="auto"/>
              </w:rPr>
            </w:pPr>
            <w:r>
              <w:rPr>
                <w:rFonts w:ascii="Arial" w:cs="Arial" w:eastAsia="Arial" w:hAnsi="Arial"/>
                <w:sz w:val="14"/>
                <w:szCs w:val="14"/>
                <w:color w:val="auto"/>
                <w:w w:val="96"/>
              </w:rPr>
              <w:t>Net Carrying</w:t>
            </w:r>
          </w:p>
        </w:tc>
        <w:tc>
          <w:tcPr>
            <w:tcW w:w="60" w:type="dxa"/>
            <w:vAlign w:val="bottom"/>
          </w:tcPr>
          <w:p>
            <w:pPr>
              <w:spacing w:after="0"/>
              <w:rPr>
                <w:sz w:val="10"/>
                <w:szCs w:val="10"/>
                <w:color w:val="auto"/>
              </w:rPr>
            </w:pPr>
          </w:p>
        </w:tc>
      </w:tr>
      <w:tr>
        <w:trPr>
          <w:trHeight w:val="167"/>
        </w:trPr>
        <w:tc>
          <w:tcPr>
            <w:tcW w:w="56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tcPr>
          <w:p>
            <w:pPr>
              <w:jc w:val="right"/>
              <w:ind w:right="115"/>
              <w:spacing w:after="0"/>
              <w:rPr>
                <w:sz w:val="20"/>
                <w:szCs w:val="20"/>
                <w:color w:val="auto"/>
              </w:rPr>
            </w:pPr>
            <w:r>
              <w:rPr>
                <w:rFonts w:ascii="Arial" w:cs="Arial" w:eastAsia="Arial" w:hAnsi="Arial"/>
                <w:sz w:val="14"/>
                <w:szCs w:val="14"/>
                <w:color w:val="auto"/>
              </w:rPr>
              <w:t>Amount</w:t>
            </w:r>
          </w:p>
        </w:tc>
        <w:tc>
          <w:tcPr>
            <w:tcW w:w="1840" w:type="dxa"/>
            <w:vAlign w:val="bottom"/>
            <w:gridSpan w:val="4"/>
          </w:tcPr>
          <w:p>
            <w:pPr>
              <w:ind w:left="520"/>
              <w:spacing w:after="0"/>
              <w:rPr>
                <w:sz w:val="20"/>
                <w:szCs w:val="20"/>
                <w:color w:val="auto"/>
              </w:rPr>
            </w:pPr>
            <w:r>
              <w:rPr>
                <w:rFonts w:ascii="Arial" w:cs="Arial" w:eastAsia="Arial" w:hAnsi="Arial"/>
                <w:sz w:val="14"/>
                <w:szCs w:val="14"/>
                <w:color w:val="auto"/>
              </w:rPr>
              <w:t>Amortization</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gridSpan w:val="2"/>
          </w:tcPr>
          <w:p>
            <w:pPr>
              <w:jc w:val="center"/>
              <w:ind w:right="160"/>
              <w:spacing w:after="0"/>
              <w:rPr>
                <w:sz w:val="20"/>
                <w:szCs w:val="20"/>
                <w:color w:val="auto"/>
              </w:rPr>
            </w:pPr>
            <w:r>
              <w:rPr>
                <w:rFonts w:ascii="Arial" w:cs="Arial" w:eastAsia="Arial" w:hAnsi="Arial"/>
                <w:sz w:val="14"/>
                <w:szCs w:val="14"/>
                <w:color w:val="auto"/>
                <w:w w:val="99"/>
              </w:rPr>
              <w:t>Amount</w:t>
            </w:r>
          </w:p>
        </w:tc>
      </w:tr>
      <w:tr>
        <w:trPr>
          <w:trHeight w:val="196"/>
        </w:trPr>
        <w:tc>
          <w:tcPr>
            <w:tcW w:w="562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Finite-lived intangible assets:</w:t>
            </w:r>
          </w:p>
        </w:tc>
        <w:tc>
          <w:tcPr>
            <w:tcW w:w="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760" w:type="dxa"/>
            <w:vAlign w:val="bottom"/>
            <w:tcBorders>
              <w:top w:val="single" w:sz="8" w:color="auto"/>
            </w:tcBorders>
            <w:shd w:val="clear" w:color="auto" w:fill="CCEEFF"/>
          </w:tcPr>
          <w:p>
            <w:pPr>
              <w:spacing w:after="0"/>
              <w:rPr>
                <w:sz w:val="17"/>
                <w:szCs w:val="17"/>
                <w:color w:val="auto"/>
              </w:rPr>
            </w:pPr>
          </w:p>
        </w:tc>
        <w:tc>
          <w:tcPr>
            <w:tcW w:w="52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620" w:type="dxa"/>
            <w:vAlign w:val="bottom"/>
            <w:tcBorders>
              <w:top w:val="single" w:sz="8" w:color="auto"/>
            </w:tcBorders>
            <w:shd w:val="clear" w:color="auto" w:fill="CCEEFF"/>
          </w:tcPr>
          <w:p>
            <w:pPr>
              <w:spacing w:after="0"/>
              <w:rPr>
                <w:sz w:val="17"/>
                <w:szCs w:val="17"/>
                <w:color w:val="auto"/>
              </w:rPr>
            </w:pPr>
          </w:p>
        </w:tc>
        <w:tc>
          <w:tcPr>
            <w:tcW w:w="56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740" w:type="dxa"/>
            <w:vAlign w:val="bottom"/>
            <w:tcBorders>
              <w:top w:val="single" w:sz="8" w:color="auto"/>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r>
      <w:tr>
        <w:trPr>
          <w:trHeight w:val="216"/>
        </w:trPr>
        <w:tc>
          <w:tcPr>
            <w:tcW w:w="5620" w:type="dxa"/>
            <w:vAlign w:val="bottom"/>
          </w:tcPr>
          <w:p>
            <w:pPr>
              <w:ind w:left="360"/>
              <w:spacing w:after="0"/>
              <w:rPr>
                <w:sz w:val="20"/>
                <w:szCs w:val="20"/>
                <w:color w:val="auto"/>
              </w:rPr>
            </w:pPr>
            <w:r>
              <w:rPr>
                <w:rFonts w:ascii="Arial" w:cs="Arial" w:eastAsia="Arial" w:hAnsi="Arial"/>
                <w:sz w:val="18"/>
                <w:szCs w:val="18"/>
                <w:color w:val="auto"/>
              </w:rPr>
              <w:t>Customer relationships</w:t>
            </w:r>
          </w:p>
        </w:tc>
        <w:tc>
          <w:tcPr>
            <w:tcW w:w="140" w:type="dxa"/>
            <w:vAlign w:val="bottom"/>
            <w:gridSpan w:val="2"/>
          </w:tcPr>
          <w:p>
            <w:pPr>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370,030</w:t>
            </w:r>
          </w:p>
        </w:tc>
        <w:tc>
          <w:tcPr>
            <w:tcW w:w="660" w:type="dxa"/>
            <w:vAlign w:val="bottom"/>
            <w:gridSpan w:val="2"/>
          </w:tcPr>
          <w:p>
            <w:pPr>
              <w:ind w:left="520"/>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421"/>
              <w:spacing w:after="0"/>
              <w:rPr>
                <w:sz w:val="20"/>
                <w:szCs w:val="20"/>
                <w:color w:val="auto"/>
              </w:rPr>
            </w:pPr>
            <w:r>
              <w:rPr>
                <w:rFonts w:ascii="Arial" w:cs="Arial" w:eastAsia="Arial" w:hAnsi="Arial"/>
                <w:sz w:val="18"/>
                <w:szCs w:val="18"/>
                <w:color w:val="auto"/>
                <w:w w:val="98"/>
              </w:rPr>
              <w:t>(58,097)</w:t>
            </w:r>
          </w:p>
        </w:tc>
        <w:tc>
          <w:tcPr>
            <w:tcW w:w="100" w:type="dxa"/>
            <w:vAlign w:val="bottom"/>
            <w:gridSpan w:val="2"/>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311,933</w:t>
            </w:r>
          </w:p>
        </w:tc>
        <w:tc>
          <w:tcPr>
            <w:tcW w:w="60" w:type="dxa"/>
            <w:vAlign w:val="bottom"/>
          </w:tcPr>
          <w:p>
            <w:pPr>
              <w:spacing w:after="0"/>
              <w:rPr>
                <w:sz w:val="18"/>
                <w:szCs w:val="18"/>
                <w:color w:val="auto"/>
              </w:rPr>
            </w:pPr>
          </w:p>
        </w:tc>
      </w:tr>
      <w:tr>
        <w:trPr>
          <w:trHeight w:val="216"/>
        </w:trPr>
        <w:tc>
          <w:tcPr>
            <w:tcW w:w="56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Developed technologies</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51,100</w:t>
            </w:r>
          </w:p>
        </w:tc>
        <w:tc>
          <w:tcPr>
            <w:tcW w:w="5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421"/>
              <w:spacing w:after="0"/>
              <w:rPr>
                <w:sz w:val="20"/>
                <w:szCs w:val="20"/>
                <w:color w:val="auto"/>
              </w:rPr>
            </w:pPr>
            <w:r>
              <w:rPr>
                <w:rFonts w:ascii="Arial" w:cs="Arial" w:eastAsia="Arial" w:hAnsi="Arial"/>
                <w:sz w:val="18"/>
                <w:szCs w:val="18"/>
                <w:color w:val="auto"/>
                <w:w w:val="98"/>
              </w:rPr>
              <w:t>(10,218)</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40,882</w:t>
            </w:r>
          </w:p>
        </w:tc>
        <w:tc>
          <w:tcPr>
            <w:tcW w:w="60" w:type="dxa"/>
            <w:vAlign w:val="bottom"/>
            <w:shd w:val="clear" w:color="auto" w:fill="CCEEFF"/>
          </w:tcPr>
          <w:p>
            <w:pPr>
              <w:spacing w:after="0"/>
              <w:rPr>
                <w:sz w:val="18"/>
                <w:szCs w:val="18"/>
                <w:color w:val="auto"/>
              </w:rPr>
            </w:pPr>
          </w:p>
        </w:tc>
      </w:tr>
      <w:tr>
        <w:trPr>
          <w:trHeight w:val="216"/>
        </w:trPr>
        <w:tc>
          <w:tcPr>
            <w:tcW w:w="5620" w:type="dxa"/>
            <w:vAlign w:val="bottom"/>
          </w:tcPr>
          <w:p>
            <w:pPr>
              <w:ind w:left="360"/>
              <w:spacing w:after="0"/>
              <w:rPr>
                <w:sz w:val="20"/>
                <w:szCs w:val="20"/>
                <w:color w:val="auto"/>
              </w:rPr>
            </w:pPr>
            <w:r>
              <w:rPr>
                <w:rFonts w:ascii="Arial" w:cs="Arial" w:eastAsia="Arial" w:hAnsi="Arial"/>
                <w:sz w:val="18"/>
                <w:szCs w:val="18"/>
                <w:color w:val="auto"/>
              </w:rPr>
              <w:t>Tradenames</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35,500</w:t>
            </w:r>
          </w:p>
        </w:tc>
        <w:tc>
          <w:tcPr>
            <w:tcW w:w="5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gridSpan w:val="2"/>
          </w:tcPr>
          <w:p>
            <w:pPr>
              <w:jc w:val="right"/>
              <w:ind w:right="421"/>
              <w:spacing w:after="0"/>
              <w:rPr>
                <w:sz w:val="20"/>
                <w:szCs w:val="20"/>
                <w:color w:val="auto"/>
              </w:rPr>
            </w:pPr>
            <w:r>
              <w:rPr>
                <w:rFonts w:ascii="Arial" w:cs="Arial" w:eastAsia="Arial" w:hAnsi="Arial"/>
                <w:sz w:val="18"/>
                <w:szCs w:val="18"/>
                <w:color w:val="auto"/>
              </w:rPr>
              <w:t>(2,952)</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32,548</w:t>
            </w:r>
          </w:p>
        </w:tc>
        <w:tc>
          <w:tcPr>
            <w:tcW w:w="60" w:type="dxa"/>
            <w:vAlign w:val="bottom"/>
          </w:tcPr>
          <w:p>
            <w:pPr>
              <w:spacing w:after="0"/>
              <w:rPr>
                <w:sz w:val="18"/>
                <w:szCs w:val="18"/>
                <w:color w:val="auto"/>
              </w:rPr>
            </w:pPr>
          </w:p>
        </w:tc>
      </w:tr>
      <w:tr>
        <w:trPr>
          <w:trHeight w:val="216"/>
        </w:trPr>
        <w:tc>
          <w:tcPr>
            <w:tcW w:w="56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Data</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42,656</w:t>
            </w:r>
          </w:p>
        </w:tc>
        <w:tc>
          <w:tcPr>
            <w:tcW w:w="5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421"/>
              <w:spacing w:after="0"/>
              <w:rPr>
                <w:sz w:val="20"/>
                <w:szCs w:val="20"/>
                <w:color w:val="auto"/>
              </w:rPr>
            </w:pPr>
            <w:r>
              <w:rPr>
                <w:rFonts w:ascii="Arial" w:cs="Arial" w:eastAsia="Arial" w:hAnsi="Arial"/>
                <w:sz w:val="18"/>
                <w:szCs w:val="18"/>
                <w:color w:val="auto"/>
                <w:w w:val="98"/>
              </w:rPr>
              <w:t>(17,782)</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24,874</w:t>
            </w:r>
          </w:p>
        </w:tc>
        <w:tc>
          <w:tcPr>
            <w:tcW w:w="60" w:type="dxa"/>
            <w:vAlign w:val="bottom"/>
            <w:shd w:val="clear" w:color="auto" w:fill="CCEEFF"/>
          </w:tcPr>
          <w:p>
            <w:pPr>
              <w:spacing w:after="0"/>
              <w:rPr>
                <w:sz w:val="18"/>
                <w:szCs w:val="18"/>
                <w:color w:val="auto"/>
              </w:rPr>
            </w:pPr>
          </w:p>
        </w:tc>
      </w:tr>
      <w:tr>
        <w:trPr>
          <w:trHeight w:val="223"/>
        </w:trPr>
        <w:tc>
          <w:tcPr>
            <w:tcW w:w="5620" w:type="dxa"/>
            <w:vAlign w:val="bottom"/>
          </w:tcPr>
          <w:p>
            <w:pPr>
              <w:spacing w:after="0"/>
              <w:rPr>
                <w:sz w:val="20"/>
                <w:szCs w:val="20"/>
                <w:color w:val="auto"/>
              </w:rPr>
            </w:pPr>
            <w:r>
              <w:rPr>
                <w:rFonts w:ascii="Arial" w:cs="Arial" w:eastAsia="Arial" w:hAnsi="Arial"/>
                <w:sz w:val="18"/>
                <w:szCs w:val="18"/>
                <w:color w:val="auto"/>
              </w:rPr>
              <w:t>Total finite-lived intangible assets</w:t>
            </w:r>
          </w:p>
        </w:tc>
        <w:tc>
          <w:tcPr>
            <w:tcW w:w="2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499,286</w:t>
            </w:r>
          </w:p>
        </w:tc>
        <w:tc>
          <w:tcPr>
            <w:tcW w:w="52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9"/>
              </w:rPr>
              <w:t>(89,049)</w:t>
            </w:r>
          </w:p>
        </w:tc>
        <w:tc>
          <w:tcPr>
            <w:tcW w:w="5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410,237</w:t>
            </w:r>
          </w:p>
        </w:tc>
        <w:tc>
          <w:tcPr>
            <w:tcW w:w="60" w:type="dxa"/>
            <w:vAlign w:val="bottom"/>
          </w:tcPr>
          <w:p>
            <w:pPr>
              <w:spacing w:after="0"/>
              <w:rPr>
                <w:sz w:val="19"/>
                <w:szCs w:val="19"/>
                <w:color w:val="auto"/>
              </w:rPr>
            </w:pPr>
          </w:p>
        </w:tc>
      </w:tr>
      <w:tr>
        <w:trPr>
          <w:trHeight w:val="216"/>
        </w:trPr>
        <w:tc>
          <w:tcPr>
            <w:tcW w:w="56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Goodwill</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1,261,444</w:t>
            </w:r>
          </w:p>
        </w:tc>
        <w:tc>
          <w:tcPr>
            <w:tcW w:w="5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561"/>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1,261,444</w:t>
            </w:r>
          </w:p>
        </w:tc>
        <w:tc>
          <w:tcPr>
            <w:tcW w:w="60" w:type="dxa"/>
            <w:vAlign w:val="bottom"/>
            <w:shd w:val="clear" w:color="auto" w:fill="CCEEFF"/>
          </w:tcPr>
          <w:p>
            <w:pPr>
              <w:spacing w:after="0"/>
              <w:rPr>
                <w:sz w:val="18"/>
                <w:szCs w:val="18"/>
                <w:color w:val="auto"/>
              </w:rPr>
            </w:pPr>
          </w:p>
        </w:tc>
      </w:tr>
      <w:tr>
        <w:trPr>
          <w:trHeight w:val="223"/>
        </w:trPr>
        <w:tc>
          <w:tcPr>
            <w:tcW w:w="5620" w:type="dxa"/>
            <w:vAlign w:val="bottom"/>
          </w:tcPr>
          <w:p>
            <w:pPr>
              <w:spacing w:after="0"/>
              <w:rPr>
                <w:sz w:val="20"/>
                <w:szCs w:val="20"/>
                <w:color w:val="auto"/>
              </w:rPr>
            </w:pPr>
            <w:r>
              <w:rPr>
                <w:rFonts w:ascii="Arial" w:cs="Arial" w:eastAsia="Arial" w:hAnsi="Arial"/>
                <w:sz w:val="18"/>
                <w:szCs w:val="18"/>
                <w:color w:val="auto"/>
              </w:rPr>
              <w:t>Total goodwill and Intangible assets</w:t>
            </w:r>
          </w:p>
        </w:tc>
        <w:tc>
          <w:tcPr>
            <w:tcW w:w="20" w:type="dxa"/>
            <w:vAlign w:val="bottom"/>
          </w:tcPr>
          <w:p>
            <w:pPr>
              <w:spacing w:after="0"/>
              <w:rPr>
                <w:sz w:val="19"/>
                <w:szCs w:val="19"/>
                <w:color w:val="auto"/>
              </w:rPr>
            </w:pPr>
          </w:p>
        </w:tc>
        <w:tc>
          <w:tcPr>
            <w:tcW w:w="88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w w:val="90"/>
              </w:rPr>
              <w:t>$ 1,760,730</w:t>
            </w:r>
          </w:p>
        </w:tc>
        <w:tc>
          <w:tcPr>
            <w:tcW w:w="52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8"/>
              </w:rPr>
              <w:t>(89,049</w:t>
            </w:r>
          </w:p>
        </w:tc>
        <w:tc>
          <w:tcPr>
            <w:tcW w:w="560" w:type="dxa"/>
            <w:vAlign w:val="bottom"/>
          </w:tcPr>
          <w:p>
            <w:pPr>
              <w:jc w:val="right"/>
              <w:ind w:right="421"/>
              <w:spacing w:after="0"/>
              <w:rPr>
                <w:sz w:val="20"/>
                <w:szCs w:val="20"/>
                <w:color w:val="auto"/>
              </w:rPr>
            </w:pPr>
            <w:r>
              <w:rPr>
                <w:rFonts w:ascii="Arial" w:cs="Arial" w:eastAsia="Arial" w:hAnsi="Arial"/>
                <w:sz w:val="16"/>
                <w:szCs w:val="16"/>
                <w:color w:val="auto"/>
                <w:w w:val="74"/>
              </w:rPr>
              <w:t>)</w:t>
            </w:r>
          </w:p>
        </w:tc>
        <w:tc>
          <w:tcPr>
            <w:tcW w:w="20" w:type="dxa"/>
            <w:vAlign w:val="bottom"/>
          </w:tcPr>
          <w:p>
            <w:pPr>
              <w:spacing w:after="0"/>
              <w:rPr>
                <w:sz w:val="19"/>
                <w:szCs w:val="19"/>
                <w:color w:val="auto"/>
              </w:rPr>
            </w:pPr>
          </w:p>
        </w:tc>
        <w:tc>
          <w:tcPr>
            <w:tcW w:w="82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u w:val="single" w:color="auto"/>
                <w:color w:val="auto"/>
                <w:w w:val="88"/>
              </w:rPr>
              <w:t>$</w:t>
            </w:r>
            <w:r>
              <w:rPr>
                <w:rFonts w:ascii="Arial" w:cs="Arial" w:eastAsia="Arial" w:hAnsi="Arial"/>
                <w:sz w:val="18"/>
                <w:szCs w:val="18"/>
                <w:color w:val="auto"/>
                <w:w w:val="88"/>
              </w:rPr>
              <w:t>1,671,681</w:t>
            </w:r>
          </w:p>
        </w:tc>
        <w:tc>
          <w:tcPr>
            <w:tcW w:w="60" w:type="dxa"/>
            <w:vAlign w:val="bottom"/>
          </w:tcPr>
          <w:p>
            <w:pPr>
              <w:spacing w:after="0"/>
              <w:rPr>
                <w:sz w:val="19"/>
                <w:szCs w:val="19"/>
                <w:color w:val="auto"/>
              </w:rPr>
            </w:pPr>
          </w:p>
        </w:tc>
      </w:tr>
      <w:tr>
        <w:trPr>
          <w:trHeight w:val="20"/>
        </w:trPr>
        <w:tc>
          <w:tcPr>
            <w:tcW w:w="56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760" w:type="dxa"/>
            <w:vAlign w:val="bottom"/>
            <w:tcBorders>
              <w:bottom w:val="single" w:sz="8" w:color="auto"/>
            </w:tcBorders>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386"/>
        </w:trPr>
        <w:tc>
          <w:tcPr>
            <w:tcW w:w="56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600" w:type="dxa"/>
            <w:vAlign w:val="bottom"/>
            <w:tcBorders>
              <w:bottom w:val="single" w:sz="8" w:color="auto"/>
            </w:tcBorders>
            <w:gridSpan w:val="5"/>
          </w:tcPr>
          <w:p>
            <w:pPr>
              <w:jc w:val="right"/>
              <w:spacing w:after="0"/>
              <w:rPr>
                <w:sz w:val="20"/>
                <w:szCs w:val="20"/>
                <w:color w:val="auto"/>
              </w:rPr>
            </w:pPr>
            <w:r>
              <w:rPr>
                <w:rFonts w:ascii="Arial" w:cs="Arial" w:eastAsia="Arial" w:hAnsi="Arial"/>
                <w:sz w:val="14"/>
                <w:szCs w:val="14"/>
                <w:b w:val="1"/>
                <w:bCs w:val="1"/>
                <w:color w:val="auto"/>
              </w:rPr>
              <w:t>December 31, 2019 (Successor)</w:t>
            </w:r>
          </w:p>
        </w:tc>
        <w:tc>
          <w:tcPr>
            <w:tcW w:w="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60" w:type="dxa"/>
            <w:vAlign w:val="bottom"/>
          </w:tcPr>
          <w:p>
            <w:pPr>
              <w:spacing w:after="0"/>
              <w:rPr>
                <w:sz w:val="24"/>
                <w:szCs w:val="24"/>
                <w:color w:val="auto"/>
              </w:rPr>
            </w:pPr>
          </w:p>
        </w:tc>
      </w:tr>
      <w:tr>
        <w:trPr>
          <w:trHeight w:val="123"/>
        </w:trPr>
        <w:tc>
          <w:tcPr>
            <w:tcW w:w="56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80" w:type="dxa"/>
            <w:vAlign w:val="bottom"/>
            <w:gridSpan w:val="2"/>
          </w:tcPr>
          <w:p>
            <w:pPr>
              <w:spacing w:after="0" w:line="123" w:lineRule="exact"/>
              <w:rPr>
                <w:sz w:val="20"/>
                <w:szCs w:val="20"/>
                <w:color w:val="auto"/>
              </w:rPr>
            </w:pPr>
            <w:r>
              <w:rPr>
                <w:rFonts w:ascii="Arial" w:cs="Arial" w:eastAsia="Arial" w:hAnsi="Arial"/>
                <w:sz w:val="14"/>
                <w:szCs w:val="14"/>
                <w:color w:val="auto"/>
                <w:w w:val="91"/>
              </w:rPr>
              <w:t>Gross Carrying</w:t>
            </w:r>
          </w:p>
        </w:tc>
        <w:tc>
          <w:tcPr>
            <w:tcW w:w="1840" w:type="dxa"/>
            <w:vAlign w:val="bottom"/>
            <w:gridSpan w:val="4"/>
          </w:tcPr>
          <w:p>
            <w:pPr>
              <w:ind w:left="520"/>
              <w:spacing w:after="0" w:line="123" w:lineRule="exact"/>
              <w:rPr>
                <w:sz w:val="20"/>
                <w:szCs w:val="20"/>
                <w:color w:val="auto"/>
              </w:rPr>
            </w:pPr>
            <w:r>
              <w:rPr>
                <w:rFonts w:ascii="Arial" w:cs="Arial" w:eastAsia="Arial" w:hAnsi="Arial"/>
                <w:sz w:val="14"/>
                <w:szCs w:val="14"/>
                <w:color w:val="auto"/>
              </w:rPr>
              <w:t>Accumulated</w:t>
            </w:r>
          </w:p>
        </w:tc>
        <w:tc>
          <w:tcPr>
            <w:tcW w:w="20" w:type="dxa"/>
            <w:vAlign w:val="bottom"/>
          </w:tcPr>
          <w:p>
            <w:pPr>
              <w:spacing w:after="0"/>
              <w:rPr>
                <w:sz w:val="10"/>
                <w:szCs w:val="10"/>
                <w:color w:val="auto"/>
              </w:rPr>
            </w:pPr>
          </w:p>
        </w:tc>
        <w:tc>
          <w:tcPr>
            <w:tcW w:w="820" w:type="dxa"/>
            <w:vAlign w:val="bottom"/>
            <w:gridSpan w:val="2"/>
          </w:tcPr>
          <w:p>
            <w:pPr>
              <w:jc w:val="center"/>
              <w:spacing w:after="0" w:line="123" w:lineRule="exact"/>
              <w:rPr>
                <w:sz w:val="20"/>
                <w:szCs w:val="20"/>
                <w:color w:val="auto"/>
              </w:rPr>
            </w:pPr>
            <w:r>
              <w:rPr>
                <w:rFonts w:ascii="Arial" w:cs="Arial" w:eastAsia="Arial" w:hAnsi="Arial"/>
                <w:sz w:val="14"/>
                <w:szCs w:val="14"/>
                <w:color w:val="auto"/>
                <w:w w:val="96"/>
              </w:rPr>
              <w:t>Net Carrying</w:t>
            </w:r>
          </w:p>
        </w:tc>
        <w:tc>
          <w:tcPr>
            <w:tcW w:w="60" w:type="dxa"/>
            <w:vAlign w:val="bottom"/>
          </w:tcPr>
          <w:p>
            <w:pPr>
              <w:spacing w:after="0"/>
              <w:rPr>
                <w:sz w:val="10"/>
                <w:szCs w:val="10"/>
                <w:color w:val="auto"/>
              </w:rPr>
            </w:pPr>
          </w:p>
        </w:tc>
      </w:tr>
      <w:tr>
        <w:trPr>
          <w:trHeight w:val="167"/>
        </w:trPr>
        <w:tc>
          <w:tcPr>
            <w:tcW w:w="56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tcPr>
          <w:p>
            <w:pPr>
              <w:jc w:val="right"/>
              <w:ind w:right="115"/>
              <w:spacing w:after="0"/>
              <w:rPr>
                <w:sz w:val="20"/>
                <w:szCs w:val="20"/>
                <w:color w:val="auto"/>
              </w:rPr>
            </w:pPr>
            <w:r>
              <w:rPr>
                <w:rFonts w:ascii="Arial" w:cs="Arial" w:eastAsia="Arial" w:hAnsi="Arial"/>
                <w:sz w:val="14"/>
                <w:szCs w:val="14"/>
                <w:color w:val="auto"/>
              </w:rPr>
              <w:t>Amount</w:t>
            </w:r>
          </w:p>
        </w:tc>
        <w:tc>
          <w:tcPr>
            <w:tcW w:w="1840" w:type="dxa"/>
            <w:vAlign w:val="bottom"/>
            <w:gridSpan w:val="4"/>
          </w:tcPr>
          <w:p>
            <w:pPr>
              <w:ind w:left="520"/>
              <w:spacing w:after="0"/>
              <w:rPr>
                <w:sz w:val="20"/>
                <w:szCs w:val="20"/>
                <w:color w:val="auto"/>
              </w:rPr>
            </w:pPr>
            <w:r>
              <w:rPr>
                <w:rFonts w:ascii="Arial" w:cs="Arial" w:eastAsia="Arial" w:hAnsi="Arial"/>
                <w:sz w:val="14"/>
                <w:szCs w:val="14"/>
                <w:color w:val="auto"/>
              </w:rPr>
              <w:t>Amortization</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gridSpan w:val="2"/>
          </w:tcPr>
          <w:p>
            <w:pPr>
              <w:jc w:val="center"/>
              <w:ind w:right="160"/>
              <w:spacing w:after="0"/>
              <w:rPr>
                <w:sz w:val="20"/>
                <w:szCs w:val="20"/>
                <w:color w:val="auto"/>
              </w:rPr>
            </w:pPr>
            <w:r>
              <w:rPr>
                <w:rFonts w:ascii="Arial" w:cs="Arial" w:eastAsia="Arial" w:hAnsi="Arial"/>
                <w:sz w:val="14"/>
                <w:szCs w:val="14"/>
                <w:color w:val="auto"/>
                <w:w w:val="99"/>
              </w:rPr>
              <w:t>Amount</w:t>
            </w:r>
          </w:p>
        </w:tc>
      </w:tr>
      <w:tr>
        <w:trPr>
          <w:trHeight w:val="196"/>
        </w:trPr>
        <w:tc>
          <w:tcPr>
            <w:tcW w:w="562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Finite-lived intangible assets:</w:t>
            </w:r>
          </w:p>
        </w:tc>
        <w:tc>
          <w:tcPr>
            <w:tcW w:w="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760" w:type="dxa"/>
            <w:vAlign w:val="bottom"/>
            <w:tcBorders>
              <w:top w:val="single" w:sz="8" w:color="auto"/>
            </w:tcBorders>
            <w:shd w:val="clear" w:color="auto" w:fill="CCEEFF"/>
          </w:tcPr>
          <w:p>
            <w:pPr>
              <w:spacing w:after="0"/>
              <w:rPr>
                <w:sz w:val="17"/>
                <w:szCs w:val="17"/>
                <w:color w:val="auto"/>
              </w:rPr>
            </w:pPr>
          </w:p>
        </w:tc>
        <w:tc>
          <w:tcPr>
            <w:tcW w:w="52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620" w:type="dxa"/>
            <w:vAlign w:val="bottom"/>
            <w:tcBorders>
              <w:top w:val="single" w:sz="8" w:color="auto"/>
            </w:tcBorders>
            <w:shd w:val="clear" w:color="auto" w:fill="CCEEFF"/>
          </w:tcPr>
          <w:p>
            <w:pPr>
              <w:spacing w:after="0"/>
              <w:rPr>
                <w:sz w:val="17"/>
                <w:szCs w:val="17"/>
                <w:color w:val="auto"/>
              </w:rPr>
            </w:pPr>
          </w:p>
        </w:tc>
        <w:tc>
          <w:tcPr>
            <w:tcW w:w="56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740" w:type="dxa"/>
            <w:vAlign w:val="bottom"/>
            <w:tcBorders>
              <w:top w:val="single" w:sz="8" w:color="auto"/>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r>
      <w:tr>
        <w:trPr>
          <w:trHeight w:val="216"/>
        </w:trPr>
        <w:tc>
          <w:tcPr>
            <w:tcW w:w="5620" w:type="dxa"/>
            <w:vAlign w:val="bottom"/>
          </w:tcPr>
          <w:p>
            <w:pPr>
              <w:ind w:left="360"/>
              <w:spacing w:after="0"/>
              <w:rPr>
                <w:sz w:val="20"/>
                <w:szCs w:val="20"/>
                <w:color w:val="auto"/>
              </w:rPr>
            </w:pPr>
            <w:r>
              <w:rPr>
                <w:rFonts w:ascii="Arial" w:cs="Arial" w:eastAsia="Arial" w:hAnsi="Arial"/>
                <w:sz w:val="18"/>
                <w:szCs w:val="18"/>
                <w:color w:val="auto"/>
              </w:rPr>
              <w:t>Customer relationships</w:t>
            </w:r>
          </w:p>
        </w:tc>
        <w:tc>
          <w:tcPr>
            <w:tcW w:w="140" w:type="dxa"/>
            <w:vAlign w:val="bottom"/>
            <w:gridSpan w:val="2"/>
          </w:tcPr>
          <w:p>
            <w:pPr>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358,130</w:t>
            </w:r>
          </w:p>
        </w:tc>
        <w:tc>
          <w:tcPr>
            <w:tcW w:w="660" w:type="dxa"/>
            <w:vAlign w:val="bottom"/>
            <w:gridSpan w:val="2"/>
          </w:tcPr>
          <w:p>
            <w:pPr>
              <w:ind w:left="520"/>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421"/>
              <w:spacing w:after="0"/>
              <w:rPr>
                <w:sz w:val="20"/>
                <w:szCs w:val="20"/>
                <w:color w:val="auto"/>
              </w:rPr>
            </w:pPr>
            <w:r>
              <w:rPr>
                <w:rFonts w:ascii="Arial" w:cs="Arial" w:eastAsia="Arial" w:hAnsi="Arial"/>
                <w:sz w:val="18"/>
                <w:szCs w:val="18"/>
                <w:color w:val="auto"/>
                <w:w w:val="98"/>
              </w:rPr>
              <w:t>(21,075)</w:t>
            </w:r>
          </w:p>
        </w:tc>
        <w:tc>
          <w:tcPr>
            <w:tcW w:w="100" w:type="dxa"/>
            <w:vAlign w:val="bottom"/>
            <w:gridSpan w:val="2"/>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337,055</w:t>
            </w:r>
          </w:p>
        </w:tc>
        <w:tc>
          <w:tcPr>
            <w:tcW w:w="60" w:type="dxa"/>
            <w:vAlign w:val="bottom"/>
          </w:tcPr>
          <w:p>
            <w:pPr>
              <w:spacing w:after="0"/>
              <w:rPr>
                <w:sz w:val="18"/>
                <w:szCs w:val="18"/>
                <w:color w:val="auto"/>
              </w:rPr>
            </w:pPr>
          </w:p>
        </w:tc>
      </w:tr>
      <w:tr>
        <w:trPr>
          <w:trHeight w:val="216"/>
        </w:trPr>
        <w:tc>
          <w:tcPr>
            <w:tcW w:w="56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Developed technologies</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48,500</w:t>
            </w:r>
          </w:p>
        </w:tc>
        <w:tc>
          <w:tcPr>
            <w:tcW w:w="5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421"/>
              <w:spacing w:after="0"/>
              <w:rPr>
                <w:sz w:val="20"/>
                <w:szCs w:val="20"/>
                <w:color w:val="auto"/>
              </w:rPr>
            </w:pPr>
            <w:r>
              <w:rPr>
                <w:rFonts w:ascii="Arial" w:cs="Arial" w:eastAsia="Arial" w:hAnsi="Arial"/>
                <w:sz w:val="18"/>
                <w:szCs w:val="18"/>
                <w:color w:val="auto"/>
              </w:rPr>
              <w:t>(3,206)</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45,294</w:t>
            </w:r>
          </w:p>
        </w:tc>
        <w:tc>
          <w:tcPr>
            <w:tcW w:w="60" w:type="dxa"/>
            <w:vAlign w:val="bottom"/>
            <w:shd w:val="clear" w:color="auto" w:fill="CCEEFF"/>
          </w:tcPr>
          <w:p>
            <w:pPr>
              <w:spacing w:after="0"/>
              <w:rPr>
                <w:sz w:val="18"/>
                <w:szCs w:val="18"/>
                <w:color w:val="auto"/>
              </w:rPr>
            </w:pPr>
          </w:p>
        </w:tc>
      </w:tr>
      <w:tr>
        <w:trPr>
          <w:trHeight w:val="216"/>
        </w:trPr>
        <w:tc>
          <w:tcPr>
            <w:tcW w:w="5620" w:type="dxa"/>
            <w:vAlign w:val="bottom"/>
          </w:tcPr>
          <w:p>
            <w:pPr>
              <w:ind w:left="360"/>
              <w:spacing w:after="0"/>
              <w:rPr>
                <w:sz w:val="20"/>
                <w:szCs w:val="20"/>
                <w:color w:val="auto"/>
              </w:rPr>
            </w:pPr>
            <w:r>
              <w:rPr>
                <w:rFonts w:ascii="Arial" w:cs="Arial" w:eastAsia="Arial" w:hAnsi="Arial"/>
                <w:sz w:val="18"/>
                <w:szCs w:val="18"/>
                <w:color w:val="auto"/>
              </w:rPr>
              <w:t>Tradenames</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34,100</w:t>
            </w:r>
          </w:p>
        </w:tc>
        <w:tc>
          <w:tcPr>
            <w:tcW w:w="5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gridSpan w:val="2"/>
          </w:tcPr>
          <w:p>
            <w:pPr>
              <w:jc w:val="right"/>
              <w:ind w:right="421"/>
              <w:spacing w:after="0"/>
              <w:rPr>
                <w:sz w:val="20"/>
                <w:szCs w:val="20"/>
                <w:color w:val="auto"/>
              </w:rPr>
            </w:pPr>
            <w:r>
              <w:rPr>
                <w:rFonts w:ascii="Arial" w:cs="Arial" w:eastAsia="Arial" w:hAnsi="Arial"/>
                <w:sz w:val="18"/>
                <w:szCs w:val="18"/>
                <w:color w:val="auto"/>
              </w:rPr>
              <w:t>(928)</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33,172</w:t>
            </w:r>
          </w:p>
        </w:tc>
        <w:tc>
          <w:tcPr>
            <w:tcW w:w="60" w:type="dxa"/>
            <w:vAlign w:val="bottom"/>
          </w:tcPr>
          <w:p>
            <w:pPr>
              <w:spacing w:after="0"/>
              <w:rPr>
                <w:sz w:val="18"/>
                <w:szCs w:val="18"/>
                <w:color w:val="auto"/>
              </w:rPr>
            </w:pPr>
          </w:p>
        </w:tc>
      </w:tr>
      <w:tr>
        <w:trPr>
          <w:trHeight w:val="216"/>
        </w:trPr>
        <w:tc>
          <w:tcPr>
            <w:tcW w:w="56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Data</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36,268</w:t>
            </w:r>
          </w:p>
        </w:tc>
        <w:tc>
          <w:tcPr>
            <w:tcW w:w="5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421"/>
              <w:spacing w:after="0"/>
              <w:rPr>
                <w:sz w:val="20"/>
                <w:szCs w:val="20"/>
                <w:color w:val="auto"/>
              </w:rPr>
            </w:pPr>
            <w:r>
              <w:rPr>
                <w:rFonts w:ascii="Arial" w:cs="Arial" w:eastAsia="Arial" w:hAnsi="Arial"/>
                <w:sz w:val="18"/>
                <w:szCs w:val="18"/>
                <w:color w:val="auto"/>
              </w:rPr>
              <w:t>(5,408)</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30,860</w:t>
            </w:r>
          </w:p>
        </w:tc>
        <w:tc>
          <w:tcPr>
            <w:tcW w:w="60" w:type="dxa"/>
            <w:vAlign w:val="bottom"/>
            <w:shd w:val="clear" w:color="auto" w:fill="CCEEFF"/>
          </w:tcPr>
          <w:p>
            <w:pPr>
              <w:spacing w:after="0"/>
              <w:rPr>
                <w:sz w:val="18"/>
                <w:szCs w:val="18"/>
                <w:color w:val="auto"/>
              </w:rPr>
            </w:pPr>
          </w:p>
        </w:tc>
      </w:tr>
      <w:tr>
        <w:trPr>
          <w:trHeight w:val="223"/>
        </w:trPr>
        <w:tc>
          <w:tcPr>
            <w:tcW w:w="5620" w:type="dxa"/>
            <w:vAlign w:val="bottom"/>
          </w:tcPr>
          <w:p>
            <w:pPr>
              <w:spacing w:after="0"/>
              <w:rPr>
                <w:sz w:val="20"/>
                <w:szCs w:val="20"/>
                <w:color w:val="auto"/>
              </w:rPr>
            </w:pPr>
            <w:r>
              <w:rPr>
                <w:rFonts w:ascii="Arial" w:cs="Arial" w:eastAsia="Arial" w:hAnsi="Arial"/>
                <w:sz w:val="18"/>
                <w:szCs w:val="18"/>
                <w:color w:val="auto"/>
              </w:rPr>
              <w:t>Total finite-lived intangible assets</w:t>
            </w:r>
          </w:p>
        </w:tc>
        <w:tc>
          <w:tcPr>
            <w:tcW w:w="2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476,998</w:t>
            </w:r>
          </w:p>
        </w:tc>
        <w:tc>
          <w:tcPr>
            <w:tcW w:w="52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9"/>
              </w:rPr>
              <w:t>(30,617)</w:t>
            </w:r>
          </w:p>
        </w:tc>
        <w:tc>
          <w:tcPr>
            <w:tcW w:w="5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446,381</w:t>
            </w:r>
          </w:p>
        </w:tc>
        <w:tc>
          <w:tcPr>
            <w:tcW w:w="60" w:type="dxa"/>
            <w:vAlign w:val="bottom"/>
          </w:tcPr>
          <w:p>
            <w:pPr>
              <w:spacing w:after="0"/>
              <w:rPr>
                <w:sz w:val="19"/>
                <w:szCs w:val="19"/>
                <w:color w:val="auto"/>
              </w:rPr>
            </w:pPr>
          </w:p>
        </w:tc>
      </w:tr>
      <w:tr>
        <w:trPr>
          <w:trHeight w:val="216"/>
        </w:trPr>
        <w:tc>
          <w:tcPr>
            <w:tcW w:w="56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Goodwill</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1,233,173</w:t>
            </w:r>
          </w:p>
        </w:tc>
        <w:tc>
          <w:tcPr>
            <w:tcW w:w="5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561"/>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1,233,173</w:t>
            </w:r>
          </w:p>
        </w:tc>
        <w:tc>
          <w:tcPr>
            <w:tcW w:w="60" w:type="dxa"/>
            <w:vAlign w:val="bottom"/>
            <w:shd w:val="clear" w:color="auto" w:fill="CCEEFF"/>
          </w:tcPr>
          <w:p>
            <w:pPr>
              <w:spacing w:after="0"/>
              <w:rPr>
                <w:sz w:val="18"/>
                <w:szCs w:val="18"/>
                <w:color w:val="auto"/>
              </w:rPr>
            </w:pPr>
          </w:p>
        </w:tc>
      </w:tr>
      <w:tr>
        <w:trPr>
          <w:trHeight w:val="223"/>
        </w:trPr>
        <w:tc>
          <w:tcPr>
            <w:tcW w:w="5620" w:type="dxa"/>
            <w:vAlign w:val="bottom"/>
          </w:tcPr>
          <w:p>
            <w:pPr>
              <w:spacing w:after="0"/>
              <w:rPr>
                <w:sz w:val="20"/>
                <w:szCs w:val="20"/>
                <w:color w:val="auto"/>
              </w:rPr>
            </w:pPr>
            <w:r>
              <w:rPr>
                <w:rFonts w:ascii="Arial" w:cs="Arial" w:eastAsia="Arial" w:hAnsi="Arial"/>
                <w:sz w:val="18"/>
                <w:szCs w:val="18"/>
                <w:color w:val="auto"/>
              </w:rPr>
              <w:t>Total goodwill and Intangible assets</w:t>
            </w:r>
          </w:p>
        </w:tc>
        <w:tc>
          <w:tcPr>
            <w:tcW w:w="20" w:type="dxa"/>
            <w:vAlign w:val="bottom"/>
            <w:tcBorders>
              <w:bottom w:val="single" w:sz="8" w:color="auto"/>
            </w:tcBorders>
          </w:tcPr>
          <w:p>
            <w:pPr>
              <w:spacing w:after="0"/>
              <w:rPr>
                <w:sz w:val="19"/>
                <w:szCs w:val="19"/>
                <w:color w:val="auto"/>
              </w:rPr>
            </w:pPr>
          </w:p>
        </w:tc>
        <w:tc>
          <w:tcPr>
            <w:tcW w:w="88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w w:val="90"/>
              </w:rPr>
              <w:t>$ 1,710,171</w:t>
            </w:r>
          </w:p>
        </w:tc>
        <w:tc>
          <w:tcPr>
            <w:tcW w:w="52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8"/>
              </w:rPr>
              <w:t>(30,617</w:t>
            </w:r>
          </w:p>
        </w:tc>
        <w:tc>
          <w:tcPr>
            <w:tcW w:w="560" w:type="dxa"/>
            <w:vAlign w:val="bottom"/>
          </w:tcPr>
          <w:p>
            <w:pPr>
              <w:jc w:val="right"/>
              <w:ind w:right="421"/>
              <w:spacing w:after="0"/>
              <w:rPr>
                <w:sz w:val="20"/>
                <w:szCs w:val="20"/>
                <w:color w:val="auto"/>
              </w:rPr>
            </w:pPr>
            <w:r>
              <w:rPr>
                <w:rFonts w:ascii="Arial" w:cs="Arial" w:eastAsia="Arial" w:hAnsi="Arial"/>
                <w:sz w:val="16"/>
                <w:szCs w:val="16"/>
                <w:color w:val="auto"/>
                <w:w w:val="74"/>
              </w:rPr>
              <w:t>)</w:t>
            </w:r>
          </w:p>
        </w:tc>
        <w:tc>
          <w:tcPr>
            <w:tcW w:w="20" w:type="dxa"/>
            <w:vAlign w:val="bottom"/>
          </w:tcPr>
          <w:p>
            <w:pPr>
              <w:spacing w:after="0"/>
              <w:rPr>
                <w:sz w:val="19"/>
                <w:szCs w:val="19"/>
                <w:color w:val="auto"/>
              </w:rPr>
            </w:pPr>
          </w:p>
        </w:tc>
        <w:tc>
          <w:tcPr>
            <w:tcW w:w="82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u w:val="single" w:color="auto"/>
                <w:color w:val="auto"/>
                <w:w w:val="88"/>
              </w:rPr>
              <w:t>$</w:t>
            </w:r>
            <w:r>
              <w:rPr>
                <w:rFonts w:ascii="Arial" w:cs="Arial" w:eastAsia="Arial" w:hAnsi="Arial"/>
                <w:sz w:val="18"/>
                <w:szCs w:val="18"/>
                <w:color w:val="auto"/>
                <w:w w:val="88"/>
              </w:rPr>
              <w:t>1,679,554</w:t>
            </w:r>
          </w:p>
        </w:tc>
        <w:tc>
          <w:tcPr>
            <w:tcW w:w="60" w:type="dxa"/>
            <w:vAlign w:val="bottom"/>
          </w:tcPr>
          <w:p>
            <w:pPr>
              <w:spacing w:after="0"/>
              <w:rPr>
                <w:sz w:val="19"/>
                <w:szCs w:val="19"/>
                <w:color w:val="auto"/>
              </w:rPr>
            </w:pPr>
          </w:p>
        </w:tc>
      </w:tr>
      <w:tr>
        <w:trPr>
          <w:trHeight w:val="20"/>
        </w:trPr>
        <w:tc>
          <w:tcPr>
            <w:tcW w:w="56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15" w:lineRule="exact"/>
        <w:rPr>
          <w:sz w:val="20"/>
          <w:szCs w:val="20"/>
          <w:color w:val="auto"/>
        </w:rPr>
      </w:pPr>
    </w:p>
    <w:p>
      <w:pPr>
        <w:ind w:left="120" w:firstLine="440"/>
        <w:spacing w:after="0" w:line="259" w:lineRule="auto"/>
        <w:rPr>
          <w:sz w:val="20"/>
          <w:szCs w:val="20"/>
          <w:color w:val="auto"/>
        </w:rPr>
      </w:pPr>
      <w:r>
        <w:rPr>
          <w:rFonts w:ascii="Arial" w:cs="Arial" w:eastAsia="Arial" w:hAnsi="Arial"/>
          <w:sz w:val="18"/>
          <w:szCs w:val="18"/>
          <w:color w:val="auto"/>
        </w:rPr>
        <w:t>Amortization expense associated with finite-lived intangible assets was $58.4 million for the year ended December 31, 2020 (Successor), of which $19.4 million was included in cost of revenue for the said period. Amortization expense associated with finite-lived intangible assets was $30.6 million and $2.0 million for the periods from July 16, 2019 through December 31, 2019 (Successor), and January 1, 2019 through July 15, 2019 (Predecessor), respectively.</w:t>
      </w:r>
    </w:p>
    <w:p>
      <w:pPr>
        <w:spacing w:after="0" w:line="187" w:lineRule="exact"/>
        <w:rPr>
          <w:sz w:val="20"/>
          <w:szCs w:val="20"/>
          <w:color w:val="auto"/>
        </w:rPr>
      </w:pPr>
    </w:p>
    <w:p>
      <w:pPr>
        <w:ind w:left="560"/>
        <w:spacing w:after="0"/>
        <w:rPr>
          <w:sz w:val="20"/>
          <w:szCs w:val="20"/>
          <w:color w:val="auto"/>
        </w:rPr>
      </w:pPr>
      <w:r>
        <w:rPr>
          <w:rFonts w:ascii="Arial" w:cs="Arial" w:eastAsia="Arial" w:hAnsi="Arial"/>
          <w:sz w:val="18"/>
          <w:szCs w:val="18"/>
          <w:color w:val="auto"/>
        </w:rPr>
        <w:t>Estimated total intangible amortization expense during the next five years and thereafter is as follows (in thousands):</w:t>
      </w:r>
    </w:p>
    <w:p>
      <w:pPr>
        <w:spacing w:after="0" w:line="266" w:lineRule="exact"/>
        <w:rPr>
          <w:sz w:val="20"/>
          <w:szCs w:val="20"/>
          <w:color w:val="auto"/>
        </w:rPr>
      </w:pPr>
    </w:p>
    <w:tbl>
      <w:tblPr>
        <w:tblLayout w:type="fixed"/>
        <w:tblInd w:w="188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2200" w:type="dxa"/>
            <w:vAlign w:val="bottom"/>
            <w:shd w:val="clear" w:color="auto" w:fill="CCEEFF"/>
          </w:tcPr>
          <w:p>
            <w:pPr>
              <w:spacing w:after="0"/>
              <w:rPr>
                <w:sz w:val="20"/>
                <w:szCs w:val="20"/>
                <w:color w:val="auto"/>
              </w:rPr>
            </w:pPr>
            <w:r>
              <w:rPr>
                <w:rFonts w:ascii="Arial" w:cs="Arial" w:eastAsia="Arial" w:hAnsi="Arial"/>
                <w:sz w:val="18"/>
                <w:szCs w:val="18"/>
                <w:color w:val="auto"/>
              </w:rPr>
              <w:t>2021</w:t>
            </w:r>
          </w:p>
        </w:tc>
        <w:tc>
          <w:tcPr>
            <w:tcW w:w="46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58,143</w:t>
            </w:r>
          </w:p>
        </w:tc>
      </w:tr>
      <w:tr>
        <w:trPr>
          <w:trHeight w:val="216"/>
        </w:trPr>
        <w:tc>
          <w:tcPr>
            <w:tcW w:w="20" w:type="dxa"/>
            <w:vAlign w:val="bottom"/>
          </w:tcPr>
          <w:p>
            <w:pPr>
              <w:spacing w:after="0"/>
              <w:rPr>
                <w:sz w:val="18"/>
                <w:szCs w:val="18"/>
                <w:color w:val="auto"/>
              </w:rPr>
            </w:pPr>
          </w:p>
        </w:tc>
        <w:tc>
          <w:tcPr>
            <w:tcW w:w="2200" w:type="dxa"/>
            <w:vAlign w:val="bottom"/>
          </w:tcPr>
          <w:p>
            <w:pPr>
              <w:spacing w:after="0"/>
              <w:rPr>
                <w:sz w:val="20"/>
                <w:szCs w:val="20"/>
                <w:color w:val="auto"/>
              </w:rPr>
            </w:pPr>
            <w:r>
              <w:rPr>
                <w:rFonts w:ascii="Arial" w:cs="Arial" w:eastAsia="Arial" w:hAnsi="Arial"/>
                <w:sz w:val="18"/>
                <w:szCs w:val="18"/>
                <w:color w:val="auto"/>
              </w:rPr>
              <w:t>2022</w:t>
            </w:r>
          </w:p>
        </w:tc>
        <w:tc>
          <w:tcPr>
            <w:tcW w:w="4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60"/>
              <w:spacing w:after="0"/>
              <w:rPr>
                <w:sz w:val="20"/>
                <w:szCs w:val="20"/>
                <w:color w:val="auto"/>
              </w:rPr>
            </w:pPr>
            <w:r>
              <w:rPr>
                <w:rFonts w:ascii="Arial" w:cs="Arial" w:eastAsia="Arial" w:hAnsi="Arial"/>
                <w:sz w:val="18"/>
                <w:szCs w:val="18"/>
                <w:color w:val="auto"/>
              </w:rPr>
              <w:t>53,653</w:t>
            </w:r>
          </w:p>
        </w:tc>
      </w:tr>
      <w:tr>
        <w:trPr>
          <w:trHeight w:val="216"/>
        </w:trPr>
        <w:tc>
          <w:tcPr>
            <w:tcW w:w="20" w:type="dxa"/>
            <w:vAlign w:val="bottom"/>
          </w:tcPr>
          <w:p>
            <w:pPr>
              <w:spacing w:after="0"/>
              <w:rPr>
                <w:sz w:val="18"/>
                <w:szCs w:val="18"/>
                <w:color w:val="auto"/>
              </w:rPr>
            </w:pPr>
          </w:p>
        </w:tc>
        <w:tc>
          <w:tcPr>
            <w:tcW w:w="2200" w:type="dxa"/>
            <w:vAlign w:val="bottom"/>
            <w:shd w:val="clear" w:color="auto" w:fill="CCEEFF"/>
          </w:tcPr>
          <w:p>
            <w:pPr>
              <w:spacing w:after="0"/>
              <w:rPr>
                <w:sz w:val="20"/>
                <w:szCs w:val="20"/>
                <w:color w:val="auto"/>
              </w:rPr>
            </w:pPr>
            <w:r>
              <w:rPr>
                <w:rFonts w:ascii="Arial" w:cs="Arial" w:eastAsia="Arial" w:hAnsi="Arial"/>
                <w:sz w:val="18"/>
                <w:szCs w:val="18"/>
                <w:color w:val="auto"/>
              </w:rPr>
              <w:t>2023</w:t>
            </w:r>
          </w:p>
        </w:tc>
        <w:tc>
          <w:tcPr>
            <w:tcW w:w="4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45,709</w:t>
            </w:r>
          </w:p>
        </w:tc>
      </w:tr>
      <w:tr>
        <w:trPr>
          <w:trHeight w:val="216"/>
        </w:trPr>
        <w:tc>
          <w:tcPr>
            <w:tcW w:w="20" w:type="dxa"/>
            <w:vAlign w:val="bottom"/>
          </w:tcPr>
          <w:p>
            <w:pPr>
              <w:spacing w:after="0"/>
              <w:rPr>
                <w:sz w:val="18"/>
                <w:szCs w:val="18"/>
                <w:color w:val="auto"/>
              </w:rPr>
            </w:pPr>
          </w:p>
        </w:tc>
        <w:tc>
          <w:tcPr>
            <w:tcW w:w="2200" w:type="dxa"/>
            <w:vAlign w:val="bottom"/>
          </w:tcPr>
          <w:p>
            <w:pPr>
              <w:spacing w:after="0"/>
              <w:rPr>
                <w:sz w:val="20"/>
                <w:szCs w:val="20"/>
                <w:color w:val="auto"/>
              </w:rPr>
            </w:pPr>
            <w:r>
              <w:rPr>
                <w:rFonts w:ascii="Arial" w:cs="Arial" w:eastAsia="Arial" w:hAnsi="Arial"/>
                <w:sz w:val="18"/>
                <w:szCs w:val="18"/>
                <w:color w:val="auto"/>
              </w:rPr>
              <w:t>2024</w:t>
            </w:r>
          </w:p>
        </w:tc>
        <w:tc>
          <w:tcPr>
            <w:tcW w:w="4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60"/>
              <w:spacing w:after="0"/>
              <w:rPr>
                <w:sz w:val="20"/>
                <w:szCs w:val="20"/>
                <w:color w:val="auto"/>
              </w:rPr>
            </w:pPr>
            <w:r>
              <w:rPr>
                <w:rFonts w:ascii="Arial" w:cs="Arial" w:eastAsia="Arial" w:hAnsi="Arial"/>
                <w:sz w:val="18"/>
                <w:szCs w:val="18"/>
                <w:color w:val="auto"/>
              </w:rPr>
              <w:t>42,485</w:t>
            </w:r>
          </w:p>
        </w:tc>
      </w:tr>
      <w:tr>
        <w:trPr>
          <w:trHeight w:val="216"/>
        </w:trPr>
        <w:tc>
          <w:tcPr>
            <w:tcW w:w="20" w:type="dxa"/>
            <w:vAlign w:val="bottom"/>
          </w:tcPr>
          <w:p>
            <w:pPr>
              <w:spacing w:after="0"/>
              <w:rPr>
                <w:sz w:val="18"/>
                <w:szCs w:val="18"/>
                <w:color w:val="auto"/>
              </w:rPr>
            </w:pPr>
          </w:p>
        </w:tc>
        <w:tc>
          <w:tcPr>
            <w:tcW w:w="2200" w:type="dxa"/>
            <w:vAlign w:val="bottom"/>
            <w:shd w:val="clear" w:color="auto" w:fill="CCEEFF"/>
          </w:tcPr>
          <w:p>
            <w:pPr>
              <w:spacing w:after="0"/>
              <w:rPr>
                <w:sz w:val="20"/>
                <w:szCs w:val="20"/>
                <w:color w:val="auto"/>
              </w:rPr>
            </w:pPr>
            <w:r>
              <w:rPr>
                <w:rFonts w:ascii="Arial" w:cs="Arial" w:eastAsia="Arial" w:hAnsi="Arial"/>
                <w:sz w:val="18"/>
                <w:szCs w:val="18"/>
                <w:color w:val="auto"/>
              </w:rPr>
              <w:t>2025</w:t>
            </w:r>
          </w:p>
        </w:tc>
        <w:tc>
          <w:tcPr>
            <w:tcW w:w="4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38,296</w:t>
            </w:r>
          </w:p>
        </w:tc>
      </w:tr>
      <w:tr>
        <w:trPr>
          <w:trHeight w:val="223"/>
        </w:trPr>
        <w:tc>
          <w:tcPr>
            <w:tcW w:w="20" w:type="dxa"/>
            <w:vAlign w:val="bottom"/>
          </w:tcPr>
          <w:p>
            <w:pPr>
              <w:spacing w:after="0"/>
              <w:rPr>
                <w:sz w:val="19"/>
                <w:szCs w:val="19"/>
                <w:color w:val="auto"/>
              </w:rPr>
            </w:pPr>
          </w:p>
        </w:tc>
        <w:tc>
          <w:tcPr>
            <w:tcW w:w="2200" w:type="dxa"/>
            <w:vAlign w:val="bottom"/>
          </w:tcPr>
          <w:p>
            <w:pPr>
              <w:spacing w:after="0"/>
              <w:rPr>
                <w:sz w:val="20"/>
                <w:szCs w:val="20"/>
                <w:color w:val="auto"/>
              </w:rPr>
            </w:pPr>
            <w:r>
              <w:rPr>
                <w:rFonts w:ascii="Arial" w:cs="Arial" w:eastAsia="Arial" w:hAnsi="Arial"/>
                <w:sz w:val="18"/>
                <w:szCs w:val="18"/>
                <w:color w:val="auto"/>
              </w:rPr>
              <w:t>Thereafter</w:t>
            </w:r>
          </w:p>
        </w:tc>
        <w:tc>
          <w:tcPr>
            <w:tcW w:w="45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9"/>
              </w:rPr>
              <w:t>171,951</w:t>
            </w:r>
          </w:p>
        </w:tc>
        <w:tc>
          <w:tcPr>
            <w:tcW w:w="6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220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46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89"/>
              </w:rPr>
              <w:t>410,237</w:t>
            </w:r>
          </w:p>
        </w:tc>
      </w:tr>
      <w:tr>
        <w:trPr>
          <w:trHeight w:val="20"/>
        </w:trPr>
        <w:tc>
          <w:tcPr>
            <w:tcW w:w="20" w:type="dxa"/>
            <w:vAlign w:val="bottom"/>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c>
          <w:tcPr>
            <w:tcW w:w="45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358"/>
        </w:trPr>
        <w:tc>
          <w:tcPr>
            <w:tcW w:w="20" w:type="dxa"/>
            <w:vAlign w:val="bottom"/>
          </w:tcPr>
          <w:p>
            <w:pPr>
              <w:spacing w:after="0"/>
              <w:rPr>
                <w:sz w:val="24"/>
                <w:szCs w:val="24"/>
                <w:color w:val="auto"/>
              </w:rPr>
            </w:pPr>
          </w:p>
        </w:tc>
        <w:tc>
          <w:tcPr>
            <w:tcW w:w="2200" w:type="dxa"/>
            <w:vAlign w:val="bottom"/>
          </w:tcPr>
          <w:p>
            <w:pPr>
              <w:spacing w:after="0"/>
              <w:rPr>
                <w:sz w:val="24"/>
                <w:szCs w:val="24"/>
                <w:color w:val="auto"/>
              </w:rPr>
            </w:pPr>
          </w:p>
        </w:tc>
        <w:tc>
          <w:tcPr>
            <w:tcW w:w="4600" w:type="dxa"/>
            <w:vAlign w:val="bottom"/>
            <w:gridSpan w:val="2"/>
          </w:tcPr>
          <w:p>
            <w:pPr>
              <w:jc w:val="right"/>
              <w:ind w:right="2800"/>
              <w:spacing w:after="0"/>
              <w:rPr>
                <w:sz w:val="20"/>
                <w:szCs w:val="20"/>
                <w:color w:val="auto"/>
              </w:rPr>
            </w:pPr>
            <w:r>
              <w:rPr>
                <w:rFonts w:ascii="Arial" w:cs="Arial" w:eastAsia="Arial" w:hAnsi="Arial"/>
                <w:sz w:val="18"/>
                <w:szCs w:val="18"/>
                <w:color w:val="auto"/>
              </w:rPr>
              <w:t>F-33</w:t>
            </w:r>
          </w:p>
        </w:tc>
        <w:tc>
          <w:tcPr>
            <w:tcW w:w="600" w:type="dxa"/>
            <w:vAlign w:val="bottom"/>
          </w:tcPr>
          <w:p>
            <w:pPr>
              <w:spacing w:after="0"/>
              <w:rPr>
                <w:sz w:val="24"/>
                <w:szCs w:val="24"/>
                <w:color w:val="auto"/>
              </w:rPr>
            </w:pPr>
          </w:p>
        </w:tc>
        <w:tc>
          <w:tcPr>
            <w:tcW w:w="60" w:type="dxa"/>
            <w:vAlign w:val="bottom"/>
          </w:tcPr>
          <w:p>
            <w:pPr>
              <w:spacing w:after="0"/>
              <w:rPr>
                <w:sz w:val="24"/>
                <w:szCs w:val="24"/>
                <w:color w:val="auto"/>
              </w:rPr>
            </w:pPr>
          </w:p>
        </w:tc>
      </w:tr>
    </w:tbl>
    <w:p>
      <w:pPr>
        <w:sectPr>
          <w:pgSz w:w="11900" w:h="16838" w:orient="portrait"/>
          <w:cols w:equalWidth="0" w:num="1">
            <w:col w:w="11120"/>
          </w:cols>
          <w:pgMar w:left="320" w:top="459" w:right="459" w:bottom="1440" w:gutter="0" w:footer="0" w:header="0"/>
        </w:sectPr>
      </w:pPr>
    </w:p>
    <w:bookmarkStart w:id="239" w:name="page240"/>
    <w:bookmarkEnd w:id="23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25">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259"/>
        <w:spacing w:after="0"/>
        <w:rPr>
          <w:sz w:val="20"/>
          <w:szCs w:val="20"/>
          <w:color w:val="auto"/>
        </w:rPr>
      </w:pPr>
      <w:r>
        <w:rPr>
          <w:rFonts w:ascii="Arial" w:cs="Arial" w:eastAsia="Arial" w:hAnsi="Arial"/>
          <w:sz w:val="18"/>
          <w:szCs w:val="18"/>
          <w:b w:val="1"/>
          <w:bCs w:val="1"/>
          <w:color w:val="auto"/>
        </w:rPr>
        <w:t>Confidential Treatment Requested by Definitive Healthcare Corp.</w:t>
      </w:r>
    </w:p>
    <w:p>
      <w:pPr>
        <w:spacing w:after="0" w:line="27" w:lineRule="exact"/>
        <w:rPr>
          <w:sz w:val="20"/>
          <w:szCs w:val="20"/>
          <w:color w:val="auto"/>
        </w:rPr>
      </w:pPr>
    </w:p>
    <w:p>
      <w:pPr>
        <w:jc w:val="center"/>
        <w:ind w:right="-259"/>
        <w:spacing w:after="0"/>
        <w:rPr>
          <w:sz w:val="20"/>
          <w:szCs w:val="20"/>
          <w:color w:val="auto"/>
        </w:rPr>
      </w:pPr>
      <w:r>
        <w:rPr>
          <w:rFonts w:ascii="Arial" w:cs="Arial" w:eastAsia="Arial" w:hAnsi="Arial"/>
          <w:sz w:val="18"/>
          <w:szCs w:val="18"/>
          <w:b w:val="1"/>
          <w:bCs w:val="1"/>
          <w:color w:val="auto"/>
        </w:rPr>
        <w:t>Pursuant to 17 C.F.R. Section 200.83</w:t>
      </w:r>
    </w:p>
    <w:p>
      <w:pPr>
        <w:spacing w:after="0" w:line="143" w:lineRule="exact"/>
        <w:rPr>
          <w:sz w:val="20"/>
          <w:szCs w:val="20"/>
          <w:color w:val="auto"/>
        </w:rPr>
      </w:pPr>
    </w:p>
    <w:p>
      <w:pPr>
        <w:ind w:left="560"/>
        <w:spacing w:after="0"/>
        <w:rPr>
          <w:sz w:val="20"/>
          <w:szCs w:val="20"/>
          <w:color w:val="auto"/>
        </w:rPr>
      </w:pPr>
      <w:r>
        <w:rPr>
          <w:rFonts w:ascii="Arial" w:cs="Arial" w:eastAsia="Arial" w:hAnsi="Arial"/>
          <w:sz w:val="17"/>
          <w:szCs w:val="17"/>
          <w:color w:val="auto"/>
        </w:rPr>
        <w:t>The changes in the carrying amount of goodwill for the year ended December 31, 2020 (Successor) and the periods from July 16, 2019 to</w:t>
      </w:r>
    </w:p>
    <w:p>
      <w:pPr>
        <w:spacing w:after="0" w:line="35" w:lineRule="exact"/>
        <w:rPr>
          <w:sz w:val="20"/>
          <w:szCs w:val="20"/>
          <w:color w:val="auto"/>
        </w:rPr>
      </w:pPr>
    </w:p>
    <w:p>
      <w:pPr>
        <w:ind w:left="120"/>
        <w:spacing w:after="0"/>
        <w:rPr>
          <w:sz w:val="20"/>
          <w:szCs w:val="20"/>
          <w:color w:val="auto"/>
        </w:rPr>
      </w:pPr>
      <w:r>
        <w:rPr>
          <w:rFonts w:ascii="Arial" w:cs="Arial" w:eastAsia="Arial" w:hAnsi="Arial"/>
          <w:sz w:val="18"/>
          <w:szCs w:val="18"/>
          <w:color w:val="auto"/>
        </w:rPr>
        <w:t>December 31, 2019 (Successor) and January 1, 2019 through July 15, 2019 (Predecessor) were as follows (in thousands):</w:t>
      </w:r>
    </w:p>
    <w:p>
      <w:pPr>
        <w:spacing w:after="0" w:line="252" w:lineRule="exact"/>
        <w:rPr>
          <w:sz w:val="20"/>
          <w:szCs w:val="20"/>
          <w:color w:val="auto"/>
        </w:rPr>
      </w:pPr>
    </w:p>
    <w:tbl>
      <w:tblPr>
        <w:tblLayout w:type="fixed"/>
        <w:tblInd w:w="188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6480" w:type="dxa"/>
            <w:vAlign w:val="bottom"/>
            <w:shd w:val="clear" w:color="auto" w:fill="CCEEFF"/>
          </w:tcPr>
          <w:p>
            <w:pPr>
              <w:spacing w:after="0"/>
              <w:rPr>
                <w:sz w:val="20"/>
                <w:szCs w:val="20"/>
                <w:color w:val="auto"/>
              </w:rPr>
            </w:pPr>
            <w:r>
              <w:rPr>
                <w:rFonts w:ascii="Arial" w:cs="Arial" w:eastAsia="Arial" w:hAnsi="Arial"/>
                <w:sz w:val="18"/>
                <w:szCs w:val="18"/>
                <w:color w:val="auto"/>
              </w:rPr>
              <w:t>Balance at January 1, 2019 (Predecessor)</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63,623</w:t>
            </w:r>
          </w:p>
        </w:tc>
      </w:tr>
      <w:tr>
        <w:trPr>
          <w:trHeight w:val="223"/>
        </w:trPr>
        <w:tc>
          <w:tcPr>
            <w:tcW w:w="20" w:type="dxa"/>
            <w:vAlign w:val="bottom"/>
          </w:tcPr>
          <w:p>
            <w:pPr>
              <w:spacing w:after="0"/>
              <w:rPr>
                <w:sz w:val="19"/>
                <w:szCs w:val="19"/>
                <w:color w:val="auto"/>
              </w:rPr>
            </w:pPr>
          </w:p>
        </w:tc>
        <w:tc>
          <w:tcPr>
            <w:tcW w:w="6480" w:type="dxa"/>
            <w:vAlign w:val="bottom"/>
          </w:tcPr>
          <w:p>
            <w:pPr>
              <w:spacing w:after="0"/>
              <w:rPr>
                <w:sz w:val="20"/>
                <w:szCs w:val="20"/>
                <w:color w:val="auto"/>
              </w:rPr>
            </w:pPr>
            <w:r>
              <w:rPr>
                <w:rFonts w:ascii="Arial" w:cs="Arial" w:eastAsia="Arial" w:hAnsi="Arial"/>
                <w:sz w:val="18"/>
                <w:szCs w:val="18"/>
                <w:color w:val="auto"/>
              </w:rPr>
              <w:t>HIMSS acquisition (Note 3)</w:t>
            </w:r>
          </w:p>
        </w:tc>
        <w:tc>
          <w:tcPr>
            <w:tcW w:w="14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19,145</w:t>
            </w:r>
          </w:p>
        </w:tc>
        <w:tc>
          <w:tcPr>
            <w:tcW w:w="6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6480" w:type="dxa"/>
            <w:vAlign w:val="bottom"/>
            <w:shd w:val="clear" w:color="auto" w:fill="CCEEFF"/>
          </w:tcPr>
          <w:p>
            <w:pPr>
              <w:spacing w:after="0"/>
              <w:rPr>
                <w:sz w:val="20"/>
                <w:szCs w:val="20"/>
                <w:color w:val="auto"/>
              </w:rPr>
            </w:pPr>
            <w:r>
              <w:rPr>
                <w:rFonts w:ascii="Arial" w:cs="Arial" w:eastAsia="Arial" w:hAnsi="Arial"/>
                <w:sz w:val="18"/>
                <w:szCs w:val="18"/>
                <w:color w:val="auto"/>
              </w:rPr>
              <w:t>Balance at July 15, 2019 (Predecessor)</w:t>
            </w:r>
          </w:p>
        </w:tc>
        <w:tc>
          <w:tcPr>
            <w:tcW w:w="1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82,768</w:t>
            </w:r>
          </w:p>
        </w:tc>
      </w:tr>
      <w:tr>
        <w:trPr>
          <w:trHeight w:val="229"/>
        </w:trPr>
        <w:tc>
          <w:tcPr>
            <w:tcW w:w="20" w:type="dxa"/>
            <w:vAlign w:val="bottom"/>
          </w:tcPr>
          <w:p>
            <w:pPr>
              <w:spacing w:after="0"/>
              <w:rPr>
                <w:sz w:val="19"/>
                <w:szCs w:val="19"/>
                <w:color w:val="auto"/>
              </w:rPr>
            </w:pPr>
          </w:p>
        </w:tc>
        <w:tc>
          <w:tcPr>
            <w:tcW w:w="64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Definitive Holdco Acquisition (Note 3)</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8"/>
                <w:szCs w:val="18"/>
                <w:color w:val="auto"/>
                <w:w w:val="94"/>
              </w:rPr>
              <w:t>1,144,494</w:t>
            </w:r>
          </w:p>
        </w:tc>
      </w:tr>
      <w:tr>
        <w:trPr>
          <w:trHeight w:val="210"/>
        </w:trPr>
        <w:tc>
          <w:tcPr>
            <w:tcW w:w="20" w:type="dxa"/>
            <w:vAlign w:val="bottom"/>
          </w:tcPr>
          <w:p>
            <w:pPr>
              <w:spacing w:after="0"/>
              <w:rPr>
                <w:sz w:val="18"/>
                <w:szCs w:val="18"/>
                <w:color w:val="auto"/>
              </w:rPr>
            </w:pPr>
          </w:p>
        </w:tc>
        <w:tc>
          <w:tcPr>
            <w:tcW w:w="6480" w:type="dxa"/>
            <w:vAlign w:val="bottom"/>
            <w:shd w:val="clear" w:color="auto" w:fill="CCEEFF"/>
          </w:tcPr>
          <w:p>
            <w:pPr>
              <w:spacing w:after="0"/>
              <w:rPr>
                <w:sz w:val="20"/>
                <w:szCs w:val="20"/>
                <w:color w:val="auto"/>
              </w:rPr>
            </w:pPr>
            <w:r>
              <w:rPr>
                <w:rFonts w:ascii="Arial" w:cs="Arial" w:eastAsia="Arial" w:hAnsi="Arial"/>
                <w:sz w:val="18"/>
                <w:szCs w:val="18"/>
                <w:color w:val="auto"/>
              </w:rPr>
              <w:t>Balance at July 16, 2019 (Successor)</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4"/>
              </w:rPr>
              <w:t>1,227,262</w:t>
            </w:r>
          </w:p>
        </w:tc>
      </w:tr>
      <w:tr>
        <w:trPr>
          <w:trHeight w:val="223"/>
        </w:trPr>
        <w:tc>
          <w:tcPr>
            <w:tcW w:w="20" w:type="dxa"/>
            <w:vAlign w:val="bottom"/>
          </w:tcPr>
          <w:p>
            <w:pPr>
              <w:spacing w:after="0"/>
              <w:rPr>
                <w:sz w:val="19"/>
                <w:szCs w:val="19"/>
                <w:color w:val="auto"/>
              </w:rPr>
            </w:pPr>
          </w:p>
        </w:tc>
        <w:tc>
          <w:tcPr>
            <w:tcW w:w="6480" w:type="dxa"/>
            <w:vAlign w:val="bottom"/>
          </w:tcPr>
          <w:p>
            <w:pPr>
              <w:spacing w:after="0"/>
              <w:rPr>
                <w:sz w:val="20"/>
                <w:szCs w:val="20"/>
                <w:color w:val="auto"/>
              </w:rPr>
            </w:pPr>
            <w:r>
              <w:rPr>
                <w:rFonts w:ascii="Arial" w:cs="Arial" w:eastAsia="Arial" w:hAnsi="Arial"/>
                <w:sz w:val="18"/>
                <w:szCs w:val="18"/>
                <w:color w:val="auto"/>
              </w:rPr>
              <w:t>HSE acquisition (Note 3)</w:t>
            </w:r>
          </w:p>
        </w:tc>
        <w:tc>
          <w:tcPr>
            <w:tcW w:w="14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5,911</w:t>
            </w:r>
          </w:p>
        </w:tc>
        <w:tc>
          <w:tcPr>
            <w:tcW w:w="6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6480" w:type="dxa"/>
            <w:vAlign w:val="bottom"/>
            <w:shd w:val="clear" w:color="auto" w:fill="CCEEFF"/>
          </w:tcPr>
          <w:p>
            <w:pPr>
              <w:spacing w:after="0"/>
              <w:rPr>
                <w:sz w:val="20"/>
                <w:szCs w:val="20"/>
                <w:color w:val="auto"/>
              </w:rPr>
            </w:pPr>
            <w:r>
              <w:rPr>
                <w:rFonts w:ascii="Arial" w:cs="Arial" w:eastAsia="Arial" w:hAnsi="Arial"/>
                <w:sz w:val="18"/>
                <w:szCs w:val="18"/>
                <w:color w:val="auto"/>
              </w:rPr>
              <w:t>Balance at December 31, 2019 (Successor)</w:t>
            </w:r>
          </w:p>
        </w:tc>
        <w:tc>
          <w:tcPr>
            <w:tcW w:w="1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4"/>
              </w:rPr>
              <w:t>1,233,173</w:t>
            </w:r>
          </w:p>
        </w:tc>
      </w:tr>
      <w:tr>
        <w:trPr>
          <w:trHeight w:val="223"/>
        </w:trPr>
        <w:tc>
          <w:tcPr>
            <w:tcW w:w="20" w:type="dxa"/>
            <w:vAlign w:val="bottom"/>
          </w:tcPr>
          <w:p>
            <w:pPr>
              <w:spacing w:after="0"/>
              <w:rPr>
                <w:sz w:val="19"/>
                <w:szCs w:val="19"/>
                <w:color w:val="auto"/>
              </w:rPr>
            </w:pPr>
          </w:p>
        </w:tc>
        <w:tc>
          <w:tcPr>
            <w:tcW w:w="6480" w:type="dxa"/>
            <w:vAlign w:val="bottom"/>
          </w:tcPr>
          <w:p>
            <w:pPr>
              <w:spacing w:after="0"/>
              <w:rPr>
                <w:sz w:val="20"/>
                <w:szCs w:val="20"/>
                <w:color w:val="auto"/>
              </w:rPr>
            </w:pPr>
            <w:r>
              <w:rPr>
                <w:rFonts w:ascii="Arial" w:cs="Arial" w:eastAsia="Arial" w:hAnsi="Arial"/>
                <w:sz w:val="18"/>
                <w:szCs w:val="18"/>
                <w:color w:val="auto"/>
              </w:rPr>
              <w:t>Monocl acquisition (Note 3)</w:t>
            </w:r>
          </w:p>
        </w:tc>
        <w:tc>
          <w:tcPr>
            <w:tcW w:w="14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28,271</w:t>
            </w:r>
          </w:p>
        </w:tc>
        <w:tc>
          <w:tcPr>
            <w:tcW w:w="6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6480" w:type="dxa"/>
            <w:vAlign w:val="bottom"/>
            <w:shd w:val="clear" w:color="auto" w:fill="CCEEFF"/>
          </w:tcPr>
          <w:p>
            <w:pPr>
              <w:spacing w:after="0"/>
              <w:rPr>
                <w:sz w:val="20"/>
                <w:szCs w:val="20"/>
                <w:color w:val="auto"/>
              </w:rPr>
            </w:pPr>
            <w:r>
              <w:rPr>
                <w:rFonts w:ascii="Arial" w:cs="Arial" w:eastAsia="Arial" w:hAnsi="Arial"/>
                <w:sz w:val="18"/>
                <w:szCs w:val="18"/>
                <w:color w:val="auto"/>
              </w:rPr>
              <w:t>Balance at December 31, 2020 (Successor)</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4"/>
              </w:rPr>
              <w:t>1,261,444</w:t>
            </w:r>
          </w:p>
        </w:tc>
      </w:tr>
      <w:tr>
        <w:trPr>
          <w:trHeight w:val="20"/>
        </w:trPr>
        <w:tc>
          <w:tcPr>
            <w:tcW w:w="20" w:type="dxa"/>
            <w:vAlign w:val="bottom"/>
          </w:tcPr>
          <w:p>
            <w:pPr>
              <w:spacing w:after="0" w:line="20" w:lineRule="exact"/>
              <w:rPr>
                <w:sz w:val="1"/>
                <w:szCs w:val="1"/>
                <w:color w:val="auto"/>
              </w:rPr>
            </w:pPr>
          </w:p>
        </w:tc>
        <w:tc>
          <w:tcPr>
            <w:tcW w:w="64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15" w:lineRule="exact"/>
        <w:rPr>
          <w:sz w:val="20"/>
          <w:szCs w:val="20"/>
          <w:color w:val="auto"/>
        </w:rPr>
      </w:pPr>
    </w:p>
    <w:p>
      <w:pPr>
        <w:ind w:left="120" w:firstLine="440"/>
        <w:spacing w:after="0" w:line="277" w:lineRule="auto"/>
        <w:rPr>
          <w:sz w:val="20"/>
          <w:szCs w:val="20"/>
          <w:color w:val="auto"/>
        </w:rPr>
      </w:pPr>
      <w:r>
        <w:rPr>
          <w:rFonts w:ascii="Arial" w:cs="Arial" w:eastAsia="Arial" w:hAnsi="Arial"/>
          <w:sz w:val="18"/>
          <w:szCs w:val="18"/>
          <w:color w:val="auto"/>
        </w:rPr>
        <w:t>The Company determined it had one reporting unit. The Company performed its annual impairment assessment in the fourth quarter of 2020 and 2019 and determined there was no impairment in 2020 or 2019.</w:t>
      </w:r>
    </w:p>
    <w:p>
      <w:pPr>
        <w:spacing w:after="0" w:line="319" w:lineRule="exact"/>
        <w:rPr>
          <w:sz w:val="20"/>
          <w:szCs w:val="20"/>
          <w:color w:val="auto"/>
        </w:rPr>
      </w:pPr>
    </w:p>
    <w:p>
      <w:pPr>
        <w:ind w:left="540" w:hanging="424"/>
        <w:spacing w:after="0"/>
        <w:tabs>
          <w:tab w:leader="none" w:pos="540" w:val="left"/>
        </w:tabs>
        <w:numPr>
          <w:ilvl w:val="0"/>
          <w:numId w:val="191"/>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Long-Term Debt</w:t>
      </w:r>
    </w:p>
    <w:p>
      <w:pPr>
        <w:spacing w:after="0" w:line="117" w:lineRule="exact"/>
        <w:rPr>
          <w:rFonts w:ascii="Arial" w:cs="Arial" w:eastAsia="Arial" w:hAnsi="Arial"/>
          <w:sz w:val="18"/>
          <w:szCs w:val="18"/>
          <w:b w:val="1"/>
          <w:bCs w:val="1"/>
          <w:color w:val="auto"/>
        </w:rPr>
      </w:pPr>
    </w:p>
    <w:p>
      <w:pPr>
        <w:ind w:left="560"/>
        <w:spacing w:after="0"/>
        <w:rPr>
          <w:rFonts w:ascii="Arial" w:cs="Arial" w:eastAsia="Arial" w:hAnsi="Arial"/>
          <w:sz w:val="18"/>
          <w:szCs w:val="18"/>
          <w:b w:val="1"/>
          <w:bCs w:val="1"/>
          <w:color w:val="auto"/>
        </w:rPr>
      </w:pPr>
      <w:r>
        <w:rPr>
          <w:rFonts w:ascii="Arial" w:cs="Arial" w:eastAsia="Arial" w:hAnsi="Arial"/>
          <w:sz w:val="18"/>
          <w:szCs w:val="18"/>
          <w:color w:val="auto"/>
        </w:rPr>
        <w:t>Long-term debt consisted of the following as of December 31, 2020 and 2019, respectively (in thousands):</w:t>
      </w:r>
    </w:p>
    <w:p>
      <w:pPr>
        <w:spacing w:after="0" w:line="244" w:lineRule="exact"/>
        <w:rPr>
          <w:sz w:val="20"/>
          <w:szCs w:val="20"/>
          <w:color w:val="auto"/>
        </w:rPr>
      </w:pPr>
    </w:p>
    <w:tbl>
      <w:tblPr>
        <w:tblLayout w:type="fixed"/>
        <w:tblInd w:w="100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406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2280" w:type="dxa"/>
            <w:vAlign w:val="bottom"/>
            <w:tcBorders>
              <w:bottom w:val="single" w:sz="8" w:color="auto"/>
            </w:tcBorders>
            <w:gridSpan w:val="4"/>
          </w:tcPr>
          <w:p>
            <w:pPr>
              <w:ind w:left="320"/>
              <w:spacing w:after="0"/>
              <w:rPr>
                <w:sz w:val="20"/>
                <w:szCs w:val="20"/>
                <w:color w:val="auto"/>
              </w:rPr>
            </w:pPr>
            <w:r>
              <w:rPr>
                <w:rFonts w:ascii="Arial" w:cs="Arial" w:eastAsia="Arial" w:hAnsi="Arial"/>
                <w:sz w:val="14"/>
                <w:szCs w:val="14"/>
                <w:b w:val="1"/>
                <w:bCs w:val="1"/>
                <w:color w:val="auto"/>
                <w:w w:val="92"/>
              </w:rPr>
              <w:t>December 31, 2020 (Successor)</w:t>
            </w:r>
          </w:p>
        </w:tc>
        <w:tc>
          <w:tcPr>
            <w:tcW w:w="10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4060" w:type="dxa"/>
            <w:vAlign w:val="bottom"/>
          </w:tcPr>
          <w:p>
            <w:pPr>
              <w:spacing w:after="0"/>
              <w:rPr>
                <w:sz w:val="10"/>
                <w:szCs w:val="10"/>
                <w:color w:val="auto"/>
              </w:rPr>
            </w:pPr>
          </w:p>
        </w:tc>
        <w:tc>
          <w:tcPr>
            <w:tcW w:w="12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280" w:type="dxa"/>
            <w:vAlign w:val="bottom"/>
            <w:gridSpan w:val="4"/>
          </w:tcPr>
          <w:p>
            <w:pPr>
              <w:ind w:left="640"/>
              <w:spacing w:after="0" w:line="123" w:lineRule="exact"/>
              <w:rPr>
                <w:sz w:val="20"/>
                <w:szCs w:val="20"/>
                <w:color w:val="auto"/>
              </w:rPr>
            </w:pPr>
            <w:r>
              <w:rPr>
                <w:rFonts w:ascii="Arial" w:cs="Arial" w:eastAsia="Arial" w:hAnsi="Arial"/>
                <w:sz w:val="14"/>
                <w:szCs w:val="14"/>
                <w:color w:val="auto"/>
              </w:rPr>
              <w:t>Unamortized debt</w:t>
            </w: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406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640" w:type="dxa"/>
            <w:vAlign w:val="bottom"/>
            <w:gridSpan w:val="3"/>
          </w:tcPr>
          <w:p>
            <w:pPr>
              <w:ind w:left="80"/>
              <w:spacing w:after="0" w:line="149" w:lineRule="exact"/>
              <w:rPr>
                <w:sz w:val="20"/>
                <w:szCs w:val="20"/>
                <w:color w:val="auto"/>
              </w:rPr>
            </w:pPr>
            <w:r>
              <w:rPr>
                <w:rFonts w:ascii="Arial" w:cs="Arial" w:eastAsia="Arial" w:hAnsi="Arial"/>
                <w:sz w:val="14"/>
                <w:szCs w:val="14"/>
                <w:color w:val="auto"/>
              </w:rPr>
              <w:t>issuance costs /</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406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700" w:type="dxa"/>
            <w:vAlign w:val="bottom"/>
          </w:tcPr>
          <w:p>
            <w:pPr>
              <w:jc w:val="right"/>
              <w:ind w:right="16"/>
              <w:spacing w:after="0"/>
              <w:rPr>
                <w:sz w:val="20"/>
                <w:szCs w:val="20"/>
                <w:color w:val="auto"/>
              </w:rPr>
            </w:pPr>
            <w:r>
              <w:rPr>
                <w:rFonts w:ascii="Arial" w:cs="Arial" w:eastAsia="Arial" w:hAnsi="Arial"/>
                <w:sz w:val="14"/>
                <w:szCs w:val="14"/>
                <w:color w:val="auto"/>
              </w:rPr>
              <w:t>Principal</w:t>
            </w:r>
          </w:p>
        </w:tc>
        <w:tc>
          <w:tcPr>
            <w:tcW w:w="640" w:type="dxa"/>
            <w:vAlign w:val="bottom"/>
          </w:tcPr>
          <w:p>
            <w:pPr>
              <w:spacing w:after="0"/>
              <w:rPr>
                <w:sz w:val="14"/>
                <w:szCs w:val="14"/>
                <w:color w:val="auto"/>
              </w:rPr>
            </w:pPr>
          </w:p>
        </w:tc>
        <w:tc>
          <w:tcPr>
            <w:tcW w:w="1640" w:type="dxa"/>
            <w:vAlign w:val="bottom"/>
            <w:gridSpan w:val="3"/>
          </w:tcPr>
          <w:p>
            <w:pPr>
              <w:ind w:left="80"/>
              <w:spacing w:after="0"/>
              <w:rPr>
                <w:sz w:val="20"/>
                <w:szCs w:val="20"/>
                <w:color w:val="auto"/>
              </w:rPr>
            </w:pPr>
            <w:r>
              <w:rPr>
                <w:rFonts w:ascii="Arial" w:cs="Arial" w:eastAsia="Arial" w:hAnsi="Arial"/>
                <w:sz w:val="14"/>
                <w:szCs w:val="14"/>
                <w:color w:val="auto"/>
              </w:rPr>
              <w:t>financing costs</w:t>
            </w:r>
          </w:p>
        </w:tc>
        <w:tc>
          <w:tcPr>
            <w:tcW w:w="1000" w:type="dxa"/>
            <w:vAlign w:val="bottom"/>
            <w:gridSpan w:val="4"/>
          </w:tcPr>
          <w:p>
            <w:pPr>
              <w:ind w:left="100"/>
              <w:spacing w:after="0"/>
              <w:rPr>
                <w:sz w:val="20"/>
                <w:szCs w:val="20"/>
                <w:color w:val="auto"/>
              </w:rPr>
            </w:pPr>
            <w:r>
              <w:rPr>
                <w:rFonts w:ascii="Arial" w:cs="Arial" w:eastAsia="Arial" w:hAnsi="Arial"/>
                <w:sz w:val="14"/>
                <w:szCs w:val="14"/>
                <w:color w:val="auto"/>
                <w:w w:val="98"/>
              </w:rPr>
              <w:t>Total debt, net</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40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2019 Term Note</w:t>
            </w:r>
          </w:p>
        </w:tc>
        <w:tc>
          <w:tcPr>
            <w:tcW w:w="120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$444,375</w:t>
            </w:r>
          </w:p>
        </w:tc>
        <w:tc>
          <w:tcPr>
            <w:tcW w:w="64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760" w:type="dxa"/>
            <w:vAlign w:val="bottom"/>
            <w:tcBorders>
              <w:top w:val="single" w:sz="8" w:color="auto"/>
            </w:tcBorders>
            <w:shd w:val="clear" w:color="auto" w:fill="CCEEFF"/>
          </w:tcPr>
          <w:p>
            <w:pPr>
              <w:ind w:left="200"/>
              <w:spacing w:after="0"/>
              <w:rPr>
                <w:sz w:val="20"/>
                <w:szCs w:val="20"/>
                <w:color w:val="auto"/>
              </w:rPr>
            </w:pPr>
            <w:r>
              <w:rPr>
                <w:rFonts w:ascii="Arial" w:cs="Arial" w:eastAsia="Arial" w:hAnsi="Arial"/>
                <w:sz w:val="18"/>
                <w:szCs w:val="18"/>
                <w:color w:val="auto"/>
                <w:w w:val="80"/>
              </w:rPr>
              <w:t>(10,865)</w:t>
            </w:r>
          </w:p>
        </w:tc>
        <w:tc>
          <w:tcPr>
            <w:tcW w:w="6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433,510</w:t>
            </w: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60" w:type="dxa"/>
            <w:vAlign w:val="bottom"/>
          </w:tcPr>
          <w:p>
            <w:pPr>
              <w:spacing w:after="0"/>
              <w:rPr>
                <w:sz w:val="20"/>
                <w:szCs w:val="20"/>
                <w:color w:val="auto"/>
              </w:rPr>
            </w:pPr>
            <w:r>
              <w:rPr>
                <w:rFonts w:ascii="Arial" w:cs="Arial" w:eastAsia="Arial" w:hAnsi="Arial"/>
                <w:sz w:val="18"/>
                <w:szCs w:val="18"/>
                <w:color w:val="auto"/>
              </w:rPr>
              <w:t>Paid in kind interest on 2019 Term Note</w:t>
            </w:r>
          </w:p>
        </w:tc>
        <w:tc>
          <w:tcPr>
            <w:tcW w:w="1900" w:type="dxa"/>
            <w:vAlign w:val="bottom"/>
            <w:gridSpan w:val="2"/>
          </w:tcPr>
          <w:p>
            <w:pPr>
              <w:jc w:val="right"/>
              <w:spacing w:after="0"/>
              <w:rPr>
                <w:sz w:val="20"/>
                <w:szCs w:val="20"/>
                <w:color w:val="auto"/>
              </w:rPr>
            </w:pPr>
            <w:r>
              <w:rPr>
                <w:rFonts w:ascii="Arial" w:cs="Arial" w:eastAsia="Arial" w:hAnsi="Arial"/>
                <w:sz w:val="18"/>
                <w:szCs w:val="18"/>
                <w:color w:val="auto"/>
              </w:rPr>
              <w:t>10,412</w:t>
            </w:r>
          </w:p>
        </w:tc>
        <w:tc>
          <w:tcPr>
            <w:tcW w:w="6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10,412</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60" w:type="dxa"/>
            <w:vAlign w:val="bottom"/>
            <w:shd w:val="clear" w:color="auto" w:fill="CCEEFF"/>
          </w:tcPr>
          <w:p>
            <w:pPr>
              <w:spacing w:after="0"/>
              <w:rPr>
                <w:sz w:val="20"/>
                <w:szCs w:val="20"/>
                <w:color w:val="auto"/>
              </w:rPr>
            </w:pPr>
            <w:r>
              <w:rPr>
                <w:rFonts w:ascii="Arial" w:cs="Arial" w:eastAsia="Arial" w:hAnsi="Arial"/>
                <w:sz w:val="18"/>
                <w:szCs w:val="18"/>
                <w:color w:val="auto"/>
              </w:rPr>
              <w:t>2019 Delayed Draw Term Note</w:t>
            </w:r>
          </w:p>
        </w:tc>
        <w:tc>
          <w:tcPr>
            <w:tcW w:w="1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17,955</w:t>
            </w:r>
          </w:p>
        </w:tc>
        <w:tc>
          <w:tcPr>
            <w:tcW w:w="6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17,955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060" w:type="dxa"/>
            <w:vAlign w:val="bottom"/>
          </w:tcPr>
          <w:p>
            <w:pPr>
              <w:ind w:left="340"/>
              <w:spacing w:after="0"/>
              <w:rPr>
                <w:sz w:val="20"/>
                <w:szCs w:val="20"/>
                <w:color w:val="auto"/>
              </w:rPr>
            </w:pPr>
            <w:r>
              <w:rPr>
                <w:rFonts w:ascii="Arial" w:cs="Arial" w:eastAsia="Arial" w:hAnsi="Arial"/>
                <w:sz w:val="18"/>
                <w:szCs w:val="18"/>
                <w:color w:val="auto"/>
              </w:rPr>
              <w:t>Total debt</w:t>
            </w:r>
          </w:p>
        </w:tc>
        <w:tc>
          <w:tcPr>
            <w:tcW w:w="1200" w:type="dxa"/>
            <w:vAlign w:val="bottom"/>
          </w:tcPr>
          <w:p>
            <w:pPr>
              <w:spacing w:after="0"/>
              <w:rPr>
                <w:sz w:val="19"/>
                <w:szCs w:val="19"/>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472,742</w:t>
            </w:r>
          </w:p>
        </w:tc>
        <w:tc>
          <w:tcPr>
            <w:tcW w:w="640" w:type="dxa"/>
            <w:vAlign w:val="bottom"/>
          </w:tcPr>
          <w:p>
            <w:pPr>
              <w:spacing w:after="0"/>
              <w:rPr>
                <w:sz w:val="19"/>
                <w:szCs w:val="19"/>
                <w:color w:val="auto"/>
              </w:rPr>
            </w:pPr>
          </w:p>
        </w:tc>
        <w:tc>
          <w:tcPr>
            <w:tcW w:w="28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760" w:type="dxa"/>
            <w:vAlign w:val="bottom"/>
            <w:tcBorders>
              <w:top w:val="single" w:sz="8" w:color="auto"/>
              <w:bottom w:val="single" w:sz="8" w:color="auto"/>
            </w:tcBorders>
          </w:tcPr>
          <w:p>
            <w:pPr>
              <w:ind w:left="200"/>
              <w:spacing w:after="0"/>
              <w:rPr>
                <w:sz w:val="20"/>
                <w:szCs w:val="20"/>
                <w:color w:val="auto"/>
              </w:rPr>
            </w:pPr>
            <w:r>
              <w:rPr>
                <w:rFonts w:ascii="Arial" w:cs="Arial" w:eastAsia="Arial" w:hAnsi="Arial"/>
                <w:sz w:val="18"/>
                <w:szCs w:val="18"/>
                <w:color w:val="auto"/>
                <w:w w:val="80"/>
              </w:rPr>
              <w:t>(10,865)</w:t>
            </w:r>
          </w:p>
        </w:tc>
        <w:tc>
          <w:tcPr>
            <w:tcW w:w="6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461,877</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06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4060" w:type="dxa"/>
            <w:vAlign w:val="bottom"/>
            <w:shd w:val="clear" w:color="auto" w:fill="CCEEFF"/>
          </w:tcPr>
          <w:p>
            <w:pPr>
              <w:spacing w:after="0"/>
              <w:rPr>
                <w:sz w:val="20"/>
                <w:szCs w:val="20"/>
                <w:color w:val="auto"/>
              </w:rPr>
            </w:pPr>
            <w:r>
              <w:rPr>
                <w:rFonts w:ascii="Arial" w:cs="Arial" w:eastAsia="Arial" w:hAnsi="Arial"/>
                <w:sz w:val="18"/>
                <w:szCs w:val="18"/>
                <w:color w:val="auto"/>
              </w:rPr>
              <w:t>Less: current portion of long-term debt</w:t>
            </w:r>
          </w:p>
        </w:tc>
        <w:tc>
          <w:tcPr>
            <w:tcW w:w="12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4,680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080" w:type="dxa"/>
            <w:vAlign w:val="bottom"/>
            <w:gridSpan w:val="2"/>
          </w:tcPr>
          <w:p>
            <w:pPr>
              <w:spacing w:after="0"/>
              <w:rPr>
                <w:sz w:val="20"/>
                <w:szCs w:val="20"/>
                <w:color w:val="auto"/>
              </w:rPr>
            </w:pPr>
            <w:r>
              <w:rPr>
                <w:rFonts w:ascii="Arial" w:cs="Arial" w:eastAsia="Arial" w:hAnsi="Arial"/>
                <w:sz w:val="18"/>
                <w:szCs w:val="18"/>
                <w:color w:val="auto"/>
              </w:rPr>
              <w:t>Long-term debt</w:t>
            </w:r>
          </w:p>
        </w:tc>
        <w:tc>
          <w:tcPr>
            <w:tcW w:w="12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457,197</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06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280" w:type="dxa"/>
            <w:vAlign w:val="bottom"/>
            <w:gridSpan w:val="4"/>
            <w:vMerge w:val="restart"/>
          </w:tcPr>
          <w:p>
            <w:pPr>
              <w:ind w:left="320"/>
              <w:spacing w:after="0"/>
              <w:rPr>
                <w:sz w:val="20"/>
                <w:szCs w:val="20"/>
                <w:color w:val="auto"/>
              </w:rPr>
            </w:pPr>
            <w:r>
              <w:rPr>
                <w:rFonts w:ascii="Arial" w:cs="Arial" w:eastAsia="Arial" w:hAnsi="Arial"/>
                <w:sz w:val="14"/>
                <w:szCs w:val="14"/>
                <w:b w:val="1"/>
                <w:bCs w:val="1"/>
                <w:color w:val="auto"/>
                <w:w w:val="92"/>
              </w:rPr>
              <w:t>December 31, 2019 (Successor)</w:t>
            </w: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5"/>
        </w:trPr>
        <w:tc>
          <w:tcPr>
            <w:tcW w:w="20" w:type="dxa"/>
            <w:vAlign w:val="bottom"/>
          </w:tcPr>
          <w:p>
            <w:pPr>
              <w:spacing w:after="0"/>
              <w:rPr>
                <w:sz w:val="24"/>
                <w:szCs w:val="24"/>
                <w:color w:val="auto"/>
              </w:rPr>
            </w:pPr>
          </w:p>
        </w:tc>
        <w:tc>
          <w:tcPr>
            <w:tcW w:w="40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2280" w:type="dxa"/>
            <w:vAlign w:val="bottom"/>
            <w:tcBorders>
              <w:bottom w:val="single" w:sz="8" w:color="auto"/>
            </w:tcBorders>
            <w:gridSpan w:val="4"/>
            <w:vMerge w:val="continue"/>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4060" w:type="dxa"/>
            <w:vAlign w:val="bottom"/>
          </w:tcPr>
          <w:p>
            <w:pPr>
              <w:spacing w:after="0"/>
              <w:rPr>
                <w:sz w:val="10"/>
                <w:szCs w:val="10"/>
                <w:color w:val="auto"/>
              </w:rPr>
            </w:pPr>
          </w:p>
        </w:tc>
        <w:tc>
          <w:tcPr>
            <w:tcW w:w="12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280" w:type="dxa"/>
            <w:vAlign w:val="bottom"/>
            <w:gridSpan w:val="4"/>
          </w:tcPr>
          <w:p>
            <w:pPr>
              <w:ind w:left="640"/>
              <w:spacing w:after="0" w:line="123" w:lineRule="exact"/>
              <w:rPr>
                <w:sz w:val="20"/>
                <w:szCs w:val="20"/>
                <w:color w:val="auto"/>
              </w:rPr>
            </w:pPr>
            <w:r>
              <w:rPr>
                <w:rFonts w:ascii="Arial" w:cs="Arial" w:eastAsia="Arial" w:hAnsi="Arial"/>
                <w:sz w:val="14"/>
                <w:szCs w:val="14"/>
                <w:color w:val="auto"/>
              </w:rPr>
              <w:t>Unamortized debt</w:t>
            </w: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406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640" w:type="dxa"/>
            <w:vAlign w:val="bottom"/>
            <w:gridSpan w:val="3"/>
          </w:tcPr>
          <w:p>
            <w:pPr>
              <w:ind w:left="80"/>
              <w:spacing w:after="0" w:line="149" w:lineRule="exact"/>
              <w:rPr>
                <w:sz w:val="20"/>
                <w:szCs w:val="20"/>
                <w:color w:val="auto"/>
              </w:rPr>
            </w:pPr>
            <w:r>
              <w:rPr>
                <w:rFonts w:ascii="Arial" w:cs="Arial" w:eastAsia="Arial" w:hAnsi="Arial"/>
                <w:sz w:val="14"/>
                <w:szCs w:val="14"/>
                <w:color w:val="auto"/>
              </w:rPr>
              <w:t>issuance costs /</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406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700" w:type="dxa"/>
            <w:vAlign w:val="bottom"/>
          </w:tcPr>
          <w:p>
            <w:pPr>
              <w:jc w:val="right"/>
              <w:ind w:right="16"/>
              <w:spacing w:after="0"/>
              <w:rPr>
                <w:sz w:val="20"/>
                <w:szCs w:val="20"/>
                <w:color w:val="auto"/>
              </w:rPr>
            </w:pPr>
            <w:r>
              <w:rPr>
                <w:rFonts w:ascii="Arial" w:cs="Arial" w:eastAsia="Arial" w:hAnsi="Arial"/>
                <w:sz w:val="14"/>
                <w:szCs w:val="14"/>
                <w:color w:val="auto"/>
              </w:rPr>
              <w:t>Principal</w:t>
            </w:r>
          </w:p>
        </w:tc>
        <w:tc>
          <w:tcPr>
            <w:tcW w:w="640" w:type="dxa"/>
            <w:vAlign w:val="bottom"/>
          </w:tcPr>
          <w:p>
            <w:pPr>
              <w:spacing w:after="0"/>
              <w:rPr>
                <w:sz w:val="14"/>
                <w:szCs w:val="14"/>
                <w:color w:val="auto"/>
              </w:rPr>
            </w:pPr>
          </w:p>
        </w:tc>
        <w:tc>
          <w:tcPr>
            <w:tcW w:w="1640" w:type="dxa"/>
            <w:vAlign w:val="bottom"/>
            <w:gridSpan w:val="3"/>
          </w:tcPr>
          <w:p>
            <w:pPr>
              <w:ind w:left="80"/>
              <w:spacing w:after="0"/>
              <w:rPr>
                <w:sz w:val="20"/>
                <w:szCs w:val="20"/>
                <w:color w:val="auto"/>
              </w:rPr>
            </w:pPr>
            <w:r>
              <w:rPr>
                <w:rFonts w:ascii="Arial" w:cs="Arial" w:eastAsia="Arial" w:hAnsi="Arial"/>
                <w:sz w:val="14"/>
                <w:szCs w:val="14"/>
                <w:color w:val="auto"/>
              </w:rPr>
              <w:t>financing costs</w:t>
            </w:r>
          </w:p>
        </w:tc>
        <w:tc>
          <w:tcPr>
            <w:tcW w:w="1000" w:type="dxa"/>
            <w:vAlign w:val="bottom"/>
            <w:gridSpan w:val="4"/>
          </w:tcPr>
          <w:p>
            <w:pPr>
              <w:ind w:left="100"/>
              <w:spacing w:after="0"/>
              <w:rPr>
                <w:sz w:val="20"/>
                <w:szCs w:val="20"/>
                <w:color w:val="auto"/>
              </w:rPr>
            </w:pPr>
            <w:r>
              <w:rPr>
                <w:rFonts w:ascii="Arial" w:cs="Arial" w:eastAsia="Arial" w:hAnsi="Arial"/>
                <w:sz w:val="14"/>
                <w:szCs w:val="14"/>
                <w:color w:val="auto"/>
                <w:w w:val="98"/>
              </w:rPr>
              <w:t>Total debt, net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0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2019 Term Note</w:t>
            </w:r>
          </w:p>
        </w:tc>
        <w:tc>
          <w:tcPr>
            <w:tcW w:w="120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$448,875</w:t>
            </w:r>
          </w:p>
        </w:tc>
        <w:tc>
          <w:tcPr>
            <w:tcW w:w="64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760" w:type="dxa"/>
            <w:vAlign w:val="bottom"/>
            <w:tcBorders>
              <w:top w:val="single" w:sz="8" w:color="auto"/>
            </w:tcBorders>
            <w:shd w:val="clear" w:color="auto" w:fill="CCEEFF"/>
          </w:tcPr>
          <w:p>
            <w:pPr>
              <w:ind w:left="200"/>
              <w:spacing w:after="0"/>
              <w:rPr>
                <w:sz w:val="20"/>
                <w:szCs w:val="20"/>
                <w:color w:val="auto"/>
              </w:rPr>
            </w:pPr>
            <w:r>
              <w:rPr>
                <w:rFonts w:ascii="Arial" w:cs="Arial" w:eastAsia="Arial" w:hAnsi="Arial"/>
                <w:sz w:val="18"/>
                <w:szCs w:val="18"/>
                <w:color w:val="auto"/>
                <w:w w:val="80"/>
              </w:rPr>
              <w:t>(12,567)</w:t>
            </w:r>
          </w:p>
        </w:tc>
        <w:tc>
          <w:tcPr>
            <w:tcW w:w="6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436,308</w:t>
            </w: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060" w:type="dxa"/>
            <w:vAlign w:val="bottom"/>
          </w:tcPr>
          <w:p>
            <w:pPr>
              <w:spacing w:after="0"/>
              <w:rPr>
                <w:sz w:val="20"/>
                <w:szCs w:val="20"/>
                <w:color w:val="auto"/>
              </w:rPr>
            </w:pPr>
            <w:r>
              <w:rPr>
                <w:rFonts w:ascii="Arial" w:cs="Arial" w:eastAsia="Arial" w:hAnsi="Arial"/>
                <w:sz w:val="18"/>
                <w:szCs w:val="18"/>
                <w:color w:val="auto"/>
              </w:rPr>
              <w:t>Paid in kind interest on 2019 Term Note</w:t>
            </w:r>
          </w:p>
        </w:tc>
        <w:tc>
          <w:tcPr>
            <w:tcW w:w="1200" w:type="dxa"/>
            <w:vAlign w:val="bottom"/>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3,041</w:t>
            </w:r>
          </w:p>
        </w:tc>
        <w:tc>
          <w:tcPr>
            <w:tcW w:w="64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spacing w:after="0"/>
              <w:rPr>
                <w:sz w:val="19"/>
                <w:szCs w:val="19"/>
                <w:color w:val="auto"/>
              </w:rPr>
            </w:pPr>
          </w:p>
        </w:tc>
        <w:tc>
          <w:tcPr>
            <w:tcW w:w="6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3,041</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Total debt</w:t>
            </w:r>
          </w:p>
        </w:tc>
        <w:tc>
          <w:tcPr>
            <w:tcW w:w="190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451,916</w:t>
            </w:r>
          </w:p>
        </w:tc>
        <w:tc>
          <w:tcPr>
            <w:tcW w:w="920" w:type="dxa"/>
            <w:vAlign w:val="bottom"/>
            <w:gridSpan w:val="2"/>
            <w:shd w:val="clear" w:color="auto" w:fill="CCEEFF"/>
          </w:tcPr>
          <w:p>
            <w:pPr>
              <w:ind w:left="640"/>
              <w:spacing w:after="0"/>
              <w:rPr>
                <w:sz w:val="20"/>
                <w:szCs w:val="20"/>
                <w:color w:val="auto"/>
              </w:rPr>
            </w:pPr>
            <w:r>
              <w:rPr>
                <w:rFonts w:ascii="Arial" w:cs="Arial" w:eastAsia="Arial" w:hAnsi="Arial"/>
                <w:sz w:val="18"/>
                <w:szCs w:val="18"/>
                <w:color w:val="auto"/>
              </w:rPr>
              <w:t>$</w:t>
            </w:r>
          </w:p>
        </w:tc>
        <w:tc>
          <w:tcPr>
            <w:tcW w:w="136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(12,567)</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439,349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080" w:type="dxa"/>
            <w:vAlign w:val="bottom"/>
            <w:gridSpan w:val="2"/>
            <w:vMerge w:val="restart"/>
          </w:tcPr>
          <w:p>
            <w:pPr>
              <w:spacing w:after="0"/>
              <w:rPr>
                <w:sz w:val="20"/>
                <w:szCs w:val="20"/>
                <w:color w:val="auto"/>
              </w:rPr>
            </w:pPr>
            <w:r>
              <w:rPr>
                <w:rFonts w:ascii="Arial" w:cs="Arial" w:eastAsia="Arial" w:hAnsi="Arial"/>
                <w:sz w:val="18"/>
                <w:szCs w:val="18"/>
                <w:color w:val="auto"/>
              </w:rPr>
              <w:t>Less: current portion of long-term debt</w:t>
            </w:r>
          </w:p>
        </w:tc>
        <w:tc>
          <w:tcPr>
            <w:tcW w:w="120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80" w:type="dxa"/>
            <w:vAlign w:val="bottom"/>
            <w:vMerge w:val="restart"/>
          </w:tcPr>
          <w:p>
            <w:pPr>
              <w:jc w:val="right"/>
              <w:spacing w:after="0"/>
              <w:rPr>
                <w:sz w:val="20"/>
                <w:szCs w:val="20"/>
                <w:color w:val="auto"/>
              </w:rPr>
            </w:pPr>
            <w:r>
              <w:rPr>
                <w:rFonts w:ascii="Arial" w:cs="Arial" w:eastAsia="Arial" w:hAnsi="Arial"/>
                <w:sz w:val="18"/>
                <w:szCs w:val="18"/>
                <w:color w:val="auto"/>
              </w:rPr>
              <w:t>4,500</w:t>
            </w: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4080" w:type="dxa"/>
            <w:vAlign w:val="bottom"/>
            <w:gridSpan w:val="2"/>
            <w:vMerge w:val="continue"/>
          </w:tcPr>
          <w:p>
            <w:pPr>
              <w:spacing w:after="0"/>
              <w:rPr>
                <w:sz w:val="18"/>
                <w:szCs w:val="18"/>
                <w:color w:val="auto"/>
              </w:rPr>
            </w:pPr>
          </w:p>
        </w:tc>
        <w:tc>
          <w:tcPr>
            <w:tcW w:w="12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vMerge w:val="continue"/>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60" w:type="dxa"/>
            <w:vAlign w:val="bottom"/>
            <w:shd w:val="clear" w:color="auto" w:fill="CCEEFF"/>
          </w:tcPr>
          <w:p>
            <w:pPr>
              <w:spacing w:after="0"/>
              <w:rPr>
                <w:sz w:val="20"/>
                <w:szCs w:val="20"/>
                <w:color w:val="auto"/>
              </w:rPr>
            </w:pPr>
            <w:r>
              <w:rPr>
                <w:rFonts w:ascii="Arial" w:cs="Arial" w:eastAsia="Arial" w:hAnsi="Arial"/>
                <w:sz w:val="18"/>
                <w:szCs w:val="18"/>
                <w:color w:val="auto"/>
              </w:rPr>
              <w:t>Long-term debt</w:t>
            </w:r>
          </w:p>
        </w:tc>
        <w:tc>
          <w:tcPr>
            <w:tcW w:w="12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6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434,849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06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23" w:lineRule="exact"/>
        <w:rPr>
          <w:sz w:val="20"/>
          <w:szCs w:val="20"/>
          <w:color w:val="auto"/>
        </w:rPr>
      </w:pPr>
    </w:p>
    <w:p>
      <w:pPr>
        <w:ind w:left="560"/>
        <w:spacing w:after="0"/>
        <w:rPr>
          <w:sz w:val="20"/>
          <w:szCs w:val="20"/>
          <w:color w:val="auto"/>
        </w:rPr>
      </w:pPr>
      <w:r>
        <w:rPr>
          <w:rFonts w:ascii="Arial" w:cs="Arial" w:eastAsia="Arial" w:hAnsi="Arial"/>
          <w:sz w:val="18"/>
          <w:szCs w:val="18"/>
          <w:u w:val="single" w:color="auto"/>
          <w:color w:val="auto"/>
        </w:rPr>
        <w:t>Term Loan Payable</w:t>
      </w:r>
    </w:p>
    <w:p>
      <w:pPr>
        <w:spacing w:after="0" w:line="117" w:lineRule="exact"/>
        <w:rPr>
          <w:sz w:val="20"/>
          <w:szCs w:val="20"/>
          <w:color w:val="auto"/>
        </w:rPr>
      </w:pPr>
    </w:p>
    <w:p>
      <w:pPr>
        <w:jc w:val="both"/>
        <w:ind w:left="120" w:right="120" w:firstLine="440"/>
        <w:spacing w:after="0" w:line="286" w:lineRule="auto"/>
        <w:rPr>
          <w:sz w:val="20"/>
          <w:szCs w:val="20"/>
          <w:color w:val="auto"/>
        </w:rPr>
      </w:pPr>
      <w:r>
        <w:rPr>
          <w:rFonts w:ascii="Arial" w:cs="Arial" w:eastAsia="Arial" w:hAnsi="Arial"/>
          <w:sz w:val="17"/>
          <w:szCs w:val="17"/>
          <w:color w:val="auto"/>
        </w:rPr>
        <w:t>On July 16, 2019, the Company entered into a term loan facility, delayed draw term loan, and revolving line of credit (collectively, “2019 Loan Agreement”). The term loan facility (“2019 Term Note”) is for $450.0 million, which has a maturity date of July 16, 2026. The 2019 Term Note was issued with an original issue discount of $11.3 million. This discount is amortized to interest expense over the term of the agreement</w:t>
      </w:r>
    </w:p>
    <w:p>
      <w:pPr>
        <w:spacing w:after="0" w:line="98" w:lineRule="exact"/>
        <w:rPr>
          <w:sz w:val="20"/>
          <w:szCs w:val="20"/>
          <w:color w:val="auto"/>
        </w:rPr>
      </w:pPr>
    </w:p>
    <w:p>
      <w:pPr>
        <w:jc w:val="center"/>
        <w:ind w:right="-499"/>
        <w:spacing w:after="0"/>
        <w:rPr>
          <w:sz w:val="20"/>
          <w:szCs w:val="20"/>
          <w:color w:val="auto"/>
        </w:rPr>
      </w:pPr>
      <w:r>
        <w:rPr>
          <w:rFonts w:ascii="Arial" w:cs="Arial" w:eastAsia="Arial" w:hAnsi="Arial"/>
          <w:sz w:val="18"/>
          <w:szCs w:val="18"/>
          <w:color w:val="auto"/>
        </w:rPr>
        <w:t>F-34</w:t>
      </w:r>
    </w:p>
    <w:p>
      <w:pPr>
        <w:sectPr>
          <w:pgSz w:w="11900" w:h="16838" w:orient="portrait"/>
          <w:cols w:equalWidth="0" w:num="1">
            <w:col w:w="10980"/>
          </w:cols>
          <w:pgMar w:left="320" w:top="459" w:right="599" w:bottom="1440" w:gutter="0" w:footer="0" w:header="0"/>
        </w:sectPr>
      </w:pPr>
    </w:p>
    <w:bookmarkStart w:id="240" w:name="page241"/>
    <w:bookmarkEnd w:id="24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26">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Confidential Treatment Requested by Definitive Healthcare Corp.</w:t>
      </w:r>
    </w:p>
    <w:p>
      <w:pPr>
        <w:spacing w:after="0" w:line="27"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Pursuant to 17 C.F.R. Section 200.83</w:t>
      </w:r>
    </w:p>
    <w:p>
      <w:pPr>
        <w:spacing w:after="0" w:line="143" w:lineRule="exact"/>
        <w:rPr>
          <w:sz w:val="20"/>
          <w:szCs w:val="20"/>
          <w:color w:val="auto"/>
        </w:rPr>
      </w:pPr>
    </w:p>
    <w:p>
      <w:pPr>
        <w:ind w:left="120"/>
        <w:spacing w:after="0" w:line="289" w:lineRule="auto"/>
        <w:rPr>
          <w:sz w:val="20"/>
          <w:szCs w:val="20"/>
          <w:color w:val="auto"/>
        </w:rPr>
      </w:pPr>
      <w:r>
        <w:rPr>
          <w:rFonts w:ascii="Arial" w:cs="Arial" w:eastAsia="Arial" w:hAnsi="Arial"/>
          <w:sz w:val="16"/>
          <w:szCs w:val="16"/>
          <w:color w:val="auto"/>
        </w:rPr>
        <w:t>using the effective interest method. Interest on a portion of the loan ($100.0 million of the $450.0 million principal amount) is treated as paid in kind and added to the principal balance to be paid off at maturity. The Company can elect from several interest rate options based on the Eurodollar Rate or the Base Rate plus an applicable margin (As of December 31, 2020, the interest rate was 6.5% on both the $350.0 million loan and the $100.0 million paid in kind loan. At December 31, 2019, the interest rate was 8.404% on the $100.0 million paid in kind loan and 7.404% on the $350.0 million loan). Quarterly principal payments of $1.1 million began in December 2019 and are required through the note’s maturity, at which time a balloon payment of $419.6 million, excluding the paid in kind portion, will be due. The paid in kind interest is payable on the maturity date. The note is subject to certain financial covenants and is collateralized by first security interests on the Company’s assets. The loan is subject to excess cash flow payments annually beginning in the fiscal year ended December 31, 2020 based on the total leverage ratio. There was $454.8 million and $451.9 million outstanding on the 2019 Term Note at December 31, 2020 and 2019, respectively, including $10.4 million and $3.0 million of paid in kind interest, respectively.</w:t>
      </w:r>
    </w:p>
    <w:p>
      <w:pPr>
        <w:spacing w:after="0" w:line="274" w:lineRule="exact"/>
        <w:rPr>
          <w:sz w:val="20"/>
          <w:szCs w:val="20"/>
          <w:color w:val="auto"/>
        </w:rPr>
      </w:pPr>
    </w:p>
    <w:p>
      <w:pPr>
        <w:ind w:left="560"/>
        <w:spacing w:after="0"/>
        <w:rPr>
          <w:sz w:val="20"/>
          <w:szCs w:val="20"/>
          <w:color w:val="auto"/>
        </w:rPr>
      </w:pPr>
      <w:r>
        <w:rPr>
          <w:rFonts w:ascii="Arial" w:cs="Arial" w:eastAsia="Arial" w:hAnsi="Arial"/>
          <w:sz w:val="18"/>
          <w:szCs w:val="18"/>
          <w:u w:val="single" w:color="auto"/>
          <w:color w:val="auto"/>
        </w:rPr>
        <w:t>Delayed Draw Term Loan Payable</w:t>
      </w:r>
    </w:p>
    <w:p>
      <w:pPr>
        <w:spacing w:after="0" w:line="117" w:lineRule="exact"/>
        <w:rPr>
          <w:sz w:val="20"/>
          <w:szCs w:val="20"/>
          <w:color w:val="auto"/>
        </w:rPr>
      </w:pPr>
    </w:p>
    <w:p>
      <w:pPr>
        <w:ind w:left="120" w:right="40" w:firstLine="440"/>
        <w:spacing w:after="0" w:line="288" w:lineRule="auto"/>
        <w:rPr>
          <w:sz w:val="20"/>
          <w:szCs w:val="20"/>
          <w:color w:val="auto"/>
        </w:rPr>
      </w:pPr>
      <w:r>
        <w:rPr>
          <w:rFonts w:ascii="Arial" w:cs="Arial" w:eastAsia="Arial" w:hAnsi="Arial"/>
          <w:sz w:val="16"/>
          <w:szCs w:val="16"/>
          <w:color w:val="auto"/>
        </w:rPr>
        <w:t>On July 16, 2019, as part of the 2019 Loan Agreement, the Company entered into a delayed draw term loan (“2019 Delayed Draw Term Note”) of $100.0 million which has a maturity of July 16, 2026. The 2019 Delayed Draw Term Note was issued with an original issue discount of $1.3 million. The Company may draw down funds under the 2019 Delayed Draw Term Note until July 16, 2021. As of December 31, 2020, the Company drew $18.0 million on the 2019 Delayed Draw Term Note, in connection with the Monocl acquisition. The Company can elect from several interest rate options based on the Eurodollar Rate or the Base Rate plus an applicable margin. Quarterly in arrears through July 16, 2021, the Company is required to pay the bank a fee equal to 1% per annum of the amount of the 2019 Delayed Draw Term Note unused capacity. Quarterly principal payments begin in September 2021 in quarterly installments equal to 0.25% of the aggregate amount outstanding on the 2019 Delayed Draw Term Note, and are required through the note’s maturity, at which time a payment of the entire outstanding principal balance will be due. The note is subject to certain financial covenants and is collateralized by first security interests on the Company’s assets. The outstanding balance on the 2019 Delayed Draw Term Note was $18.0 million at December 31, 2020. There was no outstanding balance at December 31, 2019.</w:t>
      </w:r>
    </w:p>
    <w:p>
      <w:pPr>
        <w:spacing w:after="0" w:line="276" w:lineRule="exact"/>
        <w:rPr>
          <w:sz w:val="20"/>
          <w:szCs w:val="20"/>
          <w:color w:val="auto"/>
        </w:rPr>
      </w:pPr>
    </w:p>
    <w:p>
      <w:pPr>
        <w:ind w:left="560"/>
        <w:spacing w:after="0"/>
        <w:rPr>
          <w:sz w:val="20"/>
          <w:szCs w:val="20"/>
          <w:color w:val="auto"/>
        </w:rPr>
      </w:pPr>
      <w:r>
        <w:rPr>
          <w:rFonts w:ascii="Arial" w:cs="Arial" w:eastAsia="Arial" w:hAnsi="Arial"/>
          <w:sz w:val="18"/>
          <w:szCs w:val="18"/>
          <w:u w:val="single" w:color="auto"/>
          <w:color w:val="auto"/>
        </w:rPr>
        <w:t>Revolving Line of Credit</w:t>
      </w:r>
    </w:p>
    <w:p>
      <w:pPr>
        <w:spacing w:after="0" w:line="117" w:lineRule="exact"/>
        <w:rPr>
          <w:sz w:val="20"/>
          <w:szCs w:val="20"/>
          <w:color w:val="auto"/>
        </w:rPr>
      </w:pPr>
    </w:p>
    <w:p>
      <w:pPr>
        <w:ind w:left="120" w:right="80" w:firstLine="440"/>
        <w:spacing w:after="0" w:line="273" w:lineRule="auto"/>
        <w:rPr>
          <w:sz w:val="20"/>
          <w:szCs w:val="20"/>
          <w:color w:val="auto"/>
        </w:rPr>
      </w:pPr>
      <w:r>
        <w:rPr>
          <w:rFonts w:ascii="Arial" w:cs="Arial" w:eastAsia="Arial" w:hAnsi="Arial"/>
          <w:sz w:val="17"/>
          <w:szCs w:val="17"/>
          <w:color w:val="auto"/>
        </w:rPr>
        <w:t>On July 16, 2019, as part of the 2019 Loan Agreement, the Company entered into a revolving line of credit (“2019 Revolving Line of Credit”) of $25.0 million which has a maturity of July 16, 2024. The Company can elect from several interest rate options based on the Eurodollar Rate or the Base Rate plus an applicable margin. Quarterly in arrears, the Company is required to pay the bank a fee equal to 0.5% of the amount of the 2019 Revolving Line of Credit’s unused capacity. The expense is included in interest expense in the statement of income (loss). The 2019 Revolving Line of Credit is subject to certain financial covenants. During 2020, $25.0 million was drawn on the on the Revolving Line of Credit and subsequently paid back. There was no outstanding balance on the 2019 Revolving Line of Credit at December 31, 2020 or 2019.</w:t>
      </w:r>
    </w:p>
    <w:p>
      <w:pPr>
        <w:spacing w:after="0" w:line="286" w:lineRule="exact"/>
        <w:rPr>
          <w:sz w:val="20"/>
          <w:szCs w:val="20"/>
          <w:color w:val="auto"/>
        </w:rPr>
      </w:pPr>
    </w:p>
    <w:p>
      <w:pPr>
        <w:ind w:left="560"/>
        <w:spacing w:after="0"/>
        <w:rPr>
          <w:sz w:val="20"/>
          <w:szCs w:val="20"/>
          <w:color w:val="auto"/>
        </w:rPr>
      </w:pPr>
      <w:r>
        <w:rPr>
          <w:rFonts w:ascii="Arial" w:cs="Arial" w:eastAsia="Arial" w:hAnsi="Arial"/>
          <w:sz w:val="18"/>
          <w:szCs w:val="18"/>
          <w:u w:val="single" w:color="auto"/>
          <w:color w:val="auto"/>
        </w:rPr>
        <w:t>Line of Credit</w:t>
      </w:r>
    </w:p>
    <w:p>
      <w:pPr>
        <w:spacing w:after="0" w:line="117" w:lineRule="exact"/>
        <w:rPr>
          <w:sz w:val="20"/>
          <w:szCs w:val="20"/>
          <w:color w:val="auto"/>
        </w:rPr>
      </w:pPr>
    </w:p>
    <w:p>
      <w:pPr>
        <w:ind w:left="120" w:firstLine="440"/>
        <w:spacing w:after="0" w:line="293" w:lineRule="auto"/>
        <w:rPr>
          <w:sz w:val="20"/>
          <w:szCs w:val="20"/>
          <w:color w:val="auto"/>
        </w:rPr>
      </w:pPr>
      <w:r>
        <w:rPr>
          <w:rFonts w:ascii="Arial" w:cs="Arial" w:eastAsia="Arial" w:hAnsi="Arial"/>
          <w:sz w:val="16"/>
          <w:szCs w:val="16"/>
          <w:color w:val="auto"/>
        </w:rPr>
        <w:t>On January 8, 2019, in conjunction with the acquisition of HIMSS, the Company entered into a revolving line of credit (“2019 Revolver”) of $15.0 million with a maturity date of January 8, 2021. Loans under the 2019 Revolver were subject to several interest rate options based on the Eurodollar Rate or the Base Rate plus an applicable margin and were collateralized by a first security interest in the Company’s assets. Quarterly in arrears, the Company was required to pay the bank a fee equal to 0.3% of the amount of the 2019 Revolver’s unused capacity. The expense was included in interest expense on the consolidated statement of operations. The 2019 Revolver was subject to certain financial covenants. The Company drew down $13.0 million to fund the acquisition of HIMSS. During 2019, the 2019 Revolver was paid in full with cash on hand and terminated.</w:t>
      </w:r>
    </w:p>
    <w:p>
      <w:pPr>
        <w:spacing w:after="0" w:line="97" w:lineRule="exact"/>
        <w:rPr>
          <w:sz w:val="20"/>
          <w:szCs w:val="20"/>
          <w:color w:val="auto"/>
        </w:rPr>
      </w:pPr>
    </w:p>
    <w:p>
      <w:pPr>
        <w:jc w:val="center"/>
        <w:ind w:right="-359"/>
        <w:spacing w:after="0"/>
        <w:rPr>
          <w:sz w:val="20"/>
          <w:szCs w:val="20"/>
          <w:color w:val="auto"/>
        </w:rPr>
      </w:pPr>
      <w:r>
        <w:rPr>
          <w:rFonts w:ascii="Arial" w:cs="Arial" w:eastAsia="Arial" w:hAnsi="Arial"/>
          <w:sz w:val="18"/>
          <w:szCs w:val="18"/>
          <w:color w:val="auto"/>
        </w:rPr>
        <w:t>F-35</w:t>
      </w:r>
    </w:p>
    <w:p>
      <w:pPr>
        <w:sectPr>
          <w:pgSz w:w="11900" w:h="16838" w:orient="portrait"/>
          <w:cols w:equalWidth="0" w:num="1">
            <w:col w:w="11120"/>
          </w:cols>
          <w:pgMar w:left="320" w:top="459" w:right="459" w:bottom="1440" w:gutter="0" w:footer="0" w:header="0"/>
        </w:sectPr>
      </w:pPr>
    </w:p>
    <w:bookmarkStart w:id="241" w:name="page242"/>
    <w:bookmarkEnd w:id="24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27">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Confidential Treatment Requested by Definitive Healthcare Corp.</w:t>
      </w:r>
    </w:p>
    <w:p>
      <w:pPr>
        <w:spacing w:after="0" w:line="27"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Pursuant to 17 C.F.R. Section 200.83</w:t>
      </w:r>
    </w:p>
    <w:p>
      <w:pPr>
        <w:spacing w:after="0" w:line="143" w:lineRule="exact"/>
        <w:rPr>
          <w:sz w:val="20"/>
          <w:szCs w:val="20"/>
          <w:color w:val="auto"/>
        </w:rPr>
      </w:pPr>
    </w:p>
    <w:p>
      <w:pPr>
        <w:ind w:left="560"/>
        <w:spacing w:after="0"/>
        <w:rPr>
          <w:sz w:val="20"/>
          <w:szCs w:val="20"/>
          <w:color w:val="auto"/>
        </w:rPr>
      </w:pPr>
      <w:r>
        <w:rPr>
          <w:rFonts w:ascii="Arial" w:cs="Arial" w:eastAsia="Arial" w:hAnsi="Arial"/>
          <w:sz w:val="18"/>
          <w:szCs w:val="18"/>
          <w:u w:val="single" w:color="auto"/>
          <w:color w:val="auto"/>
        </w:rPr>
        <w:t>Financing Costs</w:t>
      </w:r>
    </w:p>
    <w:p>
      <w:pPr>
        <w:spacing w:after="0" w:line="117" w:lineRule="exact"/>
        <w:rPr>
          <w:sz w:val="20"/>
          <w:szCs w:val="20"/>
          <w:color w:val="auto"/>
        </w:rPr>
      </w:pPr>
    </w:p>
    <w:p>
      <w:pPr>
        <w:ind w:left="120" w:right="220" w:firstLine="440"/>
        <w:spacing w:after="0" w:line="277" w:lineRule="auto"/>
        <w:rPr>
          <w:sz w:val="20"/>
          <w:szCs w:val="20"/>
          <w:color w:val="auto"/>
        </w:rPr>
      </w:pPr>
      <w:r>
        <w:rPr>
          <w:rFonts w:ascii="Arial" w:cs="Arial" w:eastAsia="Arial" w:hAnsi="Arial"/>
          <w:sz w:val="18"/>
          <w:szCs w:val="18"/>
          <w:color w:val="auto"/>
        </w:rPr>
        <w:t>Capitalized financing costs represent costs incurred by the Company to obtain financing and are amortized over the term of the applicable loan using the effective interest method.</w:t>
      </w:r>
    </w:p>
    <w:p>
      <w:pPr>
        <w:spacing w:after="0" w:line="170" w:lineRule="exact"/>
        <w:rPr>
          <w:sz w:val="20"/>
          <w:szCs w:val="20"/>
          <w:color w:val="auto"/>
        </w:rPr>
      </w:pPr>
    </w:p>
    <w:p>
      <w:pPr>
        <w:ind w:left="120" w:right="20" w:firstLine="440"/>
        <w:spacing w:after="0" w:line="273" w:lineRule="auto"/>
        <w:rPr>
          <w:sz w:val="20"/>
          <w:szCs w:val="20"/>
          <w:color w:val="auto"/>
        </w:rPr>
      </w:pPr>
      <w:r>
        <w:rPr>
          <w:rFonts w:ascii="Arial" w:cs="Arial" w:eastAsia="Arial" w:hAnsi="Arial"/>
          <w:sz w:val="17"/>
          <w:szCs w:val="17"/>
          <w:color w:val="auto"/>
        </w:rPr>
        <w:t>During the year ended December 31, 2019, the Company incurred $1.6 million and $12.5 million of financing costs and original issue discounts, respectively. The amount is amortized to interest expense through the maturity dates of the underlying debt. The original issue discount is treated as a debt discount. The Company expensed capitalized financing costs and the debt discount through interest expense of $0.9 million during the period from July 16, 2019 through December 31, 2019 (Successor). No capitalized financing costs were expensed during the period from January 1, 2019 through July 15, 2019. As of December 31, 2020 and 2019, the unamortized financing costs for the 2019 Revolving Line of Credit of $0.5 million and $0.6 million, respectively, was classified in other assets in the consolidated balance sheet.</w:t>
      </w:r>
    </w:p>
    <w:p>
      <w:pPr>
        <w:spacing w:after="0" w:line="178" w:lineRule="exact"/>
        <w:rPr>
          <w:sz w:val="20"/>
          <w:szCs w:val="20"/>
          <w:color w:val="auto"/>
        </w:rPr>
      </w:pPr>
    </w:p>
    <w:tbl>
      <w:tblPr>
        <w:tblLayout w:type="fixed"/>
        <w:tblInd w:w="560" w:type="dxa"/>
        <w:tblCellMar>
          <w:top w:w="0" w:type="dxa"/>
          <w:left w:w="0" w:type="dxa"/>
          <w:bottom w:w="0" w:type="dxa"/>
          <w:right w:w="0" w:type="dxa"/>
        </w:tblCellMar>
      </w:tblPr>
      <w:tr>
        <w:trPr>
          <w:trHeight w:val="230"/>
        </w:trPr>
        <w:tc>
          <w:tcPr>
            <w:tcW w:w="8040" w:type="dxa"/>
            <w:vAlign w:val="bottom"/>
            <w:gridSpan w:val="2"/>
          </w:tcPr>
          <w:p>
            <w:pPr>
              <w:spacing w:after="0"/>
              <w:rPr>
                <w:sz w:val="20"/>
                <w:szCs w:val="20"/>
                <w:color w:val="auto"/>
              </w:rPr>
            </w:pPr>
            <w:r>
              <w:rPr>
                <w:rFonts w:ascii="Arial" w:cs="Arial" w:eastAsia="Arial" w:hAnsi="Arial"/>
                <w:sz w:val="18"/>
                <w:szCs w:val="18"/>
                <w:color w:val="auto"/>
              </w:rPr>
              <w:t>Future principal payments as of December 31, 2020 are as follows (in thousands):</w:t>
            </w:r>
          </w:p>
        </w:tc>
        <w:tc>
          <w:tcPr>
            <w:tcW w:w="1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1320" w:type="dxa"/>
            <w:vAlign w:val="bottom"/>
            <w:vMerge w:val="restart"/>
          </w:tcPr>
          <w:p>
            <w:pPr>
              <w:spacing w:after="0"/>
              <w:rPr>
                <w:sz w:val="21"/>
                <w:szCs w:val="21"/>
                <w:color w:val="auto"/>
              </w:rPr>
            </w:pPr>
          </w:p>
        </w:tc>
        <w:tc>
          <w:tcPr>
            <w:tcW w:w="67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1320" w:type="dxa"/>
            <w:vAlign w:val="bottom"/>
            <w:vMerge w:val="continue"/>
          </w:tcPr>
          <w:p>
            <w:pPr>
              <w:spacing w:after="0"/>
              <w:rPr>
                <w:sz w:val="18"/>
                <w:szCs w:val="18"/>
                <w:color w:val="auto"/>
              </w:rPr>
            </w:pPr>
          </w:p>
        </w:tc>
        <w:tc>
          <w:tcPr>
            <w:tcW w:w="6720" w:type="dxa"/>
            <w:vAlign w:val="bottom"/>
            <w:shd w:val="clear" w:color="auto" w:fill="CCEEFF"/>
          </w:tcPr>
          <w:p>
            <w:pPr>
              <w:spacing w:after="0"/>
              <w:rPr>
                <w:sz w:val="20"/>
                <w:szCs w:val="20"/>
                <w:color w:val="auto"/>
              </w:rPr>
            </w:pPr>
            <w:r>
              <w:rPr>
                <w:rFonts w:ascii="Arial" w:cs="Arial" w:eastAsia="Arial" w:hAnsi="Arial"/>
                <w:sz w:val="18"/>
                <w:szCs w:val="18"/>
                <w:color w:val="auto"/>
              </w:rPr>
              <w:t>2021</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4,680</w:t>
            </w:r>
          </w:p>
        </w:tc>
        <w:tc>
          <w:tcPr>
            <w:tcW w:w="0" w:type="dxa"/>
            <w:vAlign w:val="bottom"/>
          </w:tcPr>
          <w:p>
            <w:pPr>
              <w:spacing w:after="0"/>
              <w:rPr>
                <w:sz w:val="1"/>
                <w:szCs w:val="1"/>
                <w:color w:val="auto"/>
              </w:rPr>
            </w:pPr>
          </w:p>
        </w:tc>
      </w:tr>
      <w:tr>
        <w:trPr>
          <w:trHeight w:val="216"/>
        </w:trPr>
        <w:tc>
          <w:tcPr>
            <w:tcW w:w="1320" w:type="dxa"/>
            <w:vAlign w:val="bottom"/>
          </w:tcPr>
          <w:p>
            <w:pPr>
              <w:spacing w:after="0"/>
              <w:rPr>
                <w:sz w:val="18"/>
                <w:szCs w:val="18"/>
                <w:color w:val="auto"/>
              </w:rPr>
            </w:pPr>
          </w:p>
        </w:tc>
        <w:tc>
          <w:tcPr>
            <w:tcW w:w="6720" w:type="dxa"/>
            <w:vAlign w:val="bottom"/>
          </w:tcPr>
          <w:p>
            <w:pPr>
              <w:spacing w:after="0"/>
              <w:rPr>
                <w:sz w:val="20"/>
                <w:szCs w:val="20"/>
                <w:color w:val="auto"/>
              </w:rPr>
            </w:pPr>
            <w:r>
              <w:rPr>
                <w:rFonts w:ascii="Arial" w:cs="Arial" w:eastAsia="Arial" w:hAnsi="Arial"/>
                <w:sz w:val="18"/>
                <w:szCs w:val="18"/>
                <w:color w:val="auto"/>
              </w:rPr>
              <w:t>2022</w:t>
            </w:r>
          </w:p>
        </w:tc>
        <w:tc>
          <w:tcPr>
            <w:tcW w:w="100" w:type="dxa"/>
            <w:vAlign w:val="bottom"/>
          </w:tcPr>
          <w:p>
            <w:pPr>
              <w:spacing w:after="0"/>
              <w:rPr>
                <w:sz w:val="18"/>
                <w:szCs w:val="18"/>
                <w:color w:val="auto"/>
              </w:rPr>
            </w:pPr>
          </w:p>
        </w:tc>
        <w:tc>
          <w:tcPr>
            <w:tcW w:w="660" w:type="dxa"/>
            <w:vAlign w:val="bottom"/>
            <w:gridSpan w:val="2"/>
          </w:tcPr>
          <w:p>
            <w:pPr>
              <w:jc w:val="right"/>
              <w:ind w:right="60"/>
              <w:spacing w:after="0"/>
              <w:rPr>
                <w:sz w:val="20"/>
                <w:szCs w:val="20"/>
                <w:color w:val="auto"/>
              </w:rPr>
            </w:pPr>
            <w:r>
              <w:rPr>
                <w:rFonts w:ascii="Arial" w:cs="Arial" w:eastAsia="Arial" w:hAnsi="Arial"/>
                <w:sz w:val="18"/>
                <w:szCs w:val="18"/>
                <w:color w:val="auto"/>
              </w:rPr>
              <w:t>4,680</w:t>
            </w:r>
          </w:p>
        </w:tc>
        <w:tc>
          <w:tcPr>
            <w:tcW w:w="0" w:type="dxa"/>
            <w:vAlign w:val="bottom"/>
          </w:tcPr>
          <w:p>
            <w:pPr>
              <w:spacing w:after="0"/>
              <w:rPr>
                <w:sz w:val="1"/>
                <w:szCs w:val="1"/>
                <w:color w:val="auto"/>
              </w:rPr>
            </w:pPr>
          </w:p>
        </w:tc>
      </w:tr>
      <w:tr>
        <w:trPr>
          <w:trHeight w:val="216"/>
        </w:trPr>
        <w:tc>
          <w:tcPr>
            <w:tcW w:w="1320" w:type="dxa"/>
            <w:vAlign w:val="bottom"/>
          </w:tcPr>
          <w:p>
            <w:pPr>
              <w:spacing w:after="0"/>
              <w:rPr>
                <w:sz w:val="18"/>
                <w:szCs w:val="18"/>
                <w:color w:val="auto"/>
              </w:rPr>
            </w:pPr>
          </w:p>
        </w:tc>
        <w:tc>
          <w:tcPr>
            <w:tcW w:w="6720" w:type="dxa"/>
            <w:vAlign w:val="bottom"/>
            <w:shd w:val="clear" w:color="auto" w:fill="CCEEFF"/>
          </w:tcPr>
          <w:p>
            <w:pPr>
              <w:spacing w:after="0"/>
              <w:rPr>
                <w:sz w:val="20"/>
                <w:szCs w:val="20"/>
                <w:color w:val="auto"/>
              </w:rPr>
            </w:pPr>
            <w:r>
              <w:rPr>
                <w:rFonts w:ascii="Arial" w:cs="Arial" w:eastAsia="Arial" w:hAnsi="Arial"/>
                <w:sz w:val="18"/>
                <w:szCs w:val="18"/>
                <w:color w:val="auto"/>
              </w:rPr>
              <w:t>2023</w:t>
            </w: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4,680</w:t>
            </w:r>
          </w:p>
        </w:tc>
        <w:tc>
          <w:tcPr>
            <w:tcW w:w="0" w:type="dxa"/>
            <w:vAlign w:val="bottom"/>
          </w:tcPr>
          <w:p>
            <w:pPr>
              <w:spacing w:after="0"/>
              <w:rPr>
                <w:sz w:val="1"/>
                <w:szCs w:val="1"/>
                <w:color w:val="auto"/>
              </w:rPr>
            </w:pPr>
          </w:p>
        </w:tc>
      </w:tr>
      <w:tr>
        <w:trPr>
          <w:trHeight w:val="216"/>
        </w:trPr>
        <w:tc>
          <w:tcPr>
            <w:tcW w:w="1320" w:type="dxa"/>
            <w:vAlign w:val="bottom"/>
          </w:tcPr>
          <w:p>
            <w:pPr>
              <w:spacing w:after="0"/>
              <w:rPr>
                <w:sz w:val="18"/>
                <w:szCs w:val="18"/>
                <w:color w:val="auto"/>
              </w:rPr>
            </w:pPr>
          </w:p>
        </w:tc>
        <w:tc>
          <w:tcPr>
            <w:tcW w:w="6720" w:type="dxa"/>
            <w:vAlign w:val="bottom"/>
          </w:tcPr>
          <w:p>
            <w:pPr>
              <w:spacing w:after="0"/>
              <w:rPr>
                <w:sz w:val="20"/>
                <w:szCs w:val="20"/>
                <w:color w:val="auto"/>
              </w:rPr>
            </w:pPr>
            <w:r>
              <w:rPr>
                <w:rFonts w:ascii="Arial" w:cs="Arial" w:eastAsia="Arial" w:hAnsi="Arial"/>
                <w:sz w:val="18"/>
                <w:szCs w:val="18"/>
                <w:color w:val="auto"/>
              </w:rPr>
              <w:t>2024</w:t>
            </w:r>
          </w:p>
        </w:tc>
        <w:tc>
          <w:tcPr>
            <w:tcW w:w="100" w:type="dxa"/>
            <w:vAlign w:val="bottom"/>
          </w:tcPr>
          <w:p>
            <w:pPr>
              <w:spacing w:after="0"/>
              <w:rPr>
                <w:sz w:val="18"/>
                <w:szCs w:val="18"/>
                <w:color w:val="auto"/>
              </w:rPr>
            </w:pPr>
          </w:p>
        </w:tc>
        <w:tc>
          <w:tcPr>
            <w:tcW w:w="660" w:type="dxa"/>
            <w:vAlign w:val="bottom"/>
            <w:gridSpan w:val="2"/>
          </w:tcPr>
          <w:p>
            <w:pPr>
              <w:jc w:val="right"/>
              <w:ind w:right="60"/>
              <w:spacing w:after="0"/>
              <w:rPr>
                <w:sz w:val="20"/>
                <w:szCs w:val="20"/>
                <w:color w:val="auto"/>
              </w:rPr>
            </w:pPr>
            <w:r>
              <w:rPr>
                <w:rFonts w:ascii="Arial" w:cs="Arial" w:eastAsia="Arial" w:hAnsi="Arial"/>
                <w:sz w:val="18"/>
                <w:szCs w:val="18"/>
                <w:color w:val="auto"/>
              </w:rPr>
              <w:t>4,680</w:t>
            </w:r>
          </w:p>
        </w:tc>
        <w:tc>
          <w:tcPr>
            <w:tcW w:w="0" w:type="dxa"/>
            <w:vAlign w:val="bottom"/>
          </w:tcPr>
          <w:p>
            <w:pPr>
              <w:spacing w:after="0"/>
              <w:rPr>
                <w:sz w:val="1"/>
                <w:szCs w:val="1"/>
                <w:color w:val="auto"/>
              </w:rPr>
            </w:pPr>
          </w:p>
        </w:tc>
      </w:tr>
      <w:tr>
        <w:trPr>
          <w:trHeight w:val="216"/>
        </w:trPr>
        <w:tc>
          <w:tcPr>
            <w:tcW w:w="1320" w:type="dxa"/>
            <w:vAlign w:val="bottom"/>
          </w:tcPr>
          <w:p>
            <w:pPr>
              <w:spacing w:after="0"/>
              <w:rPr>
                <w:sz w:val="18"/>
                <w:szCs w:val="18"/>
                <w:color w:val="auto"/>
              </w:rPr>
            </w:pPr>
          </w:p>
        </w:tc>
        <w:tc>
          <w:tcPr>
            <w:tcW w:w="6720" w:type="dxa"/>
            <w:vAlign w:val="bottom"/>
            <w:shd w:val="clear" w:color="auto" w:fill="CCEEFF"/>
          </w:tcPr>
          <w:p>
            <w:pPr>
              <w:spacing w:after="0"/>
              <w:rPr>
                <w:sz w:val="20"/>
                <w:szCs w:val="20"/>
                <w:color w:val="auto"/>
              </w:rPr>
            </w:pPr>
            <w:r>
              <w:rPr>
                <w:rFonts w:ascii="Arial" w:cs="Arial" w:eastAsia="Arial" w:hAnsi="Arial"/>
                <w:sz w:val="18"/>
                <w:szCs w:val="18"/>
                <w:color w:val="auto"/>
              </w:rPr>
              <w:t>2025</w:t>
            </w: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4,680</w:t>
            </w:r>
          </w:p>
        </w:tc>
        <w:tc>
          <w:tcPr>
            <w:tcW w:w="0" w:type="dxa"/>
            <w:vAlign w:val="bottom"/>
          </w:tcPr>
          <w:p>
            <w:pPr>
              <w:spacing w:after="0"/>
              <w:rPr>
                <w:sz w:val="1"/>
                <w:szCs w:val="1"/>
                <w:color w:val="auto"/>
              </w:rPr>
            </w:pPr>
          </w:p>
        </w:tc>
      </w:tr>
      <w:tr>
        <w:trPr>
          <w:trHeight w:val="223"/>
        </w:trPr>
        <w:tc>
          <w:tcPr>
            <w:tcW w:w="1320" w:type="dxa"/>
            <w:vAlign w:val="bottom"/>
          </w:tcPr>
          <w:p>
            <w:pPr>
              <w:spacing w:after="0"/>
              <w:rPr>
                <w:sz w:val="19"/>
                <w:szCs w:val="19"/>
                <w:color w:val="auto"/>
              </w:rPr>
            </w:pPr>
          </w:p>
        </w:tc>
        <w:tc>
          <w:tcPr>
            <w:tcW w:w="6720" w:type="dxa"/>
            <w:vAlign w:val="bottom"/>
          </w:tcPr>
          <w:p>
            <w:pPr>
              <w:spacing w:after="0"/>
              <w:rPr>
                <w:sz w:val="20"/>
                <w:szCs w:val="20"/>
                <w:color w:val="auto"/>
              </w:rPr>
            </w:pPr>
            <w:r>
              <w:rPr>
                <w:rFonts w:ascii="Arial" w:cs="Arial" w:eastAsia="Arial" w:hAnsi="Arial"/>
                <w:sz w:val="18"/>
                <w:szCs w:val="18"/>
                <w:color w:val="auto"/>
              </w:rPr>
              <w:t>Thereafter</w:t>
            </w:r>
          </w:p>
        </w:tc>
        <w:tc>
          <w:tcPr>
            <w:tcW w:w="10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9"/>
              </w:rPr>
              <w:t>449,342</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1320" w:type="dxa"/>
            <w:vAlign w:val="bottom"/>
          </w:tcPr>
          <w:p>
            <w:pPr>
              <w:spacing w:after="0"/>
              <w:rPr>
                <w:sz w:val="18"/>
                <w:szCs w:val="18"/>
                <w:color w:val="auto"/>
              </w:rPr>
            </w:pPr>
          </w:p>
        </w:tc>
        <w:tc>
          <w:tcPr>
            <w:tcW w:w="67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89"/>
              </w:rPr>
              <w:t>472,742</w:t>
            </w:r>
          </w:p>
        </w:tc>
        <w:tc>
          <w:tcPr>
            <w:tcW w:w="0" w:type="dxa"/>
            <w:vAlign w:val="bottom"/>
          </w:tcPr>
          <w:p>
            <w:pPr>
              <w:spacing w:after="0"/>
              <w:rPr>
                <w:sz w:val="1"/>
                <w:szCs w:val="1"/>
                <w:color w:val="auto"/>
              </w:rPr>
            </w:pPr>
          </w:p>
        </w:tc>
      </w:tr>
      <w:tr>
        <w:trPr>
          <w:trHeight w:val="20"/>
        </w:trPr>
        <w:tc>
          <w:tcPr>
            <w:tcW w:w="1320" w:type="dxa"/>
            <w:vAlign w:val="bottom"/>
          </w:tcPr>
          <w:p>
            <w:pPr>
              <w:spacing w:after="0" w:line="20" w:lineRule="exact"/>
              <w:rPr>
                <w:sz w:val="1"/>
                <w:szCs w:val="1"/>
                <w:color w:val="auto"/>
              </w:rPr>
            </w:pPr>
          </w:p>
        </w:tc>
        <w:tc>
          <w:tcPr>
            <w:tcW w:w="67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64" w:lineRule="exact"/>
        <w:rPr>
          <w:sz w:val="20"/>
          <w:szCs w:val="20"/>
          <w:color w:val="auto"/>
        </w:rPr>
      </w:pPr>
    </w:p>
    <w:p>
      <w:pPr>
        <w:ind w:left="540" w:hanging="424"/>
        <w:spacing w:after="0"/>
        <w:tabs>
          <w:tab w:leader="none" w:pos="540" w:val="left"/>
        </w:tabs>
        <w:numPr>
          <w:ilvl w:val="0"/>
          <w:numId w:val="192"/>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Fair Value Measurements</w:t>
      </w:r>
    </w:p>
    <w:p>
      <w:pPr>
        <w:spacing w:after="0" w:line="117" w:lineRule="exact"/>
        <w:rPr>
          <w:sz w:val="20"/>
          <w:szCs w:val="20"/>
          <w:color w:val="auto"/>
        </w:rPr>
      </w:pPr>
    </w:p>
    <w:p>
      <w:pPr>
        <w:ind w:left="120" w:right="40" w:firstLine="440"/>
        <w:spacing w:after="0" w:line="263" w:lineRule="auto"/>
        <w:rPr>
          <w:sz w:val="20"/>
          <w:szCs w:val="20"/>
          <w:color w:val="auto"/>
        </w:rPr>
      </w:pPr>
      <w:r>
        <w:rPr>
          <w:rFonts w:ascii="Arial" w:cs="Arial" w:eastAsia="Arial" w:hAnsi="Arial"/>
          <w:sz w:val="18"/>
          <w:szCs w:val="18"/>
          <w:color w:val="auto"/>
        </w:rPr>
        <w:t>AC 820, Fair Value Measurements and Disclosures (“ASC 820”), defines fair value as the price that would be received for an asset, or paid to transfer a liability, in an orderly transaction between market participants on the measurement date, and establishes a three-level fair value hierarchy that prioritizes the inputs used to measure fair value.</w:t>
      </w:r>
    </w:p>
    <w:p>
      <w:pPr>
        <w:spacing w:after="0" w:line="184" w:lineRule="exact"/>
        <w:rPr>
          <w:sz w:val="20"/>
          <w:szCs w:val="20"/>
          <w:color w:val="auto"/>
        </w:rPr>
      </w:pPr>
    </w:p>
    <w:p>
      <w:pPr>
        <w:ind w:left="120" w:right="120" w:firstLine="440"/>
        <w:spacing w:after="0" w:line="311" w:lineRule="auto"/>
        <w:rPr>
          <w:sz w:val="20"/>
          <w:szCs w:val="20"/>
          <w:color w:val="auto"/>
        </w:rPr>
      </w:pPr>
      <w:r>
        <w:rPr>
          <w:rFonts w:ascii="Arial" w:cs="Arial" w:eastAsia="Arial" w:hAnsi="Arial"/>
          <w:sz w:val="16"/>
          <w:szCs w:val="16"/>
          <w:color w:val="auto"/>
        </w:rPr>
        <w:t>The Company’s financial assets and liabilities subject to the three-level fair value hierarchy consist principally of cash and equivalents, accounts receivable, accounts payable, long-term and short-term debt and contingent consideration payable. The estimated fair value of cash and equivalents, accounts receivable and accounts payable approximates their carrying value due to due to their short maturities (less than 12 months).</w:t>
      </w:r>
    </w:p>
    <w:p>
      <w:pPr>
        <w:spacing w:after="0" w:line="149" w:lineRule="exact"/>
        <w:rPr>
          <w:sz w:val="20"/>
          <w:szCs w:val="20"/>
          <w:color w:val="auto"/>
        </w:rPr>
      </w:pPr>
    </w:p>
    <w:p>
      <w:pPr>
        <w:ind w:left="120" w:firstLine="440"/>
        <w:spacing w:after="0" w:line="286" w:lineRule="auto"/>
        <w:rPr>
          <w:sz w:val="20"/>
          <w:szCs w:val="20"/>
          <w:color w:val="auto"/>
        </w:rPr>
      </w:pPr>
      <w:r>
        <w:rPr>
          <w:rFonts w:ascii="Arial" w:cs="Arial" w:eastAsia="Arial" w:hAnsi="Arial"/>
          <w:sz w:val="17"/>
          <w:szCs w:val="17"/>
          <w:color w:val="auto"/>
        </w:rPr>
        <w:t>The Company’s short- and long-term debt are recorded at their carrying values in the consolidated balance sheets, which may differ from their respective fair values. The carrying values and estimated fair values of the Company’s short- and long-term debt approximate their carrying values as of December 31, 2020, and 2019, based on interest rates currently available to the Company for similar borrowings.</w:t>
      </w:r>
    </w:p>
    <w:p>
      <w:pPr>
        <w:spacing w:after="0" w:line="165" w:lineRule="exact"/>
        <w:rPr>
          <w:sz w:val="20"/>
          <w:szCs w:val="20"/>
          <w:color w:val="auto"/>
        </w:rPr>
      </w:pPr>
    </w:p>
    <w:p>
      <w:pPr>
        <w:ind w:left="120" w:right="20" w:firstLine="440"/>
        <w:spacing w:after="0" w:line="271" w:lineRule="auto"/>
        <w:rPr>
          <w:sz w:val="20"/>
          <w:szCs w:val="20"/>
          <w:color w:val="auto"/>
        </w:rPr>
      </w:pPr>
      <w:r>
        <w:rPr>
          <w:rFonts w:ascii="Arial" w:cs="Arial" w:eastAsia="Arial" w:hAnsi="Arial"/>
          <w:sz w:val="17"/>
          <w:szCs w:val="17"/>
          <w:color w:val="auto"/>
        </w:rPr>
        <w:t>The contingent consideration, which resulted from the earn-outs associated with the Monocl acquisition, is measured at fair value on a recurring basis. The current portion of the earn-out liability is included in accrued expenses and other current liabilities on the consolidated balance sheet, and the non-current portion in other long-term liabilities. Earn-out liabilities are classified within Level 3 in the fair value hierarchy because the methodology used to develop the estimated fair value includes significant unobservable inputs reflecting management’s own assumptions. The fair value of the contingent consideration was estimated using a variation of the income approach, known as the real options method, where ARR was simulated in a risk-neutral framework using Geometric Brownian Motion, a well-accepted model of stock price behavior that is used in option pricing models such as the Black-Scholes option pricing model. The risk-neutral expected (probability-weighted) earnout payments were then calculated based on simulation results. An increase to a probability of</w:t>
      </w:r>
    </w:p>
    <w:p>
      <w:pPr>
        <w:spacing w:after="0" w:line="111" w:lineRule="exact"/>
        <w:rPr>
          <w:sz w:val="20"/>
          <w:szCs w:val="20"/>
          <w:color w:val="auto"/>
        </w:rPr>
      </w:pPr>
    </w:p>
    <w:p>
      <w:pPr>
        <w:jc w:val="center"/>
        <w:ind w:right="-419"/>
        <w:spacing w:after="0"/>
        <w:rPr>
          <w:sz w:val="20"/>
          <w:szCs w:val="20"/>
          <w:color w:val="auto"/>
        </w:rPr>
      </w:pPr>
      <w:r>
        <w:rPr>
          <w:rFonts w:ascii="Arial" w:cs="Arial" w:eastAsia="Arial" w:hAnsi="Arial"/>
          <w:sz w:val="18"/>
          <w:szCs w:val="18"/>
          <w:color w:val="auto"/>
        </w:rPr>
        <w:t>F-36</w:t>
      </w:r>
    </w:p>
    <w:p>
      <w:pPr>
        <w:sectPr>
          <w:pgSz w:w="11900" w:h="16838" w:orient="portrait"/>
          <w:cols w:equalWidth="0" w:num="1">
            <w:col w:w="11060"/>
          </w:cols>
          <w:pgMar w:left="320" w:top="459" w:right="519" w:bottom="1440" w:gutter="0" w:footer="0" w:header="0"/>
        </w:sectPr>
      </w:pPr>
    </w:p>
    <w:bookmarkStart w:id="242" w:name="page243"/>
    <w:bookmarkEnd w:id="24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28">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Confidential Treatment Requested by Definitive Healthcare Corp.</w:t>
      </w:r>
    </w:p>
    <w:p>
      <w:pPr>
        <w:spacing w:after="0" w:line="27"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Pursuant to 17 C.F.R. Section 200.83</w:t>
      </w:r>
    </w:p>
    <w:p>
      <w:pPr>
        <w:spacing w:after="0" w:line="143" w:lineRule="exact"/>
        <w:rPr>
          <w:sz w:val="20"/>
          <w:szCs w:val="20"/>
          <w:color w:val="auto"/>
        </w:rPr>
      </w:pPr>
    </w:p>
    <w:p>
      <w:pPr>
        <w:ind w:left="120" w:right="100"/>
        <w:spacing w:after="0" w:line="286" w:lineRule="auto"/>
        <w:rPr>
          <w:sz w:val="20"/>
          <w:szCs w:val="20"/>
          <w:color w:val="auto"/>
        </w:rPr>
      </w:pPr>
      <w:r>
        <w:rPr>
          <w:rFonts w:ascii="Arial" w:cs="Arial" w:eastAsia="Arial" w:hAnsi="Arial"/>
          <w:sz w:val="16"/>
          <w:szCs w:val="16"/>
          <w:color w:val="auto"/>
        </w:rPr>
        <w:t>achievement would result in a higher fair value measurement. The fair value of the contingent consideration was $5.2 million as of December 31, 2020, with $1.5 million current and $3.7 million non-current. Adjustments to the earn-out liabilities in periods subsequent to the completion of acquisitions were made using scenario-based modeling to estimate the probability of achievement and are reflected within Transaction expenses in the consolidated statements of income (loss). As of December 31, 2020, the Company had the potential to make a maximum of $15.0 million and a minimum of</w:t>
      </w:r>
    </w:p>
    <w:p>
      <w:pPr>
        <w:spacing w:after="0" w:line="1" w:lineRule="exact"/>
        <w:rPr>
          <w:sz w:val="20"/>
          <w:szCs w:val="20"/>
          <w:color w:val="auto"/>
        </w:rPr>
      </w:pPr>
    </w:p>
    <w:p>
      <w:pPr>
        <w:ind w:left="120" w:right="280"/>
        <w:spacing w:after="0" w:line="260" w:lineRule="auto"/>
        <w:rPr>
          <w:sz w:val="20"/>
          <w:szCs w:val="20"/>
          <w:color w:val="auto"/>
        </w:rPr>
      </w:pPr>
      <w:r>
        <w:rPr>
          <w:rFonts w:ascii="Arial" w:cs="Arial" w:eastAsia="Arial" w:hAnsi="Arial"/>
          <w:sz w:val="18"/>
          <w:szCs w:val="18"/>
          <w:color w:val="auto"/>
        </w:rPr>
        <w:t>$0.0 million (undiscounted) in earn-out payments. Assuming the achievement of the applicable performance criteria, these earn-out payments will be made over the next 2 years.</w:t>
      </w:r>
    </w:p>
    <w:p>
      <w:pPr>
        <w:spacing w:after="0" w:line="185" w:lineRule="exact"/>
        <w:rPr>
          <w:sz w:val="20"/>
          <w:szCs w:val="20"/>
          <w:color w:val="auto"/>
        </w:rPr>
      </w:pPr>
    </w:p>
    <w:p>
      <w:pPr>
        <w:ind w:left="120" w:right="320" w:firstLine="440"/>
        <w:spacing w:after="0" w:line="277" w:lineRule="auto"/>
        <w:rPr>
          <w:sz w:val="20"/>
          <w:szCs w:val="20"/>
          <w:color w:val="auto"/>
        </w:rPr>
      </w:pPr>
      <w:r>
        <w:rPr>
          <w:rFonts w:ascii="Arial" w:cs="Arial" w:eastAsia="Arial" w:hAnsi="Arial"/>
          <w:sz w:val="18"/>
          <w:szCs w:val="18"/>
          <w:color w:val="auto"/>
        </w:rPr>
        <w:t>The table below presents a reconciliation of earnout liabilities measured at fair value on a recurring basis using significant unobservable inputs (Level 3) (in thousands):</w:t>
      </w:r>
    </w:p>
    <w:p>
      <w:pPr>
        <w:spacing w:after="0" w:line="176" w:lineRule="exact"/>
        <w:rPr>
          <w:sz w:val="20"/>
          <w:szCs w:val="20"/>
          <w:color w:val="auto"/>
        </w:rPr>
      </w:pPr>
    </w:p>
    <w:tbl>
      <w:tblPr>
        <w:tblLayout w:type="fixed"/>
        <w:tblInd w:w="120" w:type="dxa"/>
        <w:tblCellMar>
          <w:top w:w="0" w:type="dxa"/>
          <w:left w:w="0" w:type="dxa"/>
          <w:bottom w:w="0" w:type="dxa"/>
          <w:right w:w="0" w:type="dxa"/>
        </w:tblCellMar>
      </w:tblPr>
      <w:tr>
        <w:trPr>
          <w:trHeight w:val="35"/>
        </w:trPr>
        <w:tc>
          <w:tcPr>
            <w:tcW w:w="5380" w:type="dxa"/>
            <w:vAlign w:val="bottom"/>
          </w:tcPr>
          <w:p>
            <w:pPr>
              <w:spacing w:after="0"/>
              <w:rPr>
                <w:sz w:val="3"/>
                <w:szCs w:val="3"/>
                <w:color w:val="auto"/>
              </w:rPr>
            </w:pPr>
          </w:p>
        </w:tc>
        <w:tc>
          <w:tcPr>
            <w:tcW w:w="1680" w:type="dxa"/>
            <w:vAlign w:val="bottom"/>
          </w:tcPr>
          <w:p>
            <w:pPr>
              <w:spacing w:after="0"/>
              <w:rPr>
                <w:sz w:val="3"/>
                <w:szCs w:val="3"/>
                <w:color w:val="auto"/>
              </w:rPr>
            </w:pPr>
          </w:p>
        </w:tc>
        <w:tc>
          <w:tcPr>
            <w:tcW w:w="160" w:type="dxa"/>
            <w:vAlign w:val="bottom"/>
          </w:tcPr>
          <w:p>
            <w:pPr>
              <w:spacing w:after="0"/>
              <w:rPr>
                <w:sz w:val="3"/>
                <w:szCs w:val="3"/>
                <w:color w:val="auto"/>
              </w:rPr>
            </w:pPr>
          </w:p>
        </w:tc>
        <w:tc>
          <w:tcPr>
            <w:tcW w:w="2260" w:type="dxa"/>
            <w:vAlign w:val="bottom"/>
            <w:gridSpan w:val="5"/>
            <w:vMerge w:val="restart"/>
          </w:tcPr>
          <w:p>
            <w:pPr>
              <w:ind w:left="440"/>
              <w:spacing w:after="0"/>
              <w:rPr>
                <w:sz w:val="20"/>
                <w:szCs w:val="20"/>
                <w:color w:val="auto"/>
              </w:rPr>
            </w:pPr>
            <w:r>
              <w:rPr>
                <w:rFonts w:ascii="Arial" w:cs="Arial" w:eastAsia="Arial" w:hAnsi="Arial"/>
                <w:sz w:val="14"/>
                <w:szCs w:val="14"/>
                <w:b w:val="1"/>
                <w:bCs w:val="1"/>
                <w:color w:val="auto"/>
              </w:rPr>
              <w:t>Successor Company</w:t>
            </w:r>
          </w:p>
        </w:tc>
        <w:tc>
          <w:tcPr>
            <w:tcW w:w="260" w:type="dxa"/>
            <w:vAlign w:val="bottom"/>
          </w:tcPr>
          <w:p>
            <w:pPr>
              <w:spacing w:after="0"/>
              <w:rPr>
                <w:sz w:val="3"/>
                <w:szCs w:val="3"/>
                <w:color w:val="auto"/>
              </w:rPr>
            </w:pPr>
          </w:p>
        </w:tc>
        <w:tc>
          <w:tcPr>
            <w:tcW w:w="280" w:type="dxa"/>
            <w:vAlign w:val="bottom"/>
          </w:tcPr>
          <w:p>
            <w:pPr>
              <w:spacing w:after="0"/>
              <w:rPr>
                <w:sz w:val="3"/>
                <w:szCs w:val="3"/>
                <w:color w:val="auto"/>
              </w:rPr>
            </w:pPr>
          </w:p>
        </w:tc>
        <w:tc>
          <w:tcPr>
            <w:tcW w:w="100" w:type="dxa"/>
            <w:vAlign w:val="bottom"/>
          </w:tcPr>
          <w:p>
            <w:pPr>
              <w:spacing w:after="0"/>
              <w:rPr>
                <w:sz w:val="3"/>
                <w:szCs w:val="3"/>
                <w:color w:val="auto"/>
              </w:rPr>
            </w:pPr>
          </w:p>
        </w:tc>
        <w:tc>
          <w:tcPr>
            <w:tcW w:w="900" w:type="dxa"/>
            <w:vAlign w:val="bottom"/>
            <w:gridSpan w:val="2"/>
            <w:vMerge w:val="restart"/>
          </w:tcPr>
          <w:p>
            <w:pPr>
              <w:jc w:val="center"/>
              <w:ind w:right="160"/>
              <w:spacing w:after="0"/>
              <w:rPr>
                <w:sz w:val="20"/>
                <w:szCs w:val="20"/>
                <w:color w:val="auto"/>
              </w:rPr>
            </w:pPr>
            <w:r>
              <w:rPr>
                <w:rFonts w:ascii="Arial" w:cs="Arial" w:eastAsia="Arial" w:hAnsi="Arial"/>
                <w:sz w:val="14"/>
                <w:szCs w:val="14"/>
                <w:b w:val="1"/>
                <w:bCs w:val="1"/>
                <w:color w:val="auto"/>
                <w:w w:val="87"/>
              </w:rPr>
              <w:t>Predecessor</w:t>
            </w:r>
          </w:p>
        </w:tc>
        <w:tc>
          <w:tcPr>
            <w:tcW w:w="0" w:type="dxa"/>
            <w:vAlign w:val="bottom"/>
          </w:tcPr>
          <w:p>
            <w:pPr>
              <w:spacing w:after="0" w:line="20" w:lineRule="exact"/>
              <w:rPr>
                <w:sz w:val="1"/>
                <w:szCs w:val="1"/>
                <w:color w:val="auto"/>
              </w:rPr>
            </w:pPr>
          </w:p>
        </w:tc>
      </w:tr>
      <w:tr>
        <w:trPr>
          <w:trHeight w:val="126"/>
        </w:trPr>
        <w:tc>
          <w:tcPr>
            <w:tcW w:w="5380" w:type="dxa"/>
            <w:vAlign w:val="bottom"/>
          </w:tcPr>
          <w:p>
            <w:pPr>
              <w:spacing w:after="0"/>
              <w:rPr>
                <w:sz w:val="10"/>
                <w:szCs w:val="10"/>
                <w:color w:val="auto"/>
              </w:rPr>
            </w:pPr>
          </w:p>
        </w:tc>
        <w:tc>
          <w:tcPr>
            <w:tcW w:w="16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2260" w:type="dxa"/>
            <w:vAlign w:val="bottom"/>
            <w:gridSpan w:val="5"/>
            <w:vMerge w:val="continue"/>
          </w:tcPr>
          <w:p>
            <w:pPr>
              <w:spacing w:after="0"/>
              <w:rPr>
                <w:sz w:val="10"/>
                <w:szCs w:val="10"/>
                <w:color w:val="auto"/>
              </w:rPr>
            </w:pPr>
          </w:p>
        </w:tc>
        <w:tc>
          <w:tcPr>
            <w:tcW w:w="260" w:type="dxa"/>
            <w:vAlign w:val="bottom"/>
            <w:tcBorders>
              <w:right w:val="single" w:sz="8" w:color="auto"/>
            </w:tcBorders>
          </w:tcPr>
          <w:p>
            <w:pPr>
              <w:spacing w:after="0"/>
              <w:rPr>
                <w:sz w:val="10"/>
                <w:szCs w:val="10"/>
                <w:color w:val="auto"/>
              </w:rPr>
            </w:pPr>
          </w:p>
        </w:tc>
        <w:tc>
          <w:tcPr>
            <w:tcW w:w="2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0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538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260" w:type="dxa"/>
            <w:vAlign w:val="bottom"/>
            <w:gridSpan w:val="5"/>
            <w:vMerge w:val="continue"/>
          </w:tcPr>
          <w:p>
            <w:pPr>
              <w:spacing w:after="0"/>
              <w:rPr>
                <w:sz w:val="14"/>
                <w:szCs w:val="14"/>
                <w:color w:val="auto"/>
              </w:rPr>
            </w:pPr>
          </w:p>
        </w:tc>
        <w:tc>
          <w:tcPr>
            <w:tcW w:w="260" w:type="dxa"/>
            <w:vAlign w:val="bottom"/>
            <w:tcBorders>
              <w:right w:val="single" w:sz="8" w:color="auto"/>
            </w:tcBorders>
          </w:tcPr>
          <w:p>
            <w:pPr>
              <w:spacing w:after="0"/>
              <w:rPr>
                <w:sz w:val="14"/>
                <w:szCs w:val="14"/>
                <w:color w:val="auto"/>
              </w:rPr>
            </w:pPr>
          </w:p>
        </w:tc>
        <w:tc>
          <w:tcPr>
            <w:tcW w:w="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3"/>
              </w:rPr>
              <w:t>Company</w:t>
            </w:r>
          </w:p>
        </w:tc>
        <w:tc>
          <w:tcPr>
            <w:tcW w:w="0" w:type="dxa"/>
            <w:vAlign w:val="bottom"/>
          </w:tcPr>
          <w:p>
            <w:pPr>
              <w:spacing w:after="0"/>
              <w:rPr>
                <w:sz w:val="1"/>
                <w:szCs w:val="1"/>
                <w:color w:val="auto"/>
              </w:rPr>
            </w:pPr>
          </w:p>
        </w:tc>
      </w:tr>
      <w:tr>
        <w:trPr>
          <w:trHeight w:val="123"/>
        </w:trPr>
        <w:tc>
          <w:tcPr>
            <w:tcW w:w="5380" w:type="dxa"/>
            <w:vAlign w:val="bottom"/>
          </w:tcPr>
          <w:p>
            <w:pPr>
              <w:spacing w:after="0"/>
              <w:rPr>
                <w:sz w:val="10"/>
                <w:szCs w:val="10"/>
                <w:color w:val="auto"/>
              </w:rPr>
            </w:pPr>
          </w:p>
        </w:tc>
        <w:tc>
          <w:tcPr>
            <w:tcW w:w="1680" w:type="dxa"/>
            <w:vAlign w:val="bottom"/>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980" w:type="dxa"/>
            <w:vAlign w:val="bottom"/>
            <w:tcBorders>
              <w:top w:val="single" w:sz="8" w:color="auto"/>
            </w:tcBorders>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1040" w:type="dxa"/>
            <w:vAlign w:val="bottom"/>
            <w:tcBorders>
              <w:top w:val="single" w:sz="8" w:color="auto"/>
            </w:tcBorders>
          </w:tcPr>
          <w:p>
            <w:pPr>
              <w:jc w:val="center"/>
              <w:spacing w:after="0" w:line="123" w:lineRule="exact"/>
              <w:rPr>
                <w:sz w:val="20"/>
                <w:szCs w:val="20"/>
                <w:color w:val="auto"/>
              </w:rPr>
            </w:pPr>
            <w:r>
              <w:rPr>
                <w:rFonts w:ascii="Arial" w:cs="Arial" w:eastAsia="Arial" w:hAnsi="Arial"/>
                <w:sz w:val="14"/>
                <w:szCs w:val="14"/>
                <w:color w:val="auto"/>
                <w:w w:val="93"/>
              </w:rPr>
              <w:t>Period from</w:t>
            </w:r>
          </w:p>
        </w:tc>
        <w:tc>
          <w:tcPr>
            <w:tcW w:w="260" w:type="dxa"/>
            <w:vAlign w:val="bottom"/>
            <w:tcBorders>
              <w:right w:val="single" w:sz="8" w:color="auto"/>
            </w:tcBorders>
          </w:tcPr>
          <w:p>
            <w:pPr>
              <w:spacing w:after="0"/>
              <w:rPr>
                <w:sz w:val="10"/>
                <w:szCs w:val="10"/>
                <w:color w:val="auto"/>
              </w:rPr>
            </w:pPr>
          </w:p>
        </w:tc>
        <w:tc>
          <w:tcPr>
            <w:tcW w:w="28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840" w:type="dxa"/>
            <w:vAlign w:val="bottom"/>
            <w:tcBorders>
              <w:top w:val="single" w:sz="8" w:color="auto"/>
            </w:tcBorders>
          </w:tcPr>
          <w:p>
            <w:pPr>
              <w:jc w:val="center"/>
              <w:ind w:right="17"/>
              <w:spacing w:after="0" w:line="123" w:lineRule="exact"/>
              <w:rPr>
                <w:sz w:val="20"/>
                <w:szCs w:val="20"/>
                <w:color w:val="auto"/>
              </w:rPr>
            </w:pPr>
            <w:r>
              <w:rPr>
                <w:rFonts w:ascii="Arial" w:cs="Arial" w:eastAsia="Arial" w:hAnsi="Arial"/>
                <w:sz w:val="14"/>
                <w:szCs w:val="14"/>
                <w:color w:val="auto"/>
                <w:w w:val="96"/>
              </w:rPr>
              <w:t>Period from</w:t>
            </w: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5380" w:type="dxa"/>
            <w:vAlign w:val="bottom"/>
          </w:tcPr>
          <w:p>
            <w:pPr>
              <w:spacing w:after="0"/>
              <w:rPr>
                <w:sz w:val="12"/>
                <w:szCs w:val="12"/>
                <w:color w:val="auto"/>
              </w:rPr>
            </w:pPr>
          </w:p>
        </w:tc>
        <w:tc>
          <w:tcPr>
            <w:tcW w:w="16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60" w:type="dxa"/>
            <w:vAlign w:val="bottom"/>
            <w:gridSpan w:val="2"/>
          </w:tcPr>
          <w:p>
            <w:pPr>
              <w:ind w:left="80"/>
              <w:spacing w:after="0" w:line="149" w:lineRule="exact"/>
              <w:rPr>
                <w:sz w:val="20"/>
                <w:szCs w:val="20"/>
                <w:color w:val="auto"/>
              </w:rPr>
            </w:pPr>
            <w:r>
              <w:rPr>
                <w:rFonts w:ascii="Arial" w:cs="Arial" w:eastAsia="Arial" w:hAnsi="Arial"/>
                <w:sz w:val="14"/>
                <w:szCs w:val="14"/>
                <w:color w:val="auto"/>
              </w:rPr>
              <w:t>Year ended</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40" w:type="dxa"/>
            <w:vAlign w:val="bottom"/>
          </w:tcPr>
          <w:p>
            <w:pPr>
              <w:jc w:val="center"/>
              <w:spacing w:after="0" w:line="149" w:lineRule="exact"/>
              <w:rPr>
                <w:sz w:val="20"/>
                <w:szCs w:val="20"/>
                <w:color w:val="auto"/>
              </w:rPr>
            </w:pPr>
            <w:r>
              <w:rPr>
                <w:rFonts w:ascii="Arial" w:cs="Arial" w:eastAsia="Arial" w:hAnsi="Arial"/>
                <w:sz w:val="14"/>
                <w:szCs w:val="14"/>
                <w:color w:val="auto"/>
                <w:w w:val="93"/>
              </w:rPr>
              <w:t>July 16, 2019 to</w:t>
            </w:r>
          </w:p>
        </w:tc>
        <w:tc>
          <w:tcPr>
            <w:tcW w:w="260" w:type="dxa"/>
            <w:vAlign w:val="bottom"/>
            <w:tcBorders>
              <w:right w:val="single" w:sz="8" w:color="auto"/>
            </w:tcBorders>
          </w:tcPr>
          <w:p>
            <w:pPr>
              <w:spacing w:after="0"/>
              <w:rPr>
                <w:sz w:val="12"/>
                <w:szCs w:val="12"/>
                <w:color w:val="auto"/>
              </w:rPr>
            </w:pPr>
          </w:p>
        </w:tc>
        <w:tc>
          <w:tcPr>
            <w:tcW w:w="280" w:type="dxa"/>
            <w:vAlign w:val="bottom"/>
          </w:tcPr>
          <w:p>
            <w:pPr>
              <w:spacing w:after="0"/>
              <w:rPr>
                <w:sz w:val="12"/>
                <w:szCs w:val="12"/>
                <w:color w:val="auto"/>
              </w:rPr>
            </w:pPr>
          </w:p>
        </w:tc>
        <w:tc>
          <w:tcPr>
            <w:tcW w:w="1000" w:type="dxa"/>
            <w:vAlign w:val="bottom"/>
            <w:gridSpan w:val="3"/>
          </w:tcPr>
          <w:p>
            <w:pPr>
              <w:jc w:val="center"/>
              <w:ind w:right="60"/>
              <w:spacing w:after="0" w:line="149" w:lineRule="exact"/>
              <w:rPr>
                <w:sz w:val="20"/>
                <w:szCs w:val="20"/>
                <w:color w:val="auto"/>
              </w:rPr>
            </w:pPr>
            <w:r>
              <w:rPr>
                <w:rFonts w:ascii="Arial" w:cs="Arial" w:eastAsia="Arial" w:hAnsi="Arial"/>
                <w:sz w:val="14"/>
                <w:szCs w:val="14"/>
                <w:color w:val="auto"/>
                <w:w w:val="89"/>
              </w:rPr>
              <w:t>January 1, 2019</w:t>
            </w:r>
          </w:p>
        </w:tc>
        <w:tc>
          <w:tcPr>
            <w:tcW w:w="0" w:type="dxa"/>
            <w:vAlign w:val="bottom"/>
          </w:tcPr>
          <w:p>
            <w:pPr>
              <w:spacing w:after="0"/>
              <w:rPr>
                <w:sz w:val="1"/>
                <w:szCs w:val="1"/>
                <w:color w:val="auto"/>
              </w:rPr>
            </w:pPr>
          </w:p>
        </w:tc>
      </w:tr>
      <w:tr>
        <w:trPr>
          <w:trHeight w:val="167"/>
        </w:trPr>
        <w:tc>
          <w:tcPr>
            <w:tcW w:w="538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1220" w:type="dxa"/>
            <w:vAlign w:val="bottom"/>
            <w:gridSpan w:val="3"/>
          </w:tcPr>
          <w:p>
            <w:pPr>
              <w:jc w:val="right"/>
              <w:ind w:right="100"/>
              <w:spacing w:after="0"/>
              <w:rPr>
                <w:sz w:val="20"/>
                <w:szCs w:val="20"/>
                <w:color w:val="auto"/>
              </w:rPr>
            </w:pPr>
            <w:r>
              <w:rPr>
                <w:rFonts w:ascii="Arial" w:cs="Arial" w:eastAsia="Arial" w:hAnsi="Arial"/>
                <w:sz w:val="14"/>
                <w:szCs w:val="14"/>
                <w:color w:val="auto"/>
                <w:w w:val="89"/>
              </w:rPr>
              <w:t>December 31, 2020</w:t>
            </w:r>
          </w:p>
        </w:tc>
        <w:tc>
          <w:tcPr>
            <w:tcW w:w="80" w:type="dxa"/>
            <w:vAlign w:val="bottom"/>
          </w:tcPr>
          <w:p>
            <w:pPr>
              <w:spacing w:after="0"/>
              <w:rPr>
                <w:sz w:val="14"/>
                <w:szCs w:val="14"/>
                <w:color w:val="auto"/>
              </w:rPr>
            </w:pPr>
          </w:p>
        </w:tc>
        <w:tc>
          <w:tcPr>
            <w:tcW w:w="1120" w:type="dxa"/>
            <w:vAlign w:val="bottom"/>
            <w:gridSpan w:val="2"/>
          </w:tcPr>
          <w:p>
            <w:pPr>
              <w:jc w:val="center"/>
              <w:spacing w:after="0"/>
              <w:rPr>
                <w:sz w:val="20"/>
                <w:szCs w:val="20"/>
                <w:color w:val="auto"/>
              </w:rPr>
            </w:pPr>
            <w:r>
              <w:rPr>
                <w:rFonts w:ascii="Arial" w:cs="Arial" w:eastAsia="Arial" w:hAnsi="Arial"/>
                <w:sz w:val="14"/>
                <w:szCs w:val="14"/>
                <w:color w:val="auto"/>
                <w:w w:val="91"/>
              </w:rPr>
              <w:t>December 31, 2019</w:t>
            </w:r>
          </w:p>
        </w:tc>
        <w:tc>
          <w:tcPr>
            <w:tcW w:w="260" w:type="dxa"/>
            <w:vAlign w:val="bottom"/>
            <w:tcBorders>
              <w:right w:val="single" w:sz="8" w:color="auto"/>
            </w:tcBorders>
          </w:tcPr>
          <w:p>
            <w:pPr>
              <w:spacing w:after="0"/>
              <w:rPr>
                <w:sz w:val="14"/>
                <w:szCs w:val="14"/>
                <w:color w:val="auto"/>
              </w:rPr>
            </w:pPr>
          </w:p>
        </w:tc>
        <w:tc>
          <w:tcPr>
            <w:tcW w:w="280" w:type="dxa"/>
            <w:vAlign w:val="bottom"/>
          </w:tcPr>
          <w:p>
            <w:pPr>
              <w:spacing w:after="0"/>
              <w:rPr>
                <w:sz w:val="14"/>
                <w:szCs w:val="14"/>
                <w:color w:val="auto"/>
              </w:rPr>
            </w:pPr>
          </w:p>
        </w:tc>
        <w:tc>
          <w:tcPr>
            <w:tcW w:w="1000" w:type="dxa"/>
            <w:vAlign w:val="bottom"/>
            <w:gridSpan w:val="3"/>
          </w:tcPr>
          <w:p>
            <w:pPr>
              <w:jc w:val="center"/>
              <w:ind w:right="60"/>
              <w:spacing w:after="0"/>
              <w:rPr>
                <w:sz w:val="20"/>
                <w:szCs w:val="20"/>
                <w:color w:val="auto"/>
              </w:rPr>
            </w:pPr>
            <w:r>
              <w:rPr>
                <w:rFonts w:ascii="Arial" w:cs="Arial" w:eastAsia="Arial" w:hAnsi="Arial"/>
                <w:sz w:val="14"/>
                <w:szCs w:val="14"/>
                <w:color w:val="auto"/>
                <w:w w:val="95"/>
              </w:rPr>
              <w:t>to July 15, 2019</w:t>
            </w:r>
          </w:p>
        </w:tc>
        <w:tc>
          <w:tcPr>
            <w:tcW w:w="0" w:type="dxa"/>
            <w:vAlign w:val="bottom"/>
          </w:tcPr>
          <w:p>
            <w:pPr>
              <w:spacing w:after="0"/>
              <w:rPr>
                <w:sz w:val="1"/>
                <w:szCs w:val="1"/>
                <w:color w:val="auto"/>
              </w:rPr>
            </w:pPr>
          </w:p>
        </w:tc>
      </w:tr>
      <w:tr>
        <w:trPr>
          <w:trHeight w:val="210"/>
        </w:trPr>
        <w:tc>
          <w:tcPr>
            <w:tcW w:w="53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Balance at beginning of period</w:t>
            </w:r>
          </w:p>
        </w:tc>
        <w:tc>
          <w:tcPr>
            <w:tcW w:w="16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tcBorders>
            <w:shd w:val="clear" w:color="auto" w:fill="CCEEFF"/>
          </w:tcPr>
          <w:p>
            <w:pPr>
              <w:jc w:val="right"/>
              <w:ind w:right="15"/>
              <w:spacing w:after="0"/>
              <w:rPr>
                <w:sz w:val="20"/>
                <w:szCs w:val="20"/>
                <w:color w:val="auto"/>
              </w:rPr>
            </w:pPr>
            <w:r>
              <w:rPr>
                <w:rFonts w:ascii="Arial" w:cs="Arial" w:eastAsia="Arial" w:hAnsi="Arial"/>
                <w:sz w:val="18"/>
                <w:szCs w:val="18"/>
                <w:color w:val="auto"/>
              </w:rPr>
              <w:t>—</w:t>
            </w:r>
          </w:p>
        </w:tc>
        <w:tc>
          <w:tcPr>
            <w:tcW w:w="8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tcBorders>
            <w:shd w:val="clear" w:color="auto" w:fill="CCEEFF"/>
          </w:tcPr>
          <w:p>
            <w:pPr>
              <w:ind w:left="780"/>
              <w:spacing w:after="0"/>
              <w:rPr>
                <w:sz w:val="20"/>
                <w:szCs w:val="20"/>
                <w:color w:val="auto"/>
              </w:rPr>
            </w:pPr>
            <w:r>
              <w:rPr>
                <w:rFonts w:ascii="Arial" w:cs="Arial" w:eastAsia="Arial" w:hAnsi="Arial"/>
                <w:sz w:val="18"/>
                <w:szCs w:val="18"/>
                <w:color w:val="auto"/>
              </w:rPr>
              <w:t>—</w:t>
            </w:r>
          </w:p>
        </w:tc>
        <w:tc>
          <w:tcPr>
            <w:tcW w:w="260" w:type="dxa"/>
            <w:vAlign w:val="bottom"/>
            <w:tcBorders>
              <w:top w:val="single" w:sz="8" w:color="CCEEFF"/>
              <w:right w:val="single" w:sz="8" w:color="auto"/>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tcBorders>
            <w:shd w:val="clear" w:color="auto" w:fill="CCEEFF"/>
          </w:tcPr>
          <w:p>
            <w:pPr>
              <w:ind w:left="560"/>
              <w:spacing w:after="0"/>
              <w:rPr>
                <w:sz w:val="20"/>
                <w:szCs w:val="20"/>
                <w:color w:val="auto"/>
              </w:rPr>
            </w:pPr>
            <w:r>
              <w:rPr>
                <w:rFonts w:ascii="Arial" w:cs="Arial" w:eastAsia="Arial" w:hAnsi="Arial"/>
                <w:sz w:val="18"/>
                <w:szCs w:val="18"/>
                <w:color w:val="auto"/>
              </w:rPr>
              <w:t>—</w:t>
            </w: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80" w:type="dxa"/>
            <w:vAlign w:val="bottom"/>
          </w:tcPr>
          <w:p>
            <w:pPr>
              <w:ind w:left="360"/>
              <w:spacing w:after="0"/>
              <w:rPr>
                <w:sz w:val="20"/>
                <w:szCs w:val="20"/>
                <w:color w:val="auto"/>
              </w:rPr>
            </w:pPr>
            <w:r>
              <w:rPr>
                <w:rFonts w:ascii="Arial" w:cs="Arial" w:eastAsia="Arial" w:hAnsi="Arial"/>
                <w:sz w:val="18"/>
                <w:szCs w:val="18"/>
                <w:color w:val="auto"/>
              </w:rPr>
              <w:t>Additions</w:t>
            </w:r>
          </w:p>
        </w:tc>
        <w:tc>
          <w:tcPr>
            <w:tcW w:w="1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gridSpan w:val="2"/>
          </w:tcPr>
          <w:p>
            <w:pPr>
              <w:jc w:val="right"/>
              <w:ind w:right="80"/>
              <w:spacing w:after="0"/>
              <w:rPr>
                <w:sz w:val="20"/>
                <w:szCs w:val="20"/>
                <w:color w:val="auto"/>
              </w:rPr>
            </w:pPr>
            <w:r>
              <w:rPr>
                <w:rFonts w:ascii="Arial" w:cs="Arial" w:eastAsia="Arial" w:hAnsi="Arial"/>
                <w:sz w:val="18"/>
                <w:szCs w:val="18"/>
                <w:color w:val="auto"/>
              </w:rPr>
              <w:t>2,600</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tcPr>
          <w:p>
            <w:pPr>
              <w:ind w:left="780"/>
              <w:spacing w:after="0"/>
              <w:rPr>
                <w:sz w:val="20"/>
                <w:szCs w:val="20"/>
                <w:color w:val="auto"/>
              </w:rPr>
            </w:pPr>
            <w:r>
              <w:rPr>
                <w:rFonts w:ascii="Arial" w:cs="Arial" w:eastAsia="Arial" w:hAnsi="Arial"/>
                <w:sz w:val="18"/>
                <w:szCs w:val="18"/>
                <w:color w:val="auto"/>
              </w:rPr>
              <w:t>—</w:t>
            </w:r>
          </w:p>
        </w:tc>
        <w:tc>
          <w:tcPr>
            <w:tcW w:w="260" w:type="dxa"/>
            <w:vAlign w:val="bottom"/>
            <w:tcBorders>
              <w:right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ind w:left="5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3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Net change in fair value and other adjustments</w:t>
            </w:r>
          </w:p>
        </w:tc>
        <w:tc>
          <w:tcPr>
            <w:tcW w:w="1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2,636</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40" w:type="dxa"/>
            <w:vAlign w:val="bottom"/>
            <w:shd w:val="clear" w:color="auto" w:fill="CCEEFF"/>
          </w:tcPr>
          <w:p>
            <w:pPr>
              <w:ind w:left="780"/>
              <w:spacing w:after="0"/>
              <w:rPr>
                <w:sz w:val="20"/>
                <w:szCs w:val="20"/>
                <w:color w:val="auto"/>
              </w:rPr>
            </w:pPr>
            <w:r>
              <w:rPr>
                <w:rFonts w:ascii="Arial" w:cs="Arial" w:eastAsia="Arial" w:hAnsi="Arial"/>
                <w:sz w:val="18"/>
                <w:szCs w:val="18"/>
                <w:color w:val="auto"/>
              </w:rPr>
              <w:t>—</w:t>
            </w:r>
          </w:p>
        </w:tc>
        <w:tc>
          <w:tcPr>
            <w:tcW w:w="260" w:type="dxa"/>
            <w:vAlign w:val="bottom"/>
            <w:tcBorders>
              <w:right w:val="single" w:sz="8" w:color="auto"/>
            </w:tcBorders>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ind w:left="5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5380" w:type="dxa"/>
            <w:vAlign w:val="bottom"/>
          </w:tcPr>
          <w:p>
            <w:pPr>
              <w:ind w:left="360"/>
              <w:spacing w:after="0"/>
              <w:rPr>
                <w:sz w:val="20"/>
                <w:szCs w:val="20"/>
                <w:color w:val="auto"/>
              </w:rPr>
            </w:pPr>
            <w:r>
              <w:rPr>
                <w:rFonts w:ascii="Arial" w:cs="Arial" w:eastAsia="Arial" w:hAnsi="Arial"/>
                <w:sz w:val="18"/>
                <w:szCs w:val="18"/>
                <w:color w:val="auto"/>
              </w:rPr>
              <w:t>Payments</w:t>
            </w:r>
          </w:p>
        </w:tc>
        <w:tc>
          <w:tcPr>
            <w:tcW w:w="168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15"/>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ind w:left="780"/>
              <w:spacing w:after="0"/>
              <w:rPr>
                <w:sz w:val="20"/>
                <w:szCs w:val="20"/>
                <w:color w:val="auto"/>
              </w:rPr>
            </w:pPr>
            <w:r>
              <w:rPr>
                <w:rFonts w:ascii="Arial" w:cs="Arial" w:eastAsia="Arial" w:hAnsi="Arial"/>
                <w:sz w:val="18"/>
                <w:szCs w:val="18"/>
                <w:color w:val="auto"/>
              </w:rPr>
              <w:t>—</w:t>
            </w:r>
          </w:p>
        </w:tc>
        <w:tc>
          <w:tcPr>
            <w:tcW w:w="260" w:type="dxa"/>
            <w:vAlign w:val="bottom"/>
            <w:tcBorders>
              <w:right w:val="single" w:sz="8" w:color="auto"/>
            </w:tcBorders>
          </w:tcPr>
          <w:p>
            <w:pPr>
              <w:spacing w:after="0"/>
              <w:rPr>
                <w:sz w:val="19"/>
                <w:szCs w:val="19"/>
                <w:color w:val="auto"/>
              </w:rPr>
            </w:pPr>
          </w:p>
        </w:tc>
        <w:tc>
          <w:tcPr>
            <w:tcW w:w="2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ind w:left="56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5380" w:type="dxa"/>
            <w:vAlign w:val="bottom"/>
            <w:shd w:val="clear" w:color="auto" w:fill="CCEEFF"/>
          </w:tcPr>
          <w:p>
            <w:pPr>
              <w:spacing w:after="0"/>
              <w:rPr>
                <w:sz w:val="20"/>
                <w:szCs w:val="20"/>
                <w:color w:val="auto"/>
              </w:rPr>
            </w:pPr>
            <w:r>
              <w:rPr>
                <w:rFonts w:ascii="Arial" w:cs="Arial" w:eastAsia="Arial" w:hAnsi="Arial"/>
                <w:sz w:val="18"/>
                <w:szCs w:val="18"/>
                <w:color w:val="auto"/>
              </w:rPr>
              <w:t>Balance at end of period</w:t>
            </w:r>
          </w:p>
        </w:tc>
        <w:tc>
          <w:tcPr>
            <w:tcW w:w="1840" w:type="dxa"/>
            <w:vAlign w:val="bottom"/>
            <w:gridSpan w:val="2"/>
            <w:shd w:val="clear" w:color="auto" w:fill="CCEEFF"/>
          </w:tcPr>
          <w:p>
            <w:pPr>
              <w:jc w:val="right"/>
              <w:ind w:right="7"/>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5,236</w:t>
            </w: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ind w:left="780"/>
              <w:spacing w:after="0"/>
              <w:rPr>
                <w:sz w:val="20"/>
                <w:szCs w:val="20"/>
                <w:color w:val="auto"/>
              </w:rPr>
            </w:pPr>
            <w:r>
              <w:rPr>
                <w:rFonts w:ascii="Arial" w:cs="Arial" w:eastAsia="Arial" w:hAnsi="Arial"/>
                <w:sz w:val="18"/>
                <w:szCs w:val="18"/>
                <w:color w:val="auto"/>
              </w:rPr>
              <w:t>—</w:t>
            </w:r>
          </w:p>
        </w:tc>
        <w:tc>
          <w:tcPr>
            <w:tcW w:w="260" w:type="dxa"/>
            <w:vAlign w:val="bottom"/>
            <w:tcBorders>
              <w:right w:val="single" w:sz="8" w:color="auto"/>
            </w:tcBorders>
            <w:shd w:val="clear" w:color="auto" w:fill="CCEEFF"/>
          </w:tcPr>
          <w:p>
            <w:pPr>
              <w:spacing w:after="0"/>
              <w:rPr>
                <w:sz w:val="18"/>
                <w:szCs w:val="18"/>
                <w:color w:val="auto"/>
              </w:rPr>
            </w:pP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ind w:left="5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538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right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560"/>
        <w:spacing w:after="0"/>
        <w:rPr>
          <w:sz w:val="20"/>
          <w:szCs w:val="20"/>
          <w:color w:val="auto"/>
        </w:rPr>
      </w:pPr>
      <w:r>
        <w:rPr>
          <w:rFonts w:ascii="Arial" w:cs="Arial" w:eastAsia="Arial" w:hAnsi="Arial"/>
          <w:sz w:val="17"/>
          <w:szCs w:val="17"/>
          <w:color w:val="auto"/>
        </w:rPr>
        <w:t>The valuation techniques and significant unobservable inputs used in recurring Level 3 fair value measurements were as follows as of</w:t>
      </w:r>
    </w:p>
    <w:p>
      <w:pPr>
        <w:spacing w:after="0" w:line="35" w:lineRule="exact"/>
        <w:rPr>
          <w:sz w:val="20"/>
          <w:szCs w:val="20"/>
          <w:color w:val="auto"/>
        </w:rPr>
      </w:pPr>
    </w:p>
    <w:p>
      <w:pPr>
        <w:ind w:left="120"/>
        <w:spacing w:after="0"/>
        <w:rPr>
          <w:sz w:val="20"/>
          <w:szCs w:val="20"/>
          <w:color w:val="auto"/>
        </w:rPr>
      </w:pPr>
      <w:r>
        <w:rPr>
          <w:rFonts w:ascii="Arial" w:cs="Arial" w:eastAsia="Arial" w:hAnsi="Arial"/>
          <w:sz w:val="18"/>
          <w:szCs w:val="18"/>
          <w:color w:val="auto"/>
        </w:rPr>
        <w:t>December 31, 2020:</w:t>
      </w:r>
    </w:p>
    <w:p>
      <w:pPr>
        <w:spacing w:after="0" w:line="233" w:lineRule="exact"/>
        <w:rPr>
          <w:sz w:val="20"/>
          <w:szCs w:val="20"/>
          <w:color w:val="auto"/>
        </w:rPr>
      </w:pPr>
    </w:p>
    <w:tbl>
      <w:tblPr>
        <w:tblLayout w:type="fixed"/>
        <w:tblInd w:w="120" w:type="dxa"/>
        <w:tblCellMar>
          <w:top w:w="0" w:type="dxa"/>
          <w:left w:w="0" w:type="dxa"/>
          <w:bottom w:w="0" w:type="dxa"/>
          <w:right w:w="0" w:type="dxa"/>
        </w:tblCellMar>
      </w:tblPr>
      <w:tr>
        <w:trPr>
          <w:trHeight w:val="181"/>
        </w:trPr>
        <w:tc>
          <w:tcPr>
            <w:tcW w:w="2520" w:type="dxa"/>
            <w:vAlign w:val="bottom"/>
          </w:tcPr>
          <w:p>
            <w:pPr>
              <w:spacing w:after="0"/>
              <w:rPr>
                <w:sz w:val="15"/>
                <w:szCs w:val="15"/>
                <w:color w:val="auto"/>
              </w:rPr>
            </w:pPr>
          </w:p>
        </w:tc>
        <w:tc>
          <w:tcPr>
            <w:tcW w:w="1140" w:type="dxa"/>
            <w:vAlign w:val="bottom"/>
            <w:gridSpan w:val="2"/>
          </w:tcPr>
          <w:p>
            <w:pPr>
              <w:jc w:val="right"/>
              <w:ind w:right="540"/>
              <w:spacing w:after="0"/>
              <w:rPr>
                <w:sz w:val="20"/>
                <w:szCs w:val="20"/>
                <w:color w:val="auto"/>
              </w:rPr>
            </w:pPr>
            <w:r>
              <w:rPr>
                <w:rFonts w:ascii="Arial" w:cs="Arial" w:eastAsia="Arial" w:hAnsi="Arial"/>
                <w:sz w:val="14"/>
                <w:szCs w:val="14"/>
                <w:color w:val="auto"/>
                <w:w w:val="90"/>
              </w:rPr>
              <w:t>Fair Value</w:t>
            </w:r>
          </w:p>
        </w:tc>
        <w:tc>
          <w:tcPr>
            <w:tcW w:w="4080" w:type="dxa"/>
            <w:vAlign w:val="bottom"/>
            <w:gridSpan w:val="2"/>
          </w:tcPr>
          <w:p>
            <w:pPr>
              <w:ind w:left="1280"/>
              <w:spacing w:after="0"/>
              <w:rPr>
                <w:sz w:val="20"/>
                <w:szCs w:val="20"/>
                <w:color w:val="auto"/>
              </w:rPr>
            </w:pPr>
            <w:r>
              <w:rPr>
                <w:rFonts w:ascii="Arial" w:cs="Arial" w:eastAsia="Arial" w:hAnsi="Arial"/>
                <w:sz w:val="14"/>
                <w:szCs w:val="14"/>
                <w:color w:val="auto"/>
              </w:rPr>
              <w:t>Valuation Technique</w:t>
            </w:r>
          </w:p>
        </w:tc>
        <w:tc>
          <w:tcPr>
            <w:tcW w:w="2080" w:type="dxa"/>
            <w:vAlign w:val="bottom"/>
            <w:gridSpan w:val="2"/>
          </w:tcPr>
          <w:p>
            <w:pPr>
              <w:ind w:left="280"/>
              <w:spacing w:after="0"/>
              <w:rPr>
                <w:sz w:val="20"/>
                <w:szCs w:val="20"/>
                <w:color w:val="auto"/>
              </w:rPr>
            </w:pPr>
            <w:r>
              <w:rPr>
                <w:rFonts w:ascii="Arial" w:cs="Arial" w:eastAsia="Arial" w:hAnsi="Arial"/>
                <w:sz w:val="14"/>
                <w:szCs w:val="14"/>
                <w:color w:val="auto"/>
              </w:rPr>
              <w:t>Unobservable Inputs</w:t>
            </w:r>
          </w:p>
        </w:tc>
        <w:tc>
          <w:tcPr>
            <w:tcW w:w="1200" w:type="dxa"/>
            <w:vAlign w:val="bottom"/>
            <w:gridSpan w:val="2"/>
          </w:tcPr>
          <w:p>
            <w:pPr>
              <w:jc w:val="right"/>
              <w:ind w:right="360"/>
              <w:spacing w:after="0"/>
              <w:rPr>
                <w:sz w:val="20"/>
                <w:szCs w:val="20"/>
                <w:color w:val="auto"/>
              </w:rPr>
            </w:pPr>
            <w:r>
              <w:rPr>
                <w:rFonts w:ascii="Arial" w:cs="Arial" w:eastAsia="Arial" w:hAnsi="Arial"/>
                <w:sz w:val="14"/>
                <w:szCs w:val="14"/>
                <w:color w:val="auto"/>
                <w:w w:val="93"/>
              </w:rPr>
              <w:t>Discount Rate</w:t>
            </w:r>
          </w:p>
        </w:tc>
        <w:tc>
          <w:tcPr>
            <w:tcW w:w="0" w:type="dxa"/>
            <w:vAlign w:val="bottom"/>
          </w:tcPr>
          <w:p>
            <w:pPr>
              <w:spacing w:after="0"/>
              <w:rPr>
                <w:sz w:val="1"/>
                <w:szCs w:val="1"/>
                <w:color w:val="auto"/>
              </w:rPr>
            </w:pPr>
          </w:p>
        </w:tc>
      </w:tr>
      <w:tr>
        <w:trPr>
          <w:trHeight w:val="20"/>
        </w:trPr>
        <w:tc>
          <w:tcPr>
            <w:tcW w:w="2520" w:type="dxa"/>
            <w:vAlign w:val="bottom"/>
            <w:vMerge w:val="restart"/>
            <w:shd w:val="clear" w:color="auto" w:fill="CCEEFF"/>
          </w:tcPr>
          <w:p>
            <w:pPr>
              <w:spacing w:after="0"/>
              <w:rPr>
                <w:sz w:val="20"/>
                <w:szCs w:val="20"/>
                <w:color w:val="auto"/>
              </w:rPr>
            </w:pPr>
            <w:r>
              <w:rPr>
                <w:rFonts w:ascii="Arial" w:cs="Arial" w:eastAsia="Arial" w:hAnsi="Arial"/>
                <w:sz w:val="18"/>
                <w:szCs w:val="18"/>
                <w:color w:val="auto"/>
              </w:rPr>
              <w:t>Earn-out liabilities</w:t>
            </w:r>
          </w:p>
        </w:tc>
        <w:tc>
          <w:tcPr>
            <w:tcW w:w="600" w:type="dxa"/>
            <w:vAlign w:val="bottom"/>
            <w:shd w:val="clear" w:color="auto" w:fill="000000"/>
          </w:tcPr>
          <w:p>
            <w:pPr>
              <w:spacing w:after="0" w:line="20" w:lineRule="exact"/>
              <w:rPr>
                <w:sz w:val="1"/>
                <w:szCs w:val="1"/>
                <w:color w:val="auto"/>
              </w:rPr>
            </w:pPr>
          </w:p>
        </w:tc>
        <w:tc>
          <w:tcPr>
            <w:tcW w:w="540" w:type="dxa"/>
            <w:vAlign w:val="bottom"/>
            <w:vMerge w:val="restart"/>
            <w:shd w:val="clear" w:color="auto" w:fill="CCEEFF"/>
          </w:tcPr>
          <w:p>
            <w:pPr>
              <w:spacing w:after="0" w:line="20" w:lineRule="exact"/>
              <w:rPr>
                <w:sz w:val="1"/>
                <w:szCs w:val="1"/>
                <w:color w:val="auto"/>
              </w:rPr>
            </w:pPr>
          </w:p>
        </w:tc>
        <w:tc>
          <w:tcPr>
            <w:tcW w:w="3740" w:type="dxa"/>
            <w:vAlign w:val="bottom"/>
            <w:shd w:val="clear" w:color="auto" w:fill="000000"/>
          </w:tcPr>
          <w:p>
            <w:pPr>
              <w:spacing w:after="0" w:line="20" w:lineRule="exact"/>
              <w:rPr>
                <w:sz w:val="1"/>
                <w:szCs w:val="1"/>
                <w:color w:val="auto"/>
              </w:rPr>
            </w:pPr>
          </w:p>
        </w:tc>
        <w:tc>
          <w:tcPr>
            <w:tcW w:w="340" w:type="dxa"/>
            <w:vAlign w:val="bottom"/>
            <w:vMerge w:val="restart"/>
            <w:shd w:val="clear" w:color="auto" w:fill="CCEEFF"/>
          </w:tcPr>
          <w:p>
            <w:pPr>
              <w:spacing w:after="0" w:line="20" w:lineRule="exact"/>
              <w:rPr>
                <w:sz w:val="1"/>
                <w:szCs w:val="1"/>
                <w:color w:val="auto"/>
              </w:rPr>
            </w:pPr>
          </w:p>
        </w:tc>
        <w:tc>
          <w:tcPr>
            <w:tcW w:w="1740" w:type="dxa"/>
            <w:vAlign w:val="bottom"/>
            <w:shd w:val="clear" w:color="auto" w:fill="000000"/>
          </w:tcPr>
          <w:p>
            <w:pPr>
              <w:spacing w:after="0" w:line="20" w:lineRule="exact"/>
              <w:rPr>
                <w:sz w:val="1"/>
                <w:szCs w:val="1"/>
                <w:color w:val="auto"/>
              </w:rPr>
            </w:pPr>
          </w:p>
        </w:tc>
        <w:tc>
          <w:tcPr>
            <w:tcW w:w="340" w:type="dxa"/>
            <w:vAlign w:val="bottom"/>
            <w:vMerge w:val="restart"/>
            <w:shd w:val="clear" w:color="auto" w:fill="CCEEFF"/>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34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520" w:type="dxa"/>
            <w:vAlign w:val="bottom"/>
            <w:vMerge w:val="continue"/>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6"/>
              </w:rPr>
              <w:t>$ 5,236</w:t>
            </w:r>
          </w:p>
        </w:tc>
        <w:tc>
          <w:tcPr>
            <w:tcW w:w="540" w:type="dxa"/>
            <w:vAlign w:val="bottom"/>
            <w:vMerge w:val="continue"/>
            <w:shd w:val="clear" w:color="auto" w:fill="CCEEFF"/>
          </w:tcPr>
          <w:p>
            <w:pPr>
              <w:spacing w:after="0"/>
              <w:rPr>
                <w:sz w:val="18"/>
                <w:szCs w:val="18"/>
                <w:color w:val="auto"/>
              </w:rPr>
            </w:pPr>
          </w:p>
        </w:tc>
        <w:tc>
          <w:tcPr>
            <w:tcW w:w="3740" w:type="dxa"/>
            <w:vAlign w:val="bottom"/>
            <w:shd w:val="clear" w:color="auto" w:fill="CCEEFF"/>
          </w:tcPr>
          <w:p>
            <w:pPr>
              <w:spacing w:after="0"/>
              <w:rPr>
                <w:sz w:val="20"/>
                <w:szCs w:val="20"/>
                <w:color w:val="auto"/>
              </w:rPr>
            </w:pPr>
            <w:r>
              <w:rPr>
                <w:rFonts w:ascii="Arial" w:cs="Arial" w:eastAsia="Arial" w:hAnsi="Arial"/>
                <w:sz w:val="18"/>
                <w:szCs w:val="18"/>
                <w:color w:val="auto"/>
              </w:rPr>
              <w:t>Income Approach (Real Option Method)</w:t>
            </w:r>
          </w:p>
        </w:tc>
        <w:tc>
          <w:tcPr>
            <w:tcW w:w="340" w:type="dxa"/>
            <w:vAlign w:val="bottom"/>
            <w:vMerge w:val="continue"/>
            <w:shd w:val="clear" w:color="auto" w:fill="CCEEFF"/>
          </w:tcPr>
          <w:p>
            <w:pPr>
              <w:spacing w:after="0"/>
              <w:rPr>
                <w:sz w:val="18"/>
                <w:szCs w:val="18"/>
                <w:color w:val="auto"/>
              </w:rPr>
            </w:pPr>
          </w:p>
        </w:tc>
        <w:tc>
          <w:tcPr>
            <w:tcW w:w="1740" w:type="dxa"/>
            <w:vAlign w:val="bottom"/>
            <w:shd w:val="clear" w:color="auto" w:fill="CCEEFF"/>
          </w:tcPr>
          <w:p>
            <w:pPr>
              <w:ind w:left="780"/>
              <w:spacing w:after="0"/>
              <w:rPr>
                <w:sz w:val="20"/>
                <w:szCs w:val="20"/>
                <w:color w:val="auto"/>
              </w:rPr>
            </w:pPr>
            <w:r>
              <w:rPr>
                <w:rFonts w:ascii="Arial" w:cs="Arial" w:eastAsia="Arial" w:hAnsi="Arial"/>
                <w:sz w:val="18"/>
                <w:szCs w:val="18"/>
                <w:color w:val="auto"/>
                <w:w w:val="88"/>
              </w:rPr>
              <w:t>Discount rate</w:t>
            </w:r>
          </w:p>
        </w:tc>
        <w:tc>
          <w:tcPr>
            <w:tcW w:w="340" w:type="dxa"/>
            <w:vAlign w:val="bottom"/>
            <w:vMerge w:val="continue"/>
            <w:shd w:val="clear" w:color="auto" w:fill="CCEEFF"/>
          </w:tcPr>
          <w:p>
            <w:pPr>
              <w:spacing w:after="0"/>
              <w:rPr>
                <w:sz w:val="18"/>
                <w:szCs w:val="18"/>
                <w:color w:val="auto"/>
              </w:rPr>
            </w:pPr>
          </w:p>
        </w:tc>
        <w:tc>
          <w:tcPr>
            <w:tcW w:w="12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6.5%</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120" w:right="20" w:firstLine="440"/>
        <w:spacing w:after="0" w:line="255" w:lineRule="auto"/>
        <w:rPr>
          <w:sz w:val="20"/>
          <w:szCs w:val="20"/>
          <w:color w:val="auto"/>
        </w:rPr>
      </w:pPr>
      <w:r>
        <w:rPr>
          <w:rFonts w:ascii="Arial" w:cs="Arial" w:eastAsia="Arial" w:hAnsi="Arial"/>
          <w:sz w:val="18"/>
          <w:szCs w:val="18"/>
          <w:color w:val="auto"/>
        </w:rPr>
        <w:t xml:space="preserve">Certain assets and liabilities, including property, plant and equipment, goodwill and other intangible assets, are measured at fair value on a non-recurring basis. These assets are remeasured when the derived fair value is below the carrying value on the Company’s consolidated balance sheet. For these assets, the Company does not periodically adjust carrying value to fair value except in the event of impairment. When impairment has occurred, the Company measures the required charges and adjusts the carrying value as discussed in Note 2. </w:t>
      </w:r>
      <w:r>
        <w:rPr>
          <w:rFonts w:ascii="Arial" w:cs="Arial" w:eastAsia="Arial" w:hAnsi="Arial"/>
          <w:sz w:val="18"/>
          <w:szCs w:val="18"/>
          <w:i w:val="1"/>
          <w:iCs w:val="1"/>
          <w:color w:val="auto"/>
        </w:rPr>
        <w:t>Summary of Significant Accounting</w:t>
      </w:r>
      <w:r>
        <w:rPr>
          <w:rFonts w:ascii="Arial" w:cs="Arial" w:eastAsia="Arial" w:hAnsi="Arial"/>
          <w:sz w:val="18"/>
          <w:szCs w:val="18"/>
          <w:color w:val="auto"/>
        </w:rPr>
        <w:t xml:space="preserve"> </w:t>
      </w:r>
      <w:r>
        <w:rPr>
          <w:rFonts w:ascii="Arial" w:cs="Arial" w:eastAsia="Arial" w:hAnsi="Arial"/>
          <w:sz w:val="18"/>
          <w:szCs w:val="18"/>
          <w:i w:val="1"/>
          <w:iCs w:val="1"/>
          <w:color w:val="auto"/>
        </w:rPr>
        <w:t>Policies</w:t>
      </w:r>
      <w:r>
        <w:rPr>
          <w:rFonts w:ascii="Arial" w:cs="Arial" w:eastAsia="Arial" w:hAnsi="Arial"/>
          <w:sz w:val="18"/>
          <w:szCs w:val="18"/>
          <w:color w:val="auto"/>
        </w:rPr>
        <w:t>. For discussion about the impairment testing of assets not measured at fair value on a recurring basis see Note 7.</w:t>
      </w:r>
      <w:r>
        <w:rPr>
          <w:rFonts w:ascii="Arial" w:cs="Arial" w:eastAsia="Arial" w:hAnsi="Arial"/>
          <w:sz w:val="18"/>
          <w:szCs w:val="18"/>
          <w:i w:val="1"/>
          <w:iCs w:val="1"/>
          <w:color w:val="auto"/>
        </w:rPr>
        <w:t xml:space="preserve"> Goodwill and Intangible Assets </w:t>
      </w:r>
      <w:r>
        <w:rPr>
          <w:rFonts w:ascii="Arial" w:cs="Arial" w:eastAsia="Arial" w:hAnsi="Arial"/>
          <w:sz w:val="18"/>
          <w:szCs w:val="18"/>
          <w:color w:val="auto"/>
        </w:rPr>
        <w:t>for additional details.</w:t>
      </w:r>
    </w:p>
    <w:p>
      <w:pPr>
        <w:spacing w:after="0" w:line="341" w:lineRule="exact"/>
        <w:rPr>
          <w:sz w:val="20"/>
          <w:szCs w:val="20"/>
          <w:color w:val="auto"/>
        </w:rPr>
      </w:pPr>
    </w:p>
    <w:p>
      <w:pPr>
        <w:ind w:left="540" w:hanging="424"/>
        <w:spacing w:after="0"/>
        <w:tabs>
          <w:tab w:leader="none" w:pos="540" w:val="left"/>
        </w:tabs>
        <w:numPr>
          <w:ilvl w:val="0"/>
          <w:numId w:val="193"/>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Accrued Expenses and Other Current Liabilities</w:t>
      </w:r>
    </w:p>
    <w:p>
      <w:pPr>
        <w:spacing w:after="0" w:line="117" w:lineRule="exact"/>
        <w:rPr>
          <w:rFonts w:ascii="Arial" w:cs="Arial" w:eastAsia="Arial" w:hAnsi="Arial"/>
          <w:sz w:val="18"/>
          <w:szCs w:val="18"/>
          <w:b w:val="1"/>
          <w:bCs w:val="1"/>
          <w:color w:val="auto"/>
        </w:rPr>
      </w:pPr>
    </w:p>
    <w:p>
      <w:pPr>
        <w:ind w:left="560"/>
        <w:spacing w:after="0"/>
        <w:rPr>
          <w:rFonts w:ascii="Arial" w:cs="Arial" w:eastAsia="Arial" w:hAnsi="Arial"/>
          <w:sz w:val="18"/>
          <w:szCs w:val="18"/>
          <w:b w:val="1"/>
          <w:bCs w:val="1"/>
          <w:color w:val="auto"/>
        </w:rPr>
      </w:pPr>
      <w:r>
        <w:rPr>
          <w:rFonts w:ascii="Arial" w:cs="Arial" w:eastAsia="Arial" w:hAnsi="Arial"/>
          <w:sz w:val="18"/>
          <w:szCs w:val="18"/>
          <w:color w:val="auto"/>
        </w:rPr>
        <w:t>Accrued expenses and other current liabilities consisted of the following (in thousands):</w:t>
      </w:r>
    </w:p>
    <w:p>
      <w:pPr>
        <w:spacing w:after="0" w:line="244" w:lineRule="exact"/>
        <w:rPr>
          <w:sz w:val="20"/>
          <w:szCs w:val="20"/>
          <w:color w:val="auto"/>
        </w:rPr>
      </w:pPr>
    </w:p>
    <w:tbl>
      <w:tblPr>
        <w:tblLayout w:type="fixed"/>
        <w:tblInd w:w="100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3920" w:type="dxa"/>
            <w:vAlign w:val="bottom"/>
          </w:tcPr>
          <w:p>
            <w:pPr>
              <w:spacing w:after="0"/>
              <w:rPr>
                <w:sz w:val="14"/>
                <w:szCs w:val="14"/>
                <w:color w:val="auto"/>
              </w:rPr>
            </w:pPr>
          </w:p>
        </w:tc>
        <w:tc>
          <w:tcPr>
            <w:tcW w:w="1920" w:type="dxa"/>
            <w:vAlign w:val="bottom"/>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2200" w:type="dxa"/>
            <w:vAlign w:val="bottom"/>
            <w:tcBorders>
              <w:bottom w:val="single" w:sz="8" w:color="auto"/>
            </w:tcBorders>
            <w:gridSpan w:val="3"/>
          </w:tcPr>
          <w:p>
            <w:pPr>
              <w:ind w:left="680"/>
              <w:spacing w:after="0"/>
              <w:rPr>
                <w:sz w:val="20"/>
                <w:szCs w:val="20"/>
                <w:color w:val="auto"/>
              </w:rPr>
            </w:pPr>
            <w:r>
              <w:rPr>
                <w:rFonts w:ascii="Arial" w:cs="Arial" w:eastAsia="Arial" w:hAnsi="Arial"/>
                <w:sz w:val="14"/>
                <w:szCs w:val="14"/>
                <w:b w:val="1"/>
                <w:bCs w:val="1"/>
                <w:color w:val="auto"/>
              </w:rPr>
              <w:t>Successor Company</w:t>
            </w:r>
          </w:p>
        </w:tc>
        <w:tc>
          <w:tcPr>
            <w:tcW w:w="78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r>
      <w:tr>
        <w:trPr>
          <w:trHeight w:val="142"/>
        </w:trPr>
        <w:tc>
          <w:tcPr>
            <w:tcW w:w="20" w:type="dxa"/>
            <w:vAlign w:val="bottom"/>
          </w:tcPr>
          <w:p>
            <w:pPr>
              <w:spacing w:after="0"/>
              <w:rPr>
                <w:sz w:val="12"/>
                <w:szCs w:val="12"/>
                <w:color w:val="auto"/>
              </w:rPr>
            </w:pPr>
          </w:p>
        </w:tc>
        <w:tc>
          <w:tcPr>
            <w:tcW w:w="3920" w:type="dxa"/>
            <w:vAlign w:val="bottom"/>
          </w:tcPr>
          <w:p>
            <w:pPr>
              <w:spacing w:after="0"/>
              <w:rPr>
                <w:sz w:val="12"/>
                <w:szCs w:val="12"/>
                <w:color w:val="auto"/>
              </w:rPr>
            </w:pPr>
          </w:p>
        </w:tc>
        <w:tc>
          <w:tcPr>
            <w:tcW w:w="1920" w:type="dxa"/>
            <w:vAlign w:val="bottom"/>
          </w:tcPr>
          <w:p>
            <w:pPr>
              <w:spacing w:after="0"/>
              <w:rPr>
                <w:sz w:val="12"/>
                <w:szCs w:val="12"/>
                <w:color w:val="auto"/>
              </w:rPr>
            </w:pPr>
          </w:p>
        </w:tc>
        <w:tc>
          <w:tcPr>
            <w:tcW w:w="1120" w:type="dxa"/>
            <w:vAlign w:val="bottom"/>
            <w:gridSpan w:val="2"/>
          </w:tcPr>
          <w:p>
            <w:pPr>
              <w:jc w:val="right"/>
              <w:spacing w:after="0" w:line="142" w:lineRule="exact"/>
              <w:rPr>
                <w:sz w:val="20"/>
                <w:szCs w:val="20"/>
                <w:color w:val="auto"/>
              </w:rPr>
            </w:pPr>
            <w:r>
              <w:rPr>
                <w:rFonts w:ascii="Arial" w:cs="Arial" w:eastAsia="Arial" w:hAnsi="Arial"/>
                <w:sz w:val="14"/>
                <w:szCs w:val="14"/>
                <w:color w:val="auto"/>
                <w:w w:val="89"/>
              </w:rPr>
              <w:t>December 31, 2020</w:t>
            </w:r>
          </w:p>
        </w:tc>
        <w:tc>
          <w:tcPr>
            <w:tcW w:w="2220" w:type="dxa"/>
            <w:vAlign w:val="bottom"/>
            <w:gridSpan w:val="3"/>
          </w:tcPr>
          <w:p>
            <w:pPr>
              <w:ind w:left="1080"/>
              <w:spacing w:after="0" w:line="142" w:lineRule="exact"/>
              <w:rPr>
                <w:sz w:val="20"/>
                <w:szCs w:val="20"/>
                <w:color w:val="auto"/>
              </w:rPr>
            </w:pPr>
            <w:r>
              <w:rPr>
                <w:rFonts w:ascii="Arial" w:cs="Arial" w:eastAsia="Arial" w:hAnsi="Arial"/>
                <w:sz w:val="14"/>
                <w:szCs w:val="14"/>
                <w:color w:val="auto"/>
                <w:w w:val="91"/>
              </w:rPr>
              <w:t>December 31, 2019</w:t>
            </w:r>
          </w:p>
        </w:tc>
        <w:tc>
          <w:tcPr>
            <w:tcW w:w="60" w:type="dxa"/>
            <w:vAlign w:val="bottom"/>
          </w:tcPr>
          <w:p>
            <w:pPr>
              <w:spacing w:after="0"/>
              <w:rPr>
                <w:sz w:val="12"/>
                <w:szCs w:val="12"/>
                <w:color w:val="auto"/>
              </w:rPr>
            </w:pPr>
          </w:p>
        </w:tc>
      </w:tr>
      <w:tr>
        <w:trPr>
          <w:trHeight w:val="209"/>
        </w:trPr>
        <w:tc>
          <w:tcPr>
            <w:tcW w:w="20" w:type="dxa"/>
            <w:vAlign w:val="bottom"/>
          </w:tcPr>
          <w:p>
            <w:pPr>
              <w:spacing w:after="0"/>
              <w:rPr>
                <w:sz w:val="18"/>
                <w:szCs w:val="18"/>
                <w:color w:val="auto"/>
              </w:rPr>
            </w:pPr>
          </w:p>
        </w:tc>
        <w:tc>
          <w:tcPr>
            <w:tcW w:w="39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Payroll and payroll-related</w:t>
            </w:r>
          </w:p>
        </w:tc>
        <w:tc>
          <w:tcPr>
            <w:tcW w:w="192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jc w:val="right"/>
              <w:ind w:right="207"/>
              <w:spacing w:after="0"/>
              <w:rPr>
                <w:sz w:val="20"/>
                <w:szCs w:val="20"/>
                <w:color w:val="auto"/>
              </w:rPr>
            </w:pPr>
            <w:r>
              <w:rPr>
                <w:rFonts w:ascii="Arial" w:cs="Arial" w:eastAsia="Arial" w:hAnsi="Arial"/>
                <w:sz w:val="15"/>
                <w:szCs w:val="15"/>
                <w:color w:val="auto"/>
                <w:w w:val="71"/>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7,792</w:t>
            </w:r>
          </w:p>
        </w:tc>
        <w:tc>
          <w:tcPr>
            <w:tcW w:w="108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3,879</w:t>
            </w:r>
          </w:p>
        </w:tc>
        <w:tc>
          <w:tcPr>
            <w:tcW w:w="60" w:type="dxa"/>
            <w:vAlign w:val="bottom"/>
            <w:tcBorders>
              <w:top w:val="single" w:sz="8" w:color="CCEEFF"/>
            </w:tcBorders>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920" w:type="dxa"/>
            <w:vAlign w:val="bottom"/>
          </w:tcPr>
          <w:p>
            <w:pPr>
              <w:spacing w:after="0"/>
              <w:rPr>
                <w:sz w:val="20"/>
                <w:szCs w:val="20"/>
                <w:color w:val="auto"/>
              </w:rPr>
            </w:pPr>
            <w:r>
              <w:rPr>
                <w:rFonts w:ascii="Arial" w:cs="Arial" w:eastAsia="Arial" w:hAnsi="Arial"/>
                <w:sz w:val="18"/>
                <w:szCs w:val="18"/>
                <w:color w:val="auto"/>
              </w:rPr>
              <w:t>Accrued interest</w:t>
            </w:r>
          </w:p>
        </w:tc>
        <w:tc>
          <w:tcPr>
            <w:tcW w:w="19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5,365</w:t>
            </w:r>
          </w:p>
        </w:tc>
        <w:tc>
          <w:tcPr>
            <w:tcW w:w="10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4,215</w:t>
            </w:r>
          </w:p>
        </w:tc>
        <w:tc>
          <w:tcPr>
            <w:tcW w:w="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920" w:type="dxa"/>
            <w:vAlign w:val="bottom"/>
            <w:shd w:val="clear" w:color="auto" w:fill="CCEEFF"/>
          </w:tcPr>
          <w:p>
            <w:pPr>
              <w:spacing w:after="0"/>
              <w:rPr>
                <w:sz w:val="20"/>
                <w:szCs w:val="20"/>
                <w:color w:val="auto"/>
              </w:rPr>
            </w:pPr>
            <w:r>
              <w:rPr>
                <w:rFonts w:ascii="Arial" w:cs="Arial" w:eastAsia="Arial" w:hAnsi="Arial"/>
                <w:sz w:val="18"/>
                <w:szCs w:val="18"/>
                <w:color w:val="auto"/>
              </w:rPr>
              <w:t>Contingent consideration, current</w:t>
            </w:r>
          </w:p>
        </w:tc>
        <w:tc>
          <w:tcPr>
            <w:tcW w:w="19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1,500</w:t>
            </w:r>
          </w:p>
        </w:tc>
        <w:tc>
          <w:tcPr>
            <w:tcW w:w="10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40" w:type="dxa"/>
            <w:vAlign w:val="bottom"/>
            <w:gridSpan w:val="2"/>
            <w:shd w:val="clear" w:color="auto" w:fill="CCEEFF"/>
          </w:tcPr>
          <w:p>
            <w:pPr>
              <w:ind w:left="50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3920" w:type="dxa"/>
            <w:vAlign w:val="bottom"/>
          </w:tcPr>
          <w:p>
            <w:pPr>
              <w:spacing w:after="0"/>
              <w:rPr>
                <w:sz w:val="20"/>
                <w:szCs w:val="20"/>
                <w:color w:val="auto"/>
              </w:rPr>
            </w:pPr>
            <w:r>
              <w:rPr>
                <w:rFonts w:ascii="Arial" w:cs="Arial" w:eastAsia="Arial" w:hAnsi="Arial"/>
                <w:sz w:val="18"/>
                <w:szCs w:val="18"/>
                <w:color w:val="auto"/>
              </w:rPr>
              <w:t>Sales taxes</w:t>
            </w:r>
          </w:p>
        </w:tc>
        <w:tc>
          <w:tcPr>
            <w:tcW w:w="19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649</w:t>
            </w:r>
          </w:p>
        </w:tc>
        <w:tc>
          <w:tcPr>
            <w:tcW w:w="10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1,916</w:t>
            </w:r>
          </w:p>
        </w:tc>
        <w:tc>
          <w:tcPr>
            <w:tcW w:w="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920" w:type="dxa"/>
            <w:vAlign w:val="bottom"/>
            <w:shd w:val="clear" w:color="auto" w:fill="CCEEFF"/>
          </w:tcPr>
          <w:p>
            <w:pPr>
              <w:spacing w:after="0"/>
              <w:rPr>
                <w:sz w:val="20"/>
                <w:szCs w:val="20"/>
                <w:color w:val="auto"/>
              </w:rPr>
            </w:pPr>
            <w:r>
              <w:rPr>
                <w:rFonts w:ascii="Arial" w:cs="Arial" w:eastAsia="Arial" w:hAnsi="Arial"/>
                <w:sz w:val="18"/>
                <w:szCs w:val="18"/>
                <w:color w:val="auto"/>
              </w:rPr>
              <w:t>Deferred rent</w:t>
            </w:r>
          </w:p>
        </w:tc>
        <w:tc>
          <w:tcPr>
            <w:tcW w:w="19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583</w:t>
            </w:r>
          </w:p>
        </w:tc>
        <w:tc>
          <w:tcPr>
            <w:tcW w:w="10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6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3920" w:type="dxa"/>
            <w:vAlign w:val="bottom"/>
          </w:tcPr>
          <w:p>
            <w:pPr>
              <w:spacing w:after="0"/>
              <w:rPr>
                <w:sz w:val="20"/>
                <w:szCs w:val="20"/>
                <w:color w:val="auto"/>
              </w:rPr>
            </w:pPr>
            <w:r>
              <w:rPr>
                <w:rFonts w:ascii="Arial" w:cs="Arial" w:eastAsia="Arial" w:hAnsi="Arial"/>
                <w:sz w:val="18"/>
                <w:szCs w:val="18"/>
                <w:color w:val="auto"/>
              </w:rPr>
              <w:t>Other</w:t>
            </w:r>
          </w:p>
        </w:tc>
        <w:tc>
          <w:tcPr>
            <w:tcW w:w="192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1,432</w:t>
            </w:r>
          </w:p>
        </w:tc>
        <w:tc>
          <w:tcPr>
            <w:tcW w:w="108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321</w:t>
            </w:r>
          </w:p>
        </w:tc>
        <w:tc>
          <w:tcPr>
            <w:tcW w:w="6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3920" w:type="dxa"/>
            <w:vAlign w:val="bottom"/>
            <w:shd w:val="clear" w:color="auto" w:fill="CCEEFF"/>
          </w:tcPr>
          <w:p>
            <w:pPr>
              <w:spacing w:after="0"/>
              <w:rPr>
                <w:sz w:val="20"/>
                <w:szCs w:val="20"/>
                <w:color w:val="auto"/>
              </w:rPr>
            </w:pPr>
            <w:r>
              <w:rPr>
                <w:rFonts w:ascii="Arial" w:cs="Arial" w:eastAsia="Arial" w:hAnsi="Arial"/>
                <w:sz w:val="18"/>
                <w:szCs w:val="18"/>
                <w:color w:val="auto"/>
              </w:rPr>
              <w:t>Accrued expenses and other current liabilities</w:t>
            </w:r>
          </w:p>
        </w:tc>
        <w:tc>
          <w:tcPr>
            <w:tcW w:w="2280" w:type="dxa"/>
            <w:vAlign w:val="bottom"/>
            <w:gridSpan w:val="2"/>
            <w:shd w:val="clear" w:color="auto" w:fill="CCEEFF"/>
          </w:tcPr>
          <w:p>
            <w:pPr>
              <w:jc w:val="right"/>
              <w:ind w:right="207"/>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17,321</w:t>
            </w:r>
          </w:p>
        </w:tc>
        <w:tc>
          <w:tcPr>
            <w:tcW w:w="1440" w:type="dxa"/>
            <w:vAlign w:val="bottom"/>
            <w:gridSpan w:val="2"/>
            <w:shd w:val="clear" w:color="auto" w:fill="CCEEFF"/>
          </w:tcPr>
          <w:p>
            <w:pPr>
              <w:ind w:left="1080"/>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10,348</w:t>
            </w:r>
          </w:p>
        </w:tc>
        <w:tc>
          <w:tcPr>
            <w:tcW w:w="60" w:type="dxa"/>
            <w:vAlign w:val="bottom"/>
            <w:shd w:val="clear" w:color="auto" w:fill="CCEEFF"/>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392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359"/>
        </w:trPr>
        <w:tc>
          <w:tcPr>
            <w:tcW w:w="20" w:type="dxa"/>
            <w:vAlign w:val="bottom"/>
          </w:tcPr>
          <w:p>
            <w:pPr>
              <w:spacing w:after="0"/>
              <w:rPr>
                <w:sz w:val="24"/>
                <w:szCs w:val="24"/>
                <w:color w:val="auto"/>
              </w:rPr>
            </w:pPr>
          </w:p>
        </w:tc>
        <w:tc>
          <w:tcPr>
            <w:tcW w:w="3920" w:type="dxa"/>
            <w:vAlign w:val="bottom"/>
          </w:tcPr>
          <w:p>
            <w:pPr>
              <w:spacing w:after="0"/>
              <w:rPr>
                <w:sz w:val="24"/>
                <w:szCs w:val="24"/>
                <w:color w:val="auto"/>
              </w:rPr>
            </w:pPr>
          </w:p>
        </w:tc>
        <w:tc>
          <w:tcPr>
            <w:tcW w:w="2280" w:type="dxa"/>
            <w:vAlign w:val="bottom"/>
            <w:gridSpan w:val="2"/>
          </w:tcPr>
          <w:p>
            <w:pPr>
              <w:jc w:val="right"/>
              <w:ind w:right="1247"/>
              <w:spacing w:after="0"/>
              <w:rPr>
                <w:sz w:val="20"/>
                <w:szCs w:val="20"/>
                <w:color w:val="auto"/>
              </w:rPr>
            </w:pPr>
            <w:r>
              <w:rPr>
                <w:rFonts w:ascii="Arial" w:cs="Arial" w:eastAsia="Arial" w:hAnsi="Arial"/>
                <w:sz w:val="18"/>
                <w:szCs w:val="18"/>
                <w:color w:val="auto"/>
              </w:rPr>
              <w:t>F-37</w:t>
            </w:r>
          </w:p>
        </w:tc>
        <w:tc>
          <w:tcPr>
            <w:tcW w:w="7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60" w:type="dxa"/>
            <w:vAlign w:val="bottom"/>
          </w:tcPr>
          <w:p>
            <w:pPr>
              <w:spacing w:after="0"/>
              <w:rPr>
                <w:sz w:val="24"/>
                <w:szCs w:val="24"/>
                <w:color w:val="auto"/>
              </w:rPr>
            </w:pPr>
          </w:p>
        </w:tc>
      </w:tr>
    </w:tbl>
    <w:p>
      <w:pPr>
        <w:sectPr>
          <w:pgSz w:w="11900" w:h="16838" w:orient="portrait"/>
          <w:cols w:equalWidth="0" w:num="1">
            <w:col w:w="11140"/>
          </w:cols>
          <w:pgMar w:left="320" w:top="459" w:right="439" w:bottom="1440" w:gutter="0" w:footer="0" w:header="0"/>
        </w:sectPr>
      </w:pPr>
    </w:p>
    <w:bookmarkStart w:id="243" w:name="page244"/>
    <w:bookmarkEnd w:id="24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29">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Confidential Treatment Requested by Definitive Healthcare Corp.</w:t>
      </w:r>
    </w:p>
    <w:p>
      <w:pPr>
        <w:spacing w:after="0" w:line="27"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Pursuant to 17 C.F.R. Section 200.83</w:t>
      </w:r>
    </w:p>
    <w:p>
      <w:pPr>
        <w:spacing w:after="0" w:line="143" w:lineRule="exact"/>
        <w:rPr>
          <w:sz w:val="20"/>
          <w:szCs w:val="20"/>
          <w:color w:val="auto"/>
        </w:rPr>
      </w:pPr>
    </w:p>
    <w:p>
      <w:pPr>
        <w:ind w:left="540" w:hanging="424"/>
        <w:spacing w:after="0"/>
        <w:tabs>
          <w:tab w:leader="none" w:pos="540" w:val="left"/>
        </w:tabs>
        <w:numPr>
          <w:ilvl w:val="0"/>
          <w:numId w:val="194"/>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Commitments and Contingencies</w:t>
      </w:r>
    </w:p>
    <w:p>
      <w:pPr>
        <w:spacing w:after="0" w:line="117" w:lineRule="exact"/>
        <w:rPr>
          <w:rFonts w:ascii="Arial" w:cs="Arial" w:eastAsia="Arial" w:hAnsi="Arial"/>
          <w:sz w:val="18"/>
          <w:szCs w:val="18"/>
          <w:b w:val="1"/>
          <w:bCs w:val="1"/>
          <w:color w:val="auto"/>
        </w:rPr>
      </w:pPr>
    </w:p>
    <w:p>
      <w:pPr>
        <w:ind w:left="560"/>
        <w:spacing w:after="0"/>
        <w:rPr>
          <w:rFonts w:ascii="Arial" w:cs="Arial" w:eastAsia="Arial" w:hAnsi="Arial"/>
          <w:sz w:val="18"/>
          <w:szCs w:val="18"/>
          <w:b w:val="1"/>
          <w:bCs w:val="1"/>
          <w:color w:val="auto"/>
        </w:rPr>
      </w:pPr>
      <w:r>
        <w:rPr>
          <w:rFonts w:ascii="Arial" w:cs="Arial" w:eastAsia="Arial" w:hAnsi="Arial"/>
          <w:sz w:val="16"/>
          <w:szCs w:val="16"/>
          <w:color w:val="auto"/>
        </w:rPr>
        <w:t>The Company leases office facilities in Massachusetts, Vermont and Sweden, the terms of which expire at various times through the year 2030.</w:t>
      </w:r>
    </w:p>
    <w:p>
      <w:pPr>
        <w:spacing w:after="0" w:line="248" w:lineRule="exact"/>
        <w:rPr>
          <w:sz w:val="20"/>
          <w:szCs w:val="20"/>
          <w:color w:val="auto"/>
        </w:rPr>
      </w:pPr>
    </w:p>
    <w:p>
      <w:pPr>
        <w:ind w:left="120" w:right="360" w:firstLine="440"/>
        <w:spacing w:after="0" w:line="286" w:lineRule="auto"/>
        <w:rPr>
          <w:sz w:val="20"/>
          <w:szCs w:val="20"/>
          <w:color w:val="auto"/>
        </w:rPr>
      </w:pPr>
      <w:r>
        <w:rPr>
          <w:rFonts w:ascii="Arial" w:cs="Arial" w:eastAsia="Arial" w:hAnsi="Arial"/>
          <w:sz w:val="17"/>
          <w:szCs w:val="17"/>
          <w:color w:val="auto"/>
        </w:rPr>
        <w:t>Beginning in 2017, the Predecessor subleased one of its Massachusetts offices. The sublease term expired in August 2019 and the Company recorded sublease rental income of $0.1 million for the year ended December 31, 2019. The income was recorded as an offset to rent expense in the consolidated statements of income (loss). There was no income from any sublease agreements recorded in 2020.</w:t>
      </w:r>
    </w:p>
    <w:p>
      <w:pPr>
        <w:spacing w:after="0" w:line="165" w:lineRule="exact"/>
        <w:rPr>
          <w:sz w:val="20"/>
          <w:szCs w:val="20"/>
          <w:color w:val="auto"/>
        </w:rPr>
      </w:pPr>
    </w:p>
    <w:p>
      <w:pPr>
        <w:ind w:left="120" w:firstLine="440"/>
        <w:spacing w:after="0" w:line="279" w:lineRule="auto"/>
        <w:rPr>
          <w:sz w:val="20"/>
          <w:szCs w:val="20"/>
          <w:color w:val="auto"/>
        </w:rPr>
      </w:pPr>
      <w:r>
        <w:rPr>
          <w:rFonts w:ascii="Arial" w:cs="Arial" w:eastAsia="Arial" w:hAnsi="Arial"/>
          <w:sz w:val="17"/>
          <w:szCs w:val="17"/>
          <w:color w:val="auto"/>
        </w:rPr>
        <w:t>Total rent expense was $1.8 million for the year ended December 31, 2020 (Successor) and $0.6 million and $0.5 million for the periods from July 16, 2019 through December 31, 2019 (Successor) and from January 1, 2019 through July 15, 2019 (Predecessor), respectively, and was classified in selling, general, and administrative expense in the consolidated statements of income (loss). The Company signed a new office lease agreement in 2019 which commenced in 2020 and will continue through 2027. The table below is inclusive of the new lease.</w:t>
      </w:r>
    </w:p>
    <w:p>
      <w:pPr>
        <w:spacing w:after="0" w:line="17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Minimum future rental payments are expected to be as follows for each of the years ending December 31 (in thousands):</w:t>
      </w:r>
    </w:p>
    <w:p>
      <w:pPr>
        <w:spacing w:after="0" w:line="266" w:lineRule="exact"/>
        <w:rPr>
          <w:sz w:val="20"/>
          <w:szCs w:val="20"/>
          <w:color w:val="auto"/>
        </w:rPr>
      </w:pPr>
    </w:p>
    <w:tbl>
      <w:tblPr>
        <w:tblLayout w:type="fixed"/>
        <w:tblInd w:w="1880" w:type="dxa"/>
        <w:tblCellMar>
          <w:top w:w="0" w:type="dxa"/>
          <w:left w:w="0" w:type="dxa"/>
          <w:bottom w:w="0" w:type="dxa"/>
          <w:right w:w="0" w:type="dxa"/>
        </w:tblCellMar>
      </w:tblPr>
      <w:tr>
        <w:trPr>
          <w:trHeight w:val="216"/>
        </w:trPr>
        <w:tc>
          <w:tcPr>
            <w:tcW w:w="6800" w:type="dxa"/>
            <w:vAlign w:val="bottom"/>
            <w:shd w:val="clear" w:color="auto" w:fill="CCEEFF"/>
          </w:tcPr>
          <w:p>
            <w:pPr>
              <w:spacing w:after="0"/>
              <w:rPr>
                <w:sz w:val="20"/>
                <w:szCs w:val="20"/>
                <w:color w:val="auto"/>
              </w:rPr>
            </w:pPr>
            <w:r>
              <w:rPr>
                <w:rFonts w:ascii="Arial" w:cs="Arial" w:eastAsia="Arial" w:hAnsi="Arial"/>
                <w:sz w:val="18"/>
                <w:szCs w:val="18"/>
                <w:color w:val="auto"/>
              </w:rPr>
              <w:t>2021</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3,035</w:t>
            </w:r>
          </w:p>
        </w:tc>
      </w:tr>
      <w:tr>
        <w:trPr>
          <w:trHeight w:val="216"/>
        </w:trPr>
        <w:tc>
          <w:tcPr>
            <w:tcW w:w="6800" w:type="dxa"/>
            <w:vAlign w:val="bottom"/>
          </w:tcPr>
          <w:p>
            <w:pPr>
              <w:spacing w:after="0"/>
              <w:rPr>
                <w:sz w:val="20"/>
                <w:szCs w:val="20"/>
                <w:color w:val="auto"/>
              </w:rPr>
            </w:pPr>
            <w:r>
              <w:rPr>
                <w:rFonts w:ascii="Arial" w:cs="Arial" w:eastAsia="Arial" w:hAnsi="Arial"/>
                <w:sz w:val="18"/>
                <w:szCs w:val="18"/>
                <w:color w:val="auto"/>
              </w:rPr>
              <w:t>2022</w:t>
            </w:r>
          </w:p>
        </w:tc>
        <w:tc>
          <w:tcPr>
            <w:tcW w:w="100" w:type="dxa"/>
            <w:vAlign w:val="bottom"/>
          </w:tcPr>
          <w:p>
            <w:pPr>
              <w:spacing w:after="0"/>
              <w:rPr>
                <w:sz w:val="18"/>
                <w:szCs w:val="18"/>
                <w:color w:val="auto"/>
              </w:rPr>
            </w:pPr>
          </w:p>
        </w:tc>
        <w:tc>
          <w:tcPr>
            <w:tcW w:w="580" w:type="dxa"/>
            <w:vAlign w:val="bottom"/>
            <w:gridSpan w:val="2"/>
          </w:tcPr>
          <w:p>
            <w:pPr>
              <w:jc w:val="right"/>
              <w:ind w:right="60"/>
              <w:spacing w:after="0"/>
              <w:rPr>
                <w:sz w:val="20"/>
                <w:szCs w:val="20"/>
                <w:color w:val="auto"/>
              </w:rPr>
            </w:pPr>
            <w:r>
              <w:rPr>
                <w:rFonts w:ascii="Arial" w:cs="Arial" w:eastAsia="Arial" w:hAnsi="Arial"/>
                <w:sz w:val="18"/>
                <w:szCs w:val="18"/>
                <w:color w:val="auto"/>
              </w:rPr>
              <w:t>2,673</w:t>
            </w:r>
          </w:p>
        </w:tc>
      </w:tr>
      <w:tr>
        <w:trPr>
          <w:trHeight w:val="216"/>
        </w:trPr>
        <w:tc>
          <w:tcPr>
            <w:tcW w:w="6800" w:type="dxa"/>
            <w:vAlign w:val="bottom"/>
            <w:shd w:val="clear" w:color="auto" w:fill="CCEEFF"/>
          </w:tcPr>
          <w:p>
            <w:pPr>
              <w:spacing w:after="0"/>
              <w:rPr>
                <w:sz w:val="20"/>
                <w:szCs w:val="20"/>
                <w:color w:val="auto"/>
              </w:rPr>
            </w:pPr>
            <w:r>
              <w:rPr>
                <w:rFonts w:ascii="Arial" w:cs="Arial" w:eastAsia="Arial" w:hAnsi="Arial"/>
                <w:sz w:val="18"/>
                <w:szCs w:val="18"/>
                <w:color w:val="auto"/>
              </w:rPr>
              <w:t>2023</w:t>
            </w: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2,043</w:t>
            </w:r>
          </w:p>
        </w:tc>
      </w:tr>
      <w:tr>
        <w:trPr>
          <w:trHeight w:val="216"/>
        </w:trPr>
        <w:tc>
          <w:tcPr>
            <w:tcW w:w="6800" w:type="dxa"/>
            <w:vAlign w:val="bottom"/>
          </w:tcPr>
          <w:p>
            <w:pPr>
              <w:spacing w:after="0"/>
              <w:rPr>
                <w:sz w:val="20"/>
                <w:szCs w:val="20"/>
                <w:color w:val="auto"/>
              </w:rPr>
            </w:pPr>
            <w:r>
              <w:rPr>
                <w:rFonts w:ascii="Arial" w:cs="Arial" w:eastAsia="Arial" w:hAnsi="Arial"/>
                <w:sz w:val="18"/>
                <w:szCs w:val="18"/>
                <w:color w:val="auto"/>
              </w:rPr>
              <w:t>2024</w:t>
            </w:r>
          </w:p>
        </w:tc>
        <w:tc>
          <w:tcPr>
            <w:tcW w:w="100" w:type="dxa"/>
            <w:vAlign w:val="bottom"/>
          </w:tcPr>
          <w:p>
            <w:pPr>
              <w:spacing w:after="0"/>
              <w:rPr>
                <w:sz w:val="18"/>
                <w:szCs w:val="18"/>
                <w:color w:val="auto"/>
              </w:rPr>
            </w:pPr>
          </w:p>
        </w:tc>
        <w:tc>
          <w:tcPr>
            <w:tcW w:w="580" w:type="dxa"/>
            <w:vAlign w:val="bottom"/>
            <w:gridSpan w:val="2"/>
          </w:tcPr>
          <w:p>
            <w:pPr>
              <w:jc w:val="right"/>
              <w:ind w:right="60"/>
              <w:spacing w:after="0"/>
              <w:rPr>
                <w:sz w:val="20"/>
                <w:szCs w:val="20"/>
                <w:color w:val="auto"/>
              </w:rPr>
            </w:pPr>
            <w:r>
              <w:rPr>
                <w:rFonts w:ascii="Arial" w:cs="Arial" w:eastAsia="Arial" w:hAnsi="Arial"/>
                <w:sz w:val="18"/>
                <w:szCs w:val="18"/>
                <w:color w:val="auto"/>
              </w:rPr>
              <w:t>2,338</w:t>
            </w:r>
          </w:p>
        </w:tc>
      </w:tr>
      <w:tr>
        <w:trPr>
          <w:trHeight w:val="216"/>
        </w:trPr>
        <w:tc>
          <w:tcPr>
            <w:tcW w:w="6800" w:type="dxa"/>
            <w:vAlign w:val="bottom"/>
            <w:shd w:val="clear" w:color="auto" w:fill="CCEEFF"/>
          </w:tcPr>
          <w:p>
            <w:pPr>
              <w:spacing w:after="0"/>
              <w:rPr>
                <w:sz w:val="20"/>
                <w:szCs w:val="20"/>
                <w:color w:val="auto"/>
              </w:rPr>
            </w:pPr>
            <w:r>
              <w:rPr>
                <w:rFonts w:ascii="Arial" w:cs="Arial" w:eastAsia="Arial" w:hAnsi="Arial"/>
                <w:sz w:val="18"/>
                <w:szCs w:val="18"/>
                <w:color w:val="auto"/>
              </w:rPr>
              <w:t>2025</w:t>
            </w: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2,193</w:t>
            </w:r>
          </w:p>
        </w:tc>
      </w:tr>
      <w:tr>
        <w:trPr>
          <w:trHeight w:val="223"/>
        </w:trPr>
        <w:tc>
          <w:tcPr>
            <w:tcW w:w="6800" w:type="dxa"/>
            <w:vAlign w:val="bottom"/>
          </w:tcPr>
          <w:p>
            <w:pPr>
              <w:spacing w:after="0"/>
              <w:rPr>
                <w:sz w:val="20"/>
                <w:szCs w:val="20"/>
                <w:color w:val="auto"/>
              </w:rPr>
            </w:pPr>
            <w:r>
              <w:rPr>
                <w:rFonts w:ascii="Arial" w:cs="Arial" w:eastAsia="Arial" w:hAnsi="Arial"/>
                <w:sz w:val="18"/>
                <w:szCs w:val="18"/>
                <w:color w:val="auto"/>
              </w:rPr>
              <w:t>Thereafter</w:t>
            </w:r>
          </w:p>
        </w:tc>
        <w:tc>
          <w:tcPr>
            <w:tcW w:w="10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4,790</w:t>
            </w:r>
          </w:p>
        </w:tc>
        <w:tc>
          <w:tcPr>
            <w:tcW w:w="60" w:type="dxa"/>
            <w:vAlign w:val="bottom"/>
          </w:tcPr>
          <w:p>
            <w:pPr>
              <w:spacing w:after="0"/>
              <w:rPr>
                <w:sz w:val="19"/>
                <w:szCs w:val="19"/>
                <w:color w:val="auto"/>
              </w:rPr>
            </w:pPr>
          </w:p>
        </w:tc>
      </w:tr>
      <w:tr>
        <w:trPr>
          <w:trHeight w:val="216"/>
        </w:trPr>
        <w:tc>
          <w:tcPr>
            <w:tcW w:w="68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0"/>
              </w:rPr>
              <w:t>17,072</w:t>
            </w:r>
          </w:p>
        </w:tc>
      </w:tr>
      <w:tr>
        <w:trPr>
          <w:trHeight w:val="20"/>
        </w:trPr>
        <w:tc>
          <w:tcPr>
            <w:tcW w:w="68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15" w:lineRule="exact"/>
        <w:rPr>
          <w:sz w:val="20"/>
          <w:szCs w:val="20"/>
          <w:color w:val="auto"/>
        </w:rPr>
      </w:pPr>
    </w:p>
    <w:p>
      <w:pPr>
        <w:ind w:left="120" w:right="560" w:firstLine="440"/>
        <w:spacing w:after="0" w:line="308" w:lineRule="auto"/>
        <w:rPr>
          <w:sz w:val="20"/>
          <w:szCs w:val="20"/>
          <w:color w:val="auto"/>
        </w:rPr>
      </w:pPr>
      <w:r>
        <w:rPr>
          <w:rFonts w:ascii="Arial" w:cs="Arial" w:eastAsia="Arial" w:hAnsi="Arial"/>
          <w:sz w:val="17"/>
          <w:szCs w:val="17"/>
          <w:color w:val="auto"/>
        </w:rPr>
        <w:t>The Company also enters into other purchase obligations in the normal course of doing business. The estimated annual minimum purchase commitments under those agreements were as follows for each of the years ending December 31 (in thousands):</w:t>
      </w:r>
    </w:p>
    <w:p>
      <w:pPr>
        <w:spacing w:after="0" w:line="188" w:lineRule="exact"/>
        <w:rPr>
          <w:sz w:val="20"/>
          <w:szCs w:val="20"/>
          <w:color w:val="auto"/>
        </w:rPr>
      </w:pPr>
    </w:p>
    <w:tbl>
      <w:tblPr>
        <w:tblLayout w:type="fixed"/>
        <w:tblInd w:w="1880" w:type="dxa"/>
        <w:tblCellMar>
          <w:top w:w="0" w:type="dxa"/>
          <w:left w:w="0" w:type="dxa"/>
          <w:bottom w:w="0" w:type="dxa"/>
          <w:right w:w="0" w:type="dxa"/>
        </w:tblCellMar>
      </w:tblPr>
      <w:tr>
        <w:trPr>
          <w:trHeight w:val="216"/>
        </w:trPr>
        <w:tc>
          <w:tcPr>
            <w:tcW w:w="6800" w:type="dxa"/>
            <w:vAlign w:val="bottom"/>
            <w:shd w:val="clear" w:color="auto" w:fill="CCEEFF"/>
          </w:tcPr>
          <w:p>
            <w:pPr>
              <w:spacing w:after="0"/>
              <w:rPr>
                <w:sz w:val="20"/>
                <w:szCs w:val="20"/>
                <w:color w:val="auto"/>
              </w:rPr>
            </w:pPr>
            <w:r>
              <w:rPr>
                <w:rFonts w:ascii="Arial" w:cs="Arial" w:eastAsia="Arial" w:hAnsi="Arial"/>
                <w:sz w:val="18"/>
                <w:szCs w:val="18"/>
                <w:color w:val="auto"/>
              </w:rPr>
              <w:t>2021</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5,396</w:t>
            </w:r>
          </w:p>
        </w:tc>
      </w:tr>
      <w:tr>
        <w:trPr>
          <w:trHeight w:val="216"/>
        </w:trPr>
        <w:tc>
          <w:tcPr>
            <w:tcW w:w="6800" w:type="dxa"/>
            <w:vAlign w:val="bottom"/>
          </w:tcPr>
          <w:p>
            <w:pPr>
              <w:spacing w:after="0"/>
              <w:rPr>
                <w:sz w:val="20"/>
                <w:szCs w:val="20"/>
                <w:color w:val="auto"/>
              </w:rPr>
            </w:pPr>
            <w:r>
              <w:rPr>
                <w:rFonts w:ascii="Arial" w:cs="Arial" w:eastAsia="Arial" w:hAnsi="Arial"/>
                <w:sz w:val="18"/>
                <w:szCs w:val="18"/>
                <w:color w:val="auto"/>
              </w:rPr>
              <w:t>2022</w:t>
            </w:r>
          </w:p>
        </w:tc>
        <w:tc>
          <w:tcPr>
            <w:tcW w:w="100" w:type="dxa"/>
            <w:vAlign w:val="bottom"/>
          </w:tcPr>
          <w:p>
            <w:pPr>
              <w:spacing w:after="0"/>
              <w:rPr>
                <w:sz w:val="18"/>
                <w:szCs w:val="18"/>
                <w:color w:val="auto"/>
              </w:rPr>
            </w:pPr>
          </w:p>
        </w:tc>
        <w:tc>
          <w:tcPr>
            <w:tcW w:w="580" w:type="dxa"/>
            <w:vAlign w:val="bottom"/>
            <w:gridSpan w:val="2"/>
          </w:tcPr>
          <w:p>
            <w:pPr>
              <w:jc w:val="right"/>
              <w:ind w:right="60"/>
              <w:spacing w:after="0"/>
              <w:rPr>
                <w:sz w:val="20"/>
                <w:szCs w:val="20"/>
                <w:color w:val="auto"/>
              </w:rPr>
            </w:pPr>
            <w:r>
              <w:rPr>
                <w:rFonts w:ascii="Arial" w:cs="Arial" w:eastAsia="Arial" w:hAnsi="Arial"/>
                <w:sz w:val="18"/>
                <w:szCs w:val="18"/>
                <w:color w:val="auto"/>
              </w:rPr>
              <w:t>5,257</w:t>
            </w:r>
          </w:p>
        </w:tc>
      </w:tr>
      <w:tr>
        <w:trPr>
          <w:trHeight w:val="216"/>
        </w:trPr>
        <w:tc>
          <w:tcPr>
            <w:tcW w:w="6800" w:type="dxa"/>
            <w:vAlign w:val="bottom"/>
            <w:shd w:val="clear" w:color="auto" w:fill="CCEEFF"/>
          </w:tcPr>
          <w:p>
            <w:pPr>
              <w:spacing w:after="0"/>
              <w:rPr>
                <w:sz w:val="20"/>
                <w:szCs w:val="20"/>
                <w:color w:val="auto"/>
              </w:rPr>
            </w:pPr>
            <w:r>
              <w:rPr>
                <w:rFonts w:ascii="Arial" w:cs="Arial" w:eastAsia="Arial" w:hAnsi="Arial"/>
                <w:sz w:val="18"/>
                <w:szCs w:val="18"/>
                <w:color w:val="auto"/>
              </w:rPr>
              <w:t>2023</w:t>
            </w: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5,098</w:t>
            </w:r>
          </w:p>
        </w:tc>
      </w:tr>
      <w:tr>
        <w:trPr>
          <w:trHeight w:val="216"/>
        </w:trPr>
        <w:tc>
          <w:tcPr>
            <w:tcW w:w="6800" w:type="dxa"/>
            <w:vAlign w:val="bottom"/>
          </w:tcPr>
          <w:p>
            <w:pPr>
              <w:spacing w:after="0"/>
              <w:rPr>
                <w:sz w:val="20"/>
                <w:szCs w:val="20"/>
                <w:color w:val="auto"/>
              </w:rPr>
            </w:pPr>
            <w:r>
              <w:rPr>
                <w:rFonts w:ascii="Arial" w:cs="Arial" w:eastAsia="Arial" w:hAnsi="Arial"/>
                <w:sz w:val="18"/>
                <w:szCs w:val="18"/>
                <w:color w:val="auto"/>
              </w:rPr>
              <w:t>2024</w:t>
            </w:r>
          </w:p>
        </w:tc>
        <w:tc>
          <w:tcPr>
            <w:tcW w:w="100" w:type="dxa"/>
            <w:vAlign w:val="bottom"/>
          </w:tcPr>
          <w:p>
            <w:pPr>
              <w:spacing w:after="0"/>
              <w:rPr>
                <w:sz w:val="18"/>
                <w:szCs w:val="18"/>
                <w:color w:val="auto"/>
              </w:rPr>
            </w:pPr>
          </w:p>
        </w:tc>
        <w:tc>
          <w:tcPr>
            <w:tcW w:w="580" w:type="dxa"/>
            <w:vAlign w:val="bottom"/>
            <w:gridSpan w:val="2"/>
          </w:tcPr>
          <w:p>
            <w:pPr>
              <w:jc w:val="right"/>
              <w:ind w:right="60"/>
              <w:spacing w:after="0"/>
              <w:rPr>
                <w:sz w:val="20"/>
                <w:szCs w:val="20"/>
                <w:color w:val="auto"/>
              </w:rPr>
            </w:pPr>
            <w:r>
              <w:rPr>
                <w:rFonts w:ascii="Arial" w:cs="Arial" w:eastAsia="Arial" w:hAnsi="Arial"/>
                <w:sz w:val="18"/>
                <w:szCs w:val="18"/>
                <w:color w:val="auto"/>
              </w:rPr>
              <w:t>3,925</w:t>
            </w:r>
          </w:p>
        </w:tc>
      </w:tr>
      <w:tr>
        <w:trPr>
          <w:trHeight w:val="216"/>
        </w:trPr>
        <w:tc>
          <w:tcPr>
            <w:tcW w:w="6800" w:type="dxa"/>
            <w:vAlign w:val="bottom"/>
            <w:shd w:val="clear" w:color="auto" w:fill="CCEEFF"/>
          </w:tcPr>
          <w:p>
            <w:pPr>
              <w:spacing w:after="0"/>
              <w:rPr>
                <w:sz w:val="20"/>
                <w:szCs w:val="20"/>
                <w:color w:val="auto"/>
              </w:rPr>
            </w:pPr>
            <w:r>
              <w:rPr>
                <w:rFonts w:ascii="Arial" w:cs="Arial" w:eastAsia="Arial" w:hAnsi="Arial"/>
                <w:sz w:val="18"/>
                <w:szCs w:val="18"/>
                <w:color w:val="auto"/>
              </w:rPr>
              <w:t>2025</w:t>
            </w: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2,370</w:t>
            </w:r>
          </w:p>
        </w:tc>
      </w:tr>
      <w:tr>
        <w:trPr>
          <w:trHeight w:val="223"/>
        </w:trPr>
        <w:tc>
          <w:tcPr>
            <w:tcW w:w="6800" w:type="dxa"/>
            <w:vAlign w:val="bottom"/>
          </w:tcPr>
          <w:p>
            <w:pPr>
              <w:spacing w:after="0"/>
              <w:rPr>
                <w:sz w:val="20"/>
                <w:szCs w:val="20"/>
                <w:color w:val="auto"/>
              </w:rPr>
            </w:pPr>
            <w:r>
              <w:rPr>
                <w:rFonts w:ascii="Arial" w:cs="Arial" w:eastAsia="Arial" w:hAnsi="Arial"/>
                <w:sz w:val="18"/>
                <w:szCs w:val="18"/>
                <w:color w:val="auto"/>
              </w:rPr>
              <w:t>Thereafter</w:t>
            </w:r>
          </w:p>
        </w:tc>
        <w:tc>
          <w:tcPr>
            <w:tcW w:w="10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r>
      <w:tr>
        <w:trPr>
          <w:trHeight w:val="216"/>
        </w:trPr>
        <w:tc>
          <w:tcPr>
            <w:tcW w:w="68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0"/>
              </w:rPr>
              <w:t>22,046</w:t>
            </w:r>
          </w:p>
        </w:tc>
      </w:tr>
      <w:tr>
        <w:trPr>
          <w:trHeight w:val="20"/>
        </w:trPr>
        <w:tc>
          <w:tcPr>
            <w:tcW w:w="68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364" w:lineRule="exact"/>
        <w:rPr>
          <w:sz w:val="20"/>
          <w:szCs w:val="20"/>
          <w:color w:val="auto"/>
        </w:rPr>
      </w:pPr>
    </w:p>
    <w:p>
      <w:pPr>
        <w:ind w:left="560" w:right="9260" w:hanging="444"/>
        <w:spacing w:after="0" w:line="450" w:lineRule="auto"/>
        <w:tabs>
          <w:tab w:leader="none" w:pos="552" w:val="left"/>
        </w:tabs>
        <w:numPr>
          <w:ilvl w:val="0"/>
          <w:numId w:val="195"/>
        </w:numPr>
        <w:rPr>
          <w:rFonts w:ascii="Arial" w:cs="Arial" w:eastAsia="Arial" w:hAnsi="Arial"/>
          <w:sz w:val="15"/>
          <w:szCs w:val="15"/>
          <w:b w:val="1"/>
          <w:bCs w:val="1"/>
          <w:color w:val="auto"/>
        </w:rPr>
      </w:pPr>
      <w:r>
        <w:rPr>
          <w:rFonts w:ascii="Arial" w:cs="Arial" w:eastAsia="Arial" w:hAnsi="Arial"/>
          <w:sz w:val="15"/>
          <w:szCs w:val="15"/>
          <w:b w:val="1"/>
          <w:bCs w:val="1"/>
          <w:i w:val="1"/>
          <w:iCs w:val="1"/>
          <w:color w:val="auto"/>
        </w:rPr>
        <w:t xml:space="preserve">Members’ capital </w:t>
      </w:r>
      <w:r>
        <w:rPr>
          <w:rFonts w:ascii="Arial" w:cs="Arial" w:eastAsia="Arial" w:hAnsi="Arial"/>
          <w:sz w:val="15"/>
          <w:szCs w:val="15"/>
          <w:b w:val="1"/>
          <w:bCs w:val="1"/>
          <w:color w:val="auto"/>
        </w:rPr>
        <w:t>Successor</w:t>
      </w:r>
    </w:p>
    <w:p>
      <w:pPr>
        <w:spacing w:after="0" w:line="1" w:lineRule="exact"/>
        <w:rPr>
          <w:sz w:val="20"/>
          <w:szCs w:val="20"/>
          <w:color w:val="auto"/>
        </w:rPr>
      </w:pPr>
    </w:p>
    <w:p>
      <w:pPr>
        <w:ind w:left="120" w:right="700" w:firstLine="440"/>
        <w:spacing w:after="0" w:line="277" w:lineRule="auto"/>
        <w:rPr>
          <w:sz w:val="20"/>
          <w:szCs w:val="20"/>
          <w:color w:val="auto"/>
        </w:rPr>
      </w:pPr>
      <w:r>
        <w:rPr>
          <w:rFonts w:ascii="Arial" w:cs="Arial" w:eastAsia="Arial" w:hAnsi="Arial"/>
          <w:sz w:val="18"/>
          <w:szCs w:val="18"/>
          <w:color w:val="auto"/>
        </w:rPr>
        <w:t xml:space="preserve">As described in Note 1. </w:t>
      </w:r>
      <w:r>
        <w:rPr>
          <w:rFonts w:ascii="Arial" w:cs="Arial" w:eastAsia="Arial" w:hAnsi="Arial"/>
          <w:sz w:val="18"/>
          <w:szCs w:val="18"/>
          <w:i w:val="1"/>
          <w:iCs w:val="1"/>
          <w:color w:val="auto"/>
        </w:rPr>
        <w:t>Overview</w:t>
      </w:r>
      <w:r>
        <w:rPr>
          <w:rFonts w:ascii="Arial" w:cs="Arial" w:eastAsia="Arial" w:hAnsi="Arial"/>
          <w:sz w:val="18"/>
          <w:szCs w:val="18"/>
          <w:color w:val="auto"/>
        </w:rPr>
        <w:t xml:space="preserve"> and Note 3. Business </w:t>
      </w:r>
      <w:r>
        <w:rPr>
          <w:rFonts w:ascii="Arial" w:cs="Arial" w:eastAsia="Arial" w:hAnsi="Arial"/>
          <w:sz w:val="18"/>
          <w:szCs w:val="18"/>
          <w:i w:val="1"/>
          <w:iCs w:val="1"/>
          <w:color w:val="auto"/>
        </w:rPr>
        <w:t>Combinations</w:t>
      </w:r>
      <w:r>
        <w:rPr>
          <w:rFonts w:ascii="Arial" w:cs="Arial" w:eastAsia="Arial" w:hAnsi="Arial"/>
          <w:sz w:val="18"/>
          <w:szCs w:val="18"/>
          <w:color w:val="auto"/>
        </w:rPr>
        <w:t>, the Company was formed by Advent for the purpose of acquiring Definitive Holdco.</w:t>
      </w:r>
    </w:p>
    <w:p>
      <w:pPr>
        <w:spacing w:after="0" w:line="170" w:lineRule="exact"/>
        <w:rPr>
          <w:sz w:val="20"/>
          <w:szCs w:val="20"/>
          <w:color w:val="auto"/>
        </w:rPr>
      </w:pPr>
    </w:p>
    <w:p>
      <w:pPr>
        <w:ind w:left="120" w:right="360" w:firstLine="440"/>
        <w:spacing w:after="0" w:line="277" w:lineRule="auto"/>
        <w:rPr>
          <w:sz w:val="20"/>
          <w:szCs w:val="20"/>
          <w:color w:val="auto"/>
        </w:rPr>
      </w:pPr>
      <w:r>
        <w:rPr>
          <w:rFonts w:ascii="Arial" w:cs="Arial" w:eastAsia="Arial" w:hAnsi="Arial"/>
          <w:sz w:val="18"/>
          <w:szCs w:val="18"/>
          <w:color w:val="auto"/>
        </w:rPr>
        <w:t>Upon formation of the Company, two classes of units were established: Class A Units (“Class A Units”) and Class B Units (“Class B Units”), collectively the Units.</w:t>
      </w:r>
    </w:p>
    <w:p>
      <w:pPr>
        <w:spacing w:after="0" w:line="170" w:lineRule="exact"/>
        <w:rPr>
          <w:sz w:val="20"/>
          <w:szCs w:val="20"/>
          <w:color w:val="auto"/>
        </w:rPr>
      </w:pPr>
    </w:p>
    <w:p>
      <w:pPr>
        <w:ind w:left="120" w:right="180" w:firstLine="440"/>
        <w:spacing w:after="0" w:line="277" w:lineRule="auto"/>
        <w:rPr>
          <w:sz w:val="20"/>
          <w:szCs w:val="20"/>
          <w:color w:val="auto"/>
        </w:rPr>
      </w:pPr>
      <w:r>
        <w:rPr>
          <w:rFonts w:ascii="Arial" w:cs="Arial" w:eastAsia="Arial" w:hAnsi="Arial"/>
          <w:sz w:val="18"/>
          <w:szCs w:val="18"/>
          <w:color w:val="auto"/>
        </w:rPr>
        <w:t>On July 16, 2019, 100% of the issued and outstanding Legacy Common Units of Definitive Holdco were acquired by AIDH Buyer, an affiliated legal entity of Advent and a wholly owned subsidiary of the Company.</w:t>
      </w:r>
    </w:p>
    <w:p>
      <w:pPr>
        <w:spacing w:after="0" w:line="103" w:lineRule="exact"/>
        <w:rPr>
          <w:sz w:val="20"/>
          <w:szCs w:val="20"/>
          <w:color w:val="auto"/>
        </w:rPr>
      </w:pPr>
    </w:p>
    <w:p>
      <w:pPr>
        <w:jc w:val="center"/>
        <w:ind w:right="-359"/>
        <w:spacing w:after="0"/>
        <w:rPr>
          <w:sz w:val="20"/>
          <w:szCs w:val="20"/>
          <w:color w:val="auto"/>
        </w:rPr>
      </w:pPr>
      <w:r>
        <w:rPr>
          <w:rFonts w:ascii="Arial" w:cs="Arial" w:eastAsia="Arial" w:hAnsi="Arial"/>
          <w:sz w:val="18"/>
          <w:szCs w:val="18"/>
          <w:color w:val="auto"/>
        </w:rPr>
        <w:t>F-38</w:t>
      </w:r>
    </w:p>
    <w:p>
      <w:pPr>
        <w:sectPr>
          <w:pgSz w:w="11900" w:h="16838" w:orient="portrait"/>
          <w:cols w:equalWidth="0" w:num="1">
            <w:col w:w="11100"/>
          </w:cols>
          <w:pgMar w:left="320" w:top="459" w:right="479" w:bottom="1440" w:gutter="0" w:footer="0" w:header="0"/>
        </w:sectPr>
      </w:pPr>
    </w:p>
    <w:bookmarkStart w:id="244" w:name="page245"/>
    <w:bookmarkEnd w:id="24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30">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Confidential Treatment Requested by Definitive Healthcare Corp.</w:t>
      </w:r>
    </w:p>
    <w:p>
      <w:pPr>
        <w:spacing w:after="0" w:line="27"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Pursuant to 17 C.F.R. Section 200.83</w:t>
      </w:r>
    </w:p>
    <w:p>
      <w:pPr>
        <w:spacing w:after="0" w:line="143" w:lineRule="exact"/>
        <w:rPr>
          <w:sz w:val="20"/>
          <w:szCs w:val="20"/>
          <w:color w:val="auto"/>
        </w:rPr>
      </w:pPr>
    </w:p>
    <w:p>
      <w:pPr>
        <w:ind w:left="120" w:right="520" w:firstLine="440"/>
        <w:spacing w:after="0" w:line="277" w:lineRule="auto"/>
        <w:rPr>
          <w:sz w:val="20"/>
          <w:szCs w:val="20"/>
          <w:color w:val="auto"/>
        </w:rPr>
      </w:pPr>
      <w:r>
        <w:rPr>
          <w:rFonts w:ascii="Arial" w:cs="Arial" w:eastAsia="Arial" w:hAnsi="Arial"/>
          <w:sz w:val="18"/>
          <w:szCs w:val="18"/>
          <w:color w:val="auto"/>
        </w:rPr>
        <w:t>As part of the Definitive Holdco Acquisition, the Company issued 127,725,743 Class A Units at $10 per unit for total contributed capital of $1,267.3 million.</w:t>
      </w:r>
    </w:p>
    <w:p>
      <w:pPr>
        <w:spacing w:after="0" w:line="170" w:lineRule="exact"/>
        <w:rPr>
          <w:sz w:val="20"/>
          <w:szCs w:val="20"/>
          <w:color w:val="auto"/>
        </w:rPr>
      </w:pPr>
    </w:p>
    <w:p>
      <w:pPr>
        <w:ind w:left="120" w:right="360" w:firstLine="440"/>
        <w:spacing w:after="0" w:line="277" w:lineRule="auto"/>
        <w:rPr>
          <w:sz w:val="20"/>
          <w:szCs w:val="20"/>
          <w:color w:val="auto"/>
        </w:rPr>
      </w:pPr>
      <w:r>
        <w:rPr>
          <w:rFonts w:ascii="Arial" w:cs="Arial" w:eastAsia="Arial" w:hAnsi="Arial"/>
          <w:sz w:val="18"/>
          <w:szCs w:val="18"/>
          <w:color w:val="auto"/>
        </w:rPr>
        <w:t>Additionally, the outstanding units of the Legacy Class B Series B, Series C, Series D, and Series E were sold to AIDH Buyer and the holders received a combination of cash and equity in the Company.</w:t>
      </w:r>
    </w:p>
    <w:p>
      <w:pPr>
        <w:spacing w:after="0" w:line="170" w:lineRule="exact"/>
        <w:rPr>
          <w:sz w:val="20"/>
          <w:szCs w:val="20"/>
          <w:color w:val="auto"/>
        </w:rPr>
      </w:pPr>
    </w:p>
    <w:p>
      <w:pPr>
        <w:ind w:left="120" w:right="80" w:firstLine="440"/>
        <w:spacing w:after="0" w:line="263" w:lineRule="auto"/>
        <w:rPr>
          <w:sz w:val="20"/>
          <w:szCs w:val="20"/>
          <w:color w:val="auto"/>
        </w:rPr>
      </w:pPr>
      <w:r>
        <w:rPr>
          <w:rFonts w:ascii="Arial" w:cs="Arial" w:eastAsia="Arial" w:hAnsi="Arial"/>
          <w:sz w:val="18"/>
          <w:szCs w:val="18"/>
          <w:color w:val="auto"/>
        </w:rPr>
        <w:t xml:space="preserve">In conjunction with the acquisition of Definitive Holdco by the Company in July 2019, the Company paid $6.9 million to the selling shareholders in July 2020 which had been recorded as a members’ distribution payable on the balance sheet at December 31, 2019 (see Note 3. </w:t>
      </w:r>
      <w:r>
        <w:rPr>
          <w:rFonts w:ascii="Arial" w:cs="Arial" w:eastAsia="Arial" w:hAnsi="Arial"/>
          <w:sz w:val="18"/>
          <w:szCs w:val="18"/>
          <w:i w:val="1"/>
          <w:iCs w:val="1"/>
          <w:color w:val="auto"/>
        </w:rPr>
        <w:t>Business</w:t>
      </w:r>
      <w:r>
        <w:rPr>
          <w:rFonts w:ascii="Arial" w:cs="Arial" w:eastAsia="Arial" w:hAnsi="Arial"/>
          <w:sz w:val="18"/>
          <w:szCs w:val="18"/>
          <w:color w:val="auto"/>
        </w:rPr>
        <w:t xml:space="preserve"> </w:t>
      </w:r>
      <w:r>
        <w:rPr>
          <w:rFonts w:ascii="Arial" w:cs="Arial" w:eastAsia="Arial" w:hAnsi="Arial"/>
          <w:sz w:val="18"/>
          <w:szCs w:val="18"/>
          <w:i w:val="1"/>
          <w:iCs w:val="1"/>
          <w:color w:val="auto"/>
        </w:rPr>
        <w:t>Combinations</w:t>
      </w:r>
      <w:r>
        <w:rPr>
          <w:rFonts w:ascii="Arial" w:cs="Arial" w:eastAsia="Arial" w:hAnsi="Arial"/>
          <w:sz w:val="18"/>
          <w:szCs w:val="18"/>
          <w:color w:val="auto"/>
        </w:rPr>
        <w:t>).</w:t>
      </w:r>
    </w:p>
    <w:p>
      <w:pPr>
        <w:spacing w:after="0" w:line="184" w:lineRule="exact"/>
        <w:rPr>
          <w:sz w:val="20"/>
          <w:szCs w:val="20"/>
          <w:color w:val="auto"/>
        </w:rPr>
      </w:pPr>
    </w:p>
    <w:p>
      <w:pPr>
        <w:ind w:left="120" w:firstLine="440"/>
        <w:spacing w:after="0" w:line="277" w:lineRule="auto"/>
        <w:rPr>
          <w:sz w:val="20"/>
          <w:szCs w:val="20"/>
          <w:color w:val="auto"/>
        </w:rPr>
      </w:pPr>
      <w:r>
        <w:rPr>
          <w:rFonts w:ascii="Arial" w:cs="Arial" w:eastAsia="Arial" w:hAnsi="Arial"/>
          <w:sz w:val="18"/>
          <w:szCs w:val="18"/>
          <w:color w:val="auto"/>
        </w:rPr>
        <w:t xml:space="preserve">In 2019, the Company contributed $4.0 million worth of its Class A Units to partially fund the acquisition of HSE that occurred in December 2019 (see Note 3. </w:t>
      </w:r>
      <w:r>
        <w:rPr>
          <w:rFonts w:ascii="Arial" w:cs="Arial" w:eastAsia="Arial" w:hAnsi="Arial"/>
          <w:sz w:val="18"/>
          <w:szCs w:val="18"/>
          <w:i w:val="1"/>
          <w:iCs w:val="1"/>
          <w:color w:val="auto"/>
        </w:rPr>
        <w:t>Business Combinations</w:t>
      </w:r>
      <w:r>
        <w:rPr>
          <w:rFonts w:ascii="Arial" w:cs="Arial" w:eastAsia="Arial" w:hAnsi="Arial"/>
          <w:sz w:val="18"/>
          <w:szCs w:val="18"/>
          <w:color w:val="auto"/>
        </w:rPr>
        <w:t>).</w:t>
      </w:r>
    </w:p>
    <w:p>
      <w:pPr>
        <w:spacing w:after="0" w:line="170" w:lineRule="exact"/>
        <w:rPr>
          <w:sz w:val="20"/>
          <w:szCs w:val="20"/>
          <w:color w:val="auto"/>
        </w:rPr>
      </w:pPr>
    </w:p>
    <w:p>
      <w:pPr>
        <w:ind w:left="120" w:right="240" w:firstLine="440"/>
        <w:spacing w:after="0" w:line="263" w:lineRule="auto"/>
        <w:rPr>
          <w:sz w:val="20"/>
          <w:szCs w:val="20"/>
          <w:color w:val="auto"/>
        </w:rPr>
      </w:pPr>
      <w:r>
        <w:rPr>
          <w:rFonts w:ascii="Arial" w:cs="Arial" w:eastAsia="Arial" w:hAnsi="Arial"/>
          <w:sz w:val="18"/>
          <w:szCs w:val="18"/>
          <w:color w:val="auto"/>
        </w:rPr>
        <w:t xml:space="preserve">In 2020, the Company contributed $25.4 million worth of its Class A units to partially fund the acquisition of Monocl that occurred in October 2020 (see Note 3. </w:t>
      </w:r>
      <w:r>
        <w:rPr>
          <w:rFonts w:ascii="Arial" w:cs="Arial" w:eastAsia="Arial" w:hAnsi="Arial"/>
          <w:sz w:val="18"/>
          <w:szCs w:val="18"/>
          <w:i w:val="1"/>
          <w:iCs w:val="1"/>
          <w:color w:val="auto"/>
        </w:rPr>
        <w:t>Business Combinations</w:t>
      </w:r>
      <w:r>
        <w:rPr>
          <w:rFonts w:ascii="Arial" w:cs="Arial" w:eastAsia="Arial" w:hAnsi="Arial"/>
          <w:sz w:val="18"/>
          <w:szCs w:val="18"/>
          <w:color w:val="auto"/>
        </w:rPr>
        <w:t>). The Company also received an additional $6.4 million for buy in of Class A Units from of a number of its members.</w:t>
      </w:r>
    </w:p>
    <w:p>
      <w:pPr>
        <w:spacing w:after="0" w:line="184" w:lineRule="exact"/>
        <w:rPr>
          <w:sz w:val="20"/>
          <w:szCs w:val="20"/>
          <w:color w:val="auto"/>
        </w:rPr>
      </w:pPr>
    </w:p>
    <w:p>
      <w:pPr>
        <w:ind w:left="560"/>
        <w:spacing w:after="0"/>
        <w:rPr>
          <w:sz w:val="20"/>
          <w:szCs w:val="20"/>
          <w:color w:val="auto"/>
        </w:rPr>
      </w:pPr>
      <w:r>
        <w:rPr>
          <w:rFonts w:ascii="Arial" w:cs="Arial" w:eastAsia="Arial" w:hAnsi="Arial"/>
          <w:sz w:val="16"/>
          <w:szCs w:val="16"/>
          <w:color w:val="auto"/>
        </w:rPr>
        <w:t>There was 130,245,990 and 127,125,435 issued and outstanding Class A units as of December 31, 2020 and December 31, 2019, respectively.</w:t>
      </w:r>
    </w:p>
    <w:p>
      <w:pPr>
        <w:spacing w:after="0" w:line="356"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Predecessor</w:t>
      </w:r>
    </w:p>
    <w:p>
      <w:pPr>
        <w:spacing w:after="0" w:line="117" w:lineRule="exact"/>
        <w:rPr>
          <w:sz w:val="20"/>
          <w:szCs w:val="20"/>
          <w:color w:val="auto"/>
        </w:rPr>
      </w:pPr>
    </w:p>
    <w:p>
      <w:pPr>
        <w:ind w:left="120" w:right="220" w:firstLine="440"/>
        <w:spacing w:after="0" w:line="277" w:lineRule="auto"/>
        <w:rPr>
          <w:sz w:val="20"/>
          <w:szCs w:val="20"/>
          <w:color w:val="auto"/>
        </w:rPr>
      </w:pPr>
      <w:r>
        <w:rPr>
          <w:rFonts w:ascii="Arial" w:cs="Arial" w:eastAsia="Arial" w:hAnsi="Arial"/>
          <w:sz w:val="18"/>
          <w:szCs w:val="18"/>
          <w:color w:val="auto"/>
        </w:rPr>
        <w:t>Upon formation of the Predecessor Company, two classes of common units were established; Class A Common Units (“Legacy Class A Units”) and Class B Common Units (“Legacy Class B Units”), collectively the Legacy Common Units.</w:t>
      </w:r>
    </w:p>
    <w:p>
      <w:pPr>
        <w:spacing w:after="0" w:line="170" w:lineRule="exact"/>
        <w:rPr>
          <w:sz w:val="20"/>
          <w:szCs w:val="20"/>
          <w:color w:val="auto"/>
        </w:rPr>
      </w:pPr>
    </w:p>
    <w:p>
      <w:pPr>
        <w:ind w:left="120" w:right="40" w:firstLine="440"/>
        <w:spacing w:after="0" w:line="255" w:lineRule="auto"/>
        <w:rPr>
          <w:sz w:val="20"/>
          <w:szCs w:val="20"/>
          <w:color w:val="auto"/>
        </w:rPr>
      </w:pPr>
      <w:r>
        <w:rPr>
          <w:rFonts w:ascii="Arial" w:cs="Arial" w:eastAsia="Arial" w:hAnsi="Arial"/>
          <w:sz w:val="18"/>
          <w:szCs w:val="18"/>
          <w:color w:val="auto"/>
        </w:rPr>
        <w:t>In December 2016, the Predecessor amended and restated the Limited Liability Company Agreement of Definitive Holdco, resulting in the formation of DHC Class B Holdings, LLC (“DHCB”). Per the terms of Limited Liability Company Agreement of DHC Class B Holdings, LLC (the “DHCB Holdings Agreement”), DHCB’s units represented an indirect interest in Class B Units of the Company. Upon formation of DHCB all previously issued Class B Units were exchanged for DHCB Series B Units, and the previously authorized Class B Units were transferred to DHCB. The DHCB Holdings Agreement allowed for the creation a series of units (the “Incentive Equity Pool”), upon approval by the Management Board, up to the cumulative authorized amount of 407,750.</w:t>
      </w:r>
    </w:p>
    <w:p>
      <w:pPr>
        <w:spacing w:after="0" w:line="192" w:lineRule="exact"/>
        <w:rPr>
          <w:sz w:val="20"/>
          <w:szCs w:val="20"/>
          <w:color w:val="auto"/>
        </w:rPr>
      </w:pPr>
    </w:p>
    <w:p>
      <w:pPr>
        <w:ind w:left="120" w:right="140" w:firstLine="440"/>
        <w:spacing w:after="0" w:line="263" w:lineRule="auto"/>
        <w:rPr>
          <w:sz w:val="20"/>
          <w:szCs w:val="20"/>
          <w:color w:val="auto"/>
        </w:rPr>
      </w:pPr>
      <w:r>
        <w:rPr>
          <w:rFonts w:ascii="Arial" w:cs="Arial" w:eastAsia="Arial" w:hAnsi="Arial"/>
          <w:sz w:val="18"/>
          <w:szCs w:val="18"/>
          <w:color w:val="auto"/>
        </w:rPr>
        <w:t>The rights and obligations of the holders of the Common Units were governed by the Amended and Restated Limited Liability Company Agreement of Definitive Healthcare Holdings, LLC, (the “Agreement”). The Agreement provided for the limitation of the holders liability to be that of their respective capital contributions as defined in the Agreement.</w:t>
      </w:r>
    </w:p>
    <w:p>
      <w:pPr>
        <w:spacing w:after="0" w:line="184" w:lineRule="exact"/>
        <w:rPr>
          <w:sz w:val="20"/>
          <w:szCs w:val="20"/>
          <w:color w:val="auto"/>
        </w:rPr>
      </w:pPr>
    </w:p>
    <w:p>
      <w:pPr>
        <w:ind w:left="120" w:right="140" w:firstLine="440"/>
        <w:spacing w:after="0" w:line="286" w:lineRule="auto"/>
        <w:rPr>
          <w:sz w:val="20"/>
          <w:szCs w:val="20"/>
          <w:color w:val="auto"/>
        </w:rPr>
      </w:pPr>
      <w:r>
        <w:rPr>
          <w:rFonts w:ascii="Arial" w:cs="Arial" w:eastAsia="Arial" w:hAnsi="Arial"/>
          <w:sz w:val="17"/>
          <w:szCs w:val="17"/>
          <w:color w:val="auto"/>
        </w:rPr>
        <w:t>Per the Agreement, all unit holders were entitled to receive the following distributions from the Company: tax distributions, distributions on liquidation or sale of the Company, or distributions prior to liquidation or sale of the Company. Per the terms of the Agreement tax distributions should be made for the amount of income allocated to the Member multiplied by the applicable federal income tax rate.</w:t>
      </w:r>
    </w:p>
    <w:p>
      <w:pPr>
        <w:spacing w:after="0" w:line="165" w:lineRule="exact"/>
        <w:rPr>
          <w:sz w:val="20"/>
          <w:szCs w:val="20"/>
          <w:color w:val="auto"/>
        </w:rPr>
      </w:pPr>
    </w:p>
    <w:p>
      <w:pPr>
        <w:ind w:left="120" w:right="60" w:firstLine="440"/>
        <w:spacing w:after="0" w:line="308" w:lineRule="auto"/>
        <w:rPr>
          <w:sz w:val="20"/>
          <w:szCs w:val="20"/>
          <w:color w:val="auto"/>
        </w:rPr>
      </w:pPr>
      <w:r>
        <w:rPr>
          <w:rFonts w:ascii="Arial" w:cs="Arial" w:eastAsia="Arial" w:hAnsi="Arial"/>
          <w:sz w:val="17"/>
          <w:szCs w:val="17"/>
          <w:color w:val="auto"/>
        </w:rPr>
        <w:t>As of December 31, 2018, 7,750,000 Legacy Class A Units were authorized, issued, and outstanding and 407,750 Legacy Class B Units (Series A though E) were authorized to be issued to employees and consultants as incentive units, of which 88,716 units were outstanding</w:t>
      </w:r>
    </w:p>
    <w:p>
      <w:pPr>
        <w:spacing w:after="0" w:line="146" w:lineRule="exact"/>
        <w:rPr>
          <w:sz w:val="20"/>
          <w:szCs w:val="20"/>
          <w:color w:val="auto"/>
        </w:rPr>
      </w:pPr>
    </w:p>
    <w:p>
      <w:pPr>
        <w:ind w:left="120" w:right="380" w:firstLine="440"/>
        <w:spacing w:after="0" w:line="311" w:lineRule="auto"/>
        <w:rPr>
          <w:sz w:val="20"/>
          <w:szCs w:val="20"/>
          <w:color w:val="auto"/>
        </w:rPr>
      </w:pPr>
      <w:r>
        <w:rPr>
          <w:rFonts w:ascii="Arial" w:cs="Arial" w:eastAsia="Arial" w:hAnsi="Arial"/>
          <w:sz w:val="16"/>
          <w:szCs w:val="16"/>
          <w:color w:val="auto"/>
        </w:rPr>
        <w:t>As of July 15, 2019, there were 7,750,000 and 268,853 of issued and outstanding Legacy Class A and Legacy Class B Units, respectively. On July 16, 2019, 100% of the Legacy Class A Units were acquired by AIDH Buyer, in conjunction with the sale of the Legacy Class A Units, the outstanding units of Series B, C, D, and E were sold and the holders received a combination of cash and equity in the Company.</w:t>
      </w:r>
    </w:p>
    <w:p>
      <w:pPr>
        <w:spacing w:after="0" w:line="81" w:lineRule="exact"/>
        <w:rPr>
          <w:sz w:val="20"/>
          <w:szCs w:val="20"/>
          <w:color w:val="auto"/>
        </w:rPr>
      </w:pPr>
    </w:p>
    <w:p>
      <w:pPr>
        <w:jc w:val="center"/>
        <w:ind w:right="-359"/>
        <w:spacing w:after="0"/>
        <w:rPr>
          <w:sz w:val="20"/>
          <w:szCs w:val="20"/>
          <w:color w:val="auto"/>
        </w:rPr>
      </w:pPr>
      <w:r>
        <w:rPr>
          <w:rFonts w:ascii="Arial" w:cs="Arial" w:eastAsia="Arial" w:hAnsi="Arial"/>
          <w:sz w:val="18"/>
          <w:szCs w:val="18"/>
          <w:color w:val="auto"/>
        </w:rPr>
        <w:t>F-39</w:t>
      </w:r>
    </w:p>
    <w:p>
      <w:pPr>
        <w:sectPr>
          <w:pgSz w:w="11900" w:h="16838" w:orient="portrait"/>
          <w:cols w:equalWidth="0" w:num="1">
            <w:col w:w="11120"/>
          </w:cols>
          <w:pgMar w:left="320" w:top="459" w:right="459" w:bottom="1440" w:gutter="0" w:footer="0" w:header="0"/>
        </w:sectPr>
      </w:pPr>
    </w:p>
    <w:bookmarkStart w:id="245" w:name="page246"/>
    <w:bookmarkEnd w:id="24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31">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Confidential Treatment Requested by Definitive Healthcare Corp.</w:t>
      </w:r>
    </w:p>
    <w:p>
      <w:pPr>
        <w:spacing w:after="0" w:line="27"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Pursuant to 17 C.F.R. Section 200.83</w:t>
      </w:r>
    </w:p>
    <w:p>
      <w:pPr>
        <w:spacing w:after="0" w:line="143" w:lineRule="exact"/>
        <w:rPr>
          <w:sz w:val="20"/>
          <w:szCs w:val="20"/>
          <w:color w:val="auto"/>
        </w:rPr>
      </w:pPr>
    </w:p>
    <w:p>
      <w:pPr>
        <w:ind w:left="560" w:right="8480" w:hanging="444"/>
        <w:spacing w:after="0" w:line="450" w:lineRule="auto"/>
        <w:tabs>
          <w:tab w:leader="none" w:pos="552" w:val="left"/>
        </w:tabs>
        <w:numPr>
          <w:ilvl w:val="0"/>
          <w:numId w:val="196"/>
        </w:numPr>
        <w:rPr>
          <w:rFonts w:ascii="Arial" w:cs="Arial" w:eastAsia="Arial" w:hAnsi="Arial"/>
          <w:sz w:val="15"/>
          <w:szCs w:val="15"/>
          <w:b w:val="1"/>
          <w:bCs w:val="1"/>
          <w:color w:val="auto"/>
        </w:rPr>
      </w:pPr>
      <w:r>
        <w:rPr>
          <w:rFonts w:ascii="Arial" w:cs="Arial" w:eastAsia="Arial" w:hAnsi="Arial"/>
          <w:sz w:val="15"/>
          <w:szCs w:val="15"/>
          <w:b w:val="1"/>
          <w:bCs w:val="1"/>
          <w:i w:val="1"/>
          <w:iCs w:val="1"/>
          <w:color w:val="auto"/>
        </w:rPr>
        <w:t xml:space="preserve">Equity-based Compensation </w:t>
      </w:r>
      <w:r>
        <w:rPr>
          <w:rFonts w:ascii="Arial" w:cs="Arial" w:eastAsia="Arial" w:hAnsi="Arial"/>
          <w:sz w:val="15"/>
          <w:szCs w:val="15"/>
          <w:u w:val="single" w:color="auto"/>
          <w:color w:val="auto"/>
        </w:rPr>
        <w:t>2019 Incentive Equity Plan</w:t>
      </w:r>
    </w:p>
    <w:p>
      <w:pPr>
        <w:spacing w:after="0" w:line="1" w:lineRule="exact"/>
        <w:rPr>
          <w:sz w:val="20"/>
          <w:szCs w:val="20"/>
          <w:color w:val="auto"/>
        </w:rPr>
      </w:pPr>
    </w:p>
    <w:p>
      <w:pPr>
        <w:ind w:left="120" w:right="120" w:firstLine="440"/>
        <w:spacing w:after="0" w:line="273" w:lineRule="auto"/>
        <w:rPr>
          <w:sz w:val="20"/>
          <w:szCs w:val="20"/>
          <w:color w:val="auto"/>
        </w:rPr>
      </w:pPr>
      <w:r>
        <w:rPr>
          <w:rFonts w:ascii="Arial" w:cs="Arial" w:eastAsia="Arial" w:hAnsi="Arial"/>
          <w:sz w:val="17"/>
          <w:szCs w:val="17"/>
          <w:color w:val="auto"/>
        </w:rPr>
        <w:t>In July 2019, the Company and its Board of Members approved the 2019 Equity Incentive Plan under which the Parent Company has reserved approximately 8,088,877 Class B Units (the “2019 Incentive Equity Pool”). The 2019 Incentive Equity Pool is to be utilized for the issuance of units to employees, consultants, directors, managers, or other providing services to the Company pursuant to Board of Members approval. These interests are considered profit interests, which, in general, entitle the holder of the unit to a pro rata share of the increase in value of the unit over the base value determined at the award date and may be subject to such vesting and other restrictions as the Board of Members may deem appropriate. Any units forfeited or repurchased shall be available for future grants under the 2019 Incentive Equity Pool.</w:t>
      </w:r>
    </w:p>
    <w:p>
      <w:pPr>
        <w:spacing w:after="0" w:line="178" w:lineRule="exact"/>
        <w:rPr>
          <w:sz w:val="20"/>
          <w:szCs w:val="20"/>
          <w:color w:val="auto"/>
        </w:rPr>
      </w:pPr>
    </w:p>
    <w:p>
      <w:pPr>
        <w:ind w:left="120" w:right="100" w:firstLine="440"/>
        <w:spacing w:after="0" w:line="259" w:lineRule="auto"/>
        <w:rPr>
          <w:sz w:val="20"/>
          <w:szCs w:val="20"/>
          <w:color w:val="auto"/>
        </w:rPr>
      </w:pPr>
      <w:r>
        <w:rPr>
          <w:rFonts w:ascii="Arial" w:cs="Arial" w:eastAsia="Arial" w:hAnsi="Arial"/>
          <w:sz w:val="18"/>
          <w:szCs w:val="18"/>
          <w:color w:val="auto"/>
        </w:rPr>
        <w:t>The units have time-based and performance-based vesting criteria. Generally, the time-based units vest in equal annual installments over a four-year period on the anniversary date of the vest date. The performance-based units vest based on the achievement of specified returns on investments upon a change of control, as defined in the agreement. Upon initial public offering unvested performance-based units would convert to restricted shares subject to 3 year vesting.</w:t>
      </w:r>
    </w:p>
    <w:p>
      <w:pPr>
        <w:spacing w:after="0" w:line="187" w:lineRule="exact"/>
        <w:rPr>
          <w:sz w:val="20"/>
          <w:szCs w:val="20"/>
          <w:color w:val="auto"/>
        </w:rPr>
      </w:pPr>
    </w:p>
    <w:p>
      <w:pPr>
        <w:ind w:left="120" w:firstLine="440"/>
        <w:spacing w:after="0" w:line="271" w:lineRule="auto"/>
        <w:rPr>
          <w:sz w:val="20"/>
          <w:szCs w:val="20"/>
          <w:color w:val="auto"/>
        </w:rPr>
      </w:pPr>
      <w:r>
        <w:rPr>
          <w:rFonts w:ascii="Arial" w:cs="Arial" w:eastAsia="Arial" w:hAnsi="Arial"/>
          <w:sz w:val="17"/>
          <w:szCs w:val="17"/>
          <w:color w:val="auto"/>
        </w:rPr>
        <w:t>The Company assesses the fair value of the awards as of the grant date. The fair value of the units was estimated using a two-step process. First, the Company’s enterprise value was established using generally accepted valuation methodologies, including discounted cash flow analysis, guideline comparable public company analysis, and comparable transaction method. Second, the enterprise value was allocated among the securities that comprise the capital structure of the Company using an option-pricing method based on the Black-Scholes model. For performance-based units, the Company used a Monte Carlo simulation analysis, which captures the impact of the performance vesting conditions to value the performance-based units. The use of the Black-Scholes model and the Monte Carlo simulation requires the Company to make estimates and assumptions, such as expected volatility, expected term and expected risk-free interest rate. Significant assumptions used to estimate the fair value of units were as follows, which were the same between service-based and performance-based shares:</w:t>
      </w:r>
    </w:p>
    <w:p>
      <w:pPr>
        <w:spacing w:after="0" w:line="197" w:lineRule="exact"/>
        <w:rPr>
          <w:sz w:val="20"/>
          <w:szCs w:val="20"/>
          <w:color w:val="auto"/>
        </w:rPr>
      </w:pPr>
    </w:p>
    <w:tbl>
      <w:tblPr>
        <w:tblLayout w:type="fixed"/>
        <w:tblInd w:w="1440" w:type="dxa"/>
        <w:tblCellMar>
          <w:top w:w="0" w:type="dxa"/>
          <w:left w:w="0" w:type="dxa"/>
          <w:bottom w:w="0" w:type="dxa"/>
          <w:right w:w="0" w:type="dxa"/>
        </w:tblCellMar>
      </w:tblPr>
      <w:tr>
        <w:trPr>
          <w:trHeight w:val="171"/>
        </w:trPr>
        <w:tc>
          <w:tcPr>
            <w:tcW w:w="4880" w:type="dxa"/>
            <w:vAlign w:val="bottom"/>
          </w:tcPr>
          <w:p>
            <w:pPr>
              <w:spacing w:after="0"/>
              <w:rPr>
                <w:sz w:val="14"/>
                <w:szCs w:val="14"/>
                <w:color w:val="auto"/>
              </w:rPr>
            </w:pPr>
          </w:p>
        </w:tc>
        <w:tc>
          <w:tcPr>
            <w:tcW w:w="3480" w:type="dxa"/>
            <w:vAlign w:val="bottom"/>
            <w:gridSpan w:val="4"/>
          </w:tcPr>
          <w:p>
            <w:pPr>
              <w:jc w:val="right"/>
              <w:ind w:right="1220"/>
              <w:spacing w:after="0"/>
              <w:rPr>
                <w:sz w:val="20"/>
                <w:szCs w:val="20"/>
                <w:color w:val="auto"/>
              </w:rPr>
            </w:pPr>
            <w:r>
              <w:rPr>
                <w:rFonts w:ascii="Arial" w:cs="Arial" w:eastAsia="Arial" w:hAnsi="Arial"/>
                <w:sz w:val="14"/>
                <w:szCs w:val="14"/>
                <w:b w:val="1"/>
                <w:bCs w:val="1"/>
                <w:color w:val="auto"/>
              </w:rPr>
              <w:t>Successor Company</w:t>
            </w:r>
          </w:p>
        </w:tc>
      </w:tr>
      <w:tr>
        <w:trPr>
          <w:trHeight w:val="123"/>
        </w:trPr>
        <w:tc>
          <w:tcPr>
            <w:tcW w:w="4880" w:type="dxa"/>
            <w:vAlign w:val="bottom"/>
          </w:tcPr>
          <w:p>
            <w:pPr>
              <w:spacing w:after="0"/>
              <w:rPr>
                <w:sz w:val="10"/>
                <w:szCs w:val="10"/>
                <w:color w:val="auto"/>
              </w:rPr>
            </w:pPr>
          </w:p>
        </w:tc>
        <w:tc>
          <w:tcPr>
            <w:tcW w:w="1120" w:type="dxa"/>
            <w:vAlign w:val="bottom"/>
            <w:tcBorders>
              <w:top w:val="single" w:sz="8" w:color="auto"/>
            </w:tcBorders>
          </w:tcPr>
          <w:p>
            <w:pPr>
              <w:spacing w:after="0"/>
              <w:rPr>
                <w:sz w:val="10"/>
                <w:szCs w:val="10"/>
                <w:color w:val="auto"/>
              </w:rPr>
            </w:pPr>
          </w:p>
        </w:tc>
        <w:tc>
          <w:tcPr>
            <w:tcW w:w="1040" w:type="dxa"/>
            <w:vAlign w:val="bottom"/>
            <w:tcBorders>
              <w:top w:val="single" w:sz="8" w:color="auto"/>
            </w:tcBorders>
          </w:tcPr>
          <w:p>
            <w:pPr>
              <w:spacing w:after="0"/>
              <w:rPr>
                <w:sz w:val="10"/>
                <w:szCs w:val="10"/>
                <w:color w:val="auto"/>
              </w:rPr>
            </w:pPr>
          </w:p>
        </w:tc>
        <w:tc>
          <w:tcPr>
            <w:tcW w:w="1120" w:type="dxa"/>
            <w:vAlign w:val="bottom"/>
            <w:tcBorders>
              <w:top w:val="single" w:sz="8" w:color="auto"/>
            </w:tcBorders>
          </w:tcPr>
          <w:p>
            <w:pPr>
              <w:jc w:val="center"/>
              <w:spacing w:after="0" w:line="123" w:lineRule="exact"/>
              <w:rPr>
                <w:sz w:val="20"/>
                <w:szCs w:val="20"/>
                <w:color w:val="auto"/>
              </w:rPr>
            </w:pPr>
            <w:r>
              <w:rPr>
                <w:rFonts w:ascii="Arial" w:cs="Arial" w:eastAsia="Arial" w:hAnsi="Arial"/>
                <w:sz w:val="14"/>
                <w:szCs w:val="14"/>
                <w:color w:val="auto"/>
                <w:w w:val="93"/>
              </w:rPr>
              <w:t>Period from</w:t>
            </w:r>
          </w:p>
        </w:tc>
        <w:tc>
          <w:tcPr>
            <w:tcW w:w="200" w:type="dxa"/>
            <w:vAlign w:val="bottom"/>
          </w:tcPr>
          <w:p>
            <w:pPr>
              <w:spacing w:after="0"/>
              <w:rPr>
                <w:sz w:val="10"/>
                <w:szCs w:val="10"/>
                <w:color w:val="auto"/>
              </w:rPr>
            </w:pPr>
          </w:p>
        </w:tc>
      </w:tr>
      <w:tr>
        <w:trPr>
          <w:trHeight w:val="148"/>
        </w:trPr>
        <w:tc>
          <w:tcPr>
            <w:tcW w:w="4880" w:type="dxa"/>
            <w:vAlign w:val="bottom"/>
          </w:tcPr>
          <w:p>
            <w:pPr>
              <w:spacing w:after="0"/>
              <w:rPr>
                <w:sz w:val="12"/>
                <w:szCs w:val="12"/>
                <w:color w:val="auto"/>
              </w:rPr>
            </w:pPr>
          </w:p>
        </w:tc>
        <w:tc>
          <w:tcPr>
            <w:tcW w:w="2160" w:type="dxa"/>
            <w:vAlign w:val="bottom"/>
            <w:gridSpan w:val="2"/>
          </w:tcPr>
          <w:p>
            <w:pPr>
              <w:jc w:val="right"/>
              <w:ind w:right="1280"/>
              <w:spacing w:after="0" w:line="149" w:lineRule="exact"/>
              <w:rPr>
                <w:sz w:val="20"/>
                <w:szCs w:val="20"/>
                <w:color w:val="auto"/>
              </w:rPr>
            </w:pPr>
            <w:r>
              <w:rPr>
                <w:rFonts w:ascii="Arial" w:cs="Arial" w:eastAsia="Arial" w:hAnsi="Arial"/>
                <w:sz w:val="14"/>
                <w:szCs w:val="14"/>
                <w:color w:val="auto"/>
              </w:rPr>
              <w:t>Year ended</w:t>
            </w:r>
          </w:p>
        </w:tc>
        <w:tc>
          <w:tcPr>
            <w:tcW w:w="1320" w:type="dxa"/>
            <w:vAlign w:val="bottom"/>
            <w:gridSpan w:val="2"/>
          </w:tcPr>
          <w:p>
            <w:pPr>
              <w:jc w:val="center"/>
              <w:ind w:right="200"/>
              <w:spacing w:after="0" w:line="149" w:lineRule="exact"/>
              <w:rPr>
                <w:sz w:val="20"/>
                <w:szCs w:val="20"/>
                <w:color w:val="auto"/>
              </w:rPr>
            </w:pPr>
            <w:r>
              <w:rPr>
                <w:rFonts w:ascii="Arial" w:cs="Arial" w:eastAsia="Arial" w:hAnsi="Arial"/>
                <w:sz w:val="14"/>
                <w:szCs w:val="14"/>
                <w:color w:val="auto"/>
                <w:w w:val="93"/>
              </w:rPr>
              <w:t>July 16, 2019 to</w:t>
            </w:r>
          </w:p>
        </w:tc>
      </w:tr>
      <w:tr>
        <w:trPr>
          <w:trHeight w:val="167"/>
        </w:trPr>
        <w:tc>
          <w:tcPr>
            <w:tcW w:w="4880" w:type="dxa"/>
            <w:vAlign w:val="bottom"/>
          </w:tcPr>
          <w:p>
            <w:pPr>
              <w:spacing w:after="0"/>
              <w:rPr>
                <w:sz w:val="14"/>
                <w:szCs w:val="14"/>
                <w:color w:val="auto"/>
              </w:rPr>
            </w:pPr>
          </w:p>
        </w:tc>
        <w:tc>
          <w:tcPr>
            <w:tcW w:w="2160" w:type="dxa"/>
            <w:vAlign w:val="bottom"/>
            <w:gridSpan w:val="2"/>
          </w:tcPr>
          <w:p>
            <w:pPr>
              <w:jc w:val="right"/>
              <w:ind w:right="1040"/>
              <w:spacing w:after="0"/>
              <w:rPr>
                <w:sz w:val="20"/>
                <w:szCs w:val="20"/>
                <w:color w:val="auto"/>
              </w:rPr>
            </w:pPr>
            <w:r>
              <w:rPr>
                <w:rFonts w:ascii="Arial" w:cs="Arial" w:eastAsia="Arial" w:hAnsi="Arial"/>
                <w:sz w:val="14"/>
                <w:szCs w:val="14"/>
                <w:color w:val="auto"/>
                <w:w w:val="89"/>
              </w:rPr>
              <w:t>December 31, 2020</w:t>
            </w:r>
          </w:p>
        </w:tc>
        <w:tc>
          <w:tcPr>
            <w:tcW w:w="1320" w:type="dxa"/>
            <w:vAlign w:val="bottom"/>
            <w:gridSpan w:val="2"/>
          </w:tcPr>
          <w:p>
            <w:pPr>
              <w:jc w:val="center"/>
              <w:ind w:right="200"/>
              <w:spacing w:after="0"/>
              <w:rPr>
                <w:sz w:val="20"/>
                <w:szCs w:val="20"/>
                <w:color w:val="auto"/>
              </w:rPr>
            </w:pPr>
            <w:r>
              <w:rPr>
                <w:rFonts w:ascii="Arial" w:cs="Arial" w:eastAsia="Arial" w:hAnsi="Arial"/>
                <w:sz w:val="14"/>
                <w:szCs w:val="14"/>
                <w:color w:val="auto"/>
                <w:w w:val="91"/>
              </w:rPr>
              <w:t>December 31, 2019</w:t>
            </w:r>
          </w:p>
        </w:tc>
      </w:tr>
      <w:tr>
        <w:trPr>
          <w:trHeight w:val="209"/>
        </w:trPr>
        <w:tc>
          <w:tcPr>
            <w:tcW w:w="48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Expected option term</w:t>
            </w: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 years</w:t>
            </w:r>
          </w:p>
        </w:tc>
        <w:tc>
          <w:tcPr>
            <w:tcW w:w="104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 years</w:t>
            </w:r>
          </w:p>
        </w:tc>
        <w:tc>
          <w:tcPr>
            <w:tcW w:w="200" w:type="dxa"/>
            <w:vAlign w:val="bottom"/>
            <w:tcBorders>
              <w:top w:val="single" w:sz="8" w:color="CCEEFF"/>
            </w:tcBorders>
            <w:shd w:val="clear" w:color="auto" w:fill="CCEEFF"/>
          </w:tcPr>
          <w:p>
            <w:pPr>
              <w:spacing w:after="0"/>
              <w:rPr>
                <w:sz w:val="18"/>
                <w:szCs w:val="18"/>
                <w:color w:val="auto"/>
              </w:rPr>
            </w:pPr>
          </w:p>
        </w:tc>
      </w:tr>
      <w:tr>
        <w:trPr>
          <w:trHeight w:val="216"/>
        </w:trPr>
        <w:tc>
          <w:tcPr>
            <w:tcW w:w="4880" w:type="dxa"/>
            <w:vAlign w:val="bottom"/>
          </w:tcPr>
          <w:p>
            <w:pPr>
              <w:spacing w:after="0"/>
              <w:rPr>
                <w:sz w:val="20"/>
                <w:szCs w:val="20"/>
                <w:color w:val="auto"/>
              </w:rPr>
            </w:pPr>
            <w:r>
              <w:rPr>
                <w:rFonts w:ascii="Arial" w:cs="Arial" w:eastAsia="Arial" w:hAnsi="Arial"/>
                <w:sz w:val="18"/>
                <w:szCs w:val="18"/>
                <w:color w:val="auto"/>
              </w:rPr>
              <w:t>Risk-free rate of return</w:t>
            </w:r>
          </w:p>
        </w:tc>
        <w:tc>
          <w:tcPr>
            <w:tcW w:w="2160" w:type="dxa"/>
            <w:vAlign w:val="bottom"/>
            <w:gridSpan w:val="2"/>
          </w:tcPr>
          <w:p>
            <w:pPr>
              <w:jc w:val="right"/>
              <w:ind w:right="880"/>
              <w:spacing w:after="0"/>
              <w:rPr>
                <w:sz w:val="20"/>
                <w:szCs w:val="20"/>
                <w:color w:val="auto"/>
              </w:rPr>
            </w:pPr>
            <w:r>
              <w:rPr>
                <w:rFonts w:ascii="Arial" w:cs="Arial" w:eastAsia="Arial" w:hAnsi="Arial"/>
                <w:sz w:val="18"/>
                <w:szCs w:val="18"/>
                <w:color w:val="auto"/>
              </w:rPr>
              <w:t>1.73%</w:t>
            </w:r>
          </w:p>
        </w:tc>
        <w:tc>
          <w:tcPr>
            <w:tcW w:w="1320" w:type="dxa"/>
            <w:vAlign w:val="bottom"/>
            <w:gridSpan w:val="2"/>
          </w:tcPr>
          <w:p>
            <w:pPr>
              <w:jc w:val="right"/>
              <w:ind w:right="40"/>
              <w:spacing w:after="0"/>
              <w:rPr>
                <w:sz w:val="20"/>
                <w:szCs w:val="20"/>
                <w:color w:val="auto"/>
              </w:rPr>
            </w:pPr>
            <w:r>
              <w:rPr>
                <w:rFonts w:ascii="Arial" w:cs="Arial" w:eastAsia="Arial" w:hAnsi="Arial"/>
                <w:sz w:val="18"/>
                <w:szCs w:val="18"/>
                <w:color w:val="auto"/>
              </w:rPr>
              <w:t>1.73%</w:t>
            </w:r>
          </w:p>
        </w:tc>
      </w:tr>
      <w:tr>
        <w:trPr>
          <w:trHeight w:val="216"/>
        </w:trPr>
        <w:tc>
          <w:tcPr>
            <w:tcW w:w="4880" w:type="dxa"/>
            <w:vAlign w:val="bottom"/>
            <w:shd w:val="clear" w:color="auto" w:fill="CCEEFF"/>
          </w:tcPr>
          <w:p>
            <w:pPr>
              <w:spacing w:after="0"/>
              <w:rPr>
                <w:sz w:val="20"/>
                <w:szCs w:val="20"/>
                <w:color w:val="auto"/>
              </w:rPr>
            </w:pPr>
            <w:r>
              <w:rPr>
                <w:rFonts w:ascii="Arial" w:cs="Arial" w:eastAsia="Arial" w:hAnsi="Arial"/>
                <w:sz w:val="18"/>
                <w:szCs w:val="18"/>
                <w:color w:val="auto"/>
              </w:rPr>
              <w:t>Applied volatility</w:t>
            </w:r>
          </w:p>
        </w:tc>
        <w:tc>
          <w:tcPr>
            <w:tcW w:w="2160" w:type="dxa"/>
            <w:vAlign w:val="bottom"/>
            <w:gridSpan w:val="2"/>
            <w:shd w:val="clear" w:color="auto" w:fill="CCEEFF"/>
          </w:tcPr>
          <w:p>
            <w:pPr>
              <w:jc w:val="right"/>
              <w:ind w:right="880"/>
              <w:spacing w:after="0"/>
              <w:rPr>
                <w:sz w:val="20"/>
                <w:szCs w:val="20"/>
                <w:color w:val="auto"/>
              </w:rPr>
            </w:pPr>
            <w:r>
              <w:rPr>
                <w:rFonts w:ascii="Arial" w:cs="Arial" w:eastAsia="Arial" w:hAnsi="Arial"/>
                <w:sz w:val="18"/>
                <w:szCs w:val="18"/>
                <w:color w:val="auto"/>
              </w:rPr>
              <w:t>35%</w:t>
            </w:r>
          </w:p>
        </w:tc>
        <w:tc>
          <w:tcPr>
            <w:tcW w:w="13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35%</w:t>
            </w:r>
          </w:p>
        </w:tc>
      </w:tr>
    </w:tbl>
    <w:p>
      <w:pPr>
        <w:spacing w:after="0" w:line="202" w:lineRule="exact"/>
        <w:rPr>
          <w:sz w:val="20"/>
          <w:szCs w:val="20"/>
          <w:color w:val="auto"/>
        </w:rPr>
      </w:pPr>
    </w:p>
    <w:p>
      <w:pPr>
        <w:jc w:val="both"/>
        <w:ind w:left="120" w:right="580" w:firstLine="440"/>
        <w:spacing w:after="0" w:line="342" w:lineRule="auto"/>
        <w:rPr>
          <w:sz w:val="20"/>
          <w:szCs w:val="20"/>
          <w:color w:val="auto"/>
        </w:rPr>
      </w:pPr>
      <w:r>
        <w:rPr>
          <w:rFonts w:ascii="Arial" w:cs="Arial" w:eastAsia="Arial" w:hAnsi="Arial"/>
          <w:sz w:val="16"/>
          <w:szCs w:val="16"/>
          <w:color w:val="auto"/>
        </w:rPr>
        <w:t>The expected option term represents management’s estimate of time to an exit event. The risk-free rate of return is based upon government securities with durations approximately equal to the option term. Applied volatility is based on the average volatility of the guideline companies.</w:t>
      </w:r>
    </w:p>
    <w:p>
      <w:pPr>
        <w:spacing w:after="0" w:line="56" w:lineRule="exact"/>
        <w:rPr>
          <w:sz w:val="20"/>
          <w:szCs w:val="20"/>
          <w:color w:val="auto"/>
        </w:rPr>
      </w:pPr>
    </w:p>
    <w:p>
      <w:pPr>
        <w:jc w:val="center"/>
        <w:ind w:right="-359"/>
        <w:spacing w:after="0"/>
        <w:rPr>
          <w:sz w:val="20"/>
          <w:szCs w:val="20"/>
          <w:color w:val="auto"/>
        </w:rPr>
      </w:pPr>
      <w:r>
        <w:rPr>
          <w:rFonts w:ascii="Arial" w:cs="Arial" w:eastAsia="Arial" w:hAnsi="Arial"/>
          <w:sz w:val="18"/>
          <w:szCs w:val="18"/>
          <w:color w:val="auto"/>
        </w:rPr>
        <w:t>F-40</w:t>
      </w:r>
    </w:p>
    <w:p>
      <w:pPr>
        <w:sectPr>
          <w:pgSz w:w="11900" w:h="16838" w:orient="portrait"/>
          <w:cols w:equalWidth="0" w:num="1">
            <w:col w:w="11120"/>
          </w:cols>
          <w:pgMar w:left="320" w:top="459" w:right="459" w:bottom="1440" w:gutter="0" w:footer="0" w:header="0"/>
        </w:sectPr>
      </w:pPr>
    </w:p>
    <w:bookmarkStart w:id="246" w:name="page247"/>
    <w:bookmarkEnd w:id="24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32">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Confidential Treatment Requested by Definitive Healthcare Corp.</w:t>
      </w:r>
    </w:p>
    <w:p>
      <w:pPr>
        <w:spacing w:after="0" w:line="27"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Pursuant to 17 C.F.R. Section 200.83</w:t>
      </w:r>
    </w:p>
    <w:p>
      <w:pPr>
        <w:spacing w:after="0" w:line="143" w:lineRule="exact"/>
        <w:rPr>
          <w:sz w:val="20"/>
          <w:szCs w:val="20"/>
          <w:color w:val="auto"/>
        </w:rPr>
      </w:pPr>
    </w:p>
    <w:p>
      <w:pPr>
        <w:ind w:left="120" w:right="140" w:firstLine="440"/>
        <w:spacing w:after="0" w:line="263" w:lineRule="auto"/>
        <w:rPr>
          <w:sz w:val="20"/>
          <w:szCs w:val="20"/>
          <w:color w:val="auto"/>
        </w:rPr>
      </w:pPr>
      <w:r>
        <w:rPr>
          <w:rFonts w:ascii="Arial" w:cs="Arial" w:eastAsia="Arial" w:hAnsi="Arial"/>
          <w:sz w:val="18"/>
          <w:szCs w:val="18"/>
          <w:color w:val="auto"/>
        </w:rPr>
        <w:t>The following table summarizes the Company’s unvested time-based and performance-based unit activity under the 2019 plan for the year ended December 31, 2020 (Successor) and the periods from July 16, 2019 and December 31, 2019 (Successor) and January 1, 2019 to July 15, 2019 (Predecessor):</w:t>
      </w:r>
    </w:p>
    <w:p>
      <w:pPr>
        <w:spacing w:after="0" w:line="206" w:lineRule="exact"/>
        <w:rPr>
          <w:sz w:val="20"/>
          <w:szCs w:val="20"/>
          <w:color w:val="auto"/>
        </w:rPr>
      </w:pPr>
    </w:p>
    <w:tbl>
      <w:tblPr>
        <w:tblLayout w:type="fixed"/>
        <w:tblInd w:w="120" w:type="dxa"/>
        <w:tblCellMar>
          <w:top w:w="0" w:type="dxa"/>
          <w:left w:w="0" w:type="dxa"/>
          <w:bottom w:w="0" w:type="dxa"/>
          <w:right w:w="0" w:type="dxa"/>
        </w:tblCellMar>
      </w:tblPr>
      <w:tr>
        <w:trPr>
          <w:trHeight w:val="167"/>
        </w:trPr>
        <w:tc>
          <w:tcPr>
            <w:tcW w:w="580" w:type="dxa"/>
            <w:vAlign w:val="bottom"/>
          </w:tcPr>
          <w:p>
            <w:pPr>
              <w:spacing w:after="0"/>
              <w:rPr>
                <w:sz w:val="14"/>
                <w:szCs w:val="14"/>
                <w:color w:val="auto"/>
              </w:rPr>
            </w:pPr>
          </w:p>
        </w:tc>
        <w:tc>
          <w:tcPr>
            <w:tcW w:w="6280" w:type="dxa"/>
            <w:vAlign w:val="bottom"/>
          </w:tcPr>
          <w:p>
            <w:pPr>
              <w:spacing w:after="0"/>
              <w:rPr>
                <w:sz w:val="14"/>
                <w:szCs w:val="14"/>
                <w:color w:val="auto"/>
              </w:rPr>
            </w:pPr>
          </w:p>
        </w:tc>
        <w:tc>
          <w:tcPr>
            <w:tcW w:w="1420" w:type="dxa"/>
            <w:vAlign w:val="bottom"/>
            <w:tcBorders>
              <w:bottom w:val="single" w:sz="8" w:color="auto"/>
            </w:tcBorders>
            <w:gridSpan w:val="3"/>
          </w:tcPr>
          <w:p>
            <w:pPr>
              <w:ind w:left="580"/>
              <w:spacing w:after="0"/>
              <w:rPr>
                <w:sz w:val="20"/>
                <w:szCs w:val="20"/>
                <w:color w:val="auto"/>
              </w:rPr>
            </w:pPr>
            <w:r>
              <w:rPr>
                <w:rFonts w:ascii="Arial" w:cs="Arial" w:eastAsia="Arial" w:hAnsi="Arial"/>
                <w:sz w:val="14"/>
                <w:szCs w:val="14"/>
                <w:color w:val="auto"/>
              </w:rPr>
              <w:t>Time-based</w:t>
            </w:r>
          </w:p>
        </w:tc>
        <w:tc>
          <w:tcPr>
            <w:tcW w:w="440" w:type="dxa"/>
            <w:vAlign w:val="bottom"/>
            <w:tcBorders>
              <w:bottom w:val="single" w:sz="8" w:color="auto"/>
            </w:tcBorders>
          </w:tcPr>
          <w:p>
            <w:pPr>
              <w:spacing w:after="0"/>
              <w:rPr>
                <w:sz w:val="14"/>
                <w:szCs w:val="14"/>
                <w:color w:val="auto"/>
              </w:rPr>
            </w:pPr>
          </w:p>
        </w:tc>
        <w:tc>
          <w:tcPr>
            <w:tcW w:w="380" w:type="dxa"/>
            <w:vAlign w:val="bottom"/>
          </w:tcPr>
          <w:p>
            <w:pPr>
              <w:spacing w:after="0"/>
              <w:rPr>
                <w:sz w:val="14"/>
                <w:szCs w:val="14"/>
                <w:color w:val="auto"/>
              </w:rPr>
            </w:pPr>
          </w:p>
        </w:tc>
        <w:tc>
          <w:tcPr>
            <w:tcW w:w="1520" w:type="dxa"/>
            <w:vAlign w:val="bottom"/>
            <w:tcBorders>
              <w:bottom w:val="single" w:sz="8" w:color="auto"/>
            </w:tcBorders>
            <w:gridSpan w:val="3"/>
          </w:tcPr>
          <w:p>
            <w:pPr>
              <w:ind w:left="380"/>
              <w:spacing w:after="0"/>
              <w:rPr>
                <w:sz w:val="20"/>
                <w:szCs w:val="20"/>
                <w:color w:val="auto"/>
              </w:rPr>
            </w:pPr>
            <w:r>
              <w:rPr>
                <w:rFonts w:ascii="Arial" w:cs="Arial" w:eastAsia="Arial" w:hAnsi="Arial"/>
                <w:sz w:val="14"/>
                <w:szCs w:val="14"/>
                <w:color w:val="auto"/>
                <w:w w:val="91"/>
              </w:rPr>
              <w:t>Performance-based</w:t>
            </w:r>
          </w:p>
        </w:tc>
        <w:tc>
          <w:tcPr>
            <w:tcW w:w="34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3"/>
        </w:trPr>
        <w:tc>
          <w:tcPr>
            <w:tcW w:w="580" w:type="dxa"/>
            <w:vAlign w:val="bottom"/>
          </w:tcPr>
          <w:p>
            <w:pPr>
              <w:spacing w:after="0"/>
              <w:rPr>
                <w:sz w:val="10"/>
                <w:szCs w:val="10"/>
                <w:color w:val="auto"/>
              </w:rPr>
            </w:pPr>
          </w:p>
        </w:tc>
        <w:tc>
          <w:tcPr>
            <w:tcW w:w="628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660" w:type="dxa"/>
            <w:vAlign w:val="bottom"/>
            <w:gridSpan w:val="2"/>
          </w:tcPr>
          <w:p>
            <w:pPr>
              <w:ind w:left="60"/>
              <w:spacing w:after="0" w:line="123" w:lineRule="exact"/>
              <w:rPr>
                <w:sz w:val="20"/>
                <w:szCs w:val="20"/>
                <w:color w:val="auto"/>
              </w:rPr>
            </w:pPr>
            <w:r>
              <w:rPr>
                <w:rFonts w:ascii="Arial" w:cs="Arial" w:eastAsia="Arial" w:hAnsi="Arial"/>
                <w:sz w:val="14"/>
                <w:szCs w:val="14"/>
                <w:color w:val="auto"/>
                <w:w w:val="97"/>
              </w:rPr>
              <w:t>Weighted</w:t>
            </w:r>
          </w:p>
        </w:tc>
        <w:tc>
          <w:tcPr>
            <w:tcW w:w="38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660" w:type="dxa"/>
            <w:vAlign w:val="bottom"/>
            <w:gridSpan w:val="2"/>
          </w:tcPr>
          <w:p>
            <w:pPr>
              <w:ind w:left="60"/>
              <w:spacing w:after="0" w:line="123" w:lineRule="exact"/>
              <w:rPr>
                <w:sz w:val="20"/>
                <w:szCs w:val="20"/>
                <w:color w:val="auto"/>
              </w:rPr>
            </w:pPr>
            <w:r>
              <w:rPr>
                <w:rFonts w:ascii="Arial" w:cs="Arial" w:eastAsia="Arial" w:hAnsi="Arial"/>
                <w:sz w:val="14"/>
                <w:szCs w:val="14"/>
                <w:color w:val="auto"/>
                <w:w w:val="97"/>
              </w:rPr>
              <w:t>Weighted</w:t>
            </w: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580" w:type="dxa"/>
            <w:vAlign w:val="bottom"/>
          </w:tcPr>
          <w:p>
            <w:pPr>
              <w:spacing w:after="0"/>
              <w:rPr>
                <w:sz w:val="12"/>
                <w:szCs w:val="12"/>
                <w:color w:val="auto"/>
              </w:rPr>
            </w:pPr>
          </w:p>
        </w:tc>
        <w:tc>
          <w:tcPr>
            <w:tcW w:w="62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040" w:type="dxa"/>
            <w:vAlign w:val="bottom"/>
            <w:gridSpan w:val="3"/>
          </w:tcPr>
          <w:p>
            <w:pPr>
              <w:ind w:left="100"/>
              <w:spacing w:after="0" w:line="149" w:lineRule="exact"/>
              <w:rPr>
                <w:sz w:val="20"/>
                <w:szCs w:val="20"/>
                <w:color w:val="auto"/>
              </w:rPr>
            </w:pPr>
            <w:r>
              <w:rPr>
                <w:rFonts w:ascii="Arial" w:cs="Arial" w:eastAsia="Arial" w:hAnsi="Arial"/>
                <w:sz w:val="14"/>
                <w:szCs w:val="14"/>
                <w:color w:val="auto"/>
              </w:rPr>
              <w:t>Average</w:t>
            </w:r>
          </w:p>
        </w:tc>
        <w:tc>
          <w:tcPr>
            <w:tcW w:w="7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720" w:type="dxa"/>
            <w:vAlign w:val="bottom"/>
            <w:gridSpan w:val="3"/>
          </w:tcPr>
          <w:p>
            <w:pPr>
              <w:ind w:left="100"/>
              <w:spacing w:after="0" w:line="149" w:lineRule="exact"/>
              <w:rPr>
                <w:sz w:val="20"/>
                <w:szCs w:val="20"/>
                <w:color w:val="auto"/>
              </w:rPr>
            </w:pPr>
            <w:r>
              <w:rPr>
                <w:rFonts w:ascii="Arial" w:cs="Arial" w:eastAsia="Arial" w:hAnsi="Arial"/>
                <w:sz w:val="14"/>
                <w:szCs w:val="14"/>
                <w:color w:val="auto"/>
              </w:rPr>
              <w:t>Average</w:t>
            </w:r>
          </w:p>
        </w:tc>
        <w:tc>
          <w:tcPr>
            <w:tcW w:w="0" w:type="dxa"/>
            <w:vAlign w:val="bottom"/>
          </w:tcPr>
          <w:p>
            <w:pPr>
              <w:spacing w:after="0"/>
              <w:rPr>
                <w:sz w:val="1"/>
                <w:szCs w:val="1"/>
                <w:color w:val="auto"/>
              </w:rPr>
            </w:pPr>
          </w:p>
        </w:tc>
      </w:tr>
      <w:tr>
        <w:trPr>
          <w:trHeight w:val="148"/>
        </w:trPr>
        <w:tc>
          <w:tcPr>
            <w:tcW w:w="580" w:type="dxa"/>
            <w:vAlign w:val="bottom"/>
            <w:vMerge w:val="restart"/>
          </w:tcPr>
          <w:p>
            <w:pPr>
              <w:spacing w:after="0"/>
              <w:rPr>
                <w:sz w:val="20"/>
                <w:szCs w:val="20"/>
                <w:color w:val="auto"/>
              </w:rPr>
            </w:pPr>
            <w:r>
              <w:rPr>
                <w:rFonts w:ascii="Arial" w:cs="Arial" w:eastAsia="Arial" w:hAnsi="Arial"/>
                <w:sz w:val="14"/>
                <w:szCs w:val="14"/>
                <w:color w:val="auto"/>
                <w:w w:val="88"/>
              </w:rPr>
              <w:t>2019 Plan</w:t>
            </w:r>
          </w:p>
        </w:tc>
        <w:tc>
          <w:tcPr>
            <w:tcW w:w="6280" w:type="dxa"/>
            <w:vAlign w:val="bottom"/>
            <w:vMerge w:val="restart"/>
          </w:tcPr>
          <w:p>
            <w:pPr>
              <w:spacing w:after="0"/>
              <w:rPr>
                <w:sz w:val="12"/>
                <w:szCs w:val="12"/>
                <w:color w:val="auto"/>
              </w:rPr>
            </w:pPr>
          </w:p>
        </w:tc>
        <w:tc>
          <w:tcPr>
            <w:tcW w:w="1200" w:type="dxa"/>
            <w:vAlign w:val="bottom"/>
            <w:gridSpan w:val="2"/>
          </w:tcPr>
          <w:p>
            <w:pPr>
              <w:jc w:val="right"/>
              <w:ind w:right="480"/>
              <w:spacing w:after="0" w:line="149" w:lineRule="exact"/>
              <w:rPr>
                <w:sz w:val="20"/>
                <w:szCs w:val="20"/>
                <w:color w:val="auto"/>
              </w:rPr>
            </w:pPr>
            <w:r>
              <w:rPr>
                <w:rFonts w:ascii="Arial" w:cs="Arial" w:eastAsia="Arial" w:hAnsi="Arial"/>
                <w:sz w:val="14"/>
                <w:szCs w:val="14"/>
                <w:color w:val="auto"/>
                <w:w w:val="94"/>
              </w:rPr>
              <w:t>Non-Vested</w:t>
            </w:r>
          </w:p>
        </w:tc>
        <w:tc>
          <w:tcPr>
            <w:tcW w:w="1040" w:type="dxa"/>
            <w:vAlign w:val="bottom"/>
            <w:gridSpan w:val="3"/>
          </w:tcPr>
          <w:p>
            <w:pPr>
              <w:ind w:left="20"/>
              <w:spacing w:after="0" w:line="149" w:lineRule="exact"/>
              <w:rPr>
                <w:sz w:val="20"/>
                <w:szCs w:val="20"/>
                <w:color w:val="auto"/>
              </w:rPr>
            </w:pPr>
            <w:r>
              <w:rPr>
                <w:rFonts w:ascii="Arial" w:cs="Arial" w:eastAsia="Arial" w:hAnsi="Arial"/>
                <w:sz w:val="14"/>
                <w:szCs w:val="14"/>
                <w:color w:val="auto"/>
              </w:rPr>
              <w:t>Grant Date</w:t>
            </w:r>
          </w:p>
        </w:tc>
        <w:tc>
          <w:tcPr>
            <w:tcW w:w="1200" w:type="dxa"/>
            <w:vAlign w:val="bottom"/>
            <w:gridSpan w:val="2"/>
          </w:tcPr>
          <w:p>
            <w:pPr>
              <w:jc w:val="right"/>
              <w:ind w:right="480"/>
              <w:spacing w:after="0" w:line="149" w:lineRule="exact"/>
              <w:rPr>
                <w:sz w:val="20"/>
                <w:szCs w:val="20"/>
                <w:color w:val="auto"/>
              </w:rPr>
            </w:pPr>
            <w:r>
              <w:rPr>
                <w:rFonts w:ascii="Arial" w:cs="Arial" w:eastAsia="Arial" w:hAnsi="Arial"/>
                <w:sz w:val="14"/>
                <w:szCs w:val="14"/>
                <w:color w:val="auto"/>
                <w:w w:val="94"/>
              </w:rPr>
              <w:t>Non-Vested</w:t>
            </w:r>
          </w:p>
        </w:tc>
        <w:tc>
          <w:tcPr>
            <w:tcW w:w="720" w:type="dxa"/>
            <w:vAlign w:val="bottom"/>
            <w:gridSpan w:val="3"/>
          </w:tcPr>
          <w:p>
            <w:pPr>
              <w:ind w:left="20"/>
              <w:spacing w:after="0" w:line="149" w:lineRule="exact"/>
              <w:rPr>
                <w:sz w:val="20"/>
                <w:szCs w:val="20"/>
                <w:color w:val="auto"/>
              </w:rPr>
            </w:pPr>
            <w:r>
              <w:rPr>
                <w:rFonts w:ascii="Arial" w:cs="Arial" w:eastAsia="Arial" w:hAnsi="Arial"/>
                <w:sz w:val="14"/>
                <w:szCs w:val="14"/>
                <w:color w:val="auto"/>
                <w:w w:val="99"/>
              </w:rPr>
              <w:t>Grant Date</w:t>
            </w:r>
          </w:p>
        </w:tc>
        <w:tc>
          <w:tcPr>
            <w:tcW w:w="0" w:type="dxa"/>
            <w:vAlign w:val="bottom"/>
          </w:tcPr>
          <w:p>
            <w:pPr>
              <w:spacing w:after="0"/>
              <w:rPr>
                <w:sz w:val="1"/>
                <w:szCs w:val="1"/>
                <w:color w:val="auto"/>
              </w:rPr>
            </w:pPr>
          </w:p>
        </w:tc>
      </w:tr>
      <w:tr>
        <w:trPr>
          <w:trHeight w:val="174"/>
        </w:trPr>
        <w:tc>
          <w:tcPr>
            <w:tcW w:w="580" w:type="dxa"/>
            <w:vAlign w:val="bottom"/>
            <w:tcBorders>
              <w:bottom w:val="single" w:sz="8" w:color="auto"/>
            </w:tcBorders>
            <w:vMerge w:val="continue"/>
          </w:tcPr>
          <w:p>
            <w:pPr>
              <w:spacing w:after="0"/>
              <w:rPr>
                <w:sz w:val="15"/>
                <w:szCs w:val="15"/>
                <w:color w:val="auto"/>
              </w:rPr>
            </w:pPr>
          </w:p>
        </w:tc>
        <w:tc>
          <w:tcPr>
            <w:tcW w:w="6280" w:type="dxa"/>
            <w:vAlign w:val="bottom"/>
            <w:vMerge w:val="continue"/>
          </w:tcPr>
          <w:p>
            <w:pPr>
              <w:spacing w:after="0"/>
              <w:rPr>
                <w:sz w:val="15"/>
                <w:szCs w:val="15"/>
                <w:color w:val="auto"/>
              </w:rPr>
            </w:pPr>
          </w:p>
        </w:tc>
        <w:tc>
          <w:tcPr>
            <w:tcW w:w="1200" w:type="dxa"/>
            <w:vAlign w:val="bottom"/>
            <w:gridSpan w:val="2"/>
          </w:tcPr>
          <w:p>
            <w:pPr>
              <w:jc w:val="right"/>
              <w:ind w:right="660"/>
              <w:spacing w:after="0" w:line="154" w:lineRule="exact"/>
              <w:rPr>
                <w:sz w:val="20"/>
                <w:szCs w:val="20"/>
                <w:color w:val="auto"/>
              </w:rPr>
            </w:pPr>
            <w:r>
              <w:rPr>
                <w:rFonts w:ascii="Arial" w:cs="Arial" w:eastAsia="Arial" w:hAnsi="Arial"/>
                <w:sz w:val="14"/>
                <w:szCs w:val="14"/>
                <w:color w:val="auto"/>
              </w:rPr>
              <w:t>Units</w:t>
            </w:r>
          </w:p>
        </w:tc>
        <w:tc>
          <w:tcPr>
            <w:tcW w:w="1040" w:type="dxa"/>
            <w:vAlign w:val="bottom"/>
            <w:gridSpan w:val="3"/>
          </w:tcPr>
          <w:p>
            <w:pPr>
              <w:ind w:left="40"/>
              <w:spacing w:after="0" w:line="154" w:lineRule="exact"/>
              <w:rPr>
                <w:sz w:val="20"/>
                <w:szCs w:val="20"/>
                <w:color w:val="auto"/>
              </w:rPr>
            </w:pPr>
            <w:r>
              <w:rPr>
                <w:rFonts w:ascii="Arial" w:cs="Arial" w:eastAsia="Arial" w:hAnsi="Arial"/>
                <w:sz w:val="14"/>
                <w:szCs w:val="14"/>
                <w:color w:val="auto"/>
              </w:rPr>
              <w:t>Fair Value</w:t>
            </w:r>
          </w:p>
        </w:tc>
        <w:tc>
          <w:tcPr>
            <w:tcW w:w="1200" w:type="dxa"/>
            <w:vAlign w:val="bottom"/>
            <w:gridSpan w:val="2"/>
          </w:tcPr>
          <w:p>
            <w:pPr>
              <w:jc w:val="right"/>
              <w:ind w:right="660"/>
              <w:spacing w:after="0" w:line="154" w:lineRule="exact"/>
              <w:rPr>
                <w:sz w:val="20"/>
                <w:szCs w:val="20"/>
                <w:color w:val="auto"/>
              </w:rPr>
            </w:pPr>
            <w:r>
              <w:rPr>
                <w:rFonts w:ascii="Arial" w:cs="Arial" w:eastAsia="Arial" w:hAnsi="Arial"/>
                <w:sz w:val="14"/>
                <w:szCs w:val="14"/>
                <w:color w:val="auto"/>
              </w:rPr>
              <w:t>Units</w:t>
            </w:r>
          </w:p>
        </w:tc>
        <w:tc>
          <w:tcPr>
            <w:tcW w:w="720" w:type="dxa"/>
            <w:vAlign w:val="bottom"/>
            <w:gridSpan w:val="3"/>
          </w:tcPr>
          <w:p>
            <w:pPr>
              <w:ind w:left="40"/>
              <w:spacing w:after="0" w:line="154" w:lineRule="exact"/>
              <w:rPr>
                <w:sz w:val="20"/>
                <w:szCs w:val="20"/>
                <w:color w:val="auto"/>
              </w:rPr>
            </w:pPr>
            <w:r>
              <w:rPr>
                <w:rFonts w:ascii="Arial" w:cs="Arial" w:eastAsia="Arial" w:hAnsi="Arial"/>
                <w:sz w:val="14"/>
                <w:szCs w:val="14"/>
                <w:color w:val="auto"/>
              </w:rPr>
              <w:t>Fair Value</w:t>
            </w:r>
          </w:p>
        </w:tc>
        <w:tc>
          <w:tcPr>
            <w:tcW w:w="0" w:type="dxa"/>
            <w:vAlign w:val="bottom"/>
          </w:tcPr>
          <w:p>
            <w:pPr>
              <w:spacing w:after="0"/>
              <w:rPr>
                <w:sz w:val="1"/>
                <w:szCs w:val="1"/>
                <w:color w:val="auto"/>
              </w:rPr>
            </w:pPr>
          </w:p>
        </w:tc>
      </w:tr>
      <w:tr>
        <w:trPr>
          <w:trHeight w:val="203"/>
        </w:trPr>
        <w:tc>
          <w:tcPr>
            <w:tcW w:w="6860" w:type="dxa"/>
            <w:vAlign w:val="bottom"/>
            <w:tcBorders>
              <w:top w:val="single" w:sz="8" w:color="CCEEFF"/>
            </w:tcBorders>
            <w:gridSpan w:val="2"/>
            <w:shd w:val="clear" w:color="auto" w:fill="CCEEFF"/>
          </w:tcPr>
          <w:p>
            <w:pPr>
              <w:spacing w:after="0" w:line="203" w:lineRule="exact"/>
              <w:rPr>
                <w:sz w:val="20"/>
                <w:szCs w:val="20"/>
                <w:color w:val="auto"/>
              </w:rPr>
            </w:pPr>
            <w:r>
              <w:rPr>
                <w:rFonts w:ascii="Arial" w:cs="Arial" w:eastAsia="Arial" w:hAnsi="Arial"/>
                <w:sz w:val="18"/>
                <w:szCs w:val="18"/>
                <w:color w:val="auto"/>
              </w:rPr>
              <w:t>Non-vested at December 31, 2018 (Predecessor)</w:t>
            </w:r>
          </w:p>
        </w:tc>
        <w:tc>
          <w:tcPr>
            <w:tcW w:w="780" w:type="dxa"/>
            <w:vAlign w:val="bottom"/>
            <w:tcBorders>
              <w:top w:val="single" w:sz="8" w:color="auto"/>
            </w:tcBorders>
            <w:shd w:val="clear" w:color="auto" w:fill="CCEEFF"/>
          </w:tcPr>
          <w:p>
            <w:pPr>
              <w:jc w:val="right"/>
              <w:ind w:right="14"/>
              <w:spacing w:after="0" w:line="203" w:lineRule="exact"/>
              <w:rPr>
                <w:sz w:val="20"/>
                <w:szCs w:val="20"/>
                <w:color w:val="auto"/>
              </w:rPr>
            </w:pPr>
            <w:r>
              <w:rPr>
                <w:rFonts w:ascii="Arial" w:cs="Arial" w:eastAsia="Arial" w:hAnsi="Arial"/>
                <w:sz w:val="18"/>
                <w:szCs w:val="18"/>
                <w:color w:val="auto"/>
              </w:rPr>
              <w:t>—</w:t>
            </w:r>
          </w:p>
        </w:tc>
        <w:tc>
          <w:tcPr>
            <w:tcW w:w="42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line="203" w:lineRule="exact"/>
              <w:rPr>
                <w:sz w:val="20"/>
                <w:szCs w:val="20"/>
                <w:color w:val="auto"/>
              </w:rPr>
            </w:pPr>
            <w:r>
              <w:rPr>
                <w:rFonts w:ascii="Arial" w:cs="Arial" w:eastAsia="Arial" w:hAnsi="Arial"/>
                <w:sz w:val="18"/>
                <w:szCs w:val="18"/>
                <w:color w:val="auto"/>
              </w:rPr>
              <w:t>$</w:t>
            </w:r>
          </w:p>
        </w:tc>
        <w:tc>
          <w:tcPr>
            <w:tcW w:w="440" w:type="dxa"/>
            <w:vAlign w:val="bottom"/>
            <w:tcBorders>
              <w:top w:val="single" w:sz="8" w:color="auto"/>
            </w:tcBorders>
            <w:shd w:val="clear" w:color="auto" w:fill="CCEEFF"/>
          </w:tcPr>
          <w:p>
            <w:pPr>
              <w:jc w:val="center"/>
              <w:spacing w:after="0" w:line="203" w:lineRule="exact"/>
              <w:rPr>
                <w:sz w:val="20"/>
                <w:szCs w:val="20"/>
                <w:color w:val="auto"/>
              </w:rPr>
            </w:pPr>
            <w:r>
              <w:rPr>
                <w:rFonts w:ascii="Arial" w:cs="Arial" w:eastAsia="Arial" w:hAnsi="Arial"/>
                <w:sz w:val="18"/>
                <w:szCs w:val="18"/>
                <w:color w:val="auto"/>
                <w:w w:val="99"/>
              </w:rPr>
              <w:t>—</w:t>
            </w:r>
          </w:p>
        </w:tc>
        <w:tc>
          <w:tcPr>
            <w:tcW w:w="380" w:type="dxa"/>
            <w:vAlign w:val="bottom"/>
            <w:tcBorders>
              <w:top w:val="single" w:sz="8" w:color="CCEEFF"/>
            </w:tcBorders>
            <w:shd w:val="clear" w:color="auto" w:fill="CCEEFF"/>
          </w:tcPr>
          <w:p>
            <w:pPr>
              <w:spacing w:after="0"/>
              <w:rPr>
                <w:sz w:val="17"/>
                <w:szCs w:val="17"/>
                <w:color w:val="auto"/>
              </w:rPr>
            </w:pPr>
          </w:p>
        </w:tc>
        <w:tc>
          <w:tcPr>
            <w:tcW w:w="780" w:type="dxa"/>
            <w:vAlign w:val="bottom"/>
            <w:tcBorders>
              <w:top w:val="single" w:sz="8" w:color="auto"/>
            </w:tcBorders>
            <w:shd w:val="clear" w:color="auto" w:fill="CCEEFF"/>
          </w:tcPr>
          <w:p>
            <w:pPr>
              <w:jc w:val="right"/>
              <w:ind w:right="14"/>
              <w:spacing w:after="0" w:line="203" w:lineRule="exact"/>
              <w:rPr>
                <w:sz w:val="20"/>
                <w:szCs w:val="20"/>
                <w:color w:val="auto"/>
              </w:rPr>
            </w:pPr>
            <w:r>
              <w:rPr>
                <w:rFonts w:ascii="Arial" w:cs="Arial" w:eastAsia="Arial" w:hAnsi="Arial"/>
                <w:sz w:val="18"/>
                <w:szCs w:val="18"/>
                <w:color w:val="auto"/>
              </w:rPr>
              <w:t>—</w:t>
            </w:r>
          </w:p>
        </w:tc>
        <w:tc>
          <w:tcPr>
            <w:tcW w:w="420" w:type="dxa"/>
            <w:vAlign w:val="bottom"/>
            <w:tcBorders>
              <w:top w:val="single" w:sz="8" w:color="CCEEFF"/>
            </w:tcBorders>
            <w:shd w:val="clear" w:color="auto" w:fill="CCEEFF"/>
          </w:tcPr>
          <w:p>
            <w:pPr>
              <w:spacing w:after="0"/>
              <w:rPr>
                <w:sz w:val="17"/>
                <w:szCs w:val="17"/>
                <w:color w:val="auto"/>
              </w:rPr>
            </w:pPr>
          </w:p>
        </w:tc>
        <w:tc>
          <w:tcPr>
            <w:tcW w:w="320" w:type="dxa"/>
            <w:vAlign w:val="bottom"/>
            <w:tcBorders>
              <w:top w:val="single" w:sz="8" w:color="auto"/>
            </w:tcBorders>
            <w:shd w:val="clear" w:color="auto" w:fill="CCEEFF"/>
          </w:tcPr>
          <w:p>
            <w:pPr>
              <w:ind w:left="20"/>
              <w:spacing w:after="0" w:line="203" w:lineRule="exact"/>
              <w:rPr>
                <w:sz w:val="20"/>
                <w:szCs w:val="20"/>
                <w:color w:val="auto"/>
              </w:rPr>
            </w:pPr>
            <w:r>
              <w:rPr>
                <w:rFonts w:ascii="Arial" w:cs="Arial" w:eastAsia="Arial" w:hAnsi="Arial"/>
                <w:sz w:val="18"/>
                <w:szCs w:val="18"/>
                <w:color w:val="auto"/>
              </w:rPr>
              <w:t>$</w:t>
            </w:r>
          </w:p>
        </w:tc>
        <w:tc>
          <w:tcPr>
            <w:tcW w:w="340" w:type="dxa"/>
            <w:vAlign w:val="bottom"/>
            <w:tcBorders>
              <w:top w:val="single" w:sz="8" w:color="auto"/>
            </w:tcBorders>
            <w:shd w:val="clear" w:color="auto" w:fill="CCEEFF"/>
          </w:tcPr>
          <w:p>
            <w:pPr>
              <w:jc w:val="center"/>
              <w:spacing w:after="0" w:line="203" w:lineRule="exact"/>
              <w:rPr>
                <w:sz w:val="20"/>
                <w:szCs w:val="20"/>
                <w:color w:val="auto"/>
              </w:rPr>
            </w:pPr>
            <w:r>
              <w:rPr>
                <w:rFonts w:ascii="Arial" w:cs="Arial" w:eastAsia="Arial" w:hAnsi="Arial"/>
                <w:sz w:val="18"/>
                <w:szCs w:val="18"/>
                <w:color w:val="auto"/>
                <w:w w:val="99"/>
              </w:rPr>
              <w:t>—</w:t>
            </w:r>
          </w:p>
        </w:tc>
        <w:tc>
          <w:tcPr>
            <w:tcW w:w="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860" w:type="dxa"/>
            <w:vAlign w:val="bottom"/>
            <w:gridSpan w:val="2"/>
          </w:tcPr>
          <w:p>
            <w:pPr>
              <w:ind w:left="360"/>
              <w:spacing w:after="0"/>
              <w:rPr>
                <w:sz w:val="20"/>
                <w:szCs w:val="20"/>
                <w:color w:val="auto"/>
              </w:rPr>
            </w:pPr>
            <w:r>
              <w:rPr>
                <w:rFonts w:ascii="Arial" w:cs="Arial" w:eastAsia="Arial" w:hAnsi="Arial"/>
                <w:sz w:val="18"/>
                <w:szCs w:val="18"/>
                <w:color w:val="auto"/>
              </w:rPr>
              <w:t>Granted</w:t>
            </w:r>
          </w:p>
        </w:tc>
        <w:tc>
          <w:tcPr>
            <w:tcW w:w="1200" w:type="dxa"/>
            <w:vAlign w:val="bottom"/>
            <w:gridSpan w:val="2"/>
          </w:tcPr>
          <w:p>
            <w:pPr>
              <w:jc w:val="right"/>
              <w:ind w:right="5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820" w:type="dxa"/>
            <w:vAlign w:val="bottom"/>
            <w:gridSpan w:val="2"/>
          </w:tcPr>
          <w:p>
            <w:pPr>
              <w:jc w:val="center"/>
              <w:ind w:right="320"/>
              <w:spacing w:after="0"/>
              <w:rPr>
                <w:sz w:val="20"/>
                <w:szCs w:val="20"/>
                <w:color w:val="auto"/>
              </w:rPr>
            </w:pPr>
            <w:r>
              <w:rPr>
                <w:rFonts w:ascii="Arial" w:cs="Arial" w:eastAsia="Arial" w:hAnsi="Arial"/>
                <w:sz w:val="18"/>
                <w:szCs w:val="18"/>
                <w:color w:val="auto"/>
                <w:w w:val="99"/>
              </w:rPr>
              <w:t>—</w:t>
            </w:r>
          </w:p>
        </w:tc>
        <w:tc>
          <w:tcPr>
            <w:tcW w:w="1200" w:type="dxa"/>
            <w:vAlign w:val="bottom"/>
            <w:gridSpan w:val="2"/>
          </w:tcPr>
          <w:p>
            <w:pPr>
              <w:jc w:val="right"/>
              <w:ind w:right="52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400" w:type="dxa"/>
            <w:vAlign w:val="bottom"/>
            <w:gridSpan w:val="2"/>
          </w:tcPr>
          <w:p>
            <w:pPr>
              <w:jc w:val="center"/>
              <w:ind w:right="100"/>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16"/>
        </w:trPr>
        <w:tc>
          <w:tcPr>
            <w:tcW w:w="686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Vested</w:t>
            </w:r>
          </w:p>
        </w:tc>
        <w:tc>
          <w:tcPr>
            <w:tcW w:w="120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center"/>
              <w:ind w:right="320"/>
              <w:spacing w:after="0"/>
              <w:rPr>
                <w:sz w:val="20"/>
                <w:szCs w:val="20"/>
                <w:color w:val="auto"/>
              </w:rPr>
            </w:pPr>
            <w:r>
              <w:rPr>
                <w:rFonts w:ascii="Arial" w:cs="Arial" w:eastAsia="Arial" w:hAnsi="Arial"/>
                <w:sz w:val="18"/>
                <w:szCs w:val="18"/>
                <w:color w:val="auto"/>
                <w:w w:val="99"/>
              </w:rPr>
              <w:t>—</w:t>
            </w:r>
          </w:p>
        </w:tc>
        <w:tc>
          <w:tcPr>
            <w:tcW w:w="120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40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0"/>
        </w:trPr>
        <w:tc>
          <w:tcPr>
            <w:tcW w:w="580" w:type="dxa"/>
            <w:vAlign w:val="bottom"/>
            <w:tcBorders>
              <w:bottom w:val="single" w:sz="8" w:color="auto"/>
            </w:tcBorders>
          </w:tcPr>
          <w:p>
            <w:pPr>
              <w:spacing w:after="0" w:line="20" w:lineRule="exact"/>
              <w:rPr>
                <w:sz w:val="1"/>
                <w:szCs w:val="1"/>
                <w:color w:val="auto"/>
              </w:rPr>
            </w:pPr>
          </w:p>
        </w:tc>
        <w:tc>
          <w:tcPr>
            <w:tcW w:w="62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6860" w:type="dxa"/>
            <w:vAlign w:val="bottom"/>
            <w:gridSpan w:val="2"/>
            <w:shd w:val="clear" w:color="auto" w:fill="CCEEFF"/>
          </w:tcPr>
          <w:p>
            <w:pPr>
              <w:spacing w:after="0" w:line="203" w:lineRule="exact"/>
              <w:rPr>
                <w:sz w:val="20"/>
                <w:szCs w:val="20"/>
                <w:color w:val="auto"/>
              </w:rPr>
            </w:pPr>
            <w:r>
              <w:rPr>
                <w:rFonts w:ascii="Arial" w:cs="Arial" w:eastAsia="Arial" w:hAnsi="Arial"/>
                <w:sz w:val="18"/>
                <w:szCs w:val="18"/>
                <w:color w:val="auto"/>
              </w:rPr>
              <w:t>Non-vested at July 16, 2019 (Successor)</w:t>
            </w:r>
          </w:p>
        </w:tc>
        <w:tc>
          <w:tcPr>
            <w:tcW w:w="1200" w:type="dxa"/>
            <w:vAlign w:val="bottom"/>
            <w:gridSpan w:val="2"/>
            <w:shd w:val="clear" w:color="auto" w:fill="CCEEFF"/>
          </w:tcPr>
          <w:p>
            <w:pPr>
              <w:jc w:val="right"/>
              <w:ind w:right="520"/>
              <w:spacing w:after="0" w:line="203" w:lineRule="exact"/>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line="203" w:lineRule="exact"/>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center"/>
              <w:ind w:right="320"/>
              <w:spacing w:after="0" w:line="203" w:lineRule="exact"/>
              <w:rPr>
                <w:sz w:val="20"/>
                <w:szCs w:val="20"/>
                <w:color w:val="auto"/>
              </w:rPr>
            </w:pPr>
            <w:r>
              <w:rPr>
                <w:rFonts w:ascii="Arial" w:cs="Arial" w:eastAsia="Arial" w:hAnsi="Arial"/>
                <w:sz w:val="18"/>
                <w:szCs w:val="18"/>
                <w:color w:val="auto"/>
                <w:w w:val="99"/>
              </w:rPr>
              <w:t>—</w:t>
            </w:r>
          </w:p>
        </w:tc>
        <w:tc>
          <w:tcPr>
            <w:tcW w:w="1200" w:type="dxa"/>
            <w:vAlign w:val="bottom"/>
            <w:gridSpan w:val="2"/>
            <w:shd w:val="clear" w:color="auto" w:fill="CCEEFF"/>
          </w:tcPr>
          <w:p>
            <w:pPr>
              <w:jc w:val="right"/>
              <w:ind w:right="520"/>
              <w:spacing w:after="0" w:line="203" w:lineRule="exact"/>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ind w:left="20"/>
              <w:spacing w:after="0" w:line="203" w:lineRule="exact"/>
              <w:rPr>
                <w:sz w:val="20"/>
                <w:szCs w:val="20"/>
                <w:color w:val="auto"/>
              </w:rPr>
            </w:pPr>
            <w:r>
              <w:rPr>
                <w:rFonts w:ascii="Arial" w:cs="Arial" w:eastAsia="Arial" w:hAnsi="Arial"/>
                <w:sz w:val="18"/>
                <w:szCs w:val="18"/>
                <w:color w:val="auto"/>
              </w:rPr>
              <w:t>$</w:t>
            </w:r>
          </w:p>
        </w:tc>
        <w:tc>
          <w:tcPr>
            <w:tcW w:w="400" w:type="dxa"/>
            <w:vAlign w:val="bottom"/>
            <w:gridSpan w:val="2"/>
            <w:shd w:val="clear" w:color="auto" w:fill="CCEEFF"/>
          </w:tcPr>
          <w:p>
            <w:pPr>
              <w:jc w:val="center"/>
              <w:ind w:right="100"/>
              <w:spacing w:after="0" w:line="203" w:lineRule="exact"/>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16"/>
        </w:trPr>
        <w:tc>
          <w:tcPr>
            <w:tcW w:w="6860" w:type="dxa"/>
            <w:vAlign w:val="bottom"/>
            <w:gridSpan w:val="2"/>
          </w:tcPr>
          <w:p>
            <w:pPr>
              <w:ind w:left="360"/>
              <w:spacing w:after="0"/>
              <w:rPr>
                <w:sz w:val="20"/>
                <w:szCs w:val="20"/>
                <w:color w:val="auto"/>
              </w:rPr>
            </w:pPr>
            <w:r>
              <w:rPr>
                <w:rFonts w:ascii="Arial" w:cs="Arial" w:eastAsia="Arial" w:hAnsi="Arial"/>
                <w:sz w:val="18"/>
                <w:szCs w:val="18"/>
                <w:color w:val="auto"/>
              </w:rPr>
              <w:t>Granted</w:t>
            </w:r>
          </w:p>
        </w:tc>
        <w:tc>
          <w:tcPr>
            <w:tcW w:w="1200" w:type="dxa"/>
            <w:vAlign w:val="bottom"/>
            <w:gridSpan w:val="2"/>
          </w:tcPr>
          <w:p>
            <w:pPr>
              <w:jc w:val="right"/>
              <w:ind w:right="420"/>
              <w:spacing w:after="0"/>
              <w:rPr>
                <w:sz w:val="20"/>
                <w:szCs w:val="20"/>
                <w:color w:val="auto"/>
              </w:rPr>
            </w:pPr>
            <w:r>
              <w:rPr>
                <w:rFonts w:ascii="Arial" w:cs="Arial" w:eastAsia="Arial" w:hAnsi="Arial"/>
                <w:sz w:val="18"/>
                <w:szCs w:val="18"/>
                <w:color w:val="auto"/>
                <w:w w:val="94"/>
              </w:rPr>
              <w:t>1,899,682</w:t>
            </w:r>
          </w:p>
        </w:tc>
        <w:tc>
          <w:tcPr>
            <w:tcW w:w="220" w:type="dxa"/>
            <w:vAlign w:val="bottom"/>
          </w:tcPr>
          <w:p>
            <w:pPr>
              <w:spacing w:after="0"/>
              <w:rPr>
                <w:sz w:val="18"/>
                <w:szCs w:val="18"/>
                <w:color w:val="auto"/>
              </w:rPr>
            </w:pPr>
          </w:p>
        </w:tc>
        <w:tc>
          <w:tcPr>
            <w:tcW w:w="820" w:type="dxa"/>
            <w:vAlign w:val="bottom"/>
            <w:gridSpan w:val="2"/>
          </w:tcPr>
          <w:p>
            <w:pPr>
              <w:jc w:val="center"/>
              <w:ind w:right="260"/>
              <w:spacing w:after="0"/>
              <w:rPr>
                <w:sz w:val="20"/>
                <w:szCs w:val="20"/>
                <w:color w:val="auto"/>
              </w:rPr>
            </w:pPr>
            <w:r>
              <w:rPr>
                <w:rFonts w:ascii="Arial" w:cs="Arial" w:eastAsia="Arial" w:hAnsi="Arial"/>
                <w:sz w:val="18"/>
                <w:szCs w:val="18"/>
                <w:color w:val="auto"/>
                <w:w w:val="91"/>
              </w:rPr>
              <w:t>3.65</w:t>
            </w:r>
          </w:p>
        </w:tc>
        <w:tc>
          <w:tcPr>
            <w:tcW w:w="1200" w:type="dxa"/>
            <w:vAlign w:val="bottom"/>
            <w:gridSpan w:val="2"/>
          </w:tcPr>
          <w:p>
            <w:pPr>
              <w:jc w:val="right"/>
              <w:ind w:right="420"/>
              <w:spacing w:after="0"/>
              <w:rPr>
                <w:sz w:val="20"/>
                <w:szCs w:val="20"/>
                <w:color w:val="auto"/>
              </w:rPr>
            </w:pPr>
            <w:r>
              <w:rPr>
                <w:rFonts w:ascii="Arial" w:cs="Arial" w:eastAsia="Arial" w:hAnsi="Arial"/>
                <w:sz w:val="18"/>
                <w:szCs w:val="18"/>
                <w:color w:val="auto"/>
                <w:w w:val="94"/>
              </w:rPr>
              <w:t>1,899,682</w:t>
            </w:r>
          </w:p>
        </w:tc>
        <w:tc>
          <w:tcPr>
            <w:tcW w:w="320" w:type="dxa"/>
            <w:vAlign w:val="bottom"/>
          </w:tcPr>
          <w:p>
            <w:pPr>
              <w:spacing w:after="0"/>
              <w:rPr>
                <w:sz w:val="18"/>
                <w:szCs w:val="18"/>
                <w:color w:val="auto"/>
              </w:rPr>
            </w:pPr>
          </w:p>
        </w:tc>
        <w:tc>
          <w:tcPr>
            <w:tcW w:w="400" w:type="dxa"/>
            <w:vAlign w:val="bottom"/>
            <w:gridSpan w:val="2"/>
          </w:tcPr>
          <w:p>
            <w:pPr>
              <w:jc w:val="center"/>
              <w:ind w:right="40"/>
              <w:spacing w:after="0"/>
              <w:rPr>
                <w:sz w:val="20"/>
                <w:szCs w:val="20"/>
                <w:color w:val="auto"/>
              </w:rPr>
            </w:pPr>
            <w:r>
              <w:rPr>
                <w:rFonts w:ascii="Arial" w:cs="Arial" w:eastAsia="Arial" w:hAnsi="Arial"/>
                <w:sz w:val="18"/>
                <w:szCs w:val="18"/>
                <w:color w:val="auto"/>
                <w:w w:val="91"/>
              </w:rPr>
              <w:t>2.35</w:t>
            </w:r>
          </w:p>
        </w:tc>
        <w:tc>
          <w:tcPr>
            <w:tcW w:w="0" w:type="dxa"/>
            <w:vAlign w:val="bottom"/>
          </w:tcPr>
          <w:p>
            <w:pPr>
              <w:spacing w:after="0"/>
              <w:rPr>
                <w:sz w:val="1"/>
                <w:szCs w:val="1"/>
                <w:color w:val="auto"/>
              </w:rPr>
            </w:pPr>
          </w:p>
        </w:tc>
      </w:tr>
      <w:tr>
        <w:trPr>
          <w:trHeight w:val="216"/>
        </w:trPr>
        <w:tc>
          <w:tcPr>
            <w:tcW w:w="686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Vested</w:t>
            </w:r>
          </w:p>
        </w:tc>
        <w:tc>
          <w:tcPr>
            <w:tcW w:w="120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center"/>
              <w:ind w:right="320"/>
              <w:spacing w:after="0"/>
              <w:rPr>
                <w:sz w:val="20"/>
                <w:szCs w:val="20"/>
                <w:color w:val="auto"/>
              </w:rPr>
            </w:pPr>
            <w:r>
              <w:rPr>
                <w:rFonts w:ascii="Arial" w:cs="Arial" w:eastAsia="Arial" w:hAnsi="Arial"/>
                <w:sz w:val="18"/>
                <w:szCs w:val="18"/>
                <w:color w:val="auto"/>
                <w:w w:val="99"/>
              </w:rPr>
              <w:t>—</w:t>
            </w:r>
          </w:p>
        </w:tc>
        <w:tc>
          <w:tcPr>
            <w:tcW w:w="120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40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23"/>
        </w:trPr>
        <w:tc>
          <w:tcPr>
            <w:tcW w:w="6860" w:type="dxa"/>
            <w:vAlign w:val="bottom"/>
            <w:gridSpan w:val="2"/>
          </w:tcPr>
          <w:p>
            <w:pPr>
              <w:ind w:left="360"/>
              <w:spacing w:after="0"/>
              <w:rPr>
                <w:sz w:val="20"/>
                <w:szCs w:val="20"/>
                <w:color w:val="auto"/>
              </w:rPr>
            </w:pPr>
            <w:r>
              <w:rPr>
                <w:rFonts w:ascii="Arial" w:cs="Arial" w:eastAsia="Arial" w:hAnsi="Arial"/>
                <w:sz w:val="18"/>
                <w:szCs w:val="18"/>
                <w:color w:val="auto"/>
              </w:rPr>
              <w:t>Forfeited</w:t>
            </w:r>
          </w:p>
        </w:tc>
        <w:tc>
          <w:tcPr>
            <w:tcW w:w="78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9"/>
              </w:rPr>
              <w:t>—</w:t>
            </w:r>
          </w:p>
        </w:tc>
        <w:tc>
          <w:tcPr>
            <w:tcW w:w="380" w:type="dxa"/>
            <w:vAlign w:val="bottom"/>
          </w:tcPr>
          <w:p>
            <w:pPr>
              <w:spacing w:after="0"/>
              <w:rPr>
                <w:sz w:val="19"/>
                <w:szCs w:val="19"/>
                <w:color w:val="auto"/>
              </w:rPr>
            </w:pPr>
          </w:p>
        </w:tc>
        <w:tc>
          <w:tcPr>
            <w:tcW w:w="78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9"/>
              </w:rPr>
              <w:t>—</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68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Non-vested at December 31, 2019 (Successor)</w:t>
            </w:r>
          </w:p>
        </w:tc>
        <w:tc>
          <w:tcPr>
            <w:tcW w:w="120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w w:val="94"/>
              </w:rPr>
              <w:t>1,899,682</w:t>
            </w:r>
          </w:p>
        </w:tc>
        <w:tc>
          <w:tcPr>
            <w:tcW w:w="2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center"/>
              <w:ind w:right="260"/>
              <w:spacing w:after="0"/>
              <w:rPr>
                <w:sz w:val="20"/>
                <w:szCs w:val="20"/>
                <w:color w:val="auto"/>
              </w:rPr>
            </w:pPr>
            <w:r>
              <w:rPr>
                <w:rFonts w:ascii="Arial" w:cs="Arial" w:eastAsia="Arial" w:hAnsi="Arial"/>
                <w:sz w:val="18"/>
                <w:szCs w:val="18"/>
                <w:color w:val="auto"/>
                <w:w w:val="91"/>
              </w:rPr>
              <w:t>3.65</w:t>
            </w:r>
          </w:p>
        </w:tc>
        <w:tc>
          <w:tcPr>
            <w:tcW w:w="120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w w:val="94"/>
              </w:rPr>
              <w:t>1,899,682</w:t>
            </w:r>
          </w:p>
        </w:tc>
        <w:tc>
          <w:tcPr>
            <w:tcW w:w="32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400" w:type="dxa"/>
            <w:vAlign w:val="bottom"/>
            <w:gridSpan w:val="2"/>
            <w:shd w:val="clear" w:color="auto" w:fill="CCEEFF"/>
          </w:tcPr>
          <w:p>
            <w:pPr>
              <w:jc w:val="center"/>
              <w:ind w:right="40"/>
              <w:spacing w:after="0"/>
              <w:rPr>
                <w:sz w:val="20"/>
                <w:szCs w:val="20"/>
                <w:color w:val="auto"/>
              </w:rPr>
            </w:pPr>
            <w:r>
              <w:rPr>
                <w:rFonts w:ascii="Arial" w:cs="Arial" w:eastAsia="Arial" w:hAnsi="Arial"/>
                <w:sz w:val="18"/>
                <w:szCs w:val="18"/>
                <w:color w:val="auto"/>
                <w:w w:val="91"/>
              </w:rPr>
              <w:t>2.35</w:t>
            </w:r>
          </w:p>
        </w:tc>
        <w:tc>
          <w:tcPr>
            <w:tcW w:w="0" w:type="dxa"/>
            <w:vAlign w:val="bottom"/>
          </w:tcPr>
          <w:p>
            <w:pPr>
              <w:spacing w:after="0"/>
              <w:rPr>
                <w:sz w:val="1"/>
                <w:szCs w:val="1"/>
                <w:color w:val="auto"/>
              </w:rPr>
            </w:pPr>
          </w:p>
        </w:tc>
      </w:tr>
      <w:tr>
        <w:trPr>
          <w:trHeight w:val="216"/>
        </w:trPr>
        <w:tc>
          <w:tcPr>
            <w:tcW w:w="6860" w:type="dxa"/>
            <w:vAlign w:val="bottom"/>
            <w:gridSpan w:val="2"/>
          </w:tcPr>
          <w:p>
            <w:pPr>
              <w:ind w:left="360"/>
              <w:spacing w:after="0"/>
              <w:rPr>
                <w:sz w:val="20"/>
                <w:szCs w:val="20"/>
                <w:color w:val="auto"/>
              </w:rPr>
            </w:pPr>
            <w:r>
              <w:rPr>
                <w:rFonts w:ascii="Arial" w:cs="Arial" w:eastAsia="Arial" w:hAnsi="Arial"/>
                <w:sz w:val="18"/>
                <w:szCs w:val="18"/>
                <w:color w:val="auto"/>
              </w:rPr>
              <w:t>Granted</w:t>
            </w:r>
          </w:p>
        </w:tc>
        <w:tc>
          <w:tcPr>
            <w:tcW w:w="1200" w:type="dxa"/>
            <w:vAlign w:val="bottom"/>
            <w:gridSpan w:val="2"/>
          </w:tcPr>
          <w:p>
            <w:pPr>
              <w:jc w:val="right"/>
              <w:ind w:right="420"/>
              <w:spacing w:after="0"/>
              <w:rPr>
                <w:sz w:val="20"/>
                <w:szCs w:val="20"/>
                <w:color w:val="auto"/>
              </w:rPr>
            </w:pPr>
            <w:r>
              <w:rPr>
                <w:rFonts w:ascii="Arial" w:cs="Arial" w:eastAsia="Arial" w:hAnsi="Arial"/>
                <w:sz w:val="18"/>
                <w:szCs w:val="18"/>
                <w:color w:val="auto"/>
              </w:rPr>
              <w:t>97,611</w:t>
            </w:r>
          </w:p>
        </w:tc>
        <w:tc>
          <w:tcPr>
            <w:tcW w:w="220" w:type="dxa"/>
            <w:vAlign w:val="bottom"/>
          </w:tcPr>
          <w:p>
            <w:pPr>
              <w:spacing w:after="0"/>
              <w:rPr>
                <w:sz w:val="18"/>
                <w:szCs w:val="18"/>
                <w:color w:val="auto"/>
              </w:rPr>
            </w:pPr>
          </w:p>
        </w:tc>
        <w:tc>
          <w:tcPr>
            <w:tcW w:w="820" w:type="dxa"/>
            <w:vAlign w:val="bottom"/>
            <w:gridSpan w:val="2"/>
          </w:tcPr>
          <w:p>
            <w:pPr>
              <w:jc w:val="center"/>
              <w:ind w:right="260"/>
              <w:spacing w:after="0"/>
              <w:rPr>
                <w:sz w:val="20"/>
                <w:szCs w:val="20"/>
                <w:color w:val="auto"/>
              </w:rPr>
            </w:pPr>
            <w:r>
              <w:rPr>
                <w:rFonts w:ascii="Arial" w:cs="Arial" w:eastAsia="Arial" w:hAnsi="Arial"/>
                <w:sz w:val="18"/>
                <w:szCs w:val="18"/>
                <w:color w:val="auto"/>
                <w:w w:val="91"/>
              </w:rPr>
              <w:t>3.65</w:t>
            </w:r>
          </w:p>
        </w:tc>
        <w:tc>
          <w:tcPr>
            <w:tcW w:w="1200" w:type="dxa"/>
            <w:vAlign w:val="bottom"/>
            <w:gridSpan w:val="2"/>
          </w:tcPr>
          <w:p>
            <w:pPr>
              <w:jc w:val="right"/>
              <w:ind w:right="420"/>
              <w:spacing w:after="0"/>
              <w:rPr>
                <w:sz w:val="20"/>
                <w:szCs w:val="20"/>
                <w:color w:val="auto"/>
              </w:rPr>
            </w:pPr>
            <w:r>
              <w:rPr>
                <w:rFonts w:ascii="Arial" w:cs="Arial" w:eastAsia="Arial" w:hAnsi="Arial"/>
                <w:sz w:val="18"/>
                <w:szCs w:val="18"/>
                <w:color w:val="auto"/>
              </w:rPr>
              <w:t>97,611</w:t>
            </w:r>
          </w:p>
        </w:tc>
        <w:tc>
          <w:tcPr>
            <w:tcW w:w="320" w:type="dxa"/>
            <w:vAlign w:val="bottom"/>
          </w:tcPr>
          <w:p>
            <w:pPr>
              <w:spacing w:after="0"/>
              <w:rPr>
                <w:sz w:val="18"/>
                <w:szCs w:val="18"/>
                <w:color w:val="auto"/>
              </w:rPr>
            </w:pPr>
          </w:p>
        </w:tc>
        <w:tc>
          <w:tcPr>
            <w:tcW w:w="400" w:type="dxa"/>
            <w:vAlign w:val="bottom"/>
            <w:gridSpan w:val="2"/>
          </w:tcPr>
          <w:p>
            <w:pPr>
              <w:jc w:val="center"/>
              <w:ind w:right="40"/>
              <w:spacing w:after="0"/>
              <w:rPr>
                <w:sz w:val="20"/>
                <w:szCs w:val="20"/>
                <w:color w:val="auto"/>
              </w:rPr>
            </w:pPr>
            <w:r>
              <w:rPr>
                <w:rFonts w:ascii="Arial" w:cs="Arial" w:eastAsia="Arial" w:hAnsi="Arial"/>
                <w:sz w:val="18"/>
                <w:szCs w:val="18"/>
                <w:color w:val="auto"/>
                <w:w w:val="91"/>
              </w:rPr>
              <w:t>2.35</w:t>
            </w:r>
          </w:p>
        </w:tc>
        <w:tc>
          <w:tcPr>
            <w:tcW w:w="0" w:type="dxa"/>
            <w:vAlign w:val="bottom"/>
          </w:tcPr>
          <w:p>
            <w:pPr>
              <w:spacing w:after="0"/>
              <w:rPr>
                <w:sz w:val="1"/>
                <w:szCs w:val="1"/>
                <w:color w:val="auto"/>
              </w:rPr>
            </w:pPr>
          </w:p>
        </w:tc>
      </w:tr>
      <w:tr>
        <w:trPr>
          <w:trHeight w:val="216"/>
        </w:trPr>
        <w:tc>
          <w:tcPr>
            <w:tcW w:w="686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Vested</w:t>
            </w:r>
          </w:p>
        </w:tc>
        <w:tc>
          <w:tcPr>
            <w:tcW w:w="12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(474,920)</w:t>
            </w:r>
          </w:p>
        </w:tc>
        <w:tc>
          <w:tcPr>
            <w:tcW w:w="2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center"/>
              <w:ind w:right="260"/>
              <w:spacing w:after="0"/>
              <w:rPr>
                <w:sz w:val="20"/>
                <w:szCs w:val="20"/>
                <w:color w:val="auto"/>
              </w:rPr>
            </w:pPr>
            <w:r>
              <w:rPr>
                <w:rFonts w:ascii="Arial" w:cs="Arial" w:eastAsia="Arial" w:hAnsi="Arial"/>
                <w:sz w:val="18"/>
                <w:szCs w:val="18"/>
                <w:color w:val="auto"/>
                <w:w w:val="91"/>
              </w:rPr>
              <w:t>3.65</w:t>
            </w:r>
          </w:p>
        </w:tc>
        <w:tc>
          <w:tcPr>
            <w:tcW w:w="120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40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23"/>
        </w:trPr>
        <w:tc>
          <w:tcPr>
            <w:tcW w:w="6860" w:type="dxa"/>
            <w:vAlign w:val="bottom"/>
            <w:gridSpan w:val="2"/>
          </w:tcPr>
          <w:p>
            <w:pPr>
              <w:ind w:left="360"/>
              <w:spacing w:after="0"/>
              <w:rPr>
                <w:sz w:val="20"/>
                <w:szCs w:val="20"/>
                <w:color w:val="auto"/>
              </w:rPr>
            </w:pPr>
            <w:r>
              <w:rPr>
                <w:rFonts w:ascii="Arial" w:cs="Arial" w:eastAsia="Arial" w:hAnsi="Arial"/>
                <w:sz w:val="18"/>
                <w:szCs w:val="18"/>
                <w:color w:val="auto"/>
              </w:rPr>
              <w:t>Forfeited</w:t>
            </w:r>
          </w:p>
        </w:tc>
        <w:tc>
          <w:tcPr>
            <w:tcW w:w="1200" w:type="dxa"/>
            <w:vAlign w:val="bottom"/>
            <w:gridSpan w:val="2"/>
          </w:tcPr>
          <w:p>
            <w:pPr>
              <w:jc w:val="right"/>
              <w:ind w:right="360"/>
              <w:spacing w:after="0"/>
              <w:rPr>
                <w:sz w:val="20"/>
                <w:szCs w:val="20"/>
                <w:color w:val="auto"/>
              </w:rPr>
            </w:pPr>
            <w:r>
              <w:rPr>
                <w:rFonts w:ascii="Arial" w:cs="Arial" w:eastAsia="Arial" w:hAnsi="Arial"/>
                <w:sz w:val="18"/>
                <w:szCs w:val="18"/>
                <w:color w:val="auto"/>
              </w:rPr>
              <w:t>(117,653)</w:t>
            </w:r>
          </w:p>
        </w:tc>
        <w:tc>
          <w:tcPr>
            <w:tcW w:w="220" w:type="dxa"/>
            <w:vAlign w:val="bottom"/>
          </w:tcPr>
          <w:p>
            <w:pPr>
              <w:spacing w:after="0"/>
              <w:rPr>
                <w:sz w:val="19"/>
                <w:szCs w:val="19"/>
                <w:color w:val="auto"/>
              </w:rPr>
            </w:pPr>
          </w:p>
        </w:tc>
        <w:tc>
          <w:tcPr>
            <w:tcW w:w="820" w:type="dxa"/>
            <w:vAlign w:val="bottom"/>
            <w:gridSpan w:val="2"/>
          </w:tcPr>
          <w:p>
            <w:pPr>
              <w:jc w:val="center"/>
              <w:ind w:right="260"/>
              <w:spacing w:after="0"/>
              <w:rPr>
                <w:sz w:val="20"/>
                <w:szCs w:val="20"/>
                <w:color w:val="auto"/>
              </w:rPr>
            </w:pPr>
            <w:r>
              <w:rPr>
                <w:rFonts w:ascii="Arial" w:cs="Arial" w:eastAsia="Arial" w:hAnsi="Arial"/>
                <w:sz w:val="18"/>
                <w:szCs w:val="18"/>
                <w:color w:val="auto"/>
                <w:w w:val="91"/>
              </w:rPr>
              <w:t>3.65</w:t>
            </w:r>
          </w:p>
        </w:tc>
        <w:tc>
          <w:tcPr>
            <w:tcW w:w="1200" w:type="dxa"/>
            <w:vAlign w:val="bottom"/>
            <w:gridSpan w:val="2"/>
          </w:tcPr>
          <w:p>
            <w:pPr>
              <w:jc w:val="right"/>
              <w:ind w:right="360"/>
              <w:spacing w:after="0"/>
              <w:rPr>
                <w:sz w:val="20"/>
                <w:szCs w:val="20"/>
                <w:color w:val="auto"/>
              </w:rPr>
            </w:pPr>
            <w:r>
              <w:rPr>
                <w:rFonts w:ascii="Arial" w:cs="Arial" w:eastAsia="Arial" w:hAnsi="Arial"/>
                <w:sz w:val="18"/>
                <w:szCs w:val="18"/>
                <w:color w:val="auto"/>
              </w:rPr>
              <w:t>(156,870)</w:t>
            </w:r>
          </w:p>
        </w:tc>
        <w:tc>
          <w:tcPr>
            <w:tcW w:w="320" w:type="dxa"/>
            <w:vAlign w:val="bottom"/>
          </w:tcPr>
          <w:p>
            <w:pPr>
              <w:spacing w:after="0"/>
              <w:rPr>
                <w:sz w:val="19"/>
                <w:szCs w:val="19"/>
                <w:color w:val="auto"/>
              </w:rPr>
            </w:pPr>
          </w:p>
        </w:tc>
        <w:tc>
          <w:tcPr>
            <w:tcW w:w="400" w:type="dxa"/>
            <w:vAlign w:val="bottom"/>
            <w:gridSpan w:val="2"/>
          </w:tcPr>
          <w:p>
            <w:pPr>
              <w:jc w:val="center"/>
              <w:ind w:right="40"/>
              <w:spacing w:after="0"/>
              <w:rPr>
                <w:sz w:val="20"/>
                <w:szCs w:val="20"/>
                <w:color w:val="auto"/>
              </w:rPr>
            </w:pPr>
            <w:r>
              <w:rPr>
                <w:rFonts w:ascii="Arial" w:cs="Arial" w:eastAsia="Arial" w:hAnsi="Arial"/>
                <w:sz w:val="18"/>
                <w:szCs w:val="18"/>
                <w:color w:val="auto"/>
                <w:w w:val="91"/>
              </w:rPr>
              <w:t>2.35</w:t>
            </w:r>
          </w:p>
        </w:tc>
        <w:tc>
          <w:tcPr>
            <w:tcW w:w="0" w:type="dxa"/>
            <w:vAlign w:val="bottom"/>
          </w:tcPr>
          <w:p>
            <w:pPr>
              <w:spacing w:after="0"/>
              <w:rPr>
                <w:sz w:val="1"/>
                <w:szCs w:val="1"/>
                <w:color w:val="auto"/>
              </w:rPr>
            </w:pPr>
          </w:p>
        </w:tc>
      </w:tr>
      <w:tr>
        <w:trPr>
          <w:trHeight w:val="216"/>
        </w:trPr>
        <w:tc>
          <w:tcPr>
            <w:tcW w:w="68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Non-vested at December 31, 2020 (Successor)</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1,404,720</w:t>
            </w:r>
          </w:p>
        </w:tc>
        <w:tc>
          <w:tcPr>
            <w:tcW w:w="420" w:type="dxa"/>
            <w:vAlign w:val="bottom"/>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440" w:type="dxa"/>
            <w:vAlign w:val="bottom"/>
            <w:tcBorders>
              <w:top w:val="single" w:sz="8" w:color="auto"/>
              <w:bottom w:val="single" w:sz="8" w:color="auto"/>
            </w:tcBorders>
            <w:shd w:val="clear" w:color="auto" w:fill="CCEEFF"/>
          </w:tcPr>
          <w:p>
            <w:pPr>
              <w:jc w:val="center"/>
              <w:ind w:left="30"/>
              <w:spacing w:after="0"/>
              <w:rPr>
                <w:sz w:val="20"/>
                <w:szCs w:val="20"/>
                <w:color w:val="auto"/>
              </w:rPr>
            </w:pPr>
            <w:r>
              <w:rPr>
                <w:rFonts w:ascii="Arial" w:cs="Arial" w:eastAsia="Arial" w:hAnsi="Arial"/>
                <w:sz w:val="18"/>
                <w:szCs w:val="18"/>
                <w:color w:val="auto"/>
                <w:w w:val="91"/>
              </w:rPr>
              <w:t>3.65</w:t>
            </w:r>
          </w:p>
        </w:tc>
        <w:tc>
          <w:tcPr>
            <w:tcW w:w="380" w:type="dxa"/>
            <w:vAlign w:val="bottom"/>
            <w:shd w:val="clear" w:color="auto" w:fill="CCEEFF"/>
          </w:tcPr>
          <w:p>
            <w:pPr>
              <w:spacing w:after="0"/>
              <w:rPr>
                <w:sz w:val="18"/>
                <w:szCs w:val="18"/>
                <w:color w:val="auto"/>
              </w:rPr>
            </w:pP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1,840,423</w:t>
            </w:r>
          </w:p>
        </w:tc>
        <w:tc>
          <w:tcPr>
            <w:tcW w:w="420" w:type="dxa"/>
            <w:vAlign w:val="bottom"/>
            <w:shd w:val="clear" w:color="auto" w:fill="CCEEFF"/>
          </w:tcPr>
          <w:p>
            <w:pPr>
              <w:spacing w:after="0"/>
              <w:rPr>
                <w:sz w:val="18"/>
                <w:szCs w:val="18"/>
                <w:color w:val="auto"/>
              </w:rPr>
            </w:pPr>
          </w:p>
        </w:tc>
        <w:tc>
          <w:tcPr>
            <w:tcW w:w="32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340" w:type="dxa"/>
            <w:vAlign w:val="bottom"/>
            <w:tcBorders>
              <w:top w:val="single" w:sz="8" w:color="auto"/>
              <w:bottom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1"/>
              </w:rPr>
              <w:t>2.35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628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left="120" w:right="640" w:firstLine="440"/>
        <w:spacing w:after="0" w:line="277" w:lineRule="auto"/>
        <w:rPr>
          <w:sz w:val="20"/>
          <w:szCs w:val="20"/>
          <w:color w:val="auto"/>
        </w:rPr>
      </w:pPr>
      <w:r>
        <w:rPr>
          <w:rFonts w:ascii="Arial" w:cs="Arial" w:eastAsia="Arial" w:hAnsi="Arial"/>
          <w:sz w:val="18"/>
          <w:szCs w:val="18"/>
          <w:color w:val="auto"/>
        </w:rPr>
        <w:t>During the year ended December 31, 2020 (Successor) and the period from July 16, 2019 to December 31, 2019 (Successor), 195,222 and 3,799,364 units, respectively, were granted under the plan.</w:t>
      </w:r>
    </w:p>
    <w:p>
      <w:pPr>
        <w:spacing w:after="0" w:line="278" w:lineRule="exact"/>
        <w:rPr>
          <w:sz w:val="20"/>
          <w:szCs w:val="20"/>
          <w:color w:val="auto"/>
        </w:rPr>
      </w:pPr>
    </w:p>
    <w:p>
      <w:pPr>
        <w:ind w:left="560"/>
        <w:spacing w:after="0"/>
        <w:rPr>
          <w:sz w:val="20"/>
          <w:szCs w:val="20"/>
          <w:color w:val="auto"/>
        </w:rPr>
      </w:pPr>
      <w:r>
        <w:rPr>
          <w:rFonts w:ascii="Arial" w:cs="Arial" w:eastAsia="Arial" w:hAnsi="Arial"/>
          <w:sz w:val="18"/>
          <w:szCs w:val="18"/>
          <w:u w:val="single" w:color="auto"/>
          <w:color w:val="auto"/>
        </w:rPr>
        <w:t>2015 Incentive Equity Plan</w:t>
      </w:r>
    </w:p>
    <w:p>
      <w:pPr>
        <w:spacing w:after="0" w:line="117" w:lineRule="exact"/>
        <w:rPr>
          <w:sz w:val="20"/>
          <w:szCs w:val="20"/>
          <w:color w:val="auto"/>
        </w:rPr>
      </w:pPr>
    </w:p>
    <w:p>
      <w:pPr>
        <w:jc w:val="both"/>
        <w:ind w:left="120" w:right="140" w:firstLine="440"/>
        <w:spacing w:after="0" w:line="263" w:lineRule="auto"/>
        <w:rPr>
          <w:sz w:val="20"/>
          <w:szCs w:val="20"/>
          <w:color w:val="auto"/>
        </w:rPr>
      </w:pPr>
      <w:r>
        <w:rPr>
          <w:rFonts w:ascii="Arial" w:cs="Arial" w:eastAsia="Arial" w:hAnsi="Arial"/>
          <w:sz w:val="18"/>
          <w:szCs w:val="18"/>
          <w:color w:val="auto"/>
        </w:rPr>
        <w:t>On July 16, 2019, in conjunction with the purchase of the issued and outstanding Common Units of the Definitive Holdco by AIDH Buyer, LLC, the outstanding units of Series B, Series C, Series D, and Series E were sold to AIDH Buyer, LLC and the holders received a combination of cash and equity in AIDH TopCo, LLC, and the 2015 Equity Incentive Plan was terminated.</w:t>
      </w:r>
    </w:p>
    <w:p>
      <w:pPr>
        <w:spacing w:after="0" w:line="184" w:lineRule="exact"/>
        <w:rPr>
          <w:sz w:val="20"/>
          <w:szCs w:val="20"/>
          <w:color w:val="auto"/>
        </w:rPr>
      </w:pPr>
    </w:p>
    <w:p>
      <w:pPr>
        <w:ind w:left="120" w:right="100" w:firstLine="440"/>
        <w:spacing w:after="0" w:line="253" w:lineRule="auto"/>
        <w:rPr>
          <w:sz w:val="20"/>
          <w:szCs w:val="20"/>
          <w:color w:val="auto"/>
        </w:rPr>
      </w:pPr>
      <w:r>
        <w:rPr>
          <w:rFonts w:ascii="Arial" w:cs="Arial" w:eastAsia="Arial" w:hAnsi="Arial"/>
          <w:sz w:val="18"/>
          <w:szCs w:val="18"/>
          <w:color w:val="auto"/>
        </w:rPr>
        <w:t>The 2015 Equity Incentive Plan under which the Company has reserved 407,750 Class B Units (the “2015 Incentive Equity Pool”) was approved in February 2015 by the Predecessor and Board of Managers. In December 2016, in connection with the amended and restated Limited Liability Company Agreement entered into, the 2015 Incentive Equity Pool was transferred to DHCB. The 2015 Incentive Equity Pool was utilized for the issuance of units to employees, consultants, directors, managers, or others providing service to the Company pursuant Board of Managers approval. Units granted out of the 2015 Incentive Equity Pool are designated series based on the period of grant, and prior to July 16, 2019, the outstanding units consisted of Series B, Series C, Series D, and Series E. These interests were considered profits interests, which in general, entitled the holder of the unit to a pro rata share of the increase in value of the unit over the base value determined at the award date and may be subject to such vesting and other restrictions as the Board of Managers may deem appropriate. Any units forfeited or repurchased were available for future grants under the 2015 Incentive Equity Pool.</w:t>
      </w:r>
    </w:p>
    <w:p>
      <w:pPr>
        <w:spacing w:after="0" w:line="129"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F-41</w:t>
      </w:r>
    </w:p>
    <w:p>
      <w:pPr>
        <w:sectPr>
          <w:pgSz w:w="11900" w:h="16838" w:orient="portrait"/>
          <w:cols w:equalWidth="0" w:num="1">
            <w:col w:w="11140"/>
          </w:cols>
          <w:pgMar w:left="320" w:top="459" w:right="439" w:bottom="1440" w:gutter="0" w:footer="0" w:header="0"/>
        </w:sectPr>
      </w:pPr>
    </w:p>
    <w:bookmarkStart w:id="247" w:name="page248"/>
    <w:bookmarkEnd w:id="24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33">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Confidential Treatment Requested by Definitive Healthcare Corp.</w:t>
      </w:r>
    </w:p>
    <w:p>
      <w:pPr>
        <w:spacing w:after="0" w:line="27"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Pursuant to 17 C.F.R. Section 200.83</w:t>
      </w:r>
    </w:p>
    <w:p>
      <w:pPr>
        <w:spacing w:after="0" w:line="143" w:lineRule="exact"/>
        <w:rPr>
          <w:sz w:val="20"/>
          <w:szCs w:val="20"/>
          <w:color w:val="auto"/>
        </w:rPr>
      </w:pPr>
    </w:p>
    <w:p>
      <w:pPr>
        <w:ind w:left="120" w:right="240" w:firstLine="440"/>
        <w:spacing w:after="0" w:line="277" w:lineRule="auto"/>
        <w:rPr>
          <w:sz w:val="20"/>
          <w:szCs w:val="20"/>
          <w:color w:val="auto"/>
        </w:rPr>
      </w:pPr>
      <w:r>
        <w:rPr>
          <w:rFonts w:ascii="Arial" w:cs="Arial" w:eastAsia="Arial" w:hAnsi="Arial"/>
          <w:sz w:val="18"/>
          <w:szCs w:val="18"/>
          <w:color w:val="auto"/>
        </w:rPr>
        <w:t>The following table summarizes the 2015 Plan activity for the periods from January 1, 2019 through July 15, 2019 (Predecessor), and July 16, 2019 through December 31, 2019 (Successor).</w:t>
      </w:r>
    </w:p>
    <w:p>
      <w:pPr>
        <w:spacing w:after="0" w:line="180" w:lineRule="exact"/>
        <w:rPr>
          <w:sz w:val="20"/>
          <w:szCs w:val="20"/>
          <w:color w:val="auto"/>
        </w:rPr>
      </w:pPr>
    </w:p>
    <w:tbl>
      <w:tblPr>
        <w:tblLayout w:type="fixed"/>
        <w:tblInd w:w="1440" w:type="dxa"/>
        <w:tblCellMar>
          <w:top w:w="0" w:type="dxa"/>
          <w:left w:w="0" w:type="dxa"/>
          <w:bottom w:w="0" w:type="dxa"/>
          <w:right w:w="0" w:type="dxa"/>
        </w:tblCellMar>
      </w:tblPr>
      <w:tr>
        <w:trPr>
          <w:trHeight w:val="161"/>
        </w:trPr>
        <w:tc>
          <w:tcPr>
            <w:tcW w:w="580" w:type="dxa"/>
            <w:vAlign w:val="bottom"/>
          </w:tcPr>
          <w:p>
            <w:pPr>
              <w:spacing w:after="0"/>
              <w:rPr>
                <w:sz w:val="14"/>
                <w:szCs w:val="14"/>
                <w:color w:val="auto"/>
              </w:rPr>
            </w:pPr>
          </w:p>
        </w:tc>
        <w:tc>
          <w:tcPr>
            <w:tcW w:w="54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gridSpan w:val="2"/>
          </w:tcPr>
          <w:p>
            <w:pPr>
              <w:jc w:val="center"/>
              <w:ind w:right="160"/>
              <w:spacing w:after="0"/>
              <w:rPr>
                <w:sz w:val="20"/>
                <w:szCs w:val="20"/>
                <w:color w:val="auto"/>
              </w:rPr>
            </w:pPr>
            <w:r>
              <w:rPr>
                <w:rFonts w:ascii="Arial" w:cs="Arial" w:eastAsia="Arial" w:hAnsi="Arial"/>
                <w:sz w:val="14"/>
                <w:szCs w:val="14"/>
                <w:color w:val="auto"/>
                <w:w w:val="91"/>
              </w:rPr>
              <w:t>Weighted</w:t>
            </w:r>
          </w:p>
        </w:tc>
        <w:tc>
          <w:tcPr>
            <w:tcW w:w="0" w:type="dxa"/>
            <w:vAlign w:val="bottom"/>
          </w:tcPr>
          <w:p>
            <w:pPr>
              <w:spacing w:after="0"/>
              <w:rPr>
                <w:sz w:val="1"/>
                <w:szCs w:val="1"/>
                <w:color w:val="auto"/>
              </w:rPr>
            </w:pPr>
          </w:p>
        </w:tc>
      </w:tr>
      <w:tr>
        <w:trPr>
          <w:trHeight w:val="148"/>
        </w:trPr>
        <w:tc>
          <w:tcPr>
            <w:tcW w:w="580" w:type="dxa"/>
            <w:vAlign w:val="bottom"/>
          </w:tcPr>
          <w:p>
            <w:pPr>
              <w:spacing w:after="0"/>
              <w:rPr>
                <w:sz w:val="12"/>
                <w:szCs w:val="12"/>
                <w:color w:val="auto"/>
              </w:rPr>
            </w:pPr>
          </w:p>
        </w:tc>
        <w:tc>
          <w:tcPr>
            <w:tcW w:w="54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900" w:type="dxa"/>
            <w:vAlign w:val="bottom"/>
            <w:gridSpan w:val="3"/>
          </w:tcPr>
          <w:p>
            <w:pPr>
              <w:jc w:val="center"/>
              <w:ind w:right="60"/>
              <w:spacing w:after="0" w:line="149" w:lineRule="exact"/>
              <w:rPr>
                <w:sz w:val="20"/>
                <w:szCs w:val="20"/>
                <w:color w:val="auto"/>
              </w:rPr>
            </w:pPr>
            <w:r>
              <w:rPr>
                <w:rFonts w:ascii="Arial" w:cs="Arial" w:eastAsia="Arial" w:hAnsi="Arial"/>
                <w:sz w:val="14"/>
                <w:szCs w:val="14"/>
                <w:color w:val="auto"/>
                <w:w w:val="92"/>
              </w:rPr>
              <w:t>Average Grant</w:t>
            </w:r>
          </w:p>
        </w:tc>
        <w:tc>
          <w:tcPr>
            <w:tcW w:w="0" w:type="dxa"/>
            <w:vAlign w:val="bottom"/>
          </w:tcPr>
          <w:p>
            <w:pPr>
              <w:spacing w:after="0"/>
              <w:rPr>
                <w:sz w:val="1"/>
                <w:szCs w:val="1"/>
                <w:color w:val="auto"/>
              </w:rPr>
            </w:pPr>
          </w:p>
        </w:tc>
      </w:tr>
      <w:tr>
        <w:trPr>
          <w:trHeight w:val="149"/>
        </w:trPr>
        <w:tc>
          <w:tcPr>
            <w:tcW w:w="580" w:type="dxa"/>
            <w:vAlign w:val="bottom"/>
            <w:vMerge w:val="restart"/>
          </w:tcPr>
          <w:p>
            <w:pPr>
              <w:spacing w:after="0"/>
              <w:rPr>
                <w:sz w:val="20"/>
                <w:szCs w:val="20"/>
                <w:color w:val="auto"/>
              </w:rPr>
            </w:pPr>
            <w:r>
              <w:rPr>
                <w:rFonts w:ascii="Arial" w:cs="Arial" w:eastAsia="Arial" w:hAnsi="Arial"/>
                <w:sz w:val="14"/>
                <w:szCs w:val="14"/>
                <w:color w:val="auto"/>
                <w:w w:val="88"/>
              </w:rPr>
              <w:t>2015 Plan</w:t>
            </w:r>
          </w:p>
        </w:tc>
        <w:tc>
          <w:tcPr>
            <w:tcW w:w="5440" w:type="dxa"/>
            <w:vAlign w:val="bottom"/>
            <w:vMerge w:val="restart"/>
          </w:tcPr>
          <w:p>
            <w:pPr>
              <w:spacing w:after="0"/>
              <w:rPr>
                <w:sz w:val="12"/>
                <w:szCs w:val="12"/>
                <w:color w:val="auto"/>
              </w:rPr>
            </w:pPr>
          </w:p>
        </w:tc>
        <w:tc>
          <w:tcPr>
            <w:tcW w:w="1440" w:type="dxa"/>
            <w:vAlign w:val="bottom"/>
            <w:gridSpan w:val="2"/>
          </w:tcPr>
          <w:p>
            <w:pPr>
              <w:jc w:val="right"/>
              <w:ind w:right="740"/>
              <w:spacing w:after="0" w:line="149" w:lineRule="exact"/>
              <w:rPr>
                <w:sz w:val="20"/>
                <w:szCs w:val="20"/>
                <w:color w:val="auto"/>
              </w:rPr>
            </w:pPr>
            <w:r>
              <w:rPr>
                <w:rFonts w:ascii="Arial" w:cs="Arial" w:eastAsia="Arial" w:hAnsi="Arial"/>
                <w:sz w:val="14"/>
                <w:szCs w:val="14"/>
                <w:color w:val="auto"/>
                <w:w w:val="91"/>
              </w:rPr>
              <w:t>Non-Vested</w:t>
            </w:r>
          </w:p>
        </w:tc>
        <w:tc>
          <w:tcPr>
            <w:tcW w:w="120" w:type="dxa"/>
            <w:vAlign w:val="bottom"/>
          </w:tcPr>
          <w:p>
            <w:pPr>
              <w:spacing w:after="0"/>
              <w:rPr>
                <w:sz w:val="12"/>
                <w:szCs w:val="12"/>
                <w:color w:val="auto"/>
              </w:rPr>
            </w:pPr>
          </w:p>
        </w:tc>
        <w:tc>
          <w:tcPr>
            <w:tcW w:w="780" w:type="dxa"/>
            <w:vAlign w:val="bottom"/>
            <w:gridSpan w:val="2"/>
          </w:tcPr>
          <w:p>
            <w:pPr>
              <w:jc w:val="center"/>
              <w:ind w:right="160"/>
              <w:spacing w:after="0" w:line="149" w:lineRule="exact"/>
              <w:rPr>
                <w:sz w:val="20"/>
                <w:szCs w:val="20"/>
                <w:color w:val="auto"/>
              </w:rPr>
            </w:pPr>
            <w:r>
              <w:rPr>
                <w:rFonts w:ascii="Arial" w:cs="Arial" w:eastAsia="Arial" w:hAnsi="Arial"/>
                <w:sz w:val="14"/>
                <w:szCs w:val="14"/>
                <w:color w:val="auto"/>
                <w:w w:val="93"/>
              </w:rPr>
              <w:t>Date Fair</w:t>
            </w:r>
          </w:p>
        </w:tc>
        <w:tc>
          <w:tcPr>
            <w:tcW w:w="0" w:type="dxa"/>
            <w:vAlign w:val="bottom"/>
          </w:tcPr>
          <w:p>
            <w:pPr>
              <w:spacing w:after="0"/>
              <w:rPr>
                <w:sz w:val="1"/>
                <w:szCs w:val="1"/>
                <w:color w:val="auto"/>
              </w:rPr>
            </w:pPr>
          </w:p>
        </w:tc>
      </w:tr>
      <w:tr>
        <w:trPr>
          <w:trHeight w:val="174"/>
        </w:trPr>
        <w:tc>
          <w:tcPr>
            <w:tcW w:w="580" w:type="dxa"/>
            <w:vAlign w:val="bottom"/>
            <w:tcBorders>
              <w:bottom w:val="single" w:sz="8" w:color="auto"/>
            </w:tcBorders>
            <w:vMerge w:val="continue"/>
          </w:tcPr>
          <w:p>
            <w:pPr>
              <w:spacing w:after="0"/>
              <w:rPr>
                <w:sz w:val="15"/>
                <w:szCs w:val="15"/>
                <w:color w:val="auto"/>
              </w:rPr>
            </w:pPr>
          </w:p>
        </w:tc>
        <w:tc>
          <w:tcPr>
            <w:tcW w:w="5440" w:type="dxa"/>
            <w:vAlign w:val="bottom"/>
            <w:vMerge w:val="continue"/>
          </w:tcPr>
          <w:p>
            <w:pPr>
              <w:spacing w:after="0"/>
              <w:rPr>
                <w:sz w:val="15"/>
                <w:szCs w:val="15"/>
                <w:color w:val="auto"/>
              </w:rPr>
            </w:pPr>
          </w:p>
        </w:tc>
        <w:tc>
          <w:tcPr>
            <w:tcW w:w="1440" w:type="dxa"/>
            <w:vAlign w:val="bottom"/>
            <w:gridSpan w:val="2"/>
          </w:tcPr>
          <w:p>
            <w:pPr>
              <w:jc w:val="right"/>
              <w:ind w:right="940"/>
              <w:spacing w:after="0" w:line="154" w:lineRule="exact"/>
              <w:rPr>
                <w:sz w:val="20"/>
                <w:szCs w:val="20"/>
                <w:color w:val="auto"/>
              </w:rPr>
            </w:pPr>
            <w:r>
              <w:rPr>
                <w:rFonts w:ascii="Arial" w:cs="Arial" w:eastAsia="Arial" w:hAnsi="Arial"/>
                <w:sz w:val="14"/>
                <w:szCs w:val="14"/>
                <w:color w:val="auto"/>
              </w:rPr>
              <w:t>Units</w:t>
            </w:r>
          </w:p>
        </w:tc>
        <w:tc>
          <w:tcPr>
            <w:tcW w:w="120" w:type="dxa"/>
            <w:vAlign w:val="bottom"/>
          </w:tcPr>
          <w:p>
            <w:pPr>
              <w:spacing w:after="0"/>
              <w:rPr>
                <w:sz w:val="15"/>
                <w:szCs w:val="15"/>
                <w:color w:val="auto"/>
              </w:rPr>
            </w:pPr>
          </w:p>
        </w:tc>
        <w:tc>
          <w:tcPr>
            <w:tcW w:w="780" w:type="dxa"/>
            <w:vAlign w:val="bottom"/>
            <w:gridSpan w:val="2"/>
          </w:tcPr>
          <w:p>
            <w:pPr>
              <w:jc w:val="center"/>
              <w:ind w:right="160"/>
              <w:spacing w:after="0" w:line="154" w:lineRule="exact"/>
              <w:rPr>
                <w:sz w:val="20"/>
                <w:szCs w:val="20"/>
                <w:color w:val="auto"/>
              </w:rPr>
            </w:pPr>
            <w:r>
              <w:rPr>
                <w:rFonts w:ascii="Arial" w:cs="Arial" w:eastAsia="Arial" w:hAnsi="Arial"/>
                <w:sz w:val="14"/>
                <w:szCs w:val="14"/>
                <w:color w:val="auto"/>
                <w:w w:val="94"/>
              </w:rPr>
              <w:t>Value</w:t>
            </w:r>
          </w:p>
        </w:tc>
        <w:tc>
          <w:tcPr>
            <w:tcW w:w="0" w:type="dxa"/>
            <w:vAlign w:val="bottom"/>
          </w:tcPr>
          <w:p>
            <w:pPr>
              <w:spacing w:after="0"/>
              <w:rPr>
                <w:sz w:val="1"/>
                <w:szCs w:val="1"/>
                <w:color w:val="auto"/>
              </w:rPr>
            </w:pPr>
          </w:p>
        </w:tc>
      </w:tr>
      <w:tr>
        <w:trPr>
          <w:trHeight w:val="203"/>
        </w:trPr>
        <w:tc>
          <w:tcPr>
            <w:tcW w:w="6020" w:type="dxa"/>
            <w:vAlign w:val="bottom"/>
            <w:tcBorders>
              <w:top w:val="single" w:sz="8" w:color="CCEEFF"/>
            </w:tcBorders>
            <w:gridSpan w:val="2"/>
            <w:shd w:val="clear" w:color="auto" w:fill="CCEEFF"/>
          </w:tcPr>
          <w:p>
            <w:pPr>
              <w:spacing w:after="0" w:line="203" w:lineRule="exact"/>
              <w:rPr>
                <w:sz w:val="20"/>
                <w:szCs w:val="20"/>
                <w:color w:val="auto"/>
              </w:rPr>
            </w:pPr>
            <w:r>
              <w:rPr>
                <w:rFonts w:ascii="Arial" w:cs="Arial" w:eastAsia="Arial" w:hAnsi="Arial"/>
                <w:sz w:val="18"/>
                <w:szCs w:val="18"/>
                <w:color w:val="auto"/>
              </w:rPr>
              <w:t>Non-vested at December 31, 2018 (Predecessor)</w:t>
            </w:r>
          </w:p>
        </w:tc>
        <w:tc>
          <w:tcPr>
            <w:tcW w:w="70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131,545</w:t>
            </w:r>
          </w:p>
        </w:tc>
        <w:tc>
          <w:tcPr>
            <w:tcW w:w="74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9.00</w:t>
            </w:r>
          </w:p>
        </w:tc>
        <w:tc>
          <w:tcPr>
            <w:tcW w:w="4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020" w:type="dxa"/>
            <w:vAlign w:val="bottom"/>
            <w:gridSpan w:val="2"/>
          </w:tcPr>
          <w:p>
            <w:pPr>
              <w:ind w:left="360"/>
              <w:spacing w:after="0"/>
              <w:rPr>
                <w:sz w:val="20"/>
                <w:szCs w:val="20"/>
                <w:color w:val="auto"/>
              </w:rPr>
            </w:pPr>
            <w:r>
              <w:rPr>
                <w:rFonts w:ascii="Arial" w:cs="Arial" w:eastAsia="Arial" w:hAnsi="Arial"/>
                <w:sz w:val="18"/>
                <w:szCs w:val="18"/>
                <w:color w:val="auto"/>
              </w:rPr>
              <w:t>Granted</w:t>
            </w:r>
          </w:p>
        </w:tc>
        <w:tc>
          <w:tcPr>
            <w:tcW w:w="1440" w:type="dxa"/>
            <w:vAlign w:val="bottom"/>
            <w:gridSpan w:val="2"/>
          </w:tcPr>
          <w:p>
            <w:pPr>
              <w:jc w:val="right"/>
              <w:ind w:right="740"/>
              <w:spacing w:after="0"/>
              <w:rPr>
                <w:sz w:val="20"/>
                <w:szCs w:val="20"/>
                <w:color w:val="auto"/>
              </w:rPr>
            </w:pPr>
            <w:r>
              <w:rPr>
                <w:rFonts w:ascii="Arial" w:cs="Arial" w:eastAsia="Arial" w:hAnsi="Arial"/>
                <w:sz w:val="18"/>
                <w:szCs w:val="18"/>
                <w:color w:val="auto"/>
              </w:rPr>
              <w:t>48,592</w:t>
            </w:r>
          </w:p>
        </w:tc>
        <w:tc>
          <w:tcPr>
            <w:tcW w:w="120" w:type="dxa"/>
            <w:vAlign w:val="bottom"/>
          </w:tcPr>
          <w:p>
            <w:pPr>
              <w:spacing w:after="0"/>
              <w:rPr>
                <w:sz w:val="18"/>
                <w:szCs w:val="18"/>
                <w:color w:val="auto"/>
              </w:rPr>
            </w:pPr>
          </w:p>
        </w:tc>
        <w:tc>
          <w:tcPr>
            <w:tcW w:w="780" w:type="dxa"/>
            <w:vAlign w:val="bottom"/>
            <w:gridSpan w:val="2"/>
          </w:tcPr>
          <w:p>
            <w:pPr>
              <w:jc w:val="right"/>
              <w:ind w:right="40"/>
              <w:spacing w:after="0"/>
              <w:rPr>
                <w:sz w:val="20"/>
                <w:szCs w:val="20"/>
                <w:color w:val="auto"/>
              </w:rPr>
            </w:pPr>
            <w:r>
              <w:rPr>
                <w:rFonts w:ascii="Arial" w:cs="Arial" w:eastAsia="Arial" w:hAnsi="Arial"/>
                <w:sz w:val="18"/>
                <w:szCs w:val="18"/>
                <w:color w:val="auto"/>
              </w:rPr>
              <w:t>98.75</w:t>
            </w:r>
          </w:p>
        </w:tc>
        <w:tc>
          <w:tcPr>
            <w:tcW w:w="0" w:type="dxa"/>
            <w:vAlign w:val="bottom"/>
          </w:tcPr>
          <w:p>
            <w:pPr>
              <w:spacing w:after="0"/>
              <w:rPr>
                <w:sz w:val="1"/>
                <w:szCs w:val="1"/>
                <w:color w:val="auto"/>
              </w:rPr>
            </w:pPr>
          </w:p>
        </w:tc>
      </w:tr>
      <w:tr>
        <w:trPr>
          <w:trHeight w:val="216"/>
        </w:trPr>
        <w:tc>
          <w:tcPr>
            <w:tcW w:w="602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Vested</w:t>
            </w:r>
          </w:p>
        </w:tc>
        <w:tc>
          <w:tcPr>
            <w:tcW w:w="144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w w:val="95"/>
              </w:rPr>
              <w:t>(180,137)</w:t>
            </w: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33.21</w:t>
            </w:r>
          </w:p>
        </w:tc>
        <w:tc>
          <w:tcPr>
            <w:tcW w:w="0" w:type="dxa"/>
            <w:vAlign w:val="bottom"/>
          </w:tcPr>
          <w:p>
            <w:pPr>
              <w:spacing w:after="0"/>
              <w:rPr>
                <w:sz w:val="1"/>
                <w:szCs w:val="1"/>
                <w:color w:val="auto"/>
              </w:rPr>
            </w:pPr>
          </w:p>
        </w:tc>
      </w:tr>
    </w:tbl>
    <w:p>
      <w:pPr>
        <w:spacing w:after="0" w:line="1" w:lineRule="exact"/>
        <w:rPr>
          <w:sz w:val="20"/>
          <w:szCs w:val="20"/>
          <w:color w:val="auto"/>
        </w:rPr>
      </w:pPr>
    </w:p>
    <w:tbl>
      <w:tblPr>
        <w:tblLayout w:type="fixed"/>
        <w:tblInd w:w="1440" w:type="dxa"/>
        <w:tblCellMar>
          <w:top w:w="0" w:type="dxa"/>
          <w:left w:w="0" w:type="dxa"/>
          <w:bottom w:w="0" w:type="dxa"/>
          <w:right w:w="0" w:type="dxa"/>
        </w:tblCellMar>
      </w:tblPr>
      <w:tr>
        <w:trPr>
          <w:trHeight w:val="229"/>
        </w:trPr>
        <w:tc>
          <w:tcPr>
            <w:tcW w:w="6020" w:type="dxa"/>
            <w:vAlign w:val="bottom"/>
            <w:tcBorders>
              <w:bottom w:val="single" w:sz="8" w:color="auto"/>
            </w:tcBorders>
          </w:tcPr>
          <w:p>
            <w:pPr>
              <w:ind w:left="360"/>
              <w:spacing w:after="0"/>
              <w:rPr>
                <w:sz w:val="20"/>
                <w:szCs w:val="20"/>
                <w:color w:val="auto"/>
              </w:rPr>
            </w:pPr>
            <w:r>
              <w:rPr>
                <w:rFonts w:ascii="Arial" w:cs="Arial" w:eastAsia="Arial" w:hAnsi="Arial"/>
                <w:sz w:val="18"/>
                <w:szCs w:val="18"/>
                <w:color w:val="auto"/>
              </w:rPr>
              <w:t>Forfeited</w:t>
            </w:r>
          </w:p>
        </w:tc>
        <w:tc>
          <w:tcPr>
            <w:tcW w:w="700" w:type="dxa"/>
            <w:vAlign w:val="bottom"/>
            <w:tcBorders>
              <w:bottom w:val="single" w:sz="8" w:color="auto"/>
            </w:tcBorders>
          </w:tcPr>
          <w:p>
            <w:pPr>
              <w:ind w:left="440"/>
              <w:spacing w:after="0"/>
              <w:rPr>
                <w:sz w:val="20"/>
                <w:szCs w:val="20"/>
                <w:color w:val="auto"/>
              </w:rPr>
            </w:pPr>
            <w:r>
              <w:rPr>
                <w:rFonts w:ascii="Arial" w:cs="Arial" w:eastAsia="Arial" w:hAnsi="Arial"/>
                <w:sz w:val="18"/>
                <w:szCs w:val="18"/>
                <w:color w:val="auto"/>
              </w:rPr>
              <w:t>—</w:t>
            </w:r>
          </w:p>
        </w:tc>
        <w:tc>
          <w:tcPr>
            <w:tcW w:w="74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gridSpan w:val="2"/>
          </w:tcPr>
          <w:p>
            <w:pPr>
              <w:ind w:left="240"/>
              <w:spacing w:after="0"/>
              <w:rPr>
                <w:sz w:val="20"/>
                <w:szCs w:val="20"/>
                <w:color w:val="auto"/>
              </w:rPr>
            </w:pPr>
            <w:r>
              <w:rPr>
                <w:rFonts w:ascii="Arial" w:cs="Arial" w:eastAsia="Arial" w:hAnsi="Arial"/>
                <w:sz w:val="18"/>
                <w:szCs w:val="18"/>
                <w:color w:val="auto"/>
              </w:rPr>
              <w:t>—</w:t>
            </w:r>
          </w:p>
        </w:tc>
      </w:tr>
      <w:tr>
        <w:trPr>
          <w:trHeight w:val="209"/>
        </w:trPr>
        <w:tc>
          <w:tcPr>
            <w:tcW w:w="6020" w:type="dxa"/>
            <w:vAlign w:val="bottom"/>
            <w:shd w:val="clear" w:color="auto" w:fill="CCEEFF"/>
          </w:tcPr>
          <w:p>
            <w:pPr>
              <w:spacing w:after="0"/>
              <w:rPr>
                <w:sz w:val="20"/>
                <w:szCs w:val="20"/>
                <w:color w:val="auto"/>
              </w:rPr>
            </w:pPr>
            <w:r>
              <w:rPr>
                <w:rFonts w:ascii="Arial" w:cs="Arial" w:eastAsia="Arial" w:hAnsi="Arial"/>
                <w:sz w:val="18"/>
                <w:szCs w:val="18"/>
                <w:color w:val="auto"/>
              </w:rPr>
              <w:t>Non-vested at July 16, 2019 (Successor)</w:t>
            </w:r>
          </w:p>
        </w:tc>
        <w:tc>
          <w:tcPr>
            <w:tcW w:w="7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56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w:t>
            </w:r>
          </w:p>
        </w:tc>
      </w:tr>
      <w:tr>
        <w:trPr>
          <w:trHeight w:val="216"/>
        </w:trPr>
        <w:tc>
          <w:tcPr>
            <w:tcW w:w="6020" w:type="dxa"/>
            <w:vAlign w:val="bottom"/>
          </w:tcPr>
          <w:p>
            <w:pPr>
              <w:ind w:left="360"/>
              <w:spacing w:after="0"/>
              <w:rPr>
                <w:sz w:val="20"/>
                <w:szCs w:val="20"/>
                <w:color w:val="auto"/>
              </w:rPr>
            </w:pPr>
            <w:r>
              <w:rPr>
                <w:rFonts w:ascii="Arial" w:cs="Arial" w:eastAsia="Arial" w:hAnsi="Arial"/>
                <w:sz w:val="18"/>
                <w:szCs w:val="18"/>
                <w:color w:val="auto"/>
              </w:rPr>
              <w:t>Granted</w:t>
            </w:r>
          </w:p>
        </w:tc>
        <w:tc>
          <w:tcPr>
            <w:tcW w:w="700" w:type="dxa"/>
            <w:vAlign w:val="bottom"/>
          </w:tcPr>
          <w:p>
            <w:pPr>
              <w:ind w:left="440"/>
              <w:spacing w:after="0"/>
              <w:rPr>
                <w:sz w:val="20"/>
                <w:szCs w:val="20"/>
                <w:color w:val="auto"/>
              </w:rPr>
            </w:pPr>
            <w:r>
              <w:rPr>
                <w:rFonts w:ascii="Arial" w:cs="Arial" w:eastAsia="Arial" w:hAnsi="Arial"/>
                <w:sz w:val="18"/>
                <w:szCs w:val="18"/>
                <w:color w:val="auto"/>
              </w:rPr>
              <w:t>—</w:t>
            </w:r>
          </w:p>
        </w:tc>
        <w:tc>
          <w:tcPr>
            <w:tcW w:w="7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60" w:type="dxa"/>
            <w:vAlign w:val="bottom"/>
            <w:gridSpan w:val="2"/>
          </w:tcPr>
          <w:p>
            <w:pPr>
              <w:ind w:left="240"/>
              <w:spacing w:after="0"/>
              <w:rPr>
                <w:sz w:val="20"/>
                <w:szCs w:val="20"/>
                <w:color w:val="auto"/>
              </w:rPr>
            </w:pPr>
            <w:r>
              <w:rPr>
                <w:rFonts w:ascii="Arial" w:cs="Arial" w:eastAsia="Arial" w:hAnsi="Arial"/>
                <w:sz w:val="18"/>
                <w:szCs w:val="18"/>
                <w:color w:val="auto"/>
              </w:rPr>
              <w:t>—</w:t>
            </w:r>
          </w:p>
        </w:tc>
      </w:tr>
      <w:tr>
        <w:trPr>
          <w:trHeight w:val="216"/>
        </w:trPr>
        <w:tc>
          <w:tcPr>
            <w:tcW w:w="60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Vested</w:t>
            </w:r>
          </w:p>
        </w:tc>
        <w:tc>
          <w:tcPr>
            <w:tcW w:w="7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56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w:t>
            </w:r>
          </w:p>
        </w:tc>
      </w:tr>
      <w:tr>
        <w:trPr>
          <w:trHeight w:val="223"/>
        </w:trPr>
        <w:tc>
          <w:tcPr>
            <w:tcW w:w="6020" w:type="dxa"/>
            <w:vAlign w:val="bottom"/>
          </w:tcPr>
          <w:p>
            <w:pPr>
              <w:ind w:left="360"/>
              <w:spacing w:after="0"/>
              <w:rPr>
                <w:sz w:val="20"/>
                <w:szCs w:val="20"/>
                <w:color w:val="auto"/>
              </w:rPr>
            </w:pPr>
            <w:r>
              <w:rPr>
                <w:rFonts w:ascii="Arial" w:cs="Arial" w:eastAsia="Arial" w:hAnsi="Arial"/>
                <w:sz w:val="18"/>
                <w:szCs w:val="18"/>
                <w:color w:val="auto"/>
              </w:rPr>
              <w:t>Forfeited</w:t>
            </w:r>
          </w:p>
        </w:tc>
        <w:tc>
          <w:tcPr>
            <w:tcW w:w="700" w:type="dxa"/>
            <w:vAlign w:val="bottom"/>
            <w:tcBorders>
              <w:bottom w:val="single" w:sz="8" w:color="auto"/>
            </w:tcBorders>
          </w:tcPr>
          <w:p>
            <w:pPr>
              <w:ind w:left="440"/>
              <w:spacing w:after="0"/>
              <w:rPr>
                <w:sz w:val="20"/>
                <w:szCs w:val="20"/>
                <w:color w:val="auto"/>
              </w:rPr>
            </w:pPr>
            <w:r>
              <w:rPr>
                <w:rFonts w:ascii="Arial" w:cs="Arial" w:eastAsia="Arial" w:hAnsi="Arial"/>
                <w:sz w:val="18"/>
                <w:szCs w:val="18"/>
                <w:color w:val="auto"/>
              </w:rPr>
              <w:t>—</w:t>
            </w:r>
          </w:p>
        </w:tc>
        <w:tc>
          <w:tcPr>
            <w:tcW w:w="74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ind w:left="24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9"/>
                <w:szCs w:val="19"/>
                <w:color w:val="auto"/>
              </w:rPr>
            </w:pPr>
          </w:p>
        </w:tc>
      </w:tr>
      <w:tr>
        <w:trPr>
          <w:trHeight w:val="216"/>
        </w:trPr>
        <w:tc>
          <w:tcPr>
            <w:tcW w:w="6020" w:type="dxa"/>
            <w:vAlign w:val="bottom"/>
            <w:shd w:val="clear" w:color="auto" w:fill="CCEEFF"/>
          </w:tcPr>
          <w:p>
            <w:pPr>
              <w:spacing w:after="0"/>
              <w:rPr>
                <w:sz w:val="20"/>
                <w:szCs w:val="20"/>
                <w:color w:val="auto"/>
              </w:rPr>
            </w:pPr>
            <w:r>
              <w:rPr>
                <w:rFonts w:ascii="Arial" w:cs="Arial" w:eastAsia="Arial" w:hAnsi="Arial"/>
                <w:sz w:val="18"/>
                <w:szCs w:val="18"/>
                <w:color w:val="auto"/>
              </w:rPr>
              <w:t>Non-vested at July December 31, 2019 (Successor)</w:t>
            </w:r>
          </w:p>
        </w:tc>
        <w:tc>
          <w:tcPr>
            <w:tcW w:w="7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56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w:t>
            </w:r>
          </w:p>
        </w:tc>
      </w:tr>
      <w:tr>
        <w:trPr>
          <w:trHeight w:val="20"/>
        </w:trPr>
        <w:tc>
          <w:tcPr>
            <w:tcW w:w="602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15" w:lineRule="exact"/>
        <w:rPr>
          <w:sz w:val="20"/>
          <w:szCs w:val="20"/>
          <w:color w:val="auto"/>
        </w:rPr>
      </w:pPr>
    </w:p>
    <w:p>
      <w:pPr>
        <w:ind w:left="120" w:right="260" w:firstLine="440"/>
        <w:spacing w:after="0" w:line="301" w:lineRule="auto"/>
        <w:rPr>
          <w:sz w:val="20"/>
          <w:szCs w:val="20"/>
          <w:color w:val="auto"/>
        </w:rPr>
      </w:pPr>
      <w:r>
        <w:rPr>
          <w:rFonts w:ascii="Arial" w:cs="Arial" w:eastAsia="Arial" w:hAnsi="Arial"/>
          <w:sz w:val="16"/>
          <w:szCs w:val="16"/>
          <w:color w:val="auto"/>
        </w:rPr>
        <w:t>As of December 31, 2018 (Predecessor), the Company had authorized and issued, subject to vesting, 1 share of Class B Series A units, 73,418 shares of Class B Series B units, 57,105 shares of Class B Series C units, and 89,737 shares of Class B Series D units. During the year ended December 31, 2019, the Company authorized and issued 48,592 shares of Class B Series E units. On July 16, 2019, all shares of Series A, Series B, Series C, Series D, and Series E units vested upon the qualifying event and were cancelled. The Plan was also terminated on July 16, 2019.</w:t>
      </w:r>
    </w:p>
    <w:p>
      <w:pPr>
        <w:spacing w:after="0" w:line="157" w:lineRule="exact"/>
        <w:rPr>
          <w:sz w:val="20"/>
          <w:szCs w:val="20"/>
          <w:color w:val="auto"/>
        </w:rPr>
      </w:pPr>
    </w:p>
    <w:p>
      <w:pPr>
        <w:ind w:left="560"/>
        <w:spacing w:after="0"/>
        <w:rPr>
          <w:sz w:val="20"/>
          <w:szCs w:val="20"/>
          <w:color w:val="auto"/>
        </w:rPr>
      </w:pPr>
      <w:r>
        <w:rPr>
          <w:rFonts w:ascii="Arial" w:cs="Arial" w:eastAsia="Arial" w:hAnsi="Arial"/>
          <w:sz w:val="16"/>
          <w:szCs w:val="16"/>
          <w:color w:val="auto"/>
        </w:rPr>
        <w:t>The Company recorded total unit-based compensation of $1.7 million for the year ended December 31, 2020 (Successor) and $0.7 million and</w:t>
      </w:r>
    </w:p>
    <w:p>
      <w:pPr>
        <w:spacing w:after="0" w:line="46" w:lineRule="exact"/>
        <w:rPr>
          <w:sz w:val="20"/>
          <w:szCs w:val="20"/>
          <w:color w:val="auto"/>
        </w:rPr>
      </w:pPr>
    </w:p>
    <w:p>
      <w:pPr>
        <w:ind w:left="120"/>
        <w:spacing w:after="0"/>
        <w:rPr>
          <w:sz w:val="20"/>
          <w:szCs w:val="20"/>
          <w:color w:val="auto"/>
        </w:rPr>
      </w:pPr>
      <w:r>
        <w:rPr>
          <w:rFonts w:ascii="Arial" w:cs="Arial" w:eastAsia="Arial" w:hAnsi="Arial"/>
          <w:sz w:val="16"/>
          <w:szCs w:val="16"/>
          <w:color w:val="auto"/>
        </w:rPr>
        <w:t>$5.8 million for the periods from July 16, 2019 through December 31, 2019 (Successor) and from January 1, 2019 through July 15, 2019 (Predecessor),</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8"/>
          <w:szCs w:val="18"/>
          <w:color w:val="auto"/>
        </w:rPr>
        <w:t>respectively, as follows in the table below (in thousands):</w:t>
      </w:r>
    </w:p>
    <w:p>
      <w:pPr>
        <w:spacing w:after="0" w:line="217" w:lineRule="exact"/>
        <w:rPr>
          <w:sz w:val="20"/>
          <w:szCs w:val="20"/>
          <w:color w:val="auto"/>
        </w:rPr>
      </w:pPr>
    </w:p>
    <w:tbl>
      <w:tblPr>
        <w:tblLayout w:type="fixed"/>
        <w:tblInd w:w="1000" w:type="dxa"/>
        <w:tblCellMar>
          <w:top w:w="0" w:type="dxa"/>
          <w:left w:w="0" w:type="dxa"/>
          <w:bottom w:w="0" w:type="dxa"/>
          <w:right w:w="0" w:type="dxa"/>
        </w:tblCellMar>
      </w:tblPr>
      <w:tr>
        <w:trPr>
          <w:trHeight w:val="35"/>
        </w:trPr>
        <w:tc>
          <w:tcPr>
            <w:tcW w:w="20" w:type="dxa"/>
            <w:vAlign w:val="bottom"/>
          </w:tcPr>
          <w:p>
            <w:pPr>
              <w:spacing w:after="0"/>
              <w:rPr>
                <w:sz w:val="3"/>
                <w:szCs w:val="3"/>
                <w:color w:val="auto"/>
              </w:rPr>
            </w:pPr>
          </w:p>
        </w:tc>
        <w:tc>
          <w:tcPr>
            <w:tcW w:w="3340" w:type="dxa"/>
            <w:vAlign w:val="bottom"/>
          </w:tcPr>
          <w:p>
            <w:pPr>
              <w:spacing w:after="0"/>
              <w:rPr>
                <w:sz w:val="3"/>
                <w:szCs w:val="3"/>
                <w:color w:val="auto"/>
              </w:rPr>
            </w:pPr>
          </w:p>
        </w:tc>
        <w:tc>
          <w:tcPr>
            <w:tcW w:w="2320" w:type="dxa"/>
            <w:vAlign w:val="bottom"/>
          </w:tcPr>
          <w:p>
            <w:pPr>
              <w:spacing w:after="0"/>
              <w:rPr>
                <w:sz w:val="3"/>
                <w:szCs w:val="3"/>
                <w:color w:val="auto"/>
              </w:rPr>
            </w:pPr>
          </w:p>
        </w:tc>
        <w:tc>
          <w:tcPr>
            <w:tcW w:w="160" w:type="dxa"/>
            <w:vAlign w:val="bottom"/>
          </w:tcPr>
          <w:p>
            <w:pPr>
              <w:spacing w:after="0"/>
              <w:rPr>
                <w:sz w:val="3"/>
                <w:szCs w:val="3"/>
                <w:color w:val="auto"/>
              </w:rPr>
            </w:pPr>
          </w:p>
        </w:tc>
        <w:tc>
          <w:tcPr>
            <w:tcW w:w="1920" w:type="dxa"/>
            <w:vAlign w:val="bottom"/>
            <w:gridSpan w:val="4"/>
            <w:vMerge w:val="restart"/>
          </w:tcPr>
          <w:p>
            <w:pPr>
              <w:ind w:left="260"/>
              <w:spacing w:after="0"/>
              <w:rPr>
                <w:sz w:val="20"/>
                <w:szCs w:val="20"/>
                <w:color w:val="auto"/>
              </w:rPr>
            </w:pPr>
            <w:r>
              <w:rPr>
                <w:rFonts w:ascii="Arial" w:cs="Arial" w:eastAsia="Arial" w:hAnsi="Arial"/>
                <w:sz w:val="14"/>
                <w:szCs w:val="14"/>
                <w:b w:val="1"/>
                <w:bCs w:val="1"/>
                <w:color w:val="auto"/>
              </w:rPr>
              <w:t>Successor Company</w:t>
            </w:r>
          </w:p>
        </w:tc>
        <w:tc>
          <w:tcPr>
            <w:tcW w:w="280" w:type="dxa"/>
            <w:vAlign w:val="bottom"/>
          </w:tcPr>
          <w:p>
            <w:pPr>
              <w:spacing w:after="0"/>
              <w:rPr>
                <w:sz w:val="3"/>
                <w:szCs w:val="3"/>
                <w:color w:val="auto"/>
              </w:rPr>
            </w:pPr>
          </w:p>
        </w:tc>
        <w:tc>
          <w:tcPr>
            <w:tcW w:w="220" w:type="dxa"/>
            <w:vAlign w:val="bottom"/>
          </w:tcPr>
          <w:p>
            <w:pPr>
              <w:spacing w:after="0"/>
              <w:rPr>
                <w:sz w:val="3"/>
                <w:szCs w:val="3"/>
                <w:color w:val="auto"/>
              </w:rPr>
            </w:pPr>
          </w:p>
        </w:tc>
        <w:tc>
          <w:tcPr>
            <w:tcW w:w="100" w:type="dxa"/>
            <w:vAlign w:val="bottom"/>
          </w:tcPr>
          <w:p>
            <w:pPr>
              <w:spacing w:after="0"/>
              <w:rPr>
                <w:sz w:val="3"/>
                <w:szCs w:val="3"/>
                <w:color w:val="auto"/>
              </w:rPr>
            </w:pPr>
          </w:p>
        </w:tc>
        <w:tc>
          <w:tcPr>
            <w:tcW w:w="900" w:type="dxa"/>
            <w:vAlign w:val="bottom"/>
            <w:gridSpan w:val="2"/>
            <w:vMerge w:val="restart"/>
          </w:tcPr>
          <w:p>
            <w:pPr>
              <w:jc w:val="center"/>
              <w:ind w:right="160"/>
              <w:spacing w:after="0"/>
              <w:rPr>
                <w:sz w:val="20"/>
                <w:szCs w:val="20"/>
                <w:color w:val="auto"/>
              </w:rPr>
            </w:pPr>
            <w:r>
              <w:rPr>
                <w:rFonts w:ascii="Arial" w:cs="Arial" w:eastAsia="Arial" w:hAnsi="Arial"/>
                <w:sz w:val="14"/>
                <w:szCs w:val="14"/>
                <w:b w:val="1"/>
                <w:bCs w:val="1"/>
                <w:color w:val="auto"/>
                <w:w w:val="87"/>
              </w:rPr>
              <w:t>Predecessor</w:t>
            </w:r>
          </w:p>
        </w:tc>
        <w:tc>
          <w:tcPr>
            <w:tcW w:w="0" w:type="dxa"/>
            <w:vAlign w:val="bottom"/>
          </w:tcPr>
          <w:p>
            <w:pPr>
              <w:spacing w:after="0" w:line="20" w:lineRule="exact"/>
              <w:rPr>
                <w:sz w:val="1"/>
                <w:szCs w:val="1"/>
                <w:color w:val="auto"/>
              </w:rPr>
            </w:pPr>
          </w:p>
        </w:tc>
      </w:tr>
      <w:tr>
        <w:trPr>
          <w:trHeight w:val="126"/>
        </w:trPr>
        <w:tc>
          <w:tcPr>
            <w:tcW w:w="20" w:type="dxa"/>
            <w:vAlign w:val="bottom"/>
          </w:tcPr>
          <w:p>
            <w:pPr>
              <w:spacing w:after="0"/>
              <w:rPr>
                <w:sz w:val="10"/>
                <w:szCs w:val="10"/>
                <w:color w:val="auto"/>
              </w:rPr>
            </w:pPr>
          </w:p>
        </w:tc>
        <w:tc>
          <w:tcPr>
            <w:tcW w:w="3340" w:type="dxa"/>
            <w:vAlign w:val="bottom"/>
          </w:tcPr>
          <w:p>
            <w:pPr>
              <w:spacing w:after="0"/>
              <w:rPr>
                <w:sz w:val="10"/>
                <w:szCs w:val="10"/>
                <w:color w:val="auto"/>
              </w:rPr>
            </w:pPr>
          </w:p>
        </w:tc>
        <w:tc>
          <w:tcPr>
            <w:tcW w:w="23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920" w:type="dxa"/>
            <w:vAlign w:val="bottom"/>
            <w:gridSpan w:val="4"/>
            <w:vMerge w:val="continue"/>
          </w:tcPr>
          <w:p>
            <w:pPr>
              <w:spacing w:after="0"/>
              <w:rPr>
                <w:sz w:val="10"/>
                <w:szCs w:val="10"/>
                <w:color w:val="auto"/>
              </w:rPr>
            </w:pPr>
          </w:p>
        </w:tc>
        <w:tc>
          <w:tcPr>
            <w:tcW w:w="280" w:type="dxa"/>
            <w:vAlign w:val="bottom"/>
            <w:tcBorders>
              <w:right w:val="single" w:sz="8" w:color="auto"/>
            </w:tcBorders>
          </w:tcPr>
          <w:p>
            <w:pPr>
              <w:spacing w:after="0"/>
              <w:rPr>
                <w:sz w:val="10"/>
                <w:szCs w:val="10"/>
                <w:color w:val="auto"/>
              </w:rPr>
            </w:pP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0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3340" w:type="dxa"/>
            <w:vAlign w:val="bottom"/>
          </w:tcPr>
          <w:p>
            <w:pPr>
              <w:spacing w:after="0"/>
              <w:rPr>
                <w:sz w:val="14"/>
                <w:szCs w:val="14"/>
                <w:color w:val="auto"/>
              </w:rPr>
            </w:pPr>
          </w:p>
        </w:tc>
        <w:tc>
          <w:tcPr>
            <w:tcW w:w="23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920" w:type="dxa"/>
            <w:vAlign w:val="bottom"/>
            <w:gridSpan w:val="4"/>
            <w:vMerge w:val="continue"/>
          </w:tcPr>
          <w:p>
            <w:pPr>
              <w:spacing w:after="0"/>
              <w:rPr>
                <w:sz w:val="14"/>
                <w:szCs w:val="14"/>
                <w:color w:val="auto"/>
              </w:rPr>
            </w:pPr>
          </w:p>
        </w:tc>
        <w:tc>
          <w:tcPr>
            <w:tcW w:w="280" w:type="dxa"/>
            <w:vAlign w:val="bottom"/>
            <w:tcBorders>
              <w:right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3"/>
              </w:rPr>
              <w:t>Company</w:t>
            </w: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3340" w:type="dxa"/>
            <w:vAlign w:val="bottom"/>
          </w:tcPr>
          <w:p>
            <w:pPr>
              <w:spacing w:after="0"/>
              <w:rPr>
                <w:sz w:val="10"/>
                <w:szCs w:val="10"/>
                <w:color w:val="auto"/>
              </w:rPr>
            </w:pPr>
          </w:p>
        </w:tc>
        <w:tc>
          <w:tcPr>
            <w:tcW w:w="2320" w:type="dxa"/>
            <w:vAlign w:val="bottom"/>
          </w:tcPr>
          <w:p>
            <w:pPr>
              <w:spacing w:after="0"/>
              <w:rPr>
                <w:sz w:val="10"/>
                <w:szCs w:val="10"/>
                <w:color w:val="auto"/>
              </w:rPr>
            </w:pPr>
          </w:p>
        </w:tc>
        <w:tc>
          <w:tcPr>
            <w:tcW w:w="800" w:type="dxa"/>
            <w:vAlign w:val="bottom"/>
            <w:tcBorders>
              <w:top w:val="single" w:sz="8" w:color="auto"/>
            </w:tcBorders>
            <w:gridSpan w:val="2"/>
          </w:tcPr>
          <w:p>
            <w:pPr>
              <w:jc w:val="right"/>
              <w:spacing w:after="0" w:line="123" w:lineRule="exact"/>
              <w:rPr>
                <w:sz w:val="20"/>
                <w:szCs w:val="20"/>
                <w:color w:val="auto"/>
              </w:rPr>
            </w:pPr>
            <w:r>
              <w:rPr>
                <w:rFonts w:ascii="Arial" w:cs="Arial" w:eastAsia="Arial" w:hAnsi="Arial"/>
                <w:sz w:val="14"/>
                <w:szCs w:val="14"/>
                <w:color w:val="auto"/>
                <w:w w:val="96"/>
              </w:rPr>
              <w:t>Year ended</w:t>
            </w:r>
          </w:p>
        </w:tc>
        <w:tc>
          <w:tcPr>
            <w:tcW w:w="160" w:type="dxa"/>
            <w:vAlign w:val="bottom"/>
            <w:tcBorders>
              <w:top w:val="single" w:sz="8" w:color="auto"/>
            </w:tcBorders>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1040" w:type="dxa"/>
            <w:vAlign w:val="bottom"/>
            <w:tcBorders>
              <w:top w:val="single" w:sz="8" w:color="auto"/>
            </w:tcBorders>
          </w:tcPr>
          <w:p>
            <w:pPr>
              <w:ind w:left="120"/>
              <w:spacing w:after="0" w:line="123" w:lineRule="exact"/>
              <w:rPr>
                <w:sz w:val="20"/>
                <w:szCs w:val="20"/>
                <w:color w:val="auto"/>
              </w:rPr>
            </w:pPr>
            <w:r>
              <w:rPr>
                <w:rFonts w:ascii="Arial" w:cs="Arial" w:eastAsia="Arial" w:hAnsi="Arial"/>
                <w:sz w:val="14"/>
                <w:szCs w:val="14"/>
                <w:color w:val="auto"/>
              </w:rPr>
              <w:t>Period From</w:t>
            </w:r>
          </w:p>
        </w:tc>
        <w:tc>
          <w:tcPr>
            <w:tcW w:w="280" w:type="dxa"/>
            <w:vAlign w:val="bottom"/>
            <w:tcBorders>
              <w:right w:val="single" w:sz="8" w:color="auto"/>
            </w:tcBorders>
          </w:tcPr>
          <w:p>
            <w:pPr>
              <w:spacing w:after="0"/>
              <w:rPr>
                <w:sz w:val="10"/>
                <w:szCs w:val="10"/>
                <w:color w:val="auto"/>
              </w:rPr>
            </w:pPr>
          </w:p>
        </w:tc>
        <w:tc>
          <w:tcPr>
            <w:tcW w:w="22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840" w:type="dxa"/>
            <w:vAlign w:val="bottom"/>
            <w:tcBorders>
              <w:top w:val="single" w:sz="8" w:color="auto"/>
            </w:tcBorders>
          </w:tcPr>
          <w:p>
            <w:pPr>
              <w:jc w:val="center"/>
              <w:ind w:right="35"/>
              <w:spacing w:after="0" w:line="123" w:lineRule="exact"/>
              <w:rPr>
                <w:sz w:val="20"/>
                <w:szCs w:val="20"/>
                <w:color w:val="auto"/>
              </w:rPr>
            </w:pPr>
            <w:r>
              <w:rPr>
                <w:rFonts w:ascii="Arial" w:cs="Arial" w:eastAsia="Arial" w:hAnsi="Arial"/>
                <w:sz w:val="14"/>
                <w:szCs w:val="14"/>
                <w:color w:val="auto"/>
                <w:w w:val="93"/>
              </w:rPr>
              <w:t>Period From</w:t>
            </w: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340" w:type="dxa"/>
            <w:vAlign w:val="bottom"/>
          </w:tcPr>
          <w:p>
            <w:pPr>
              <w:spacing w:after="0"/>
              <w:rPr>
                <w:sz w:val="12"/>
                <w:szCs w:val="12"/>
                <w:color w:val="auto"/>
              </w:rPr>
            </w:pPr>
          </w:p>
        </w:tc>
        <w:tc>
          <w:tcPr>
            <w:tcW w:w="3120" w:type="dxa"/>
            <w:vAlign w:val="bottom"/>
            <w:gridSpan w:val="3"/>
          </w:tcPr>
          <w:p>
            <w:pPr>
              <w:jc w:val="right"/>
              <w:spacing w:after="0" w:line="149" w:lineRule="exact"/>
              <w:rPr>
                <w:sz w:val="20"/>
                <w:szCs w:val="20"/>
                <w:color w:val="auto"/>
              </w:rPr>
            </w:pPr>
            <w:r>
              <w:rPr>
                <w:rFonts w:ascii="Arial" w:cs="Arial" w:eastAsia="Arial" w:hAnsi="Arial"/>
                <w:sz w:val="14"/>
                <w:szCs w:val="14"/>
                <w:color w:val="auto"/>
              </w:rPr>
              <w:t>December 31,</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40" w:type="dxa"/>
            <w:vAlign w:val="bottom"/>
          </w:tcPr>
          <w:p>
            <w:pPr>
              <w:ind w:left="20"/>
              <w:spacing w:after="0" w:line="149" w:lineRule="exact"/>
              <w:rPr>
                <w:sz w:val="20"/>
                <w:szCs w:val="20"/>
                <w:color w:val="auto"/>
              </w:rPr>
            </w:pPr>
            <w:r>
              <w:rPr>
                <w:rFonts w:ascii="Arial" w:cs="Arial" w:eastAsia="Arial" w:hAnsi="Arial"/>
                <w:sz w:val="14"/>
                <w:szCs w:val="14"/>
                <w:color w:val="auto"/>
              </w:rPr>
              <w:t>July 16, 2019 to</w:t>
            </w:r>
          </w:p>
        </w:tc>
        <w:tc>
          <w:tcPr>
            <w:tcW w:w="280" w:type="dxa"/>
            <w:vAlign w:val="bottom"/>
            <w:tcBorders>
              <w:right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1000" w:type="dxa"/>
            <w:vAlign w:val="bottom"/>
            <w:gridSpan w:val="3"/>
          </w:tcPr>
          <w:p>
            <w:pPr>
              <w:jc w:val="right"/>
              <w:ind w:right="80"/>
              <w:spacing w:after="0" w:line="149" w:lineRule="exact"/>
              <w:rPr>
                <w:sz w:val="20"/>
                <w:szCs w:val="20"/>
                <w:color w:val="auto"/>
              </w:rPr>
            </w:pPr>
            <w:r>
              <w:rPr>
                <w:rFonts w:ascii="Arial" w:cs="Arial" w:eastAsia="Arial" w:hAnsi="Arial"/>
                <w:sz w:val="14"/>
                <w:szCs w:val="14"/>
                <w:color w:val="auto"/>
                <w:w w:val="89"/>
              </w:rPr>
              <w:t>January 1, 2019</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3340" w:type="dxa"/>
            <w:vAlign w:val="bottom"/>
          </w:tcPr>
          <w:p>
            <w:pPr>
              <w:spacing w:after="0"/>
              <w:rPr>
                <w:sz w:val="14"/>
                <w:szCs w:val="14"/>
                <w:color w:val="auto"/>
              </w:rPr>
            </w:pPr>
          </w:p>
        </w:tc>
        <w:tc>
          <w:tcPr>
            <w:tcW w:w="23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40" w:type="dxa"/>
            <w:vAlign w:val="bottom"/>
          </w:tcPr>
          <w:p>
            <w:pPr>
              <w:jc w:val="right"/>
              <w:ind w:right="174"/>
              <w:spacing w:after="0"/>
              <w:rPr>
                <w:sz w:val="20"/>
                <w:szCs w:val="20"/>
                <w:color w:val="auto"/>
              </w:rPr>
            </w:pPr>
            <w:r>
              <w:rPr>
                <w:rFonts w:ascii="Arial" w:cs="Arial" w:eastAsia="Arial" w:hAnsi="Arial"/>
                <w:sz w:val="14"/>
                <w:szCs w:val="14"/>
                <w:color w:val="auto"/>
              </w:rPr>
              <w:t>2020</w:t>
            </w:r>
          </w:p>
        </w:tc>
        <w:tc>
          <w:tcPr>
            <w:tcW w:w="1280" w:type="dxa"/>
            <w:vAlign w:val="bottom"/>
            <w:gridSpan w:val="3"/>
          </w:tcPr>
          <w:p>
            <w:pPr>
              <w:ind w:left="160"/>
              <w:spacing w:after="0"/>
              <w:rPr>
                <w:sz w:val="20"/>
                <w:szCs w:val="20"/>
                <w:color w:val="auto"/>
              </w:rPr>
            </w:pPr>
            <w:r>
              <w:rPr>
                <w:rFonts w:ascii="Arial" w:cs="Arial" w:eastAsia="Arial" w:hAnsi="Arial"/>
                <w:sz w:val="14"/>
                <w:szCs w:val="14"/>
                <w:color w:val="auto"/>
                <w:w w:val="89"/>
              </w:rPr>
              <w:t>December 31, 2019</w:t>
            </w:r>
          </w:p>
        </w:tc>
        <w:tc>
          <w:tcPr>
            <w:tcW w:w="280" w:type="dxa"/>
            <w:vAlign w:val="bottom"/>
            <w:tcBorders>
              <w:right w:val="single" w:sz="8" w:color="auto"/>
            </w:tcBorders>
          </w:tcPr>
          <w:p>
            <w:pPr>
              <w:spacing w:after="0"/>
              <w:rPr>
                <w:sz w:val="14"/>
                <w:szCs w:val="14"/>
                <w:color w:val="auto"/>
              </w:rPr>
            </w:pPr>
          </w:p>
        </w:tc>
        <w:tc>
          <w:tcPr>
            <w:tcW w:w="1220" w:type="dxa"/>
            <w:vAlign w:val="bottom"/>
            <w:gridSpan w:val="4"/>
          </w:tcPr>
          <w:p>
            <w:pPr>
              <w:jc w:val="right"/>
              <w:ind w:right="60"/>
              <w:spacing w:after="0"/>
              <w:rPr>
                <w:sz w:val="20"/>
                <w:szCs w:val="20"/>
                <w:color w:val="auto"/>
              </w:rPr>
            </w:pPr>
            <w:r>
              <w:rPr>
                <w:rFonts w:ascii="Arial" w:cs="Arial" w:eastAsia="Arial" w:hAnsi="Arial"/>
                <w:sz w:val="14"/>
                <w:szCs w:val="14"/>
                <w:color w:val="auto"/>
              </w:rPr>
              <w:t>to July 15, 2019</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334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Time-based:</w:t>
            </w:r>
          </w:p>
        </w:tc>
        <w:tc>
          <w:tcPr>
            <w:tcW w:w="232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64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1040" w:type="dxa"/>
            <w:vAlign w:val="bottom"/>
            <w:tcBorders>
              <w:top w:val="single" w:sz="8" w:color="auto"/>
            </w:tcBorders>
            <w:shd w:val="clear" w:color="auto" w:fill="CCEEFF"/>
          </w:tcPr>
          <w:p>
            <w:pPr>
              <w:spacing w:after="0"/>
              <w:rPr>
                <w:sz w:val="17"/>
                <w:szCs w:val="17"/>
                <w:color w:val="auto"/>
              </w:rPr>
            </w:pPr>
          </w:p>
        </w:tc>
        <w:tc>
          <w:tcPr>
            <w:tcW w:w="280" w:type="dxa"/>
            <w:vAlign w:val="bottom"/>
            <w:tcBorders>
              <w:top w:val="single" w:sz="8" w:color="CCEEFF"/>
              <w:right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840" w:type="dxa"/>
            <w:vAlign w:val="bottom"/>
            <w:tcBorders>
              <w:top w:val="single" w:sz="8" w:color="auto"/>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40" w:type="dxa"/>
            <w:vAlign w:val="bottom"/>
          </w:tcPr>
          <w:p>
            <w:pPr>
              <w:ind w:left="340"/>
              <w:spacing w:after="0"/>
              <w:rPr>
                <w:sz w:val="20"/>
                <w:szCs w:val="20"/>
                <w:color w:val="auto"/>
              </w:rPr>
            </w:pPr>
            <w:r>
              <w:rPr>
                <w:rFonts w:ascii="Arial" w:cs="Arial" w:eastAsia="Arial" w:hAnsi="Arial"/>
                <w:sz w:val="18"/>
                <w:szCs w:val="18"/>
                <w:color w:val="auto"/>
              </w:rPr>
              <w:t>2015 plan</w:t>
            </w:r>
          </w:p>
        </w:tc>
        <w:tc>
          <w:tcPr>
            <w:tcW w:w="2480" w:type="dxa"/>
            <w:vAlign w:val="bottom"/>
            <w:gridSpan w:val="2"/>
          </w:tcPr>
          <w:p>
            <w:pPr>
              <w:jc w:val="right"/>
              <w:ind w:right="8"/>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gridSpan w:val="2"/>
          </w:tcPr>
          <w:p>
            <w:pPr>
              <w:ind w:left="140"/>
              <w:spacing w:after="0"/>
              <w:rPr>
                <w:sz w:val="20"/>
                <w:szCs w:val="20"/>
                <w:color w:val="auto"/>
              </w:rPr>
            </w:pPr>
            <w:r>
              <w:rPr>
                <w:rFonts w:ascii="Arial" w:cs="Arial" w:eastAsia="Arial" w:hAnsi="Arial"/>
                <w:sz w:val="18"/>
                <w:szCs w:val="18"/>
                <w:color w:val="auto"/>
                <w:w w:val="79"/>
              </w:rPr>
              <w:t>$</w:t>
            </w:r>
          </w:p>
        </w:tc>
        <w:tc>
          <w:tcPr>
            <w:tcW w:w="1040" w:type="dxa"/>
            <w:vAlign w:val="bottom"/>
          </w:tcPr>
          <w:p>
            <w:pPr>
              <w:ind w:left="780"/>
              <w:spacing w:after="0"/>
              <w:rPr>
                <w:sz w:val="20"/>
                <w:szCs w:val="20"/>
                <w:color w:val="auto"/>
              </w:rPr>
            </w:pPr>
            <w:r>
              <w:rPr>
                <w:rFonts w:ascii="Arial" w:cs="Arial" w:eastAsia="Arial" w:hAnsi="Arial"/>
                <w:sz w:val="18"/>
                <w:szCs w:val="18"/>
                <w:color w:val="auto"/>
              </w:rPr>
              <w:t>—</w:t>
            </w:r>
          </w:p>
        </w:tc>
        <w:tc>
          <w:tcPr>
            <w:tcW w:w="280" w:type="dxa"/>
            <w:vAlign w:val="bottom"/>
            <w:tcBorders>
              <w:right w:val="single" w:sz="8" w:color="auto"/>
            </w:tcBorders>
          </w:tcPr>
          <w:p>
            <w:pPr>
              <w:spacing w:after="0"/>
              <w:rPr>
                <w:sz w:val="18"/>
                <w:szCs w:val="18"/>
                <w:color w:val="auto"/>
              </w:rPr>
            </w:pP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5,807</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2019 plan</w:t>
            </w:r>
          </w:p>
        </w:tc>
        <w:tc>
          <w:tcPr>
            <w:tcW w:w="2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1,747</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40" w:type="dxa"/>
            <w:vAlign w:val="bottom"/>
            <w:shd w:val="clear" w:color="auto" w:fill="CCEEFF"/>
          </w:tcPr>
          <w:p>
            <w:pPr>
              <w:ind w:left="780"/>
              <w:spacing w:after="0"/>
              <w:rPr>
                <w:sz w:val="20"/>
                <w:szCs w:val="20"/>
                <w:color w:val="auto"/>
              </w:rPr>
            </w:pPr>
            <w:r>
              <w:rPr>
                <w:rFonts w:ascii="Arial" w:cs="Arial" w:eastAsia="Arial" w:hAnsi="Arial"/>
                <w:sz w:val="18"/>
                <w:szCs w:val="18"/>
                <w:color w:val="auto"/>
                <w:w w:val="79"/>
              </w:rPr>
              <w:t>744</w:t>
            </w:r>
          </w:p>
        </w:tc>
        <w:tc>
          <w:tcPr>
            <w:tcW w:w="280" w:type="dxa"/>
            <w:vAlign w:val="bottom"/>
            <w:tcBorders>
              <w:right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ind w:left="5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340" w:type="dxa"/>
            <w:vAlign w:val="bottom"/>
          </w:tcPr>
          <w:p>
            <w:pPr>
              <w:ind w:left="340"/>
              <w:spacing w:after="0"/>
              <w:rPr>
                <w:sz w:val="20"/>
                <w:szCs w:val="20"/>
                <w:color w:val="auto"/>
              </w:rPr>
            </w:pPr>
            <w:r>
              <w:rPr>
                <w:rFonts w:ascii="Arial" w:cs="Arial" w:eastAsia="Arial" w:hAnsi="Arial"/>
                <w:sz w:val="18"/>
                <w:szCs w:val="18"/>
                <w:color w:val="auto"/>
              </w:rPr>
              <w:t>Total time-based</w:t>
            </w:r>
          </w:p>
        </w:tc>
        <w:tc>
          <w:tcPr>
            <w:tcW w:w="232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1,747</w:t>
            </w:r>
          </w:p>
        </w:tc>
        <w:tc>
          <w:tcPr>
            <w:tcW w:w="16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1040" w:type="dxa"/>
            <w:vAlign w:val="bottom"/>
            <w:tcBorders>
              <w:top w:val="single" w:sz="8" w:color="auto"/>
            </w:tcBorders>
          </w:tcPr>
          <w:p>
            <w:pPr>
              <w:ind w:left="780"/>
              <w:spacing w:after="0"/>
              <w:rPr>
                <w:sz w:val="20"/>
                <w:szCs w:val="20"/>
                <w:color w:val="auto"/>
              </w:rPr>
            </w:pPr>
            <w:r>
              <w:rPr>
                <w:rFonts w:ascii="Arial" w:cs="Arial" w:eastAsia="Arial" w:hAnsi="Arial"/>
                <w:sz w:val="18"/>
                <w:szCs w:val="18"/>
                <w:color w:val="auto"/>
                <w:w w:val="79"/>
              </w:rPr>
              <w:t>744</w:t>
            </w:r>
          </w:p>
        </w:tc>
        <w:tc>
          <w:tcPr>
            <w:tcW w:w="280" w:type="dxa"/>
            <w:vAlign w:val="bottom"/>
            <w:tcBorders>
              <w:right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5,807</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40" w:type="dxa"/>
            <w:vAlign w:val="bottom"/>
            <w:shd w:val="clear" w:color="auto" w:fill="CCEEFF"/>
          </w:tcPr>
          <w:p>
            <w:pPr>
              <w:spacing w:after="0"/>
              <w:rPr>
                <w:sz w:val="20"/>
                <w:szCs w:val="20"/>
                <w:color w:val="auto"/>
              </w:rPr>
            </w:pPr>
            <w:r>
              <w:rPr>
                <w:rFonts w:ascii="Arial" w:cs="Arial" w:eastAsia="Arial" w:hAnsi="Arial"/>
                <w:sz w:val="18"/>
                <w:szCs w:val="18"/>
                <w:color w:val="auto"/>
              </w:rPr>
              <w:t>Performance based:</w:t>
            </w:r>
          </w:p>
        </w:tc>
        <w:tc>
          <w:tcPr>
            <w:tcW w:w="2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80" w:type="dxa"/>
            <w:vAlign w:val="bottom"/>
            <w:tcBorders>
              <w:right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40" w:type="dxa"/>
            <w:vAlign w:val="bottom"/>
          </w:tcPr>
          <w:p>
            <w:pPr>
              <w:ind w:left="340"/>
              <w:spacing w:after="0"/>
              <w:rPr>
                <w:sz w:val="20"/>
                <w:szCs w:val="20"/>
                <w:color w:val="auto"/>
              </w:rPr>
            </w:pPr>
            <w:r>
              <w:rPr>
                <w:rFonts w:ascii="Arial" w:cs="Arial" w:eastAsia="Arial" w:hAnsi="Arial"/>
                <w:sz w:val="18"/>
                <w:szCs w:val="18"/>
                <w:color w:val="auto"/>
              </w:rPr>
              <w:t>2015 plan</w:t>
            </w:r>
          </w:p>
        </w:tc>
        <w:tc>
          <w:tcPr>
            <w:tcW w:w="2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tcPr>
          <w:p>
            <w:pPr>
              <w:ind w:left="780"/>
              <w:spacing w:after="0"/>
              <w:rPr>
                <w:sz w:val="20"/>
                <w:szCs w:val="20"/>
                <w:color w:val="auto"/>
              </w:rPr>
            </w:pPr>
            <w:r>
              <w:rPr>
                <w:rFonts w:ascii="Arial" w:cs="Arial" w:eastAsia="Arial" w:hAnsi="Arial"/>
                <w:sz w:val="18"/>
                <w:szCs w:val="18"/>
                <w:color w:val="auto"/>
              </w:rPr>
              <w:t>—</w:t>
            </w:r>
          </w:p>
        </w:tc>
        <w:tc>
          <w:tcPr>
            <w:tcW w:w="280" w:type="dxa"/>
            <w:vAlign w:val="bottom"/>
            <w:tcBorders>
              <w:right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ind w:left="5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2019 plan</w:t>
            </w:r>
          </w:p>
        </w:tc>
        <w:tc>
          <w:tcPr>
            <w:tcW w:w="2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40" w:type="dxa"/>
            <w:vAlign w:val="bottom"/>
            <w:shd w:val="clear" w:color="auto" w:fill="CCEEFF"/>
          </w:tcPr>
          <w:p>
            <w:pPr>
              <w:ind w:left="780"/>
              <w:spacing w:after="0"/>
              <w:rPr>
                <w:sz w:val="20"/>
                <w:szCs w:val="20"/>
                <w:color w:val="auto"/>
              </w:rPr>
            </w:pPr>
            <w:r>
              <w:rPr>
                <w:rFonts w:ascii="Arial" w:cs="Arial" w:eastAsia="Arial" w:hAnsi="Arial"/>
                <w:sz w:val="18"/>
                <w:szCs w:val="18"/>
                <w:color w:val="auto"/>
              </w:rPr>
              <w:t>—</w:t>
            </w:r>
          </w:p>
        </w:tc>
        <w:tc>
          <w:tcPr>
            <w:tcW w:w="280" w:type="dxa"/>
            <w:vAlign w:val="bottom"/>
            <w:tcBorders>
              <w:right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ind w:left="5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340" w:type="dxa"/>
            <w:vAlign w:val="bottom"/>
          </w:tcPr>
          <w:p>
            <w:pPr>
              <w:ind w:left="340"/>
              <w:spacing w:after="0"/>
              <w:rPr>
                <w:sz w:val="20"/>
                <w:szCs w:val="20"/>
                <w:color w:val="auto"/>
              </w:rPr>
            </w:pPr>
            <w:r>
              <w:rPr>
                <w:rFonts w:ascii="Arial" w:cs="Arial" w:eastAsia="Arial" w:hAnsi="Arial"/>
                <w:sz w:val="18"/>
                <w:szCs w:val="18"/>
                <w:color w:val="auto"/>
              </w:rPr>
              <w:t>Total performance-based</w:t>
            </w:r>
          </w:p>
        </w:tc>
        <w:tc>
          <w:tcPr>
            <w:tcW w:w="2320" w:type="dxa"/>
            <w:vAlign w:val="bottom"/>
          </w:tcPr>
          <w:p>
            <w:pPr>
              <w:spacing w:after="0"/>
              <w:rPr>
                <w:sz w:val="20"/>
                <w:szCs w:val="20"/>
                <w:color w:val="auto"/>
              </w:rPr>
            </w:pPr>
          </w:p>
        </w:tc>
        <w:tc>
          <w:tcPr>
            <w:tcW w:w="160" w:type="dxa"/>
            <w:vAlign w:val="bottom"/>
            <w:tcBorders>
              <w:top w:val="single" w:sz="8" w:color="auto"/>
              <w:bottom w:val="single" w:sz="8" w:color="auto"/>
            </w:tcBorders>
          </w:tcPr>
          <w:p>
            <w:pPr>
              <w:spacing w:after="0"/>
              <w:rPr>
                <w:sz w:val="20"/>
                <w:szCs w:val="20"/>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80" w:type="dxa"/>
            <w:vAlign w:val="bottom"/>
            <w:tcBorders>
              <w:top w:val="single" w:sz="8" w:color="auto"/>
              <w:bottom w:val="single" w:sz="8" w:color="auto"/>
            </w:tcBorders>
          </w:tcPr>
          <w:p>
            <w:pPr>
              <w:spacing w:after="0"/>
              <w:rPr>
                <w:sz w:val="20"/>
                <w:szCs w:val="20"/>
                <w:color w:val="auto"/>
              </w:rPr>
            </w:pPr>
          </w:p>
        </w:tc>
        <w:tc>
          <w:tcPr>
            <w:tcW w:w="1040" w:type="dxa"/>
            <w:vAlign w:val="bottom"/>
            <w:tcBorders>
              <w:top w:val="single" w:sz="8" w:color="auto"/>
              <w:bottom w:val="single" w:sz="8" w:color="auto"/>
            </w:tcBorders>
          </w:tcPr>
          <w:p>
            <w:pPr>
              <w:ind w:left="780"/>
              <w:spacing w:after="0"/>
              <w:rPr>
                <w:sz w:val="20"/>
                <w:szCs w:val="20"/>
                <w:color w:val="auto"/>
              </w:rPr>
            </w:pPr>
            <w:r>
              <w:rPr>
                <w:rFonts w:ascii="Arial" w:cs="Arial" w:eastAsia="Arial" w:hAnsi="Arial"/>
                <w:sz w:val="18"/>
                <w:szCs w:val="18"/>
                <w:color w:val="auto"/>
              </w:rPr>
              <w:t>—</w:t>
            </w:r>
          </w:p>
        </w:tc>
        <w:tc>
          <w:tcPr>
            <w:tcW w:w="280" w:type="dxa"/>
            <w:vAlign w:val="bottom"/>
            <w:tcBorders>
              <w:right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840" w:type="dxa"/>
            <w:vAlign w:val="bottom"/>
            <w:tcBorders>
              <w:top w:val="single" w:sz="8" w:color="auto"/>
              <w:bottom w:val="single" w:sz="8" w:color="auto"/>
            </w:tcBorders>
          </w:tcPr>
          <w:p>
            <w:pPr>
              <w:ind w:left="56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40" w:type="dxa"/>
            <w:vAlign w:val="bottom"/>
            <w:shd w:val="clear" w:color="auto" w:fill="CCEEFF"/>
          </w:tcPr>
          <w:p>
            <w:pPr>
              <w:spacing w:after="0"/>
              <w:rPr>
                <w:sz w:val="20"/>
                <w:szCs w:val="20"/>
                <w:color w:val="auto"/>
              </w:rPr>
            </w:pPr>
            <w:r>
              <w:rPr>
                <w:rFonts w:ascii="Arial" w:cs="Arial" w:eastAsia="Arial" w:hAnsi="Arial"/>
                <w:sz w:val="18"/>
                <w:szCs w:val="18"/>
                <w:color w:val="auto"/>
              </w:rPr>
              <w:t>Total compensation expense</w:t>
            </w:r>
          </w:p>
        </w:tc>
        <w:tc>
          <w:tcPr>
            <w:tcW w:w="2480" w:type="dxa"/>
            <w:vAlign w:val="bottom"/>
            <w:gridSpan w:val="2"/>
            <w:shd w:val="clear" w:color="auto" w:fill="CCEEFF"/>
          </w:tcPr>
          <w:p>
            <w:pPr>
              <w:jc w:val="right"/>
              <w:ind w:right="8"/>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1,747</w:t>
            </w:r>
          </w:p>
        </w:tc>
        <w:tc>
          <w:tcPr>
            <w:tcW w:w="24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CEEFF"/>
          </w:tcPr>
          <w:p>
            <w:pPr>
              <w:ind w:left="780"/>
              <w:spacing w:after="0"/>
              <w:rPr>
                <w:sz w:val="20"/>
                <w:szCs w:val="20"/>
                <w:color w:val="auto"/>
              </w:rPr>
            </w:pPr>
            <w:r>
              <w:rPr>
                <w:rFonts w:ascii="Arial" w:cs="Arial" w:eastAsia="Arial" w:hAnsi="Arial"/>
                <w:sz w:val="18"/>
                <w:szCs w:val="18"/>
                <w:color w:val="auto"/>
                <w:w w:val="79"/>
              </w:rPr>
              <w:t>744</w:t>
            </w:r>
          </w:p>
        </w:tc>
        <w:tc>
          <w:tcPr>
            <w:tcW w:w="280" w:type="dxa"/>
            <w:vAlign w:val="bottom"/>
            <w:tcBorders>
              <w:right w:val="single" w:sz="8" w:color="auto"/>
            </w:tcBorders>
            <w:shd w:val="clear" w:color="auto" w:fill="CCEEFF"/>
          </w:tcPr>
          <w:p>
            <w:pPr>
              <w:spacing w:after="0"/>
              <w:rPr>
                <w:sz w:val="18"/>
                <w:szCs w:val="18"/>
                <w:color w:val="auto"/>
              </w:rPr>
            </w:pP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5,807</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3340" w:type="dxa"/>
            <w:vAlign w:val="bottom"/>
          </w:tcPr>
          <w:p>
            <w:pPr>
              <w:spacing w:after="0"/>
              <w:rPr>
                <w:sz w:val="3"/>
                <w:szCs w:val="3"/>
                <w:color w:val="auto"/>
              </w:rPr>
            </w:pPr>
          </w:p>
        </w:tc>
        <w:tc>
          <w:tcPr>
            <w:tcW w:w="2320" w:type="dxa"/>
            <w:vAlign w:val="bottom"/>
          </w:tcPr>
          <w:p>
            <w:pPr>
              <w:spacing w:after="0"/>
              <w:rPr>
                <w:sz w:val="3"/>
                <w:szCs w:val="3"/>
                <w:color w:val="auto"/>
              </w:rPr>
            </w:pPr>
          </w:p>
        </w:tc>
        <w:tc>
          <w:tcPr>
            <w:tcW w:w="160" w:type="dxa"/>
            <w:vAlign w:val="bottom"/>
            <w:tcBorders>
              <w:top w:val="single" w:sz="8" w:color="auto"/>
              <w:bottom w:val="single" w:sz="8" w:color="auto"/>
            </w:tcBorders>
          </w:tcPr>
          <w:p>
            <w:pPr>
              <w:spacing w:after="0"/>
              <w:rPr>
                <w:sz w:val="3"/>
                <w:szCs w:val="3"/>
                <w:color w:val="auto"/>
              </w:rPr>
            </w:pPr>
          </w:p>
        </w:tc>
        <w:tc>
          <w:tcPr>
            <w:tcW w:w="640" w:type="dxa"/>
            <w:vAlign w:val="bottom"/>
            <w:tcBorders>
              <w:top w:val="single" w:sz="8" w:color="auto"/>
              <w:bottom w:val="single" w:sz="8" w:color="auto"/>
            </w:tcBorders>
          </w:tcPr>
          <w:p>
            <w:pPr>
              <w:spacing w:after="0"/>
              <w:rPr>
                <w:sz w:val="3"/>
                <w:szCs w:val="3"/>
                <w:color w:val="auto"/>
              </w:rPr>
            </w:pPr>
          </w:p>
        </w:tc>
        <w:tc>
          <w:tcPr>
            <w:tcW w:w="160" w:type="dxa"/>
            <w:vAlign w:val="bottom"/>
          </w:tcPr>
          <w:p>
            <w:pPr>
              <w:spacing w:after="0"/>
              <w:rPr>
                <w:sz w:val="3"/>
                <w:szCs w:val="3"/>
                <w:color w:val="auto"/>
              </w:rPr>
            </w:pPr>
          </w:p>
        </w:tc>
        <w:tc>
          <w:tcPr>
            <w:tcW w:w="80" w:type="dxa"/>
            <w:vAlign w:val="bottom"/>
            <w:tcBorders>
              <w:top w:val="single" w:sz="8" w:color="auto"/>
              <w:bottom w:val="single" w:sz="8" w:color="auto"/>
            </w:tcBorders>
          </w:tcPr>
          <w:p>
            <w:pPr>
              <w:spacing w:after="0"/>
              <w:rPr>
                <w:sz w:val="3"/>
                <w:szCs w:val="3"/>
                <w:color w:val="auto"/>
              </w:rPr>
            </w:pPr>
          </w:p>
        </w:tc>
        <w:tc>
          <w:tcPr>
            <w:tcW w:w="1040" w:type="dxa"/>
            <w:vAlign w:val="bottom"/>
            <w:tcBorders>
              <w:top w:val="single" w:sz="8" w:color="auto"/>
              <w:bottom w:val="single" w:sz="8" w:color="auto"/>
            </w:tcBorders>
          </w:tcPr>
          <w:p>
            <w:pPr>
              <w:spacing w:after="0"/>
              <w:rPr>
                <w:sz w:val="3"/>
                <w:szCs w:val="3"/>
                <w:color w:val="auto"/>
              </w:rPr>
            </w:pPr>
          </w:p>
        </w:tc>
        <w:tc>
          <w:tcPr>
            <w:tcW w:w="280" w:type="dxa"/>
            <w:vAlign w:val="bottom"/>
            <w:tcBorders>
              <w:right w:val="single" w:sz="8" w:color="auto"/>
            </w:tcBorders>
          </w:tcPr>
          <w:p>
            <w:pPr>
              <w:spacing w:after="0"/>
              <w:rPr>
                <w:sz w:val="3"/>
                <w:szCs w:val="3"/>
                <w:color w:val="auto"/>
              </w:rPr>
            </w:pPr>
          </w:p>
        </w:tc>
        <w:tc>
          <w:tcPr>
            <w:tcW w:w="220" w:type="dxa"/>
            <w:vAlign w:val="bottom"/>
          </w:tcPr>
          <w:p>
            <w:pPr>
              <w:spacing w:after="0"/>
              <w:rPr>
                <w:sz w:val="3"/>
                <w:szCs w:val="3"/>
                <w:color w:val="auto"/>
              </w:rPr>
            </w:pPr>
          </w:p>
        </w:tc>
        <w:tc>
          <w:tcPr>
            <w:tcW w:w="100" w:type="dxa"/>
            <w:vAlign w:val="bottom"/>
            <w:tcBorders>
              <w:top w:val="single" w:sz="8" w:color="auto"/>
              <w:bottom w:val="single" w:sz="8" w:color="auto"/>
            </w:tcBorders>
          </w:tcPr>
          <w:p>
            <w:pPr>
              <w:spacing w:after="0"/>
              <w:rPr>
                <w:sz w:val="3"/>
                <w:szCs w:val="3"/>
                <w:color w:val="auto"/>
              </w:rPr>
            </w:pPr>
          </w:p>
        </w:tc>
        <w:tc>
          <w:tcPr>
            <w:tcW w:w="840" w:type="dxa"/>
            <w:vAlign w:val="bottom"/>
            <w:tcBorders>
              <w:top w:val="single" w:sz="8" w:color="auto"/>
              <w:bottom w:val="single" w:sz="8" w:color="auto"/>
            </w:tcBorders>
          </w:tcPr>
          <w:p>
            <w:pPr>
              <w:spacing w:after="0"/>
              <w:rPr>
                <w:sz w:val="3"/>
                <w:szCs w:val="3"/>
                <w:color w:val="auto"/>
              </w:rPr>
            </w:pPr>
          </w:p>
        </w:tc>
        <w:tc>
          <w:tcPr>
            <w:tcW w:w="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39"/>
        </w:trPr>
        <w:tc>
          <w:tcPr>
            <w:tcW w:w="20" w:type="dxa"/>
            <w:vAlign w:val="bottom"/>
          </w:tcPr>
          <w:p>
            <w:pPr>
              <w:spacing w:after="0"/>
              <w:rPr>
                <w:sz w:val="24"/>
                <w:szCs w:val="24"/>
                <w:color w:val="auto"/>
              </w:rPr>
            </w:pPr>
          </w:p>
        </w:tc>
        <w:tc>
          <w:tcPr>
            <w:tcW w:w="3340" w:type="dxa"/>
            <w:vAlign w:val="bottom"/>
          </w:tcPr>
          <w:p>
            <w:pPr>
              <w:spacing w:after="0"/>
              <w:rPr>
                <w:sz w:val="24"/>
                <w:szCs w:val="24"/>
                <w:color w:val="auto"/>
              </w:rPr>
            </w:pPr>
          </w:p>
        </w:tc>
        <w:tc>
          <w:tcPr>
            <w:tcW w:w="2480" w:type="dxa"/>
            <w:vAlign w:val="bottom"/>
            <w:gridSpan w:val="2"/>
          </w:tcPr>
          <w:p>
            <w:pPr>
              <w:jc w:val="right"/>
              <w:ind w:right="868"/>
              <w:spacing w:after="0"/>
              <w:rPr>
                <w:sz w:val="20"/>
                <w:szCs w:val="20"/>
                <w:color w:val="auto"/>
              </w:rPr>
            </w:pPr>
            <w:r>
              <w:rPr>
                <w:rFonts w:ascii="Arial" w:cs="Arial" w:eastAsia="Arial" w:hAnsi="Arial"/>
                <w:sz w:val="18"/>
                <w:szCs w:val="18"/>
                <w:color w:val="auto"/>
              </w:rPr>
              <w:t>F-42</w:t>
            </w:r>
          </w:p>
        </w:tc>
        <w:tc>
          <w:tcPr>
            <w:tcW w:w="6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040"/>
          </w:cols>
          <w:pgMar w:left="320" w:top="459" w:right="539" w:bottom="1440" w:gutter="0" w:footer="0" w:header="0"/>
        </w:sectPr>
      </w:pPr>
    </w:p>
    <w:bookmarkStart w:id="248" w:name="page249"/>
    <w:bookmarkEnd w:id="24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34">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Confidential Treatment Requested by Definitive Healthcare Corp.</w:t>
      </w:r>
    </w:p>
    <w:p>
      <w:pPr>
        <w:spacing w:after="0" w:line="27"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Pursuant to 17 C.F.R. Section 200.83</w:t>
      </w:r>
    </w:p>
    <w:p>
      <w:pPr>
        <w:spacing w:after="0" w:line="143" w:lineRule="exact"/>
        <w:rPr>
          <w:sz w:val="20"/>
          <w:szCs w:val="20"/>
          <w:color w:val="auto"/>
        </w:rPr>
      </w:pPr>
    </w:p>
    <w:p>
      <w:pPr>
        <w:ind w:left="120" w:firstLine="440"/>
        <w:spacing w:after="0" w:line="259" w:lineRule="auto"/>
        <w:rPr>
          <w:sz w:val="20"/>
          <w:szCs w:val="20"/>
          <w:color w:val="auto"/>
        </w:rPr>
      </w:pPr>
      <w:r>
        <w:rPr>
          <w:rFonts w:ascii="Arial" w:cs="Arial" w:eastAsia="Arial" w:hAnsi="Arial"/>
          <w:sz w:val="18"/>
          <w:szCs w:val="18"/>
          <w:color w:val="auto"/>
        </w:rPr>
        <w:t>Equity-based compensation expense is allocated to all departments in the accompanying consolidated statements of income (loss) based on the recipients of the compensation. A summary of the expense by line item in the consolidated statements of income (loss) for the year ended December 31, 2020 (Successor) and the periods from July 16, 2019 to December 31, 2019 (Successor), and from January 1, 2019 to July 15, 2019 (Predecessor) is provided in the following table (in thousands).</w:t>
      </w:r>
    </w:p>
    <w:p>
      <w:pPr>
        <w:spacing w:after="0" w:line="193" w:lineRule="exact"/>
        <w:rPr>
          <w:sz w:val="20"/>
          <w:szCs w:val="20"/>
          <w:color w:val="auto"/>
        </w:rPr>
      </w:pPr>
    </w:p>
    <w:tbl>
      <w:tblPr>
        <w:tblLayout w:type="fixed"/>
        <w:tblInd w:w="1000" w:type="dxa"/>
        <w:tblCellMar>
          <w:top w:w="0" w:type="dxa"/>
          <w:left w:w="0" w:type="dxa"/>
          <w:bottom w:w="0" w:type="dxa"/>
          <w:right w:w="0" w:type="dxa"/>
        </w:tblCellMar>
      </w:tblPr>
      <w:tr>
        <w:trPr>
          <w:trHeight w:val="35"/>
        </w:trPr>
        <w:tc>
          <w:tcPr>
            <w:tcW w:w="20" w:type="dxa"/>
            <w:vAlign w:val="bottom"/>
          </w:tcPr>
          <w:p>
            <w:pPr>
              <w:spacing w:after="0"/>
              <w:rPr>
                <w:sz w:val="3"/>
                <w:szCs w:val="3"/>
                <w:color w:val="auto"/>
              </w:rPr>
            </w:pPr>
          </w:p>
        </w:tc>
        <w:tc>
          <w:tcPr>
            <w:tcW w:w="3840" w:type="dxa"/>
            <w:vAlign w:val="bottom"/>
          </w:tcPr>
          <w:p>
            <w:pPr>
              <w:spacing w:after="0"/>
              <w:rPr>
                <w:sz w:val="3"/>
                <w:szCs w:val="3"/>
                <w:color w:val="auto"/>
              </w:rPr>
            </w:pPr>
          </w:p>
        </w:tc>
        <w:tc>
          <w:tcPr>
            <w:tcW w:w="1820" w:type="dxa"/>
            <w:vAlign w:val="bottom"/>
          </w:tcPr>
          <w:p>
            <w:pPr>
              <w:spacing w:after="0"/>
              <w:rPr>
                <w:sz w:val="3"/>
                <w:szCs w:val="3"/>
                <w:color w:val="auto"/>
              </w:rPr>
            </w:pPr>
          </w:p>
        </w:tc>
        <w:tc>
          <w:tcPr>
            <w:tcW w:w="160" w:type="dxa"/>
            <w:vAlign w:val="bottom"/>
          </w:tcPr>
          <w:p>
            <w:pPr>
              <w:spacing w:after="0"/>
              <w:rPr>
                <w:sz w:val="3"/>
                <w:szCs w:val="3"/>
                <w:color w:val="auto"/>
              </w:rPr>
            </w:pPr>
          </w:p>
        </w:tc>
        <w:tc>
          <w:tcPr>
            <w:tcW w:w="1920" w:type="dxa"/>
            <w:vAlign w:val="bottom"/>
            <w:gridSpan w:val="4"/>
            <w:vMerge w:val="restart"/>
          </w:tcPr>
          <w:p>
            <w:pPr>
              <w:jc w:val="right"/>
              <w:ind w:right="335"/>
              <w:spacing w:after="0"/>
              <w:rPr>
                <w:sz w:val="20"/>
                <w:szCs w:val="20"/>
                <w:color w:val="auto"/>
              </w:rPr>
            </w:pPr>
            <w:r>
              <w:rPr>
                <w:rFonts w:ascii="Arial" w:cs="Arial" w:eastAsia="Arial" w:hAnsi="Arial"/>
                <w:sz w:val="14"/>
                <w:szCs w:val="14"/>
                <w:b w:val="1"/>
                <w:bCs w:val="1"/>
                <w:color w:val="auto"/>
              </w:rPr>
              <w:t>Successor Company</w:t>
            </w:r>
          </w:p>
        </w:tc>
        <w:tc>
          <w:tcPr>
            <w:tcW w:w="280" w:type="dxa"/>
            <w:vAlign w:val="bottom"/>
          </w:tcPr>
          <w:p>
            <w:pPr>
              <w:spacing w:after="0"/>
              <w:rPr>
                <w:sz w:val="3"/>
                <w:szCs w:val="3"/>
                <w:color w:val="auto"/>
              </w:rPr>
            </w:pPr>
          </w:p>
        </w:tc>
        <w:tc>
          <w:tcPr>
            <w:tcW w:w="220" w:type="dxa"/>
            <w:vAlign w:val="bottom"/>
          </w:tcPr>
          <w:p>
            <w:pPr>
              <w:spacing w:after="0"/>
              <w:rPr>
                <w:sz w:val="3"/>
                <w:szCs w:val="3"/>
                <w:color w:val="auto"/>
              </w:rPr>
            </w:pPr>
          </w:p>
        </w:tc>
        <w:tc>
          <w:tcPr>
            <w:tcW w:w="100" w:type="dxa"/>
            <w:vAlign w:val="bottom"/>
          </w:tcPr>
          <w:p>
            <w:pPr>
              <w:spacing w:after="0"/>
              <w:rPr>
                <w:sz w:val="3"/>
                <w:szCs w:val="3"/>
                <w:color w:val="auto"/>
              </w:rPr>
            </w:pPr>
          </w:p>
        </w:tc>
        <w:tc>
          <w:tcPr>
            <w:tcW w:w="900" w:type="dxa"/>
            <w:vAlign w:val="bottom"/>
            <w:gridSpan w:val="2"/>
            <w:vMerge w:val="restart"/>
          </w:tcPr>
          <w:p>
            <w:pPr>
              <w:jc w:val="center"/>
              <w:ind w:right="160"/>
              <w:spacing w:after="0"/>
              <w:rPr>
                <w:sz w:val="20"/>
                <w:szCs w:val="20"/>
                <w:color w:val="auto"/>
              </w:rPr>
            </w:pPr>
            <w:r>
              <w:rPr>
                <w:rFonts w:ascii="Arial" w:cs="Arial" w:eastAsia="Arial" w:hAnsi="Arial"/>
                <w:sz w:val="14"/>
                <w:szCs w:val="14"/>
                <w:b w:val="1"/>
                <w:bCs w:val="1"/>
                <w:color w:val="auto"/>
                <w:w w:val="87"/>
              </w:rPr>
              <w:t>Predecessor</w:t>
            </w:r>
          </w:p>
        </w:tc>
        <w:tc>
          <w:tcPr>
            <w:tcW w:w="0" w:type="dxa"/>
            <w:vAlign w:val="bottom"/>
          </w:tcPr>
          <w:p>
            <w:pPr>
              <w:spacing w:after="0" w:line="20" w:lineRule="exact"/>
              <w:rPr>
                <w:sz w:val="1"/>
                <w:szCs w:val="1"/>
                <w:color w:val="auto"/>
              </w:rPr>
            </w:pPr>
          </w:p>
        </w:tc>
      </w:tr>
      <w:tr>
        <w:trPr>
          <w:trHeight w:val="126"/>
        </w:trPr>
        <w:tc>
          <w:tcPr>
            <w:tcW w:w="20" w:type="dxa"/>
            <w:vAlign w:val="bottom"/>
          </w:tcPr>
          <w:p>
            <w:pPr>
              <w:spacing w:after="0"/>
              <w:rPr>
                <w:sz w:val="10"/>
                <w:szCs w:val="10"/>
                <w:color w:val="auto"/>
              </w:rPr>
            </w:pPr>
          </w:p>
        </w:tc>
        <w:tc>
          <w:tcPr>
            <w:tcW w:w="3840" w:type="dxa"/>
            <w:vAlign w:val="bottom"/>
          </w:tcPr>
          <w:p>
            <w:pPr>
              <w:spacing w:after="0"/>
              <w:rPr>
                <w:sz w:val="10"/>
                <w:szCs w:val="10"/>
                <w:color w:val="auto"/>
              </w:rPr>
            </w:pPr>
          </w:p>
        </w:tc>
        <w:tc>
          <w:tcPr>
            <w:tcW w:w="18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920" w:type="dxa"/>
            <w:vAlign w:val="bottom"/>
            <w:gridSpan w:val="4"/>
            <w:vMerge w:val="continue"/>
          </w:tcPr>
          <w:p>
            <w:pPr>
              <w:spacing w:after="0"/>
              <w:rPr>
                <w:sz w:val="10"/>
                <w:szCs w:val="10"/>
                <w:color w:val="auto"/>
              </w:rPr>
            </w:pPr>
          </w:p>
        </w:tc>
        <w:tc>
          <w:tcPr>
            <w:tcW w:w="280" w:type="dxa"/>
            <w:vAlign w:val="bottom"/>
            <w:tcBorders>
              <w:right w:val="single" w:sz="8" w:color="auto"/>
            </w:tcBorders>
          </w:tcPr>
          <w:p>
            <w:pPr>
              <w:spacing w:after="0"/>
              <w:rPr>
                <w:sz w:val="10"/>
                <w:szCs w:val="10"/>
                <w:color w:val="auto"/>
              </w:rPr>
            </w:pP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0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3840" w:type="dxa"/>
            <w:vAlign w:val="bottom"/>
          </w:tcPr>
          <w:p>
            <w:pPr>
              <w:spacing w:after="0"/>
              <w:rPr>
                <w:sz w:val="14"/>
                <w:szCs w:val="14"/>
                <w:color w:val="auto"/>
              </w:rPr>
            </w:pPr>
          </w:p>
        </w:tc>
        <w:tc>
          <w:tcPr>
            <w:tcW w:w="18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920" w:type="dxa"/>
            <w:vAlign w:val="bottom"/>
            <w:gridSpan w:val="4"/>
            <w:vMerge w:val="continue"/>
          </w:tcPr>
          <w:p>
            <w:pPr>
              <w:spacing w:after="0"/>
              <w:rPr>
                <w:sz w:val="14"/>
                <w:szCs w:val="14"/>
                <w:color w:val="auto"/>
              </w:rPr>
            </w:pPr>
          </w:p>
        </w:tc>
        <w:tc>
          <w:tcPr>
            <w:tcW w:w="280" w:type="dxa"/>
            <w:vAlign w:val="bottom"/>
            <w:tcBorders>
              <w:right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3"/>
              </w:rPr>
              <w:t>Company</w:t>
            </w: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3840" w:type="dxa"/>
            <w:vAlign w:val="bottom"/>
          </w:tcPr>
          <w:p>
            <w:pPr>
              <w:spacing w:after="0"/>
              <w:rPr>
                <w:sz w:val="10"/>
                <w:szCs w:val="10"/>
                <w:color w:val="auto"/>
              </w:rPr>
            </w:pPr>
          </w:p>
        </w:tc>
        <w:tc>
          <w:tcPr>
            <w:tcW w:w="1820" w:type="dxa"/>
            <w:vAlign w:val="bottom"/>
          </w:tcPr>
          <w:p>
            <w:pPr>
              <w:spacing w:after="0"/>
              <w:rPr>
                <w:sz w:val="10"/>
                <w:szCs w:val="10"/>
                <w:color w:val="auto"/>
              </w:rPr>
            </w:pPr>
          </w:p>
        </w:tc>
        <w:tc>
          <w:tcPr>
            <w:tcW w:w="800" w:type="dxa"/>
            <w:vAlign w:val="bottom"/>
            <w:tcBorders>
              <w:top w:val="single" w:sz="8" w:color="auto"/>
            </w:tcBorders>
            <w:gridSpan w:val="2"/>
          </w:tcPr>
          <w:p>
            <w:pPr>
              <w:jc w:val="center"/>
              <w:spacing w:after="0" w:line="123" w:lineRule="exact"/>
              <w:rPr>
                <w:sz w:val="20"/>
                <w:szCs w:val="20"/>
                <w:color w:val="auto"/>
              </w:rPr>
            </w:pPr>
            <w:r>
              <w:rPr>
                <w:rFonts w:ascii="Arial" w:cs="Arial" w:eastAsia="Arial" w:hAnsi="Arial"/>
                <w:sz w:val="14"/>
                <w:szCs w:val="14"/>
                <w:color w:val="auto"/>
                <w:w w:val="88"/>
              </w:rPr>
              <w:t>Year ended</w:t>
            </w:r>
          </w:p>
        </w:tc>
        <w:tc>
          <w:tcPr>
            <w:tcW w:w="160" w:type="dxa"/>
            <w:vAlign w:val="bottom"/>
            <w:tcBorders>
              <w:top w:val="single" w:sz="8" w:color="auto"/>
            </w:tcBorders>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1040" w:type="dxa"/>
            <w:vAlign w:val="bottom"/>
            <w:tcBorders>
              <w:top w:val="single" w:sz="8" w:color="auto"/>
            </w:tcBorders>
          </w:tcPr>
          <w:p>
            <w:pPr>
              <w:jc w:val="center"/>
              <w:spacing w:after="0" w:line="123" w:lineRule="exact"/>
              <w:rPr>
                <w:sz w:val="20"/>
                <w:szCs w:val="20"/>
                <w:color w:val="auto"/>
              </w:rPr>
            </w:pPr>
            <w:r>
              <w:rPr>
                <w:rFonts w:ascii="Arial" w:cs="Arial" w:eastAsia="Arial" w:hAnsi="Arial"/>
                <w:sz w:val="14"/>
                <w:szCs w:val="14"/>
                <w:color w:val="auto"/>
                <w:w w:val="93"/>
              </w:rPr>
              <w:t>Period From</w:t>
            </w:r>
          </w:p>
        </w:tc>
        <w:tc>
          <w:tcPr>
            <w:tcW w:w="280" w:type="dxa"/>
            <w:vAlign w:val="bottom"/>
            <w:tcBorders>
              <w:right w:val="single" w:sz="8" w:color="auto"/>
            </w:tcBorders>
          </w:tcPr>
          <w:p>
            <w:pPr>
              <w:spacing w:after="0"/>
              <w:rPr>
                <w:sz w:val="10"/>
                <w:szCs w:val="10"/>
                <w:color w:val="auto"/>
              </w:rPr>
            </w:pPr>
          </w:p>
        </w:tc>
        <w:tc>
          <w:tcPr>
            <w:tcW w:w="22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840" w:type="dxa"/>
            <w:vAlign w:val="bottom"/>
            <w:tcBorders>
              <w:top w:val="single" w:sz="8" w:color="auto"/>
            </w:tcBorders>
          </w:tcPr>
          <w:p>
            <w:pPr>
              <w:jc w:val="center"/>
              <w:ind w:right="37"/>
              <w:spacing w:after="0" w:line="123" w:lineRule="exact"/>
              <w:rPr>
                <w:sz w:val="20"/>
                <w:szCs w:val="20"/>
                <w:color w:val="auto"/>
              </w:rPr>
            </w:pPr>
            <w:r>
              <w:rPr>
                <w:rFonts w:ascii="Arial" w:cs="Arial" w:eastAsia="Arial" w:hAnsi="Arial"/>
                <w:sz w:val="14"/>
                <w:szCs w:val="14"/>
                <w:color w:val="auto"/>
                <w:w w:val="93"/>
              </w:rPr>
              <w:t>Period From</w:t>
            </w: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3840" w:type="dxa"/>
            <w:vAlign w:val="bottom"/>
          </w:tcPr>
          <w:p>
            <w:pPr>
              <w:spacing w:after="0"/>
              <w:rPr>
                <w:sz w:val="12"/>
                <w:szCs w:val="12"/>
                <w:color w:val="auto"/>
              </w:rPr>
            </w:pPr>
          </w:p>
        </w:tc>
        <w:tc>
          <w:tcPr>
            <w:tcW w:w="2620" w:type="dxa"/>
            <w:vAlign w:val="bottom"/>
            <w:gridSpan w:val="3"/>
          </w:tcPr>
          <w:p>
            <w:pPr>
              <w:jc w:val="center"/>
              <w:ind w:left="1739"/>
              <w:spacing w:after="0" w:line="149" w:lineRule="exact"/>
              <w:rPr>
                <w:sz w:val="20"/>
                <w:szCs w:val="20"/>
                <w:color w:val="auto"/>
              </w:rPr>
            </w:pPr>
            <w:r>
              <w:rPr>
                <w:rFonts w:ascii="Arial" w:cs="Arial" w:eastAsia="Arial" w:hAnsi="Arial"/>
                <w:sz w:val="14"/>
                <w:szCs w:val="14"/>
                <w:color w:val="auto"/>
                <w:w w:val="90"/>
              </w:rPr>
              <w:t>December 31,</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40" w:type="dxa"/>
            <w:vAlign w:val="bottom"/>
          </w:tcPr>
          <w:p>
            <w:pPr>
              <w:jc w:val="center"/>
              <w:spacing w:after="0" w:line="149" w:lineRule="exact"/>
              <w:rPr>
                <w:sz w:val="20"/>
                <w:szCs w:val="20"/>
                <w:color w:val="auto"/>
              </w:rPr>
            </w:pPr>
            <w:r>
              <w:rPr>
                <w:rFonts w:ascii="Arial" w:cs="Arial" w:eastAsia="Arial" w:hAnsi="Arial"/>
                <w:sz w:val="14"/>
                <w:szCs w:val="14"/>
                <w:color w:val="auto"/>
                <w:w w:val="93"/>
              </w:rPr>
              <w:t>July 16, 2019 to</w:t>
            </w:r>
          </w:p>
        </w:tc>
        <w:tc>
          <w:tcPr>
            <w:tcW w:w="280" w:type="dxa"/>
            <w:vAlign w:val="bottom"/>
            <w:tcBorders>
              <w:right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1000" w:type="dxa"/>
            <w:vAlign w:val="bottom"/>
            <w:gridSpan w:val="3"/>
          </w:tcPr>
          <w:p>
            <w:pPr>
              <w:jc w:val="center"/>
              <w:ind w:right="60"/>
              <w:spacing w:after="0" w:line="149" w:lineRule="exact"/>
              <w:rPr>
                <w:sz w:val="20"/>
                <w:szCs w:val="20"/>
                <w:color w:val="auto"/>
              </w:rPr>
            </w:pPr>
            <w:r>
              <w:rPr>
                <w:rFonts w:ascii="Arial" w:cs="Arial" w:eastAsia="Arial" w:hAnsi="Arial"/>
                <w:sz w:val="14"/>
                <w:szCs w:val="14"/>
                <w:color w:val="auto"/>
                <w:w w:val="89"/>
              </w:rPr>
              <w:t>January 1, 2019</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3840" w:type="dxa"/>
            <w:vAlign w:val="bottom"/>
          </w:tcPr>
          <w:p>
            <w:pPr>
              <w:spacing w:after="0"/>
              <w:rPr>
                <w:sz w:val="14"/>
                <w:szCs w:val="14"/>
                <w:color w:val="auto"/>
              </w:rPr>
            </w:pPr>
          </w:p>
        </w:tc>
        <w:tc>
          <w:tcPr>
            <w:tcW w:w="18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40" w:type="dxa"/>
            <w:vAlign w:val="bottom"/>
          </w:tcPr>
          <w:p>
            <w:pPr>
              <w:jc w:val="center"/>
              <w:ind w:right="75"/>
              <w:spacing w:after="0"/>
              <w:rPr>
                <w:sz w:val="20"/>
                <w:szCs w:val="20"/>
                <w:color w:val="auto"/>
              </w:rPr>
            </w:pPr>
            <w:r>
              <w:rPr>
                <w:rFonts w:ascii="Arial" w:cs="Arial" w:eastAsia="Arial" w:hAnsi="Arial"/>
                <w:sz w:val="14"/>
                <w:szCs w:val="14"/>
                <w:color w:val="auto"/>
                <w:w w:val="89"/>
              </w:rPr>
              <w:t>2020</w:t>
            </w:r>
          </w:p>
        </w:tc>
        <w:tc>
          <w:tcPr>
            <w:tcW w:w="1280" w:type="dxa"/>
            <w:vAlign w:val="bottom"/>
            <w:gridSpan w:val="3"/>
          </w:tcPr>
          <w:p>
            <w:pPr>
              <w:jc w:val="center"/>
              <w:ind w:left="79"/>
              <w:spacing w:after="0"/>
              <w:rPr>
                <w:sz w:val="20"/>
                <w:szCs w:val="20"/>
                <w:color w:val="auto"/>
              </w:rPr>
            </w:pPr>
            <w:r>
              <w:rPr>
                <w:rFonts w:ascii="Arial" w:cs="Arial" w:eastAsia="Arial" w:hAnsi="Arial"/>
                <w:sz w:val="14"/>
                <w:szCs w:val="14"/>
                <w:color w:val="auto"/>
                <w:w w:val="91"/>
              </w:rPr>
              <w:t>December 31, 2019</w:t>
            </w:r>
          </w:p>
        </w:tc>
        <w:tc>
          <w:tcPr>
            <w:tcW w:w="280" w:type="dxa"/>
            <w:vAlign w:val="bottom"/>
            <w:tcBorders>
              <w:right w:val="single" w:sz="8" w:color="auto"/>
            </w:tcBorders>
          </w:tcPr>
          <w:p>
            <w:pPr>
              <w:spacing w:after="0"/>
              <w:rPr>
                <w:sz w:val="14"/>
                <w:szCs w:val="14"/>
                <w:color w:val="auto"/>
              </w:rPr>
            </w:pPr>
          </w:p>
        </w:tc>
        <w:tc>
          <w:tcPr>
            <w:tcW w:w="1220" w:type="dxa"/>
            <w:vAlign w:val="bottom"/>
            <w:gridSpan w:val="4"/>
          </w:tcPr>
          <w:p>
            <w:pPr>
              <w:jc w:val="center"/>
              <w:ind w:left="79"/>
              <w:spacing w:after="0"/>
              <w:rPr>
                <w:sz w:val="20"/>
                <w:szCs w:val="20"/>
                <w:color w:val="auto"/>
              </w:rPr>
            </w:pPr>
            <w:r>
              <w:rPr>
                <w:rFonts w:ascii="Arial" w:cs="Arial" w:eastAsia="Arial" w:hAnsi="Arial"/>
                <w:sz w:val="14"/>
                <w:szCs w:val="14"/>
                <w:color w:val="auto"/>
                <w:w w:val="95"/>
              </w:rPr>
              <w:t>to July 15, 2019</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38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Cost of revenue</w:t>
            </w:r>
          </w:p>
        </w:tc>
        <w:tc>
          <w:tcPr>
            <w:tcW w:w="18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w:t>
            </w:r>
          </w:p>
        </w:tc>
        <w:tc>
          <w:tcPr>
            <w:tcW w:w="16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280" w:type="dxa"/>
            <w:vAlign w:val="bottom"/>
            <w:tcBorders>
              <w:top w:val="single" w:sz="8" w:color="CCEEFF"/>
              <w:right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256</w:t>
            </w: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40" w:type="dxa"/>
            <w:vAlign w:val="bottom"/>
          </w:tcPr>
          <w:p>
            <w:pPr>
              <w:spacing w:after="0"/>
              <w:rPr>
                <w:sz w:val="20"/>
                <w:szCs w:val="20"/>
                <w:color w:val="auto"/>
              </w:rPr>
            </w:pPr>
            <w:r>
              <w:rPr>
                <w:rFonts w:ascii="Arial" w:cs="Arial" w:eastAsia="Arial" w:hAnsi="Arial"/>
                <w:sz w:val="18"/>
                <w:szCs w:val="18"/>
                <w:color w:val="auto"/>
              </w:rPr>
              <w:t>Sales and Marketing</w:t>
            </w:r>
          </w:p>
        </w:tc>
        <w:tc>
          <w:tcPr>
            <w:tcW w:w="1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473</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213</w:t>
            </w:r>
          </w:p>
        </w:tc>
        <w:tc>
          <w:tcPr>
            <w:tcW w:w="280" w:type="dxa"/>
            <w:vAlign w:val="bottom"/>
            <w:tcBorders>
              <w:right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4,252</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40" w:type="dxa"/>
            <w:vAlign w:val="bottom"/>
            <w:shd w:val="clear" w:color="auto" w:fill="CCEEFF"/>
          </w:tcPr>
          <w:p>
            <w:pPr>
              <w:spacing w:after="0"/>
              <w:rPr>
                <w:sz w:val="20"/>
                <w:szCs w:val="20"/>
                <w:color w:val="auto"/>
              </w:rPr>
            </w:pPr>
            <w:r>
              <w:rPr>
                <w:rFonts w:ascii="Arial" w:cs="Arial" w:eastAsia="Arial" w:hAnsi="Arial"/>
                <w:sz w:val="18"/>
                <w:szCs w:val="18"/>
                <w:color w:val="auto"/>
              </w:rPr>
              <w:t>Product Development</w:t>
            </w:r>
          </w:p>
        </w:tc>
        <w:tc>
          <w:tcPr>
            <w:tcW w:w="18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356</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126</w:t>
            </w:r>
          </w:p>
        </w:tc>
        <w:tc>
          <w:tcPr>
            <w:tcW w:w="280" w:type="dxa"/>
            <w:vAlign w:val="bottom"/>
            <w:tcBorders>
              <w:right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840" w:type="dxa"/>
            <w:vAlign w:val="bottom"/>
          </w:tcPr>
          <w:p>
            <w:pPr>
              <w:spacing w:after="0"/>
              <w:rPr>
                <w:sz w:val="20"/>
                <w:szCs w:val="20"/>
                <w:color w:val="auto"/>
              </w:rPr>
            </w:pPr>
            <w:r>
              <w:rPr>
                <w:rFonts w:ascii="Arial" w:cs="Arial" w:eastAsia="Arial" w:hAnsi="Arial"/>
                <w:sz w:val="18"/>
                <w:szCs w:val="18"/>
                <w:color w:val="auto"/>
              </w:rPr>
              <w:t>General and administrative</w:t>
            </w:r>
          </w:p>
        </w:tc>
        <w:tc>
          <w:tcPr>
            <w:tcW w:w="182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856</w:t>
            </w:r>
          </w:p>
        </w:tc>
        <w:tc>
          <w:tcPr>
            <w:tcW w:w="16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377</w:t>
            </w:r>
          </w:p>
        </w:tc>
        <w:tc>
          <w:tcPr>
            <w:tcW w:w="280" w:type="dxa"/>
            <w:vAlign w:val="bottom"/>
            <w:tcBorders>
              <w:right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634</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40" w:type="dxa"/>
            <w:vAlign w:val="bottom"/>
            <w:shd w:val="clear" w:color="auto" w:fill="CCEEFF"/>
          </w:tcPr>
          <w:p>
            <w:pPr>
              <w:spacing w:after="0"/>
              <w:rPr>
                <w:sz w:val="20"/>
                <w:szCs w:val="20"/>
                <w:color w:val="auto"/>
              </w:rPr>
            </w:pPr>
            <w:r>
              <w:rPr>
                <w:rFonts w:ascii="Arial" w:cs="Arial" w:eastAsia="Arial" w:hAnsi="Arial"/>
                <w:sz w:val="18"/>
                <w:szCs w:val="18"/>
                <w:color w:val="auto"/>
              </w:rPr>
              <w:t>Total compensation expense</w:t>
            </w:r>
          </w:p>
        </w:tc>
        <w:tc>
          <w:tcPr>
            <w:tcW w:w="1980" w:type="dxa"/>
            <w:vAlign w:val="bottom"/>
            <w:gridSpan w:val="2"/>
            <w:shd w:val="clear" w:color="auto" w:fill="CCEEFF"/>
          </w:tcPr>
          <w:p>
            <w:pPr>
              <w:jc w:val="right"/>
              <w:ind w:right="7"/>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1,747</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744</w:t>
            </w:r>
          </w:p>
        </w:tc>
        <w:tc>
          <w:tcPr>
            <w:tcW w:w="280" w:type="dxa"/>
            <w:vAlign w:val="bottom"/>
            <w:tcBorders>
              <w:right w:val="single" w:sz="8" w:color="auto"/>
            </w:tcBorders>
            <w:shd w:val="clear" w:color="auto" w:fill="CCEEFF"/>
          </w:tcPr>
          <w:p>
            <w:pPr>
              <w:spacing w:after="0"/>
              <w:rPr>
                <w:sz w:val="18"/>
                <w:szCs w:val="18"/>
                <w:color w:val="auto"/>
              </w:rPr>
            </w:pP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5,807</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84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right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120" w:right="320" w:firstLine="440"/>
        <w:spacing w:after="0" w:line="263" w:lineRule="auto"/>
        <w:rPr>
          <w:sz w:val="20"/>
          <w:szCs w:val="20"/>
          <w:color w:val="auto"/>
        </w:rPr>
      </w:pPr>
      <w:r>
        <w:rPr>
          <w:rFonts w:ascii="Arial" w:cs="Arial" w:eastAsia="Arial" w:hAnsi="Arial"/>
          <w:sz w:val="18"/>
          <w:szCs w:val="18"/>
          <w:color w:val="auto"/>
        </w:rPr>
        <w:t>The Company does not consider the vesting of the performance-based units to be probable and has not recorded any associated compensation expense. Accordingly, the Company had $4.3 million of unrecognized unit-based compensation expense for the performance-based units as of December 31, 2020.</w:t>
      </w:r>
    </w:p>
    <w:p>
      <w:pPr>
        <w:spacing w:after="0" w:line="184" w:lineRule="exact"/>
        <w:rPr>
          <w:sz w:val="20"/>
          <w:szCs w:val="20"/>
          <w:color w:val="auto"/>
        </w:rPr>
      </w:pPr>
    </w:p>
    <w:p>
      <w:pPr>
        <w:ind w:left="120" w:right="700" w:firstLine="440"/>
        <w:spacing w:after="0" w:line="277" w:lineRule="auto"/>
        <w:rPr>
          <w:sz w:val="20"/>
          <w:szCs w:val="20"/>
          <w:color w:val="auto"/>
        </w:rPr>
      </w:pPr>
      <w:r>
        <w:rPr>
          <w:rFonts w:ascii="Arial" w:cs="Arial" w:eastAsia="Arial" w:hAnsi="Arial"/>
          <w:sz w:val="18"/>
          <w:szCs w:val="18"/>
          <w:color w:val="auto"/>
        </w:rPr>
        <w:t>As of December 31, 2020, the Company had $4.4 million of unrecognized unit-based compensation for time-based units, expected to be recognized over a weighted average remaining requisite period of 2.6 years.</w:t>
      </w:r>
    </w:p>
    <w:p>
      <w:pPr>
        <w:spacing w:after="0" w:line="319" w:lineRule="exact"/>
        <w:rPr>
          <w:sz w:val="20"/>
          <w:szCs w:val="20"/>
          <w:color w:val="auto"/>
        </w:rPr>
      </w:pPr>
    </w:p>
    <w:p>
      <w:pPr>
        <w:ind w:left="540" w:hanging="424"/>
        <w:spacing w:after="0"/>
        <w:tabs>
          <w:tab w:leader="none" w:pos="540" w:val="left"/>
        </w:tabs>
        <w:numPr>
          <w:ilvl w:val="0"/>
          <w:numId w:val="197"/>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Retirement Plan</w:t>
      </w:r>
    </w:p>
    <w:p>
      <w:pPr>
        <w:spacing w:after="0" w:line="117" w:lineRule="exact"/>
        <w:rPr>
          <w:sz w:val="20"/>
          <w:szCs w:val="20"/>
          <w:color w:val="auto"/>
        </w:rPr>
      </w:pPr>
    </w:p>
    <w:p>
      <w:pPr>
        <w:ind w:left="120" w:right="240" w:firstLine="440"/>
        <w:spacing w:after="0" w:line="259" w:lineRule="auto"/>
        <w:rPr>
          <w:sz w:val="20"/>
          <w:szCs w:val="20"/>
          <w:color w:val="auto"/>
        </w:rPr>
      </w:pPr>
      <w:r>
        <w:rPr>
          <w:rFonts w:ascii="Arial" w:cs="Arial" w:eastAsia="Arial" w:hAnsi="Arial"/>
          <w:sz w:val="18"/>
          <w:szCs w:val="18"/>
          <w:color w:val="auto"/>
        </w:rPr>
        <w:t>The Company has a 401(k) plan covering all employees who have met certain eligibility requirements. The Company made matching contributions in accordance with the plan documents. The Company incurred $1.6 million in employer matching contributions during the year ended December 31, 2020 and $0.5 million and $0.6 million during the periods from July 16, 2019 to December 31, 2019 (Successor), and from January 1, 2019 to July 15, 2019 (Predecessor), respectively.</w:t>
      </w:r>
    </w:p>
    <w:p>
      <w:pPr>
        <w:spacing w:after="0" w:line="335" w:lineRule="exact"/>
        <w:rPr>
          <w:sz w:val="20"/>
          <w:szCs w:val="20"/>
          <w:color w:val="auto"/>
        </w:rPr>
      </w:pPr>
    </w:p>
    <w:p>
      <w:pPr>
        <w:ind w:left="540" w:hanging="424"/>
        <w:spacing w:after="0"/>
        <w:tabs>
          <w:tab w:leader="none" w:pos="540" w:val="left"/>
        </w:tabs>
        <w:numPr>
          <w:ilvl w:val="0"/>
          <w:numId w:val="198"/>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Income Taxes</w:t>
      </w:r>
    </w:p>
    <w:p>
      <w:pPr>
        <w:spacing w:after="0" w:line="117" w:lineRule="exact"/>
        <w:rPr>
          <w:rFonts w:ascii="Arial" w:cs="Arial" w:eastAsia="Arial" w:hAnsi="Arial"/>
          <w:sz w:val="18"/>
          <w:szCs w:val="18"/>
          <w:b w:val="1"/>
          <w:bCs w:val="1"/>
          <w:color w:val="auto"/>
        </w:rPr>
      </w:pPr>
    </w:p>
    <w:p>
      <w:pPr>
        <w:ind w:left="560"/>
        <w:spacing w:after="0"/>
        <w:rPr>
          <w:rFonts w:ascii="Arial" w:cs="Arial" w:eastAsia="Arial" w:hAnsi="Arial"/>
          <w:sz w:val="18"/>
          <w:szCs w:val="18"/>
          <w:b w:val="1"/>
          <w:bCs w:val="1"/>
          <w:color w:val="auto"/>
        </w:rPr>
      </w:pPr>
      <w:r>
        <w:rPr>
          <w:rFonts w:ascii="Arial" w:cs="Arial" w:eastAsia="Arial" w:hAnsi="Arial"/>
          <w:sz w:val="18"/>
          <w:szCs w:val="18"/>
          <w:color w:val="auto"/>
        </w:rPr>
        <w:t>The components of the income tax provision are as follows (in thousands):</w:t>
      </w:r>
    </w:p>
    <w:p>
      <w:pPr>
        <w:spacing w:after="0" w:line="231" w:lineRule="exact"/>
        <w:rPr>
          <w:sz w:val="20"/>
          <w:szCs w:val="20"/>
          <w:color w:val="auto"/>
        </w:rPr>
      </w:pPr>
    </w:p>
    <w:tbl>
      <w:tblPr>
        <w:tblLayout w:type="fixed"/>
        <w:tblInd w:w="1000" w:type="dxa"/>
        <w:tblCellMar>
          <w:top w:w="0" w:type="dxa"/>
          <w:left w:w="0" w:type="dxa"/>
          <w:bottom w:w="0" w:type="dxa"/>
          <w:right w:w="0" w:type="dxa"/>
        </w:tblCellMar>
      </w:tblPr>
      <w:tr>
        <w:trPr>
          <w:trHeight w:val="35"/>
        </w:trPr>
        <w:tc>
          <w:tcPr>
            <w:tcW w:w="20" w:type="dxa"/>
            <w:vAlign w:val="bottom"/>
          </w:tcPr>
          <w:p>
            <w:pPr>
              <w:spacing w:after="0"/>
              <w:rPr>
                <w:sz w:val="3"/>
                <w:szCs w:val="3"/>
                <w:color w:val="auto"/>
              </w:rPr>
            </w:pPr>
          </w:p>
        </w:tc>
        <w:tc>
          <w:tcPr>
            <w:tcW w:w="3260" w:type="dxa"/>
            <w:vAlign w:val="bottom"/>
          </w:tcPr>
          <w:p>
            <w:pPr>
              <w:spacing w:after="0"/>
              <w:rPr>
                <w:sz w:val="3"/>
                <w:szCs w:val="3"/>
                <w:color w:val="auto"/>
              </w:rPr>
            </w:pPr>
          </w:p>
        </w:tc>
        <w:tc>
          <w:tcPr>
            <w:tcW w:w="2220" w:type="dxa"/>
            <w:vAlign w:val="bottom"/>
          </w:tcPr>
          <w:p>
            <w:pPr>
              <w:spacing w:after="0"/>
              <w:rPr>
                <w:sz w:val="3"/>
                <w:szCs w:val="3"/>
                <w:color w:val="auto"/>
              </w:rPr>
            </w:pPr>
          </w:p>
        </w:tc>
        <w:tc>
          <w:tcPr>
            <w:tcW w:w="180" w:type="dxa"/>
            <w:vAlign w:val="bottom"/>
          </w:tcPr>
          <w:p>
            <w:pPr>
              <w:spacing w:after="0"/>
              <w:rPr>
                <w:sz w:val="3"/>
                <w:szCs w:val="3"/>
                <w:color w:val="auto"/>
              </w:rPr>
            </w:pPr>
          </w:p>
        </w:tc>
        <w:tc>
          <w:tcPr>
            <w:tcW w:w="1960" w:type="dxa"/>
            <w:vAlign w:val="bottom"/>
            <w:gridSpan w:val="5"/>
            <w:vMerge w:val="restart"/>
          </w:tcPr>
          <w:p>
            <w:pPr>
              <w:ind w:left="260"/>
              <w:spacing w:after="0"/>
              <w:rPr>
                <w:sz w:val="20"/>
                <w:szCs w:val="20"/>
                <w:color w:val="auto"/>
              </w:rPr>
            </w:pPr>
            <w:r>
              <w:rPr>
                <w:rFonts w:ascii="Arial" w:cs="Arial" w:eastAsia="Arial" w:hAnsi="Arial"/>
                <w:sz w:val="14"/>
                <w:szCs w:val="14"/>
                <w:b w:val="1"/>
                <w:bCs w:val="1"/>
                <w:color w:val="auto"/>
              </w:rPr>
              <w:t>Successor Company</w:t>
            </w:r>
          </w:p>
        </w:tc>
        <w:tc>
          <w:tcPr>
            <w:tcW w:w="260" w:type="dxa"/>
            <w:vAlign w:val="bottom"/>
          </w:tcPr>
          <w:p>
            <w:pPr>
              <w:spacing w:after="0"/>
              <w:rPr>
                <w:sz w:val="3"/>
                <w:szCs w:val="3"/>
                <w:color w:val="auto"/>
              </w:rPr>
            </w:pPr>
          </w:p>
        </w:tc>
        <w:tc>
          <w:tcPr>
            <w:tcW w:w="2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20" w:type="dxa"/>
            <w:vAlign w:val="bottom"/>
            <w:gridSpan w:val="2"/>
            <w:vMerge w:val="restart"/>
          </w:tcPr>
          <w:p>
            <w:pPr>
              <w:jc w:val="center"/>
              <w:ind w:right="180"/>
              <w:spacing w:after="0"/>
              <w:rPr>
                <w:sz w:val="20"/>
                <w:szCs w:val="20"/>
                <w:color w:val="auto"/>
              </w:rPr>
            </w:pPr>
            <w:r>
              <w:rPr>
                <w:rFonts w:ascii="Arial" w:cs="Arial" w:eastAsia="Arial" w:hAnsi="Arial"/>
                <w:sz w:val="14"/>
                <w:szCs w:val="14"/>
                <w:b w:val="1"/>
                <w:bCs w:val="1"/>
                <w:color w:val="auto"/>
                <w:w w:val="85"/>
              </w:rPr>
              <w:t>Predecessor</w:t>
            </w:r>
          </w:p>
        </w:tc>
        <w:tc>
          <w:tcPr>
            <w:tcW w:w="0" w:type="dxa"/>
            <w:vAlign w:val="bottom"/>
          </w:tcPr>
          <w:p>
            <w:pPr>
              <w:spacing w:after="0" w:line="20" w:lineRule="exact"/>
              <w:rPr>
                <w:sz w:val="1"/>
                <w:szCs w:val="1"/>
                <w:color w:val="auto"/>
              </w:rPr>
            </w:pPr>
          </w:p>
        </w:tc>
      </w:tr>
      <w:tr>
        <w:trPr>
          <w:trHeight w:val="126"/>
        </w:trPr>
        <w:tc>
          <w:tcPr>
            <w:tcW w:w="20" w:type="dxa"/>
            <w:vAlign w:val="bottom"/>
          </w:tcPr>
          <w:p>
            <w:pPr>
              <w:spacing w:after="0"/>
              <w:rPr>
                <w:sz w:val="10"/>
                <w:szCs w:val="10"/>
                <w:color w:val="auto"/>
              </w:rPr>
            </w:pPr>
          </w:p>
        </w:tc>
        <w:tc>
          <w:tcPr>
            <w:tcW w:w="3260" w:type="dxa"/>
            <w:vAlign w:val="bottom"/>
          </w:tcPr>
          <w:p>
            <w:pPr>
              <w:spacing w:after="0"/>
              <w:rPr>
                <w:sz w:val="10"/>
                <w:szCs w:val="10"/>
                <w:color w:val="auto"/>
              </w:rPr>
            </w:pPr>
          </w:p>
        </w:tc>
        <w:tc>
          <w:tcPr>
            <w:tcW w:w="22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960" w:type="dxa"/>
            <w:vAlign w:val="bottom"/>
            <w:gridSpan w:val="5"/>
            <w:vMerge w:val="continue"/>
          </w:tcPr>
          <w:p>
            <w:pPr>
              <w:spacing w:after="0"/>
              <w:rPr>
                <w:sz w:val="10"/>
                <w:szCs w:val="10"/>
                <w:color w:val="auto"/>
              </w:rPr>
            </w:pPr>
          </w:p>
        </w:tc>
        <w:tc>
          <w:tcPr>
            <w:tcW w:w="260" w:type="dxa"/>
            <w:vAlign w:val="bottom"/>
            <w:tcBorders>
              <w:right w:val="single" w:sz="8" w:color="auto"/>
            </w:tcBorders>
          </w:tcPr>
          <w:p>
            <w:pPr>
              <w:spacing w:after="0"/>
              <w:rPr>
                <w:sz w:val="10"/>
                <w:szCs w:val="10"/>
                <w:color w:val="auto"/>
              </w:rPr>
            </w:pPr>
          </w:p>
        </w:tc>
        <w:tc>
          <w:tcPr>
            <w:tcW w:w="2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2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3260" w:type="dxa"/>
            <w:vAlign w:val="bottom"/>
          </w:tcPr>
          <w:p>
            <w:pPr>
              <w:spacing w:after="0"/>
              <w:rPr>
                <w:sz w:val="14"/>
                <w:szCs w:val="14"/>
                <w:color w:val="auto"/>
              </w:rPr>
            </w:pPr>
          </w:p>
        </w:tc>
        <w:tc>
          <w:tcPr>
            <w:tcW w:w="2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960" w:type="dxa"/>
            <w:vAlign w:val="bottom"/>
            <w:gridSpan w:val="5"/>
            <w:vMerge w:val="continue"/>
          </w:tcPr>
          <w:p>
            <w:pPr>
              <w:spacing w:after="0"/>
              <w:rPr>
                <w:sz w:val="14"/>
                <w:szCs w:val="14"/>
                <w:color w:val="auto"/>
              </w:rPr>
            </w:pPr>
          </w:p>
        </w:tc>
        <w:tc>
          <w:tcPr>
            <w:tcW w:w="260" w:type="dxa"/>
            <w:vAlign w:val="bottom"/>
            <w:tcBorders>
              <w:right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3"/>
              </w:rPr>
              <w:t>Company</w:t>
            </w: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3260" w:type="dxa"/>
            <w:vAlign w:val="bottom"/>
          </w:tcPr>
          <w:p>
            <w:pPr>
              <w:spacing w:after="0"/>
              <w:rPr>
                <w:sz w:val="10"/>
                <w:szCs w:val="10"/>
                <w:color w:val="auto"/>
              </w:rPr>
            </w:pPr>
          </w:p>
        </w:tc>
        <w:tc>
          <w:tcPr>
            <w:tcW w:w="2220" w:type="dxa"/>
            <w:vAlign w:val="bottom"/>
          </w:tcPr>
          <w:p>
            <w:pPr>
              <w:spacing w:after="0"/>
              <w:rPr>
                <w:sz w:val="10"/>
                <w:szCs w:val="10"/>
                <w:color w:val="auto"/>
              </w:rPr>
            </w:pPr>
          </w:p>
        </w:tc>
        <w:tc>
          <w:tcPr>
            <w:tcW w:w="920" w:type="dxa"/>
            <w:vAlign w:val="bottom"/>
            <w:tcBorders>
              <w:top w:val="single" w:sz="8" w:color="auto"/>
            </w:tcBorders>
            <w:gridSpan w:val="3"/>
          </w:tcPr>
          <w:p>
            <w:pPr>
              <w:jc w:val="right"/>
              <w:ind w:right="200"/>
              <w:spacing w:after="0" w:line="123" w:lineRule="exact"/>
              <w:rPr>
                <w:sz w:val="20"/>
                <w:szCs w:val="20"/>
                <w:color w:val="auto"/>
              </w:rPr>
            </w:pPr>
            <w:r>
              <w:rPr>
                <w:rFonts w:ascii="Arial" w:cs="Arial" w:eastAsia="Arial" w:hAnsi="Arial"/>
                <w:sz w:val="14"/>
                <w:szCs w:val="14"/>
                <w:color w:val="auto"/>
                <w:w w:val="96"/>
              </w:rPr>
              <w:t>Year ended</w:t>
            </w:r>
          </w:p>
        </w:tc>
        <w:tc>
          <w:tcPr>
            <w:tcW w:w="80" w:type="dxa"/>
            <w:vAlign w:val="bottom"/>
            <w:tcBorders>
              <w:top w:val="single" w:sz="8" w:color="auto"/>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1040" w:type="dxa"/>
            <w:vAlign w:val="bottom"/>
            <w:tcBorders>
              <w:top w:val="single" w:sz="8" w:color="auto"/>
            </w:tcBorders>
          </w:tcPr>
          <w:p>
            <w:pPr>
              <w:ind w:left="120"/>
              <w:spacing w:after="0" w:line="123" w:lineRule="exact"/>
              <w:rPr>
                <w:sz w:val="20"/>
                <w:szCs w:val="20"/>
                <w:color w:val="auto"/>
              </w:rPr>
            </w:pPr>
            <w:r>
              <w:rPr>
                <w:rFonts w:ascii="Arial" w:cs="Arial" w:eastAsia="Arial" w:hAnsi="Arial"/>
                <w:sz w:val="14"/>
                <w:szCs w:val="14"/>
                <w:color w:val="auto"/>
              </w:rPr>
              <w:t>Period from</w:t>
            </w:r>
          </w:p>
        </w:tc>
        <w:tc>
          <w:tcPr>
            <w:tcW w:w="260" w:type="dxa"/>
            <w:vAlign w:val="bottom"/>
            <w:tcBorders>
              <w:right w:val="single" w:sz="8" w:color="auto"/>
            </w:tcBorders>
          </w:tcPr>
          <w:p>
            <w:pPr>
              <w:spacing w:after="0"/>
              <w:rPr>
                <w:sz w:val="10"/>
                <w:szCs w:val="10"/>
                <w:color w:val="auto"/>
              </w:rPr>
            </w:pPr>
          </w:p>
        </w:tc>
        <w:tc>
          <w:tcPr>
            <w:tcW w:w="24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960" w:type="dxa"/>
            <w:vAlign w:val="bottom"/>
            <w:tcBorders>
              <w:top w:val="single" w:sz="8" w:color="auto"/>
            </w:tcBorders>
          </w:tcPr>
          <w:p>
            <w:pPr>
              <w:jc w:val="center"/>
              <w:ind w:right="36"/>
              <w:spacing w:after="0" w:line="123" w:lineRule="exact"/>
              <w:rPr>
                <w:sz w:val="20"/>
                <w:szCs w:val="20"/>
                <w:color w:val="auto"/>
              </w:rPr>
            </w:pPr>
            <w:r>
              <w:rPr>
                <w:rFonts w:ascii="Arial" w:cs="Arial" w:eastAsia="Arial" w:hAnsi="Arial"/>
                <w:sz w:val="14"/>
                <w:szCs w:val="14"/>
                <w:color w:val="auto"/>
                <w:w w:val="93"/>
              </w:rPr>
              <w:t>Period from</w:t>
            </w: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260" w:type="dxa"/>
            <w:vAlign w:val="bottom"/>
          </w:tcPr>
          <w:p>
            <w:pPr>
              <w:spacing w:after="0"/>
              <w:rPr>
                <w:sz w:val="12"/>
                <w:szCs w:val="12"/>
                <w:color w:val="auto"/>
              </w:rPr>
            </w:pPr>
          </w:p>
        </w:tc>
        <w:tc>
          <w:tcPr>
            <w:tcW w:w="3140" w:type="dxa"/>
            <w:vAlign w:val="bottom"/>
            <w:gridSpan w:val="4"/>
          </w:tcPr>
          <w:p>
            <w:pPr>
              <w:ind w:left="2220"/>
              <w:spacing w:after="0" w:line="149" w:lineRule="exact"/>
              <w:rPr>
                <w:sz w:val="20"/>
                <w:szCs w:val="20"/>
                <w:color w:val="auto"/>
              </w:rPr>
            </w:pPr>
            <w:r>
              <w:rPr>
                <w:rFonts w:ascii="Arial" w:cs="Arial" w:eastAsia="Arial" w:hAnsi="Arial"/>
                <w:sz w:val="14"/>
                <w:szCs w:val="14"/>
                <w:color w:val="auto"/>
              </w:rPr>
              <w:t>December 31,</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40" w:type="dxa"/>
            <w:vAlign w:val="bottom"/>
          </w:tcPr>
          <w:p>
            <w:pPr>
              <w:spacing w:after="0" w:line="149" w:lineRule="exact"/>
              <w:rPr>
                <w:sz w:val="20"/>
                <w:szCs w:val="20"/>
                <w:color w:val="auto"/>
              </w:rPr>
            </w:pPr>
            <w:r>
              <w:rPr>
                <w:rFonts w:ascii="Arial" w:cs="Arial" w:eastAsia="Arial" w:hAnsi="Arial"/>
                <w:sz w:val="14"/>
                <w:szCs w:val="14"/>
                <w:color w:val="auto"/>
              </w:rPr>
              <w:t>July 16, 2019 to</w:t>
            </w:r>
          </w:p>
        </w:tc>
        <w:tc>
          <w:tcPr>
            <w:tcW w:w="260" w:type="dxa"/>
            <w:vAlign w:val="bottom"/>
            <w:tcBorders>
              <w:right w:val="single" w:sz="8" w:color="auto"/>
            </w:tcBorders>
          </w:tcPr>
          <w:p>
            <w:pPr>
              <w:spacing w:after="0"/>
              <w:rPr>
                <w:sz w:val="12"/>
                <w:szCs w:val="12"/>
                <w:color w:val="auto"/>
              </w:rPr>
            </w:pPr>
          </w:p>
        </w:tc>
        <w:tc>
          <w:tcPr>
            <w:tcW w:w="1360" w:type="dxa"/>
            <w:vAlign w:val="bottom"/>
            <w:gridSpan w:val="4"/>
          </w:tcPr>
          <w:p>
            <w:pPr>
              <w:ind w:left="220"/>
              <w:spacing w:after="0" w:line="149" w:lineRule="exact"/>
              <w:rPr>
                <w:sz w:val="20"/>
                <w:szCs w:val="20"/>
                <w:color w:val="auto"/>
              </w:rPr>
            </w:pPr>
            <w:r>
              <w:rPr>
                <w:rFonts w:ascii="Arial" w:cs="Arial" w:eastAsia="Arial" w:hAnsi="Arial"/>
                <w:sz w:val="14"/>
                <w:szCs w:val="14"/>
                <w:color w:val="auto"/>
                <w:w w:val="96"/>
              </w:rPr>
              <w:t>January 1, 2019 to</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3260" w:type="dxa"/>
            <w:vAlign w:val="bottom"/>
          </w:tcPr>
          <w:p>
            <w:pPr>
              <w:spacing w:after="0"/>
              <w:rPr>
                <w:sz w:val="14"/>
                <w:szCs w:val="14"/>
                <w:color w:val="auto"/>
              </w:rPr>
            </w:pPr>
          </w:p>
        </w:tc>
        <w:tc>
          <w:tcPr>
            <w:tcW w:w="2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40" w:type="dxa"/>
            <w:vAlign w:val="bottom"/>
          </w:tcPr>
          <w:p>
            <w:pPr>
              <w:jc w:val="right"/>
              <w:ind w:right="193"/>
              <w:spacing w:after="0"/>
              <w:rPr>
                <w:sz w:val="20"/>
                <w:szCs w:val="20"/>
                <w:color w:val="auto"/>
              </w:rPr>
            </w:pPr>
            <w:r>
              <w:rPr>
                <w:rFonts w:ascii="Arial" w:cs="Arial" w:eastAsia="Arial" w:hAnsi="Arial"/>
                <w:sz w:val="14"/>
                <w:szCs w:val="14"/>
                <w:color w:val="auto"/>
              </w:rPr>
              <w:t>2020</w:t>
            </w:r>
          </w:p>
        </w:tc>
        <w:tc>
          <w:tcPr>
            <w:tcW w:w="100" w:type="dxa"/>
            <w:vAlign w:val="bottom"/>
          </w:tcPr>
          <w:p>
            <w:pPr>
              <w:spacing w:after="0"/>
              <w:rPr>
                <w:sz w:val="14"/>
                <w:szCs w:val="14"/>
                <w:color w:val="auto"/>
              </w:rPr>
            </w:pPr>
          </w:p>
        </w:tc>
        <w:tc>
          <w:tcPr>
            <w:tcW w:w="1220" w:type="dxa"/>
            <w:vAlign w:val="bottom"/>
            <w:gridSpan w:val="3"/>
          </w:tcPr>
          <w:p>
            <w:pPr>
              <w:ind w:left="80"/>
              <w:spacing w:after="0"/>
              <w:rPr>
                <w:sz w:val="20"/>
                <w:szCs w:val="20"/>
                <w:color w:val="auto"/>
              </w:rPr>
            </w:pPr>
            <w:r>
              <w:rPr>
                <w:rFonts w:ascii="Arial" w:cs="Arial" w:eastAsia="Arial" w:hAnsi="Arial"/>
                <w:sz w:val="14"/>
                <w:szCs w:val="14"/>
                <w:color w:val="auto"/>
                <w:w w:val="91"/>
              </w:rPr>
              <w:t>December 31, 2019</w:t>
            </w:r>
          </w:p>
        </w:tc>
        <w:tc>
          <w:tcPr>
            <w:tcW w:w="260" w:type="dxa"/>
            <w:vAlign w:val="bottom"/>
            <w:tcBorders>
              <w:right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gridSpan w:val="2"/>
          </w:tcPr>
          <w:p>
            <w:pPr>
              <w:jc w:val="center"/>
              <w:ind w:right="160"/>
              <w:spacing w:after="0"/>
              <w:rPr>
                <w:sz w:val="20"/>
                <w:szCs w:val="20"/>
                <w:color w:val="auto"/>
              </w:rPr>
            </w:pPr>
            <w:r>
              <w:rPr>
                <w:rFonts w:ascii="Arial" w:cs="Arial" w:eastAsia="Arial" w:hAnsi="Arial"/>
                <w:sz w:val="14"/>
                <w:szCs w:val="14"/>
                <w:color w:val="auto"/>
                <w:w w:val="93"/>
              </w:rPr>
              <w:t>July 15, 2019</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326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Current tax provision:</w:t>
            </w:r>
          </w:p>
        </w:tc>
        <w:tc>
          <w:tcPr>
            <w:tcW w:w="222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6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1040" w:type="dxa"/>
            <w:vAlign w:val="bottom"/>
            <w:tcBorders>
              <w:top w:val="single" w:sz="8" w:color="auto"/>
            </w:tcBorders>
            <w:shd w:val="clear" w:color="auto" w:fill="CCEEFF"/>
          </w:tcPr>
          <w:p>
            <w:pPr>
              <w:spacing w:after="0"/>
              <w:rPr>
                <w:sz w:val="17"/>
                <w:szCs w:val="17"/>
                <w:color w:val="auto"/>
              </w:rPr>
            </w:pPr>
          </w:p>
        </w:tc>
        <w:tc>
          <w:tcPr>
            <w:tcW w:w="260" w:type="dxa"/>
            <w:vAlign w:val="bottom"/>
            <w:tcBorders>
              <w:top w:val="single" w:sz="8" w:color="CCEEFF"/>
              <w:right w:val="single" w:sz="8" w:color="auto"/>
            </w:tcBorders>
            <w:shd w:val="clear" w:color="auto" w:fill="CCEEFF"/>
          </w:tcPr>
          <w:p>
            <w:pPr>
              <w:spacing w:after="0"/>
              <w:rPr>
                <w:sz w:val="17"/>
                <w:szCs w:val="17"/>
                <w:color w:val="auto"/>
              </w:rPr>
            </w:pPr>
          </w:p>
        </w:tc>
        <w:tc>
          <w:tcPr>
            <w:tcW w:w="24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960" w:type="dxa"/>
            <w:vAlign w:val="bottom"/>
            <w:tcBorders>
              <w:top w:val="single" w:sz="8" w:color="auto"/>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60" w:type="dxa"/>
            <w:vAlign w:val="bottom"/>
          </w:tcPr>
          <w:p>
            <w:pPr>
              <w:ind w:left="340"/>
              <w:spacing w:after="0"/>
              <w:rPr>
                <w:sz w:val="20"/>
                <w:szCs w:val="20"/>
                <w:color w:val="auto"/>
              </w:rPr>
            </w:pPr>
            <w:r>
              <w:rPr>
                <w:rFonts w:ascii="Arial" w:cs="Arial" w:eastAsia="Arial" w:hAnsi="Arial"/>
                <w:sz w:val="18"/>
                <w:szCs w:val="18"/>
                <w:color w:val="auto"/>
              </w:rPr>
              <w:t>Federal</w:t>
            </w:r>
          </w:p>
        </w:tc>
        <w:tc>
          <w:tcPr>
            <w:tcW w:w="2400" w:type="dxa"/>
            <w:vAlign w:val="bottom"/>
            <w:gridSpan w:val="2"/>
          </w:tcPr>
          <w:p>
            <w:pPr>
              <w:ind w:left="2220"/>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10</w:t>
            </w:r>
          </w:p>
        </w:tc>
        <w:tc>
          <w:tcPr>
            <w:tcW w:w="100" w:type="dxa"/>
            <w:vAlign w:val="bottom"/>
          </w:tcPr>
          <w:p>
            <w:pPr>
              <w:spacing w:after="0"/>
              <w:rPr>
                <w:sz w:val="18"/>
                <w:szCs w:val="18"/>
                <w:color w:val="auto"/>
              </w:rPr>
            </w:pPr>
          </w:p>
        </w:tc>
        <w:tc>
          <w:tcPr>
            <w:tcW w:w="180" w:type="dxa"/>
            <w:vAlign w:val="bottom"/>
            <w:gridSpan w:val="2"/>
          </w:tcPr>
          <w:p>
            <w:pPr>
              <w:ind w:left="80"/>
              <w:spacing w:after="0"/>
              <w:rPr>
                <w:sz w:val="20"/>
                <w:szCs w:val="20"/>
                <w:color w:val="auto"/>
              </w:rPr>
            </w:pPr>
            <w:r>
              <w:rPr>
                <w:rFonts w:ascii="Arial" w:cs="Arial" w:eastAsia="Arial" w:hAnsi="Arial"/>
                <w:sz w:val="18"/>
                <w:szCs w:val="18"/>
                <w:color w:val="auto"/>
                <w:w w:val="79"/>
              </w:rPr>
              <w:t>$</w:t>
            </w:r>
          </w:p>
        </w:tc>
        <w:tc>
          <w:tcPr>
            <w:tcW w:w="1040" w:type="dxa"/>
            <w:vAlign w:val="bottom"/>
          </w:tcPr>
          <w:p>
            <w:pPr>
              <w:ind w:left="760"/>
              <w:spacing w:after="0"/>
              <w:rPr>
                <w:sz w:val="20"/>
                <w:szCs w:val="20"/>
                <w:color w:val="auto"/>
              </w:rPr>
            </w:pPr>
            <w:r>
              <w:rPr>
                <w:rFonts w:ascii="Arial" w:cs="Arial" w:eastAsia="Arial" w:hAnsi="Arial"/>
                <w:sz w:val="18"/>
                <w:szCs w:val="18"/>
                <w:color w:val="auto"/>
              </w:rPr>
              <w:t>—</w:t>
            </w:r>
          </w:p>
        </w:tc>
        <w:tc>
          <w:tcPr>
            <w:tcW w:w="260" w:type="dxa"/>
            <w:vAlign w:val="bottom"/>
            <w:tcBorders>
              <w:right w:val="single" w:sz="8" w:color="auto"/>
            </w:tcBorders>
          </w:tcPr>
          <w:p>
            <w:pPr>
              <w:spacing w:after="0"/>
              <w:rPr>
                <w:sz w:val="18"/>
                <w:szCs w:val="18"/>
                <w:color w:val="auto"/>
              </w:rPr>
            </w:pPr>
          </w:p>
        </w:tc>
        <w:tc>
          <w:tcPr>
            <w:tcW w:w="340" w:type="dxa"/>
            <w:vAlign w:val="bottom"/>
            <w:gridSpan w:val="2"/>
          </w:tcPr>
          <w:p>
            <w:pPr>
              <w:ind w:left="220"/>
              <w:spacing w:after="0"/>
              <w:rPr>
                <w:sz w:val="20"/>
                <w:szCs w:val="20"/>
                <w:color w:val="auto"/>
              </w:rPr>
            </w:pPr>
            <w:r>
              <w:rPr>
                <w:rFonts w:ascii="Arial" w:cs="Arial" w:eastAsia="Arial" w:hAnsi="Arial"/>
                <w:sz w:val="18"/>
                <w:szCs w:val="18"/>
                <w:color w:val="auto"/>
                <w:w w:val="99"/>
              </w:rPr>
              <w:t>$</w:t>
            </w:r>
          </w:p>
        </w:tc>
        <w:tc>
          <w:tcPr>
            <w:tcW w:w="1020" w:type="dxa"/>
            <w:vAlign w:val="bottom"/>
            <w:gridSpan w:val="2"/>
          </w:tcPr>
          <w:p>
            <w:pPr>
              <w:ind w:left="6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State</w:t>
            </w:r>
          </w:p>
        </w:tc>
        <w:tc>
          <w:tcPr>
            <w:tcW w:w="2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ind w:left="760"/>
              <w:spacing w:after="0"/>
              <w:rPr>
                <w:sz w:val="20"/>
                <w:szCs w:val="20"/>
                <w:color w:val="auto"/>
              </w:rPr>
            </w:pPr>
            <w:r>
              <w:rPr>
                <w:rFonts w:ascii="Arial" w:cs="Arial" w:eastAsia="Arial" w:hAnsi="Arial"/>
                <w:sz w:val="18"/>
                <w:szCs w:val="18"/>
                <w:color w:val="auto"/>
              </w:rPr>
              <w:t>—</w:t>
            </w:r>
          </w:p>
        </w:tc>
        <w:tc>
          <w:tcPr>
            <w:tcW w:w="260" w:type="dxa"/>
            <w:vAlign w:val="bottom"/>
            <w:tcBorders>
              <w:right w:val="single" w:sz="8" w:color="auto"/>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ind w:left="6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260" w:type="dxa"/>
            <w:vAlign w:val="bottom"/>
          </w:tcPr>
          <w:p>
            <w:pPr>
              <w:ind w:left="340"/>
              <w:spacing w:after="0"/>
              <w:rPr>
                <w:sz w:val="20"/>
                <w:szCs w:val="20"/>
                <w:color w:val="auto"/>
              </w:rPr>
            </w:pPr>
            <w:r>
              <w:rPr>
                <w:rFonts w:ascii="Arial" w:cs="Arial" w:eastAsia="Arial" w:hAnsi="Arial"/>
                <w:sz w:val="18"/>
                <w:szCs w:val="18"/>
                <w:color w:val="auto"/>
              </w:rPr>
              <w:t>Foreign</w:t>
            </w:r>
          </w:p>
        </w:tc>
        <w:tc>
          <w:tcPr>
            <w:tcW w:w="222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ind w:left="760"/>
              <w:spacing w:after="0"/>
              <w:rPr>
                <w:sz w:val="20"/>
                <w:szCs w:val="20"/>
                <w:color w:val="auto"/>
              </w:rPr>
            </w:pPr>
            <w:r>
              <w:rPr>
                <w:rFonts w:ascii="Arial" w:cs="Arial" w:eastAsia="Arial" w:hAnsi="Arial"/>
                <w:sz w:val="18"/>
                <w:szCs w:val="18"/>
                <w:color w:val="auto"/>
              </w:rPr>
              <w:t>—</w:t>
            </w:r>
          </w:p>
        </w:tc>
        <w:tc>
          <w:tcPr>
            <w:tcW w:w="260" w:type="dxa"/>
            <w:vAlign w:val="bottom"/>
            <w:tcBorders>
              <w:right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ind w:left="68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60" w:type="dxa"/>
            <w:vAlign w:val="bottom"/>
            <w:shd w:val="clear" w:color="auto" w:fill="CCEEFF"/>
          </w:tcPr>
          <w:p>
            <w:pPr>
              <w:spacing w:after="0"/>
              <w:rPr>
                <w:sz w:val="20"/>
                <w:szCs w:val="20"/>
                <w:color w:val="auto"/>
              </w:rPr>
            </w:pPr>
            <w:r>
              <w:rPr>
                <w:rFonts w:ascii="Arial" w:cs="Arial" w:eastAsia="Arial" w:hAnsi="Arial"/>
                <w:sz w:val="18"/>
                <w:szCs w:val="18"/>
                <w:color w:val="auto"/>
              </w:rPr>
              <w:t>Total current tax provision</w:t>
            </w:r>
          </w:p>
        </w:tc>
        <w:tc>
          <w:tcPr>
            <w:tcW w:w="2400" w:type="dxa"/>
            <w:vAlign w:val="bottom"/>
            <w:gridSpan w:val="2"/>
            <w:shd w:val="clear" w:color="auto" w:fill="CCEEFF"/>
          </w:tcPr>
          <w:p>
            <w:pPr>
              <w:ind w:left="2220"/>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100" w:type="dxa"/>
            <w:vAlign w:val="bottom"/>
            <w:shd w:val="clear" w:color="auto" w:fill="CCEEFF"/>
          </w:tcPr>
          <w:p>
            <w:pPr>
              <w:spacing w:after="0"/>
              <w:rPr>
                <w:sz w:val="18"/>
                <w:szCs w:val="18"/>
                <w:color w:val="auto"/>
              </w:rPr>
            </w:pPr>
          </w:p>
        </w:tc>
        <w:tc>
          <w:tcPr>
            <w:tcW w:w="18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CEEFF"/>
          </w:tcPr>
          <w:p>
            <w:pPr>
              <w:ind w:left="760"/>
              <w:spacing w:after="0"/>
              <w:rPr>
                <w:sz w:val="20"/>
                <w:szCs w:val="20"/>
                <w:color w:val="auto"/>
              </w:rPr>
            </w:pPr>
            <w:r>
              <w:rPr>
                <w:rFonts w:ascii="Arial" w:cs="Arial" w:eastAsia="Arial" w:hAnsi="Arial"/>
                <w:sz w:val="18"/>
                <w:szCs w:val="18"/>
                <w:color w:val="auto"/>
              </w:rPr>
              <w:t>—</w:t>
            </w:r>
          </w:p>
        </w:tc>
        <w:tc>
          <w:tcPr>
            <w:tcW w:w="260" w:type="dxa"/>
            <w:vAlign w:val="bottom"/>
            <w:tcBorders>
              <w:right w:val="single" w:sz="8" w:color="auto"/>
            </w:tcBorders>
            <w:shd w:val="clear" w:color="auto" w:fill="CCEEFF"/>
          </w:tcPr>
          <w:p>
            <w:pPr>
              <w:spacing w:after="0"/>
              <w:rPr>
                <w:sz w:val="18"/>
                <w:szCs w:val="18"/>
                <w:color w:val="auto"/>
              </w:rPr>
            </w:pPr>
          </w:p>
        </w:tc>
        <w:tc>
          <w:tcPr>
            <w:tcW w:w="34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w w:val="99"/>
              </w:rPr>
              <w:t>$</w:t>
            </w:r>
          </w:p>
        </w:tc>
        <w:tc>
          <w:tcPr>
            <w:tcW w:w="1020" w:type="dxa"/>
            <w:vAlign w:val="bottom"/>
            <w:gridSpan w:val="2"/>
            <w:shd w:val="clear" w:color="auto" w:fill="CCEEFF"/>
          </w:tcPr>
          <w:p>
            <w:pPr>
              <w:ind w:left="6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60" w:type="dxa"/>
            <w:vAlign w:val="bottom"/>
          </w:tcPr>
          <w:p>
            <w:pPr>
              <w:spacing w:after="0"/>
              <w:rPr>
                <w:sz w:val="20"/>
                <w:szCs w:val="20"/>
                <w:color w:val="auto"/>
              </w:rPr>
            </w:pPr>
            <w:r>
              <w:rPr>
                <w:rFonts w:ascii="Arial" w:cs="Arial" w:eastAsia="Arial" w:hAnsi="Arial"/>
                <w:sz w:val="18"/>
                <w:szCs w:val="18"/>
                <w:color w:val="auto"/>
              </w:rPr>
              <w:t>Deferred tax provision:</w:t>
            </w:r>
          </w:p>
        </w:tc>
        <w:tc>
          <w:tcPr>
            <w:tcW w:w="2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60" w:type="dxa"/>
            <w:vAlign w:val="bottom"/>
            <w:tcBorders>
              <w:right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Federal</w:t>
            </w:r>
          </w:p>
        </w:tc>
        <w:tc>
          <w:tcPr>
            <w:tcW w:w="2400" w:type="dxa"/>
            <w:vAlign w:val="bottom"/>
            <w:gridSpan w:val="2"/>
            <w:shd w:val="clear" w:color="auto" w:fill="CCEEFF"/>
          </w:tcPr>
          <w:p>
            <w:pPr>
              <w:ind w:left="2220"/>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w:t>
            </w:r>
          </w:p>
        </w:tc>
        <w:tc>
          <w:tcPr>
            <w:tcW w:w="100" w:type="dxa"/>
            <w:vAlign w:val="bottom"/>
            <w:shd w:val="clear" w:color="auto" w:fill="CCEEFF"/>
          </w:tcPr>
          <w:p>
            <w:pPr>
              <w:spacing w:after="0"/>
              <w:rPr>
                <w:sz w:val="18"/>
                <w:szCs w:val="18"/>
                <w:color w:val="auto"/>
              </w:rPr>
            </w:pPr>
          </w:p>
        </w:tc>
        <w:tc>
          <w:tcPr>
            <w:tcW w:w="18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CEEFF"/>
          </w:tcPr>
          <w:p>
            <w:pPr>
              <w:ind w:left="760"/>
              <w:spacing w:after="0"/>
              <w:rPr>
                <w:sz w:val="20"/>
                <w:szCs w:val="20"/>
                <w:color w:val="auto"/>
              </w:rPr>
            </w:pPr>
            <w:r>
              <w:rPr>
                <w:rFonts w:ascii="Arial" w:cs="Arial" w:eastAsia="Arial" w:hAnsi="Arial"/>
                <w:sz w:val="18"/>
                <w:szCs w:val="18"/>
                <w:color w:val="auto"/>
              </w:rPr>
              <w:t>—</w:t>
            </w:r>
          </w:p>
        </w:tc>
        <w:tc>
          <w:tcPr>
            <w:tcW w:w="260" w:type="dxa"/>
            <w:vAlign w:val="bottom"/>
            <w:tcBorders>
              <w:right w:val="single" w:sz="8" w:color="auto"/>
            </w:tcBorders>
            <w:shd w:val="clear" w:color="auto" w:fill="CCEEFF"/>
          </w:tcPr>
          <w:p>
            <w:pPr>
              <w:spacing w:after="0"/>
              <w:rPr>
                <w:sz w:val="18"/>
                <w:szCs w:val="18"/>
                <w:color w:val="auto"/>
              </w:rPr>
            </w:pPr>
          </w:p>
        </w:tc>
        <w:tc>
          <w:tcPr>
            <w:tcW w:w="34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w w:val="99"/>
              </w:rPr>
              <w:t>$</w:t>
            </w:r>
          </w:p>
        </w:tc>
        <w:tc>
          <w:tcPr>
            <w:tcW w:w="1020" w:type="dxa"/>
            <w:vAlign w:val="bottom"/>
            <w:gridSpan w:val="2"/>
            <w:shd w:val="clear" w:color="auto" w:fill="CCEEFF"/>
          </w:tcPr>
          <w:p>
            <w:pPr>
              <w:ind w:left="6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60" w:type="dxa"/>
            <w:vAlign w:val="bottom"/>
          </w:tcPr>
          <w:p>
            <w:pPr>
              <w:ind w:left="340"/>
              <w:spacing w:after="0"/>
              <w:rPr>
                <w:sz w:val="20"/>
                <w:szCs w:val="20"/>
                <w:color w:val="auto"/>
              </w:rPr>
            </w:pPr>
            <w:r>
              <w:rPr>
                <w:rFonts w:ascii="Arial" w:cs="Arial" w:eastAsia="Arial" w:hAnsi="Arial"/>
                <w:sz w:val="18"/>
                <w:szCs w:val="18"/>
                <w:color w:val="auto"/>
              </w:rPr>
              <w:t>State</w:t>
            </w:r>
          </w:p>
        </w:tc>
        <w:tc>
          <w:tcPr>
            <w:tcW w:w="2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gridSpan w:val="2"/>
          </w:tcPr>
          <w:p>
            <w:pPr>
              <w:jc w:val="right"/>
              <w:ind w:right="60"/>
              <w:spacing w:after="0"/>
              <w:rPr>
                <w:sz w:val="20"/>
                <w:szCs w:val="20"/>
                <w:color w:val="auto"/>
              </w:rPr>
            </w:pPr>
            <w:r>
              <w:rPr>
                <w:rFonts w:ascii="Arial" w:cs="Arial" w:eastAsia="Arial" w:hAnsi="Arial"/>
                <w:sz w:val="18"/>
                <w:szCs w:val="18"/>
                <w:color w:val="auto"/>
              </w:rPr>
              <w:t>(7)</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ind w:left="760"/>
              <w:spacing w:after="0"/>
              <w:rPr>
                <w:sz w:val="20"/>
                <w:szCs w:val="20"/>
                <w:color w:val="auto"/>
              </w:rPr>
            </w:pPr>
            <w:r>
              <w:rPr>
                <w:rFonts w:ascii="Arial" w:cs="Arial" w:eastAsia="Arial" w:hAnsi="Arial"/>
                <w:sz w:val="18"/>
                <w:szCs w:val="18"/>
                <w:color w:val="auto"/>
              </w:rPr>
              <w:t>—</w:t>
            </w:r>
          </w:p>
        </w:tc>
        <w:tc>
          <w:tcPr>
            <w:tcW w:w="260" w:type="dxa"/>
            <w:vAlign w:val="bottom"/>
            <w:tcBorders>
              <w:right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ind w:left="780"/>
              <w:spacing w:after="0"/>
              <w:rPr>
                <w:sz w:val="20"/>
                <w:szCs w:val="20"/>
                <w:color w:val="auto"/>
              </w:rPr>
            </w:pPr>
            <w:r>
              <w:rPr>
                <w:rFonts w:ascii="Arial" w:cs="Arial" w:eastAsia="Arial" w:hAnsi="Arial"/>
                <w:sz w:val="18"/>
                <w:szCs w:val="18"/>
                <w:color w:val="auto"/>
                <w:w w:val="79"/>
              </w:rPr>
              <w:t>49</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Foreign</w:t>
            </w:r>
          </w:p>
        </w:tc>
        <w:tc>
          <w:tcPr>
            <w:tcW w:w="2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ind w:left="760"/>
              <w:spacing w:after="0"/>
              <w:rPr>
                <w:sz w:val="20"/>
                <w:szCs w:val="20"/>
                <w:color w:val="auto"/>
              </w:rPr>
            </w:pPr>
            <w:r>
              <w:rPr>
                <w:rFonts w:ascii="Arial" w:cs="Arial" w:eastAsia="Arial" w:hAnsi="Arial"/>
                <w:sz w:val="18"/>
                <w:szCs w:val="18"/>
                <w:color w:val="auto"/>
              </w:rPr>
              <w:t>—</w:t>
            </w:r>
          </w:p>
        </w:tc>
        <w:tc>
          <w:tcPr>
            <w:tcW w:w="260" w:type="dxa"/>
            <w:vAlign w:val="bottom"/>
            <w:tcBorders>
              <w:right w:val="single" w:sz="8" w:color="auto"/>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ind w:left="6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3280" w:type="dxa"/>
            <w:vAlign w:val="bottom"/>
            <w:gridSpan w:val="2"/>
          </w:tcPr>
          <w:p>
            <w:pPr>
              <w:spacing w:after="0"/>
              <w:rPr>
                <w:sz w:val="20"/>
                <w:szCs w:val="20"/>
                <w:color w:val="auto"/>
              </w:rPr>
            </w:pPr>
            <w:r>
              <w:rPr>
                <w:rFonts w:ascii="Arial" w:cs="Arial" w:eastAsia="Arial" w:hAnsi="Arial"/>
                <w:sz w:val="18"/>
                <w:szCs w:val="18"/>
                <w:color w:val="auto"/>
              </w:rPr>
              <w:t>Total deferred tax provision</w:t>
            </w:r>
          </w:p>
        </w:tc>
        <w:tc>
          <w:tcPr>
            <w:tcW w:w="2220" w:type="dxa"/>
            <w:vAlign w:val="bottom"/>
          </w:tcPr>
          <w:p>
            <w:pPr>
              <w:spacing w:after="0"/>
              <w:rPr>
                <w:sz w:val="20"/>
                <w:szCs w:val="20"/>
                <w:color w:val="auto"/>
              </w:rPr>
            </w:pPr>
          </w:p>
        </w:tc>
        <w:tc>
          <w:tcPr>
            <w:tcW w:w="180" w:type="dxa"/>
            <w:vAlign w:val="bottom"/>
            <w:tcBorders>
              <w:top w:val="single" w:sz="8" w:color="auto"/>
              <w:bottom w:val="single" w:sz="8" w:color="auto"/>
            </w:tcBorders>
          </w:tcPr>
          <w:p>
            <w:pPr>
              <w:spacing w:after="0"/>
              <w:rPr>
                <w:sz w:val="20"/>
                <w:szCs w:val="20"/>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51</w:t>
            </w: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1040" w:type="dxa"/>
            <w:vAlign w:val="bottom"/>
            <w:tcBorders>
              <w:top w:val="single" w:sz="8" w:color="auto"/>
              <w:bottom w:val="single" w:sz="8" w:color="auto"/>
            </w:tcBorders>
          </w:tcPr>
          <w:p>
            <w:pPr>
              <w:ind w:left="760"/>
              <w:spacing w:after="0"/>
              <w:rPr>
                <w:sz w:val="20"/>
                <w:szCs w:val="20"/>
                <w:color w:val="auto"/>
              </w:rPr>
            </w:pPr>
            <w:r>
              <w:rPr>
                <w:rFonts w:ascii="Arial" w:cs="Arial" w:eastAsia="Arial" w:hAnsi="Arial"/>
                <w:sz w:val="18"/>
                <w:szCs w:val="18"/>
                <w:color w:val="auto"/>
              </w:rPr>
              <w:t>—</w:t>
            </w:r>
          </w:p>
        </w:tc>
        <w:tc>
          <w:tcPr>
            <w:tcW w:w="260" w:type="dxa"/>
            <w:vAlign w:val="bottom"/>
            <w:tcBorders>
              <w:right w:val="single" w:sz="8" w:color="auto"/>
            </w:tcBorders>
          </w:tcPr>
          <w:p>
            <w:pPr>
              <w:spacing w:after="0"/>
              <w:rPr>
                <w:sz w:val="20"/>
                <w:szCs w:val="20"/>
                <w:color w:val="auto"/>
              </w:rPr>
            </w:pPr>
          </w:p>
        </w:tc>
        <w:tc>
          <w:tcPr>
            <w:tcW w:w="24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960" w:type="dxa"/>
            <w:vAlign w:val="bottom"/>
            <w:tcBorders>
              <w:top w:val="single" w:sz="8" w:color="auto"/>
              <w:bottom w:val="single" w:sz="8" w:color="auto"/>
            </w:tcBorders>
          </w:tcPr>
          <w:p>
            <w:pPr>
              <w:ind w:left="780"/>
              <w:spacing w:after="0"/>
              <w:rPr>
                <w:sz w:val="20"/>
                <w:szCs w:val="20"/>
                <w:color w:val="auto"/>
              </w:rPr>
            </w:pPr>
            <w:r>
              <w:rPr>
                <w:rFonts w:ascii="Arial" w:cs="Arial" w:eastAsia="Arial" w:hAnsi="Arial"/>
                <w:sz w:val="18"/>
                <w:szCs w:val="18"/>
                <w:color w:val="auto"/>
                <w:w w:val="79"/>
              </w:rPr>
              <w:t>49</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60" w:type="dxa"/>
            <w:vAlign w:val="bottom"/>
            <w:shd w:val="clear" w:color="auto" w:fill="CCEEFF"/>
          </w:tcPr>
          <w:p>
            <w:pPr>
              <w:spacing w:after="0"/>
              <w:rPr>
                <w:sz w:val="20"/>
                <w:szCs w:val="20"/>
                <w:color w:val="auto"/>
              </w:rPr>
            </w:pPr>
            <w:r>
              <w:rPr>
                <w:rFonts w:ascii="Arial" w:cs="Arial" w:eastAsia="Arial" w:hAnsi="Arial"/>
                <w:sz w:val="18"/>
                <w:szCs w:val="18"/>
                <w:color w:val="auto"/>
              </w:rPr>
              <w:t>Total provision</w:t>
            </w:r>
          </w:p>
        </w:tc>
        <w:tc>
          <w:tcPr>
            <w:tcW w:w="2400" w:type="dxa"/>
            <w:vAlign w:val="bottom"/>
            <w:gridSpan w:val="2"/>
            <w:shd w:val="clear" w:color="auto" w:fill="CCEEFF"/>
          </w:tcPr>
          <w:p>
            <w:pPr>
              <w:ind w:left="2220"/>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w:t>
            </w:r>
          </w:p>
        </w:tc>
        <w:tc>
          <w:tcPr>
            <w:tcW w:w="100" w:type="dxa"/>
            <w:vAlign w:val="bottom"/>
            <w:shd w:val="clear" w:color="auto" w:fill="CCEEFF"/>
          </w:tcPr>
          <w:p>
            <w:pPr>
              <w:spacing w:after="0"/>
              <w:rPr>
                <w:sz w:val="18"/>
                <w:szCs w:val="18"/>
                <w:color w:val="auto"/>
              </w:rPr>
            </w:pPr>
          </w:p>
        </w:tc>
        <w:tc>
          <w:tcPr>
            <w:tcW w:w="18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CEEFF"/>
          </w:tcPr>
          <w:p>
            <w:pPr>
              <w:ind w:left="760"/>
              <w:spacing w:after="0"/>
              <w:rPr>
                <w:sz w:val="20"/>
                <w:szCs w:val="20"/>
                <w:color w:val="auto"/>
              </w:rPr>
            </w:pPr>
            <w:r>
              <w:rPr>
                <w:rFonts w:ascii="Arial" w:cs="Arial" w:eastAsia="Arial" w:hAnsi="Arial"/>
                <w:sz w:val="18"/>
                <w:szCs w:val="18"/>
                <w:color w:val="auto"/>
              </w:rPr>
              <w:t>—</w:t>
            </w:r>
          </w:p>
        </w:tc>
        <w:tc>
          <w:tcPr>
            <w:tcW w:w="260" w:type="dxa"/>
            <w:vAlign w:val="bottom"/>
            <w:tcBorders>
              <w:right w:val="single" w:sz="8" w:color="auto"/>
            </w:tcBorders>
            <w:shd w:val="clear" w:color="auto" w:fill="CCEEFF"/>
          </w:tcPr>
          <w:p>
            <w:pPr>
              <w:spacing w:after="0"/>
              <w:rPr>
                <w:sz w:val="18"/>
                <w:szCs w:val="18"/>
                <w:color w:val="auto"/>
              </w:rPr>
            </w:pPr>
          </w:p>
        </w:tc>
        <w:tc>
          <w:tcPr>
            <w:tcW w:w="34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w w:val="99"/>
              </w:rPr>
              <w:t>$</w:t>
            </w:r>
          </w:p>
        </w:tc>
        <w:tc>
          <w:tcPr>
            <w:tcW w:w="960" w:type="dxa"/>
            <w:vAlign w:val="bottom"/>
            <w:shd w:val="clear" w:color="auto" w:fill="CCEEFF"/>
          </w:tcPr>
          <w:p>
            <w:pPr>
              <w:ind w:left="780"/>
              <w:spacing w:after="0"/>
              <w:rPr>
                <w:sz w:val="20"/>
                <w:szCs w:val="20"/>
                <w:color w:val="auto"/>
              </w:rPr>
            </w:pPr>
            <w:r>
              <w:rPr>
                <w:rFonts w:ascii="Arial" w:cs="Arial" w:eastAsia="Arial" w:hAnsi="Arial"/>
                <w:sz w:val="18"/>
                <w:szCs w:val="18"/>
                <w:color w:val="auto"/>
                <w:w w:val="79"/>
              </w:rPr>
              <w:t>49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3260" w:type="dxa"/>
            <w:vAlign w:val="bottom"/>
          </w:tcPr>
          <w:p>
            <w:pPr>
              <w:spacing w:after="0"/>
              <w:rPr>
                <w:sz w:val="3"/>
                <w:szCs w:val="3"/>
                <w:color w:val="auto"/>
              </w:rPr>
            </w:pPr>
          </w:p>
        </w:tc>
        <w:tc>
          <w:tcPr>
            <w:tcW w:w="2220" w:type="dxa"/>
            <w:vAlign w:val="bottom"/>
          </w:tcPr>
          <w:p>
            <w:pPr>
              <w:spacing w:after="0"/>
              <w:rPr>
                <w:sz w:val="3"/>
                <w:szCs w:val="3"/>
                <w:color w:val="auto"/>
              </w:rPr>
            </w:pPr>
          </w:p>
        </w:tc>
        <w:tc>
          <w:tcPr>
            <w:tcW w:w="180" w:type="dxa"/>
            <w:vAlign w:val="bottom"/>
            <w:tcBorders>
              <w:top w:val="single" w:sz="8" w:color="auto"/>
              <w:bottom w:val="single" w:sz="8" w:color="auto"/>
            </w:tcBorders>
          </w:tcPr>
          <w:p>
            <w:pPr>
              <w:spacing w:after="0"/>
              <w:rPr>
                <w:sz w:val="3"/>
                <w:szCs w:val="3"/>
                <w:color w:val="auto"/>
              </w:rPr>
            </w:pPr>
          </w:p>
        </w:tc>
        <w:tc>
          <w:tcPr>
            <w:tcW w:w="640" w:type="dxa"/>
            <w:vAlign w:val="bottom"/>
            <w:tcBorders>
              <w:top w:val="single" w:sz="8" w:color="auto"/>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Borders>
              <w:top w:val="single" w:sz="8" w:color="auto"/>
              <w:bottom w:val="single" w:sz="8" w:color="auto"/>
            </w:tcBorders>
          </w:tcPr>
          <w:p>
            <w:pPr>
              <w:spacing w:after="0"/>
              <w:rPr>
                <w:sz w:val="3"/>
                <w:szCs w:val="3"/>
                <w:color w:val="auto"/>
              </w:rPr>
            </w:pPr>
          </w:p>
        </w:tc>
        <w:tc>
          <w:tcPr>
            <w:tcW w:w="1040" w:type="dxa"/>
            <w:vAlign w:val="bottom"/>
            <w:tcBorders>
              <w:top w:val="single" w:sz="8" w:color="auto"/>
              <w:bottom w:val="single" w:sz="8" w:color="auto"/>
            </w:tcBorders>
          </w:tcPr>
          <w:p>
            <w:pPr>
              <w:spacing w:after="0"/>
              <w:rPr>
                <w:sz w:val="3"/>
                <w:szCs w:val="3"/>
                <w:color w:val="auto"/>
              </w:rPr>
            </w:pPr>
          </w:p>
        </w:tc>
        <w:tc>
          <w:tcPr>
            <w:tcW w:w="260" w:type="dxa"/>
            <w:vAlign w:val="bottom"/>
            <w:tcBorders>
              <w:right w:val="single" w:sz="8" w:color="auto"/>
            </w:tcBorders>
          </w:tcPr>
          <w:p>
            <w:pPr>
              <w:spacing w:after="0"/>
              <w:rPr>
                <w:sz w:val="3"/>
                <w:szCs w:val="3"/>
                <w:color w:val="auto"/>
              </w:rPr>
            </w:pPr>
          </w:p>
        </w:tc>
        <w:tc>
          <w:tcPr>
            <w:tcW w:w="240" w:type="dxa"/>
            <w:vAlign w:val="bottom"/>
          </w:tcPr>
          <w:p>
            <w:pPr>
              <w:spacing w:after="0"/>
              <w:rPr>
                <w:sz w:val="3"/>
                <w:szCs w:val="3"/>
                <w:color w:val="auto"/>
              </w:rPr>
            </w:pPr>
          </w:p>
        </w:tc>
        <w:tc>
          <w:tcPr>
            <w:tcW w:w="100" w:type="dxa"/>
            <w:vAlign w:val="bottom"/>
            <w:tcBorders>
              <w:top w:val="single" w:sz="8" w:color="auto"/>
              <w:bottom w:val="single" w:sz="8" w:color="auto"/>
            </w:tcBorders>
          </w:tcPr>
          <w:p>
            <w:pPr>
              <w:spacing w:after="0"/>
              <w:rPr>
                <w:sz w:val="3"/>
                <w:szCs w:val="3"/>
                <w:color w:val="auto"/>
              </w:rPr>
            </w:pPr>
          </w:p>
        </w:tc>
        <w:tc>
          <w:tcPr>
            <w:tcW w:w="960" w:type="dxa"/>
            <w:vAlign w:val="bottom"/>
            <w:tcBorders>
              <w:top w:val="single" w:sz="8" w:color="auto"/>
              <w:bottom w:val="single" w:sz="8" w:color="auto"/>
            </w:tcBorders>
          </w:tcPr>
          <w:p>
            <w:pPr>
              <w:spacing w:after="0"/>
              <w:rPr>
                <w:sz w:val="3"/>
                <w:szCs w:val="3"/>
                <w:color w:val="auto"/>
              </w:rPr>
            </w:pPr>
          </w:p>
        </w:tc>
        <w:tc>
          <w:tcPr>
            <w:tcW w:w="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39"/>
        </w:trPr>
        <w:tc>
          <w:tcPr>
            <w:tcW w:w="20" w:type="dxa"/>
            <w:vAlign w:val="bottom"/>
          </w:tcPr>
          <w:p>
            <w:pPr>
              <w:spacing w:after="0"/>
              <w:rPr>
                <w:sz w:val="24"/>
                <w:szCs w:val="24"/>
                <w:color w:val="auto"/>
              </w:rPr>
            </w:pPr>
          </w:p>
        </w:tc>
        <w:tc>
          <w:tcPr>
            <w:tcW w:w="3260" w:type="dxa"/>
            <w:vAlign w:val="bottom"/>
          </w:tcPr>
          <w:p>
            <w:pPr>
              <w:spacing w:after="0"/>
              <w:rPr>
                <w:sz w:val="24"/>
                <w:szCs w:val="24"/>
                <w:color w:val="auto"/>
              </w:rPr>
            </w:pPr>
          </w:p>
        </w:tc>
        <w:tc>
          <w:tcPr>
            <w:tcW w:w="2400" w:type="dxa"/>
            <w:vAlign w:val="bottom"/>
            <w:gridSpan w:val="2"/>
          </w:tcPr>
          <w:p>
            <w:pPr>
              <w:ind w:left="1280"/>
              <w:spacing w:after="0"/>
              <w:rPr>
                <w:sz w:val="20"/>
                <w:szCs w:val="20"/>
                <w:color w:val="auto"/>
              </w:rPr>
            </w:pPr>
            <w:r>
              <w:rPr>
                <w:rFonts w:ascii="Arial" w:cs="Arial" w:eastAsia="Arial" w:hAnsi="Arial"/>
                <w:sz w:val="18"/>
                <w:szCs w:val="18"/>
                <w:color w:val="auto"/>
              </w:rPr>
              <w:t>F-43</w:t>
            </w: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060"/>
          </w:cols>
          <w:pgMar w:left="320" w:top="459" w:right="519" w:bottom="1440" w:gutter="0" w:footer="0" w:header="0"/>
        </w:sectPr>
      </w:pPr>
    </w:p>
    <w:bookmarkStart w:id="249" w:name="page250"/>
    <w:bookmarkEnd w:id="24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35">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Confidential Treatment Requested by Definitive Healthcare Corp.</w:t>
      </w:r>
    </w:p>
    <w:p>
      <w:pPr>
        <w:spacing w:after="0" w:line="27"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Pursuant to 17 C.F.R. Section 200.83</w:t>
      </w:r>
    </w:p>
    <w:p>
      <w:pPr>
        <w:spacing w:after="0" w:line="143" w:lineRule="exact"/>
        <w:rPr>
          <w:sz w:val="20"/>
          <w:szCs w:val="20"/>
          <w:color w:val="auto"/>
        </w:rPr>
      </w:pPr>
    </w:p>
    <w:p>
      <w:pPr>
        <w:ind w:left="560"/>
        <w:spacing w:after="0"/>
        <w:rPr>
          <w:sz w:val="20"/>
          <w:szCs w:val="20"/>
          <w:color w:val="auto"/>
        </w:rPr>
      </w:pPr>
      <w:r>
        <w:rPr>
          <w:rFonts w:ascii="Arial" w:cs="Arial" w:eastAsia="Arial" w:hAnsi="Arial"/>
          <w:sz w:val="16"/>
          <w:szCs w:val="16"/>
          <w:color w:val="auto"/>
        </w:rPr>
        <w:t>Deferred taxes are recognized for temporary differences between the basis of assets and liabilities for financial statement and income tax purposes.</w:t>
      </w:r>
    </w:p>
    <w:p>
      <w:pPr>
        <w:spacing w:after="0" w:line="46"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The significant components of the deferred tax assets are comprised of the following (in thousands):</w:t>
      </w:r>
    </w:p>
    <w:p>
      <w:pPr>
        <w:spacing w:after="0" w:line="229" w:lineRule="exact"/>
        <w:rPr>
          <w:sz w:val="20"/>
          <w:szCs w:val="20"/>
          <w:color w:val="auto"/>
        </w:rPr>
      </w:pPr>
    </w:p>
    <w:tbl>
      <w:tblPr>
        <w:tblLayout w:type="fixed"/>
        <w:tblInd w:w="56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6600" w:type="dxa"/>
            <w:vAlign w:val="bottom"/>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2420" w:type="dxa"/>
            <w:vAlign w:val="bottom"/>
            <w:tcBorders>
              <w:bottom w:val="single" w:sz="8" w:color="auto"/>
            </w:tcBorders>
            <w:gridSpan w:val="5"/>
          </w:tcPr>
          <w:p>
            <w:pPr>
              <w:ind w:left="740"/>
              <w:spacing w:after="0"/>
              <w:rPr>
                <w:sz w:val="20"/>
                <w:szCs w:val="20"/>
                <w:color w:val="auto"/>
              </w:rPr>
            </w:pPr>
            <w:r>
              <w:rPr>
                <w:rFonts w:ascii="Arial" w:cs="Arial" w:eastAsia="Arial" w:hAnsi="Arial"/>
                <w:sz w:val="14"/>
                <w:szCs w:val="14"/>
                <w:b w:val="1"/>
                <w:bCs w:val="1"/>
                <w:color w:val="auto"/>
              </w:rPr>
              <w:t>Successor Company</w:t>
            </w:r>
          </w:p>
        </w:tc>
        <w:tc>
          <w:tcPr>
            <w:tcW w:w="660" w:type="dxa"/>
            <w:vAlign w:val="bottom"/>
            <w:tcBorders>
              <w:bottom w:val="single" w:sz="8" w:color="auto"/>
            </w:tcBorders>
          </w:tcPr>
          <w:p>
            <w:pPr>
              <w:spacing w:after="0"/>
              <w:rPr>
                <w:sz w:val="14"/>
                <w:szCs w:val="14"/>
                <w:color w:val="auto"/>
              </w:rPr>
            </w:pPr>
          </w:p>
        </w:tc>
        <w:tc>
          <w:tcPr>
            <w:tcW w:w="40" w:type="dxa"/>
            <w:vAlign w:val="bottom"/>
          </w:tcPr>
          <w:p>
            <w:pPr>
              <w:spacing w:after="0"/>
              <w:rPr>
                <w:sz w:val="14"/>
                <w:szCs w:val="14"/>
                <w:color w:val="auto"/>
              </w:rPr>
            </w:pPr>
          </w:p>
        </w:tc>
      </w:tr>
      <w:tr>
        <w:trPr>
          <w:trHeight w:val="142"/>
        </w:trPr>
        <w:tc>
          <w:tcPr>
            <w:tcW w:w="20" w:type="dxa"/>
            <w:vAlign w:val="bottom"/>
          </w:tcPr>
          <w:p>
            <w:pPr>
              <w:spacing w:after="0"/>
              <w:rPr>
                <w:sz w:val="12"/>
                <w:szCs w:val="12"/>
                <w:color w:val="auto"/>
              </w:rPr>
            </w:pPr>
          </w:p>
        </w:tc>
        <w:tc>
          <w:tcPr>
            <w:tcW w:w="6600" w:type="dxa"/>
            <w:vAlign w:val="bottom"/>
          </w:tcPr>
          <w:p>
            <w:pPr>
              <w:spacing w:after="0"/>
              <w:rPr>
                <w:sz w:val="12"/>
                <w:szCs w:val="12"/>
                <w:color w:val="auto"/>
              </w:rPr>
            </w:pPr>
          </w:p>
        </w:tc>
        <w:tc>
          <w:tcPr>
            <w:tcW w:w="1760" w:type="dxa"/>
            <w:vAlign w:val="bottom"/>
            <w:gridSpan w:val="4"/>
          </w:tcPr>
          <w:p>
            <w:pPr>
              <w:ind w:left="20"/>
              <w:spacing w:after="0" w:line="142" w:lineRule="exact"/>
              <w:rPr>
                <w:sz w:val="20"/>
                <w:szCs w:val="20"/>
                <w:color w:val="auto"/>
              </w:rPr>
            </w:pPr>
            <w:r>
              <w:rPr>
                <w:rFonts w:ascii="Arial" w:cs="Arial" w:eastAsia="Arial" w:hAnsi="Arial"/>
                <w:sz w:val="14"/>
                <w:szCs w:val="14"/>
                <w:color w:val="auto"/>
              </w:rPr>
              <w:t>December 31, 2020</w:t>
            </w:r>
          </w:p>
        </w:tc>
        <w:tc>
          <w:tcPr>
            <w:tcW w:w="560" w:type="dxa"/>
            <w:vAlign w:val="bottom"/>
          </w:tcPr>
          <w:p>
            <w:pPr>
              <w:spacing w:after="0"/>
              <w:rPr>
                <w:sz w:val="12"/>
                <w:szCs w:val="12"/>
                <w:color w:val="auto"/>
              </w:rPr>
            </w:pPr>
          </w:p>
        </w:tc>
        <w:tc>
          <w:tcPr>
            <w:tcW w:w="1140" w:type="dxa"/>
            <w:vAlign w:val="bottom"/>
            <w:gridSpan w:val="2"/>
          </w:tcPr>
          <w:p>
            <w:pPr>
              <w:spacing w:after="0" w:line="142" w:lineRule="exact"/>
              <w:rPr>
                <w:sz w:val="20"/>
                <w:szCs w:val="20"/>
                <w:color w:val="auto"/>
              </w:rPr>
            </w:pPr>
            <w:r>
              <w:rPr>
                <w:rFonts w:ascii="Arial" w:cs="Arial" w:eastAsia="Arial" w:hAnsi="Arial"/>
                <w:sz w:val="14"/>
                <w:szCs w:val="14"/>
                <w:color w:val="auto"/>
                <w:w w:val="91"/>
              </w:rPr>
              <w:t>December 31, 2019</w:t>
            </w:r>
          </w:p>
        </w:tc>
        <w:tc>
          <w:tcPr>
            <w:tcW w:w="40" w:type="dxa"/>
            <w:vAlign w:val="bottom"/>
          </w:tcPr>
          <w:p>
            <w:pPr>
              <w:spacing w:after="0"/>
              <w:rPr>
                <w:sz w:val="12"/>
                <w:szCs w:val="12"/>
                <w:color w:val="auto"/>
              </w:rPr>
            </w:pPr>
          </w:p>
        </w:tc>
      </w:tr>
      <w:tr>
        <w:trPr>
          <w:trHeight w:val="196"/>
        </w:trPr>
        <w:tc>
          <w:tcPr>
            <w:tcW w:w="20" w:type="dxa"/>
            <w:vAlign w:val="bottom"/>
          </w:tcPr>
          <w:p>
            <w:pPr>
              <w:spacing w:after="0"/>
              <w:rPr>
                <w:sz w:val="17"/>
                <w:szCs w:val="17"/>
                <w:color w:val="auto"/>
              </w:rPr>
            </w:pPr>
          </w:p>
        </w:tc>
        <w:tc>
          <w:tcPr>
            <w:tcW w:w="660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Deferred tax assets:</w:t>
            </w:r>
          </w:p>
        </w:tc>
        <w:tc>
          <w:tcPr>
            <w:tcW w:w="380" w:type="dxa"/>
            <w:vAlign w:val="bottom"/>
            <w:tcBorders>
              <w:top w:val="single" w:sz="8" w:color="auto"/>
            </w:tcBorders>
            <w:shd w:val="clear" w:color="auto" w:fill="CCEEFF"/>
          </w:tcPr>
          <w:p>
            <w:pPr>
              <w:spacing w:after="0"/>
              <w:rPr>
                <w:sz w:val="17"/>
                <w:szCs w:val="17"/>
                <w:color w:val="auto"/>
              </w:rPr>
            </w:pPr>
          </w:p>
        </w:tc>
        <w:tc>
          <w:tcPr>
            <w:tcW w:w="76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600" w:type="dxa"/>
            <w:vAlign w:val="bottom"/>
            <w:tcBorders>
              <w:top w:val="single" w:sz="8" w:color="CCEEFF"/>
            </w:tcBorders>
            <w:shd w:val="clear" w:color="auto" w:fill="CCEEFF"/>
          </w:tcPr>
          <w:p>
            <w:pPr>
              <w:spacing w:after="0"/>
              <w:rPr>
                <w:sz w:val="17"/>
                <w:szCs w:val="17"/>
                <w:color w:val="auto"/>
              </w:rPr>
            </w:pPr>
          </w:p>
        </w:tc>
        <w:tc>
          <w:tcPr>
            <w:tcW w:w="560" w:type="dxa"/>
            <w:vAlign w:val="bottom"/>
            <w:tcBorders>
              <w:top w:val="single" w:sz="8" w:color="CCEEFF"/>
            </w:tcBorders>
            <w:shd w:val="clear" w:color="auto" w:fill="CCEEFF"/>
          </w:tcPr>
          <w:p>
            <w:pPr>
              <w:spacing w:after="0"/>
              <w:rPr>
                <w:sz w:val="17"/>
                <w:szCs w:val="17"/>
                <w:color w:val="auto"/>
              </w:rPr>
            </w:pPr>
          </w:p>
        </w:tc>
        <w:tc>
          <w:tcPr>
            <w:tcW w:w="480" w:type="dxa"/>
            <w:vAlign w:val="bottom"/>
            <w:tcBorders>
              <w:top w:val="single" w:sz="8" w:color="auto"/>
            </w:tcBorders>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r>
      <w:tr>
        <w:trPr>
          <w:trHeight w:val="216"/>
        </w:trPr>
        <w:tc>
          <w:tcPr>
            <w:tcW w:w="20" w:type="dxa"/>
            <w:vAlign w:val="bottom"/>
          </w:tcPr>
          <w:p>
            <w:pPr>
              <w:spacing w:after="0"/>
              <w:rPr>
                <w:sz w:val="18"/>
                <w:szCs w:val="18"/>
                <w:color w:val="auto"/>
              </w:rPr>
            </w:pPr>
          </w:p>
        </w:tc>
        <w:tc>
          <w:tcPr>
            <w:tcW w:w="6600" w:type="dxa"/>
            <w:vAlign w:val="bottom"/>
          </w:tcPr>
          <w:p>
            <w:pPr>
              <w:ind w:left="340"/>
              <w:spacing w:after="0"/>
              <w:rPr>
                <w:sz w:val="20"/>
                <w:szCs w:val="20"/>
                <w:color w:val="auto"/>
              </w:rPr>
            </w:pPr>
            <w:r>
              <w:rPr>
                <w:rFonts w:ascii="Arial" w:cs="Arial" w:eastAsia="Arial" w:hAnsi="Arial"/>
                <w:sz w:val="18"/>
                <w:szCs w:val="18"/>
                <w:color w:val="auto"/>
              </w:rPr>
              <w:t>Foreign, U.S. and state net operating loss carryforwards</w:t>
            </w:r>
          </w:p>
        </w:tc>
        <w:tc>
          <w:tcPr>
            <w:tcW w:w="380" w:type="dxa"/>
            <w:vAlign w:val="bottom"/>
          </w:tcPr>
          <w:p>
            <w:pPr>
              <w:ind w:left="20"/>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20"/>
              <w:spacing w:after="0"/>
              <w:rPr>
                <w:sz w:val="20"/>
                <w:szCs w:val="20"/>
                <w:color w:val="auto"/>
              </w:rPr>
            </w:pPr>
            <w:r>
              <w:rPr>
                <w:rFonts w:ascii="Arial" w:cs="Arial" w:eastAsia="Arial" w:hAnsi="Arial"/>
                <w:sz w:val="18"/>
                <w:szCs w:val="18"/>
                <w:color w:val="auto"/>
              </w:rPr>
              <w:t>1,517</w:t>
            </w:r>
          </w:p>
        </w:tc>
        <w:tc>
          <w:tcPr>
            <w:tcW w:w="600" w:type="dxa"/>
            <w:vAlign w:val="bottom"/>
          </w:tcPr>
          <w:p>
            <w:pPr>
              <w:spacing w:after="0"/>
              <w:rPr>
                <w:sz w:val="18"/>
                <w:szCs w:val="18"/>
                <w:color w:val="auto"/>
              </w:rPr>
            </w:pPr>
          </w:p>
        </w:tc>
        <w:tc>
          <w:tcPr>
            <w:tcW w:w="1040" w:type="dxa"/>
            <w:vAlign w:val="bottom"/>
            <w:gridSpan w:val="2"/>
          </w:tcPr>
          <w:p>
            <w:pPr>
              <w:ind w:left="560"/>
              <w:spacing w:after="0"/>
              <w:rPr>
                <w:sz w:val="20"/>
                <w:szCs w:val="20"/>
                <w:color w:val="auto"/>
              </w:rPr>
            </w:pPr>
            <w:r>
              <w:rPr>
                <w:rFonts w:ascii="Arial" w:cs="Arial" w:eastAsia="Arial" w:hAnsi="Arial"/>
                <w:sz w:val="18"/>
                <w:szCs w:val="18"/>
                <w:color w:val="auto"/>
              </w:rPr>
              <w:t>$</w:t>
            </w:r>
          </w:p>
        </w:tc>
        <w:tc>
          <w:tcPr>
            <w:tcW w:w="700" w:type="dxa"/>
            <w:vAlign w:val="bottom"/>
            <w:gridSpan w:val="2"/>
          </w:tcPr>
          <w:p>
            <w:pPr>
              <w:ind w:left="380"/>
              <w:spacing w:after="0"/>
              <w:rPr>
                <w:sz w:val="20"/>
                <w:szCs w:val="20"/>
                <w:color w:val="auto"/>
              </w:rPr>
            </w:pPr>
            <w:r>
              <w:rPr>
                <w:rFonts w:ascii="Arial" w:cs="Arial" w:eastAsia="Arial" w:hAnsi="Arial"/>
                <w:sz w:val="18"/>
                <w:szCs w:val="18"/>
                <w:color w:val="auto"/>
                <w:w w:val="99"/>
              </w:rPr>
              <w:t>212</w:t>
            </w:r>
          </w:p>
        </w:tc>
      </w:tr>
      <w:tr>
        <w:trPr>
          <w:trHeight w:val="216"/>
        </w:trPr>
        <w:tc>
          <w:tcPr>
            <w:tcW w:w="20" w:type="dxa"/>
            <w:vAlign w:val="bottom"/>
          </w:tcPr>
          <w:p>
            <w:pPr>
              <w:spacing w:after="0"/>
              <w:rPr>
                <w:sz w:val="18"/>
                <w:szCs w:val="18"/>
                <w:color w:val="auto"/>
              </w:rPr>
            </w:pPr>
          </w:p>
        </w:tc>
        <w:tc>
          <w:tcPr>
            <w:tcW w:w="66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Accrued Expenses</w:t>
            </w:r>
          </w:p>
        </w:tc>
        <w:tc>
          <w:tcPr>
            <w:tcW w:w="3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12</w:t>
            </w:r>
          </w:p>
        </w:tc>
        <w:tc>
          <w:tcPr>
            <w:tcW w:w="6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w:t>
            </w:r>
          </w:p>
        </w:tc>
      </w:tr>
      <w:tr>
        <w:trPr>
          <w:trHeight w:val="223"/>
        </w:trPr>
        <w:tc>
          <w:tcPr>
            <w:tcW w:w="20" w:type="dxa"/>
            <w:vAlign w:val="bottom"/>
          </w:tcPr>
          <w:p>
            <w:pPr>
              <w:spacing w:after="0"/>
              <w:rPr>
                <w:sz w:val="19"/>
                <w:szCs w:val="19"/>
                <w:color w:val="auto"/>
              </w:rPr>
            </w:pPr>
          </w:p>
        </w:tc>
        <w:tc>
          <w:tcPr>
            <w:tcW w:w="6600" w:type="dxa"/>
            <w:vAlign w:val="bottom"/>
          </w:tcPr>
          <w:p>
            <w:pPr>
              <w:ind w:left="340"/>
              <w:spacing w:after="0"/>
              <w:rPr>
                <w:sz w:val="20"/>
                <w:szCs w:val="20"/>
                <w:color w:val="auto"/>
              </w:rPr>
            </w:pPr>
            <w:r>
              <w:rPr>
                <w:rFonts w:ascii="Arial" w:cs="Arial" w:eastAsia="Arial" w:hAnsi="Arial"/>
                <w:sz w:val="18"/>
                <w:szCs w:val="18"/>
                <w:color w:val="auto"/>
              </w:rPr>
              <w:t>Unrealized foreign exchange losses</w:t>
            </w:r>
          </w:p>
        </w:tc>
        <w:tc>
          <w:tcPr>
            <w:tcW w:w="38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62</w:t>
            </w:r>
          </w:p>
        </w:tc>
        <w:tc>
          <w:tcPr>
            <w:tcW w:w="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ind w:left="38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6600" w:type="dxa"/>
            <w:vAlign w:val="bottom"/>
            <w:shd w:val="clear" w:color="auto" w:fill="CCEEFF"/>
          </w:tcPr>
          <w:p>
            <w:pPr>
              <w:spacing w:after="0"/>
              <w:rPr>
                <w:sz w:val="20"/>
                <w:szCs w:val="20"/>
                <w:color w:val="auto"/>
              </w:rPr>
            </w:pPr>
            <w:r>
              <w:rPr>
                <w:rFonts w:ascii="Arial" w:cs="Arial" w:eastAsia="Arial" w:hAnsi="Arial"/>
                <w:sz w:val="18"/>
                <w:szCs w:val="18"/>
                <w:color w:val="auto"/>
              </w:rPr>
              <w:t>Subtotal</w:t>
            </w:r>
          </w:p>
        </w:tc>
        <w:tc>
          <w:tcPr>
            <w:tcW w:w="3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1,591</w:t>
            </w:r>
          </w:p>
        </w:tc>
        <w:tc>
          <w:tcPr>
            <w:tcW w:w="6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w w:val="99"/>
              </w:rPr>
              <w:t>212</w:t>
            </w:r>
          </w:p>
        </w:tc>
      </w:tr>
      <w:tr>
        <w:trPr>
          <w:trHeight w:val="223"/>
        </w:trPr>
        <w:tc>
          <w:tcPr>
            <w:tcW w:w="20" w:type="dxa"/>
            <w:vAlign w:val="bottom"/>
          </w:tcPr>
          <w:p>
            <w:pPr>
              <w:spacing w:after="0"/>
              <w:rPr>
                <w:sz w:val="19"/>
                <w:szCs w:val="19"/>
                <w:color w:val="auto"/>
              </w:rPr>
            </w:pPr>
          </w:p>
        </w:tc>
        <w:tc>
          <w:tcPr>
            <w:tcW w:w="6600" w:type="dxa"/>
            <w:vAlign w:val="bottom"/>
          </w:tcPr>
          <w:p>
            <w:pPr>
              <w:spacing w:after="0"/>
              <w:rPr>
                <w:sz w:val="20"/>
                <w:szCs w:val="20"/>
                <w:color w:val="auto"/>
              </w:rPr>
            </w:pPr>
            <w:r>
              <w:rPr>
                <w:rFonts w:ascii="Arial" w:cs="Arial" w:eastAsia="Arial" w:hAnsi="Arial"/>
                <w:sz w:val="18"/>
                <w:szCs w:val="18"/>
                <w:color w:val="auto"/>
              </w:rPr>
              <w:t>Less valuation allowance</w:t>
            </w:r>
          </w:p>
        </w:tc>
        <w:tc>
          <w:tcPr>
            <w:tcW w:w="380" w:type="dxa"/>
            <w:vAlign w:val="bottom"/>
          </w:tcPr>
          <w:p>
            <w:pPr>
              <w:spacing w:after="0"/>
              <w:rPr>
                <w:sz w:val="19"/>
                <w:szCs w:val="19"/>
                <w:color w:val="auto"/>
              </w:rPr>
            </w:pPr>
          </w:p>
        </w:tc>
        <w:tc>
          <w:tcPr>
            <w:tcW w:w="1380" w:type="dxa"/>
            <w:vAlign w:val="bottom"/>
            <w:gridSpan w:val="3"/>
          </w:tcPr>
          <w:p>
            <w:pPr>
              <w:jc w:val="right"/>
              <w:ind w:right="560"/>
              <w:spacing w:after="0"/>
              <w:rPr>
                <w:sz w:val="20"/>
                <w:szCs w:val="20"/>
                <w:color w:val="auto"/>
              </w:rPr>
            </w:pPr>
            <w:r>
              <w:rPr>
                <w:rFonts w:ascii="Arial" w:cs="Arial" w:eastAsia="Arial" w:hAnsi="Arial"/>
                <w:sz w:val="18"/>
                <w:szCs w:val="18"/>
                <w:color w:val="auto"/>
              </w:rPr>
              <w:t>(1,430)</w:t>
            </w:r>
          </w:p>
        </w:tc>
        <w:tc>
          <w:tcPr>
            <w:tcW w:w="5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700" w:type="dxa"/>
            <w:vAlign w:val="bottom"/>
            <w:gridSpan w:val="2"/>
          </w:tcPr>
          <w:p>
            <w:pPr>
              <w:ind w:left="38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6600" w:type="dxa"/>
            <w:vAlign w:val="bottom"/>
            <w:shd w:val="clear" w:color="auto" w:fill="CCEEFF"/>
          </w:tcPr>
          <w:p>
            <w:pPr>
              <w:spacing w:after="0"/>
              <w:rPr>
                <w:sz w:val="20"/>
                <w:szCs w:val="20"/>
                <w:color w:val="auto"/>
              </w:rPr>
            </w:pPr>
            <w:r>
              <w:rPr>
                <w:rFonts w:ascii="Arial" w:cs="Arial" w:eastAsia="Arial" w:hAnsi="Arial"/>
                <w:sz w:val="18"/>
                <w:szCs w:val="18"/>
                <w:color w:val="auto"/>
              </w:rPr>
              <w:t>Total deferred tax assets</w:t>
            </w:r>
          </w:p>
        </w:tc>
        <w:tc>
          <w:tcPr>
            <w:tcW w:w="380" w:type="dxa"/>
            <w:vAlign w:val="bottom"/>
            <w:tcBorders>
              <w:top w:val="single" w:sz="8" w:color="auto"/>
              <w:bottom w:val="single" w:sz="8" w:color="auto"/>
            </w:tcBorders>
            <w:shd w:val="clear" w:color="auto" w:fill="CCEEFF"/>
          </w:tcPr>
          <w:p>
            <w:pPr>
              <w:spacing w:after="0"/>
              <w:rPr>
                <w:sz w:val="18"/>
                <w:szCs w:val="18"/>
                <w:color w:val="auto"/>
              </w:rPr>
            </w:pP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161</w:t>
            </w:r>
          </w:p>
        </w:tc>
        <w:tc>
          <w:tcPr>
            <w:tcW w:w="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480" w:type="dxa"/>
            <w:vAlign w:val="bottom"/>
            <w:tcBorders>
              <w:top w:val="single" w:sz="8" w:color="auto"/>
              <w:bottom w:val="single" w:sz="8" w:color="auto"/>
            </w:tcBorders>
            <w:shd w:val="clear" w:color="auto" w:fill="CCEEFF"/>
          </w:tcPr>
          <w:p>
            <w:pPr>
              <w:spacing w:after="0"/>
              <w:rPr>
                <w:sz w:val="18"/>
                <w:szCs w:val="18"/>
                <w:color w:val="auto"/>
              </w:rPr>
            </w:pPr>
          </w:p>
        </w:tc>
        <w:tc>
          <w:tcPr>
            <w:tcW w:w="660" w:type="dxa"/>
            <w:vAlign w:val="bottom"/>
            <w:tcBorders>
              <w:top w:val="single" w:sz="8" w:color="auto"/>
              <w:bottom w:val="single" w:sz="8" w:color="auto"/>
            </w:tcBorders>
            <w:shd w:val="clear" w:color="auto" w:fill="CCEEFF"/>
          </w:tcPr>
          <w:p>
            <w:pPr>
              <w:ind w:left="380"/>
              <w:spacing w:after="0"/>
              <w:rPr>
                <w:sz w:val="20"/>
                <w:szCs w:val="20"/>
                <w:color w:val="auto"/>
              </w:rPr>
            </w:pPr>
            <w:r>
              <w:rPr>
                <w:rFonts w:ascii="Arial" w:cs="Arial" w:eastAsia="Arial" w:hAnsi="Arial"/>
                <w:sz w:val="18"/>
                <w:szCs w:val="18"/>
                <w:color w:val="auto"/>
                <w:w w:val="86"/>
              </w:rPr>
              <w:t>212</w:t>
            </w:r>
          </w:p>
        </w:tc>
        <w:tc>
          <w:tcPr>
            <w:tcW w:w="40" w:type="dxa"/>
            <w:vAlign w:val="bottom"/>
            <w:shd w:val="clear" w:color="auto" w:fill="CCEEFF"/>
          </w:tcPr>
          <w:p>
            <w:pPr>
              <w:spacing w:after="0"/>
              <w:rPr>
                <w:sz w:val="18"/>
                <w:szCs w:val="18"/>
                <w:color w:val="auto"/>
              </w:rPr>
            </w:pPr>
          </w:p>
        </w:tc>
      </w:tr>
      <w:tr>
        <w:trPr>
          <w:trHeight w:val="223"/>
        </w:trPr>
        <w:tc>
          <w:tcPr>
            <w:tcW w:w="6620" w:type="dxa"/>
            <w:vAlign w:val="bottom"/>
            <w:gridSpan w:val="2"/>
          </w:tcPr>
          <w:p>
            <w:pPr>
              <w:spacing w:after="0"/>
              <w:rPr>
                <w:sz w:val="20"/>
                <w:szCs w:val="20"/>
                <w:color w:val="auto"/>
              </w:rPr>
            </w:pPr>
            <w:r>
              <w:rPr>
                <w:rFonts w:ascii="Arial" w:cs="Arial" w:eastAsia="Arial" w:hAnsi="Arial"/>
                <w:sz w:val="18"/>
                <w:szCs w:val="18"/>
                <w:color w:val="auto"/>
              </w:rPr>
              <w:t>Net deferred tax assets</w:t>
            </w:r>
          </w:p>
        </w:tc>
        <w:tc>
          <w:tcPr>
            <w:tcW w:w="38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161</w:t>
            </w:r>
          </w:p>
        </w:tc>
        <w:tc>
          <w:tcPr>
            <w:tcW w:w="20" w:type="dxa"/>
            <w:vAlign w:val="bottom"/>
            <w:tcBorders>
              <w:bottom w:val="single" w:sz="8" w:color="auto"/>
            </w:tcBorders>
          </w:tcPr>
          <w:p>
            <w:pPr>
              <w:spacing w:after="0"/>
              <w:rPr>
                <w:sz w:val="19"/>
                <w:szCs w:val="19"/>
                <w:color w:val="auto"/>
              </w:rPr>
            </w:pPr>
          </w:p>
        </w:tc>
        <w:tc>
          <w:tcPr>
            <w:tcW w:w="6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4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660" w:type="dxa"/>
            <w:vAlign w:val="bottom"/>
            <w:tcBorders>
              <w:bottom w:val="single" w:sz="8" w:color="auto"/>
            </w:tcBorders>
          </w:tcPr>
          <w:p>
            <w:pPr>
              <w:ind w:left="380"/>
              <w:spacing w:after="0"/>
              <w:rPr>
                <w:sz w:val="20"/>
                <w:szCs w:val="20"/>
                <w:color w:val="auto"/>
              </w:rPr>
            </w:pPr>
            <w:r>
              <w:rPr>
                <w:rFonts w:ascii="Arial" w:cs="Arial" w:eastAsia="Arial" w:hAnsi="Arial"/>
                <w:sz w:val="18"/>
                <w:szCs w:val="18"/>
                <w:color w:val="auto"/>
                <w:w w:val="86"/>
              </w:rPr>
              <w:t>212</w:t>
            </w:r>
          </w:p>
        </w:tc>
        <w:tc>
          <w:tcPr>
            <w:tcW w:w="40" w:type="dxa"/>
            <w:vAlign w:val="bottom"/>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66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15" w:lineRule="exact"/>
        <w:rPr>
          <w:sz w:val="20"/>
          <w:szCs w:val="20"/>
          <w:color w:val="auto"/>
        </w:rPr>
      </w:pPr>
    </w:p>
    <w:p>
      <w:pPr>
        <w:ind w:left="120" w:right="40" w:firstLine="440"/>
        <w:spacing w:after="0" w:line="277" w:lineRule="auto"/>
        <w:rPr>
          <w:sz w:val="20"/>
          <w:szCs w:val="20"/>
          <w:color w:val="auto"/>
        </w:rPr>
      </w:pPr>
      <w:r>
        <w:rPr>
          <w:rFonts w:ascii="Arial" w:cs="Arial" w:eastAsia="Arial" w:hAnsi="Arial"/>
          <w:sz w:val="18"/>
          <w:szCs w:val="18"/>
          <w:color w:val="auto"/>
        </w:rPr>
        <w:t>A reconciliation of income tax expense computed at the statutory federal income tax rate to income taxes as reflected in the financial statements is as follows:</w:t>
      </w:r>
    </w:p>
    <w:p>
      <w:pPr>
        <w:spacing w:after="0" w:line="176" w:lineRule="exact"/>
        <w:rPr>
          <w:sz w:val="20"/>
          <w:szCs w:val="20"/>
          <w:color w:val="auto"/>
        </w:rPr>
      </w:pPr>
    </w:p>
    <w:tbl>
      <w:tblPr>
        <w:tblLayout w:type="fixed"/>
        <w:tblInd w:w="560" w:type="dxa"/>
        <w:tblCellMar>
          <w:top w:w="0" w:type="dxa"/>
          <w:left w:w="0" w:type="dxa"/>
          <w:bottom w:w="0" w:type="dxa"/>
          <w:right w:w="0" w:type="dxa"/>
        </w:tblCellMar>
      </w:tblPr>
      <w:tr>
        <w:trPr>
          <w:trHeight w:val="35"/>
        </w:trPr>
        <w:tc>
          <w:tcPr>
            <w:tcW w:w="6040" w:type="dxa"/>
            <w:vAlign w:val="bottom"/>
          </w:tcPr>
          <w:p>
            <w:pPr>
              <w:spacing w:after="0"/>
              <w:rPr>
                <w:sz w:val="3"/>
                <w:szCs w:val="3"/>
                <w:color w:val="auto"/>
              </w:rPr>
            </w:pPr>
          </w:p>
        </w:tc>
        <w:tc>
          <w:tcPr>
            <w:tcW w:w="2460" w:type="dxa"/>
            <w:vAlign w:val="bottom"/>
            <w:gridSpan w:val="4"/>
            <w:vMerge w:val="restart"/>
          </w:tcPr>
          <w:p>
            <w:pPr>
              <w:jc w:val="right"/>
              <w:ind w:right="800"/>
              <w:spacing w:after="0"/>
              <w:rPr>
                <w:sz w:val="20"/>
                <w:szCs w:val="20"/>
                <w:color w:val="auto"/>
              </w:rPr>
            </w:pPr>
            <w:r>
              <w:rPr>
                <w:rFonts w:ascii="Arial" w:cs="Arial" w:eastAsia="Arial" w:hAnsi="Arial"/>
                <w:sz w:val="14"/>
                <w:szCs w:val="14"/>
                <w:b w:val="1"/>
                <w:bCs w:val="1"/>
                <w:color w:val="auto"/>
              </w:rPr>
              <w:t>Successor Company</w:t>
            </w:r>
          </w:p>
        </w:tc>
        <w:tc>
          <w:tcPr>
            <w:tcW w:w="280" w:type="dxa"/>
            <w:vAlign w:val="bottom"/>
          </w:tcPr>
          <w:p>
            <w:pPr>
              <w:spacing w:after="0"/>
              <w:rPr>
                <w:sz w:val="3"/>
                <w:szCs w:val="3"/>
                <w:color w:val="auto"/>
              </w:rPr>
            </w:pPr>
          </w:p>
        </w:tc>
        <w:tc>
          <w:tcPr>
            <w:tcW w:w="1340" w:type="dxa"/>
            <w:vAlign w:val="bottom"/>
            <w:gridSpan w:val="2"/>
            <w:vMerge w:val="restart"/>
          </w:tcPr>
          <w:p>
            <w:pPr>
              <w:jc w:val="center"/>
              <w:ind w:right="200"/>
              <w:spacing w:after="0"/>
              <w:rPr>
                <w:sz w:val="20"/>
                <w:szCs w:val="20"/>
                <w:color w:val="auto"/>
              </w:rPr>
            </w:pPr>
            <w:r>
              <w:rPr>
                <w:rFonts w:ascii="Arial" w:cs="Arial" w:eastAsia="Arial" w:hAnsi="Arial"/>
                <w:sz w:val="14"/>
                <w:szCs w:val="14"/>
                <w:b w:val="1"/>
                <w:bCs w:val="1"/>
                <w:color w:val="auto"/>
                <w:w w:val="87"/>
              </w:rPr>
              <w:t>Predecessor</w:t>
            </w:r>
          </w:p>
        </w:tc>
        <w:tc>
          <w:tcPr>
            <w:tcW w:w="0" w:type="dxa"/>
            <w:vAlign w:val="bottom"/>
          </w:tcPr>
          <w:p>
            <w:pPr>
              <w:spacing w:after="0" w:line="20" w:lineRule="exact"/>
              <w:rPr>
                <w:sz w:val="1"/>
                <w:szCs w:val="1"/>
                <w:color w:val="auto"/>
              </w:rPr>
            </w:pPr>
          </w:p>
        </w:tc>
      </w:tr>
      <w:tr>
        <w:trPr>
          <w:trHeight w:val="126"/>
        </w:trPr>
        <w:tc>
          <w:tcPr>
            <w:tcW w:w="6040" w:type="dxa"/>
            <w:vAlign w:val="bottom"/>
          </w:tcPr>
          <w:p>
            <w:pPr>
              <w:spacing w:after="0"/>
              <w:rPr>
                <w:sz w:val="10"/>
                <w:szCs w:val="10"/>
                <w:color w:val="auto"/>
              </w:rPr>
            </w:pPr>
          </w:p>
        </w:tc>
        <w:tc>
          <w:tcPr>
            <w:tcW w:w="2460" w:type="dxa"/>
            <w:vAlign w:val="bottom"/>
            <w:gridSpan w:val="4"/>
            <w:vMerge w:val="continue"/>
          </w:tcPr>
          <w:p>
            <w:pPr>
              <w:spacing w:after="0"/>
              <w:rPr>
                <w:sz w:val="10"/>
                <w:szCs w:val="10"/>
                <w:color w:val="auto"/>
              </w:rPr>
            </w:pPr>
          </w:p>
        </w:tc>
        <w:tc>
          <w:tcPr>
            <w:tcW w:w="280" w:type="dxa"/>
            <w:vAlign w:val="bottom"/>
            <w:tcBorders>
              <w:left w:val="single" w:sz="8" w:color="auto"/>
            </w:tcBorders>
          </w:tcPr>
          <w:p>
            <w:pPr>
              <w:spacing w:after="0"/>
              <w:rPr>
                <w:sz w:val="10"/>
                <w:szCs w:val="10"/>
                <w:color w:val="auto"/>
              </w:rPr>
            </w:pPr>
          </w:p>
        </w:tc>
        <w:tc>
          <w:tcPr>
            <w:tcW w:w="134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6040" w:type="dxa"/>
            <w:vAlign w:val="bottom"/>
          </w:tcPr>
          <w:p>
            <w:pPr>
              <w:spacing w:after="0"/>
              <w:rPr>
                <w:sz w:val="14"/>
                <w:szCs w:val="14"/>
                <w:color w:val="auto"/>
              </w:rPr>
            </w:pPr>
          </w:p>
        </w:tc>
        <w:tc>
          <w:tcPr>
            <w:tcW w:w="2460" w:type="dxa"/>
            <w:vAlign w:val="bottom"/>
            <w:gridSpan w:val="4"/>
            <w:vMerge w:val="continue"/>
          </w:tcPr>
          <w:p>
            <w:pPr>
              <w:spacing w:after="0"/>
              <w:rPr>
                <w:sz w:val="14"/>
                <w:szCs w:val="14"/>
                <w:color w:val="auto"/>
              </w:rPr>
            </w:pPr>
          </w:p>
        </w:tc>
        <w:tc>
          <w:tcPr>
            <w:tcW w:w="280" w:type="dxa"/>
            <w:vAlign w:val="bottom"/>
            <w:tcBorders>
              <w:left w:val="single" w:sz="8" w:color="auto"/>
            </w:tcBorders>
          </w:tcPr>
          <w:p>
            <w:pPr>
              <w:spacing w:after="0"/>
              <w:rPr>
                <w:sz w:val="14"/>
                <w:szCs w:val="14"/>
                <w:color w:val="auto"/>
              </w:rPr>
            </w:pPr>
          </w:p>
        </w:tc>
        <w:tc>
          <w:tcPr>
            <w:tcW w:w="134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3"/>
              </w:rPr>
              <w:t>Company</w:t>
            </w:r>
          </w:p>
        </w:tc>
        <w:tc>
          <w:tcPr>
            <w:tcW w:w="0" w:type="dxa"/>
            <w:vAlign w:val="bottom"/>
          </w:tcPr>
          <w:p>
            <w:pPr>
              <w:spacing w:after="0"/>
              <w:rPr>
                <w:sz w:val="1"/>
                <w:szCs w:val="1"/>
                <w:color w:val="auto"/>
              </w:rPr>
            </w:pPr>
          </w:p>
        </w:tc>
      </w:tr>
      <w:tr>
        <w:trPr>
          <w:trHeight w:val="123"/>
        </w:trPr>
        <w:tc>
          <w:tcPr>
            <w:tcW w:w="6040" w:type="dxa"/>
            <w:vAlign w:val="bottom"/>
          </w:tcPr>
          <w:p>
            <w:pPr>
              <w:spacing w:after="0"/>
              <w:rPr>
                <w:sz w:val="10"/>
                <w:szCs w:val="10"/>
                <w:color w:val="auto"/>
              </w:rPr>
            </w:pPr>
          </w:p>
        </w:tc>
        <w:tc>
          <w:tcPr>
            <w:tcW w:w="820" w:type="dxa"/>
            <w:vAlign w:val="bottom"/>
            <w:tcBorders>
              <w:top w:val="single" w:sz="8" w:color="auto"/>
            </w:tcBorders>
          </w:tcPr>
          <w:p>
            <w:pPr>
              <w:spacing w:after="0"/>
              <w:rPr>
                <w:sz w:val="10"/>
                <w:szCs w:val="10"/>
                <w:color w:val="auto"/>
              </w:rPr>
            </w:pPr>
          </w:p>
        </w:tc>
        <w:tc>
          <w:tcPr>
            <w:tcW w:w="340" w:type="dxa"/>
            <w:vAlign w:val="bottom"/>
            <w:tcBorders>
              <w:top w:val="single" w:sz="8" w:color="auto"/>
            </w:tcBorders>
          </w:tcPr>
          <w:p>
            <w:pPr>
              <w:spacing w:after="0"/>
              <w:rPr>
                <w:sz w:val="10"/>
                <w:szCs w:val="10"/>
                <w:color w:val="auto"/>
              </w:rPr>
            </w:pPr>
          </w:p>
        </w:tc>
        <w:tc>
          <w:tcPr>
            <w:tcW w:w="920" w:type="dxa"/>
            <w:vAlign w:val="bottom"/>
            <w:tcBorders>
              <w:top w:val="single" w:sz="8" w:color="auto"/>
            </w:tcBorders>
          </w:tcPr>
          <w:p>
            <w:pPr>
              <w:jc w:val="center"/>
              <w:spacing w:after="0" w:line="123" w:lineRule="exact"/>
              <w:rPr>
                <w:sz w:val="20"/>
                <w:szCs w:val="20"/>
                <w:color w:val="auto"/>
              </w:rPr>
            </w:pPr>
            <w:r>
              <w:rPr>
                <w:rFonts w:ascii="Arial" w:cs="Arial" w:eastAsia="Arial" w:hAnsi="Arial"/>
                <w:sz w:val="14"/>
                <w:szCs w:val="14"/>
                <w:color w:val="auto"/>
                <w:w w:val="93"/>
              </w:rPr>
              <w:t>Period from</w:t>
            </w:r>
          </w:p>
        </w:tc>
        <w:tc>
          <w:tcPr>
            <w:tcW w:w="380" w:type="dxa"/>
            <w:vAlign w:val="bottom"/>
          </w:tcPr>
          <w:p>
            <w:pPr>
              <w:spacing w:after="0"/>
              <w:rPr>
                <w:sz w:val="10"/>
                <w:szCs w:val="10"/>
                <w:color w:val="auto"/>
              </w:rPr>
            </w:pPr>
          </w:p>
        </w:tc>
        <w:tc>
          <w:tcPr>
            <w:tcW w:w="280" w:type="dxa"/>
            <w:vAlign w:val="bottom"/>
            <w:tcBorders>
              <w:left w:val="single" w:sz="8" w:color="auto"/>
            </w:tcBorders>
          </w:tcPr>
          <w:p>
            <w:pPr>
              <w:spacing w:after="0"/>
              <w:rPr>
                <w:sz w:val="10"/>
                <w:szCs w:val="10"/>
                <w:color w:val="auto"/>
              </w:rPr>
            </w:pPr>
          </w:p>
        </w:tc>
        <w:tc>
          <w:tcPr>
            <w:tcW w:w="1140" w:type="dxa"/>
            <w:vAlign w:val="bottom"/>
            <w:tcBorders>
              <w:top w:val="single" w:sz="8" w:color="auto"/>
            </w:tcBorders>
          </w:tcPr>
          <w:p>
            <w:pPr>
              <w:jc w:val="center"/>
              <w:spacing w:after="0" w:line="123" w:lineRule="exact"/>
              <w:rPr>
                <w:sz w:val="20"/>
                <w:szCs w:val="20"/>
                <w:color w:val="auto"/>
              </w:rPr>
            </w:pPr>
            <w:r>
              <w:rPr>
                <w:rFonts w:ascii="Arial" w:cs="Arial" w:eastAsia="Arial" w:hAnsi="Arial"/>
                <w:sz w:val="14"/>
                <w:szCs w:val="14"/>
                <w:color w:val="auto"/>
                <w:w w:val="96"/>
              </w:rPr>
              <w:t>Period from</w:t>
            </w:r>
          </w:p>
        </w:tc>
        <w:tc>
          <w:tcPr>
            <w:tcW w:w="2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6040" w:type="dxa"/>
            <w:vAlign w:val="bottom"/>
          </w:tcPr>
          <w:p>
            <w:pPr>
              <w:spacing w:after="0"/>
              <w:rPr>
                <w:sz w:val="12"/>
                <w:szCs w:val="12"/>
                <w:color w:val="auto"/>
              </w:rPr>
            </w:pPr>
          </w:p>
        </w:tc>
        <w:tc>
          <w:tcPr>
            <w:tcW w:w="1160" w:type="dxa"/>
            <w:vAlign w:val="bottom"/>
            <w:gridSpan w:val="2"/>
          </w:tcPr>
          <w:p>
            <w:pPr>
              <w:jc w:val="center"/>
              <w:ind w:right="320"/>
              <w:spacing w:after="0" w:line="149" w:lineRule="exact"/>
              <w:rPr>
                <w:sz w:val="20"/>
                <w:szCs w:val="20"/>
                <w:color w:val="auto"/>
              </w:rPr>
            </w:pPr>
            <w:r>
              <w:rPr>
                <w:rFonts w:ascii="Arial" w:cs="Arial" w:eastAsia="Arial" w:hAnsi="Arial"/>
                <w:sz w:val="14"/>
                <w:szCs w:val="14"/>
                <w:color w:val="auto"/>
                <w:w w:val="88"/>
              </w:rPr>
              <w:t>Year ended</w:t>
            </w:r>
          </w:p>
        </w:tc>
        <w:tc>
          <w:tcPr>
            <w:tcW w:w="1300" w:type="dxa"/>
            <w:vAlign w:val="bottom"/>
            <w:gridSpan w:val="2"/>
          </w:tcPr>
          <w:p>
            <w:pPr>
              <w:jc w:val="center"/>
              <w:ind w:right="380"/>
              <w:spacing w:after="0" w:line="149" w:lineRule="exact"/>
              <w:rPr>
                <w:sz w:val="20"/>
                <w:szCs w:val="20"/>
                <w:color w:val="auto"/>
              </w:rPr>
            </w:pPr>
            <w:r>
              <w:rPr>
                <w:rFonts w:ascii="Arial" w:cs="Arial" w:eastAsia="Arial" w:hAnsi="Arial"/>
                <w:sz w:val="14"/>
                <w:szCs w:val="14"/>
                <w:color w:val="auto"/>
                <w:w w:val="93"/>
              </w:rPr>
              <w:t>July 16, 2019 to</w:t>
            </w:r>
          </w:p>
        </w:tc>
        <w:tc>
          <w:tcPr>
            <w:tcW w:w="280" w:type="dxa"/>
            <w:vAlign w:val="bottom"/>
            <w:tcBorders>
              <w:left w:val="single" w:sz="8" w:color="auto"/>
            </w:tcBorders>
          </w:tcPr>
          <w:p>
            <w:pPr>
              <w:spacing w:after="0"/>
              <w:rPr>
                <w:sz w:val="12"/>
                <w:szCs w:val="12"/>
                <w:color w:val="auto"/>
              </w:rPr>
            </w:pPr>
          </w:p>
        </w:tc>
        <w:tc>
          <w:tcPr>
            <w:tcW w:w="1340" w:type="dxa"/>
            <w:vAlign w:val="bottom"/>
            <w:gridSpan w:val="2"/>
          </w:tcPr>
          <w:p>
            <w:pPr>
              <w:jc w:val="center"/>
              <w:ind w:right="200"/>
              <w:spacing w:after="0" w:line="149" w:lineRule="exact"/>
              <w:rPr>
                <w:sz w:val="20"/>
                <w:szCs w:val="20"/>
                <w:color w:val="auto"/>
              </w:rPr>
            </w:pPr>
            <w:r>
              <w:rPr>
                <w:rFonts w:ascii="Arial" w:cs="Arial" w:eastAsia="Arial" w:hAnsi="Arial"/>
                <w:sz w:val="14"/>
                <w:szCs w:val="14"/>
                <w:color w:val="auto"/>
                <w:w w:val="92"/>
              </w:rPr>
              <w:t>January 16, 2019 to</w:t>
            </w:r>
          </w:p>
        </w:tc>
        <w:tc>
          <w:tcPr>
            <w:tcW w:w="0" w:type="dxa"/>
            <w:vAlign w:val="bottom"/>
          </w:tcPr>
          <w:p>
            <w:pPr>
              <w:spacing w:after="0"/>
              <w:rPr>
                <w:sz w:val="1"/>
                <w:szCs w:val="1"/>
                <w:color w:val="auto"/>
              </w:rPr>
            </w:pPr>
          </w:p>
        </w:tc>
      </w:tr>
      <w:tr>
        <w:trPr>
          <w:trHeight w:val="148"/>
        </w:trPr>
        <w:tc>
          <w:tcPr>
            <w:tcW w:w="6040" w:type="dxa"/>
            <w:vAlign w:val="bottom"/>
          </w:tcPr>
          <w:p>
            <w:pPr>
              <w:spacing w:after="0"/>
              <w:rPr>
                <w:sz w:val="12"/>
                <w:szCs w:val="12"/>
                <w:color w:val="auto"/>
              </w:rPr>
            </w:pPr>
          </w:p>
        </w:tc>
        <w:tc>
          <w:tcPr>
            <w:tcW w:w="1160" w:type="dxa"/>
            <w:vAlign w:val="bottom"/>
            <w:gridSpan w:val="2"/>
          </w:tcPr>
          <w:p>
            <w:pPr>
              <w:jc w:val="center"/>
              <w:ind w:right="320"/>
              <w:spacing w:after="0" w:line="149" w:lineRule="exact"/>
              <w:rPr>
                <w:sz w:val="20"/>
                <w:szCs w:val="20"/>
                <w:color w:val="auto"/>
              </w:rPr>
            </w:pPr>
            <w:r>
              <w:rPr>
                <w:rFonts w:ascii="Arial" w:cs="Arial" w:eastAsia="Arial" w:hAnsi="Arial"/>
                <w:sz w:val="14"/>
                <w:szCs w:val="14"/>
                <w:color w:val="auto"/>
                <w:w w:val="90"/>
              </w:rPr>
              <w:t>December 31,</w:t>
            </w:r>
          </w:p>
        </w:tc>
        <w:tc>
          <w:tcPr>
            <w:tcW w:w="1300" w:type="dxa"/>
            <w:vAlign w:val="bottom"/>
            <w:gridSpan w:val="2"/>
          </w:tcPr>
          <w:p>
            <w:pPr>
              <w:jc w:val="center"/>
              <w:ind w:right="380"/>
              <w:spacing w:after="0" w:line="149" w:lineRule="exact"/>
              <w:rPr>
                <w:sz w:val="20"/>
                <w:szCs w:val="20"/>
                <w:color w:val="auto"/>
              </w:rPr>
            </w:pPr>
            <w:r>
              <w:rPr>
                <w:rFonts w:ascii="Arial" w:cs="Arial" w:eastAsia="Arial" w:hAnsi="Arial"/>
                <w:sz w:val="14"/>
                <w:szCs w:val="14"/>
                <w:color w:val="auto"/>
                <w:w w:val="90"/>
              </w:rPr>
              <w:t>December 31,</w:t>
            </w:r>
          </w:p>
        </w:tc>
        <w:tc>
          <w:tcPr>
            <w:tcW w:w="280" w:type="dxa"/>
            <w:vAlign w:val="bottom"/>
            <w:tcBorders>
              <w:left w:val="single" w:sz="8" w:color="auto"/>
            </w:tcBorders>
          </w:tcPr>
          <w:p>
            <w:pPr>
              <w:spacing w:after="0"/>
              <w:rPr>
                <w:sz w:val="12"/>
                <w:szCs w:val="12"/>
                <w:color w:val="auto"/>
              </w:rPr>
            </w:pPr>
          </w:p>
        </w:tc>
        <w:tc>
          <w:tcPr>
            <w:tcW w:w="1340" w:type="dxa"/>
            <w:vAlign w:val="bottom"/>
            <w:gridSpan w:val="2"/>
          </w:tcPr>
          <w:p>
            <w:pPr>
              <w:jc w:val="center"/>
              <w:ind w:right="200"/>
              <w:spacing w:after="0" w:line="149" w:lineRule="exact"/>
              <w:rPr>
                <w:sz w:val="20"/>
                <w:szCs w:val="20"/>
                <w:color w:val="auto"/>
              </w:rPr>
            </w:pPr>
            <w:r>
              <w:rPr>
                <w:rFonts w:ascii="Arial" w:cs="Arial" w:eastAsia="Arial" w:hAnsi="Arial"/>
                <w:sz w:val="14"/>
                <w:szCs w:val="14"/>
                <w:color w:val="auto"/>
                <w:w w:val="93"/>
              </w:rPr>
              <w:t>December 31,</w:t>
            </w:r>
          </w:p>
        </w:tc>
        <w:tc>
          <w:tcPr>
            <w:tcW w:w="0" w:type="dxa"/>
            <w:vAlign w:val="bottom"/>
          </w:tcPr>
          <w:p>
            <w:pPr>
              <w:spacing w:after="0"/>
              <w:rPr>
                <w:sz w:val="1"/>
                <w:szCs w:val="1"/>
                <w:color w:val="auto"/>
              </w:rPr>
            </w:pPr>
          </w:p>
        </w:tc>
      </w:tr>
      <w:tr>
        <w:trPr>
          <w:trHeight w:val="167"/>
        </w:trPr>
        <w:tc>
          <w:tcPr>
            <w:tcW w:w="6040" w:type="dxa"/>
            <w:vAlign w:val="bottom"/>
            <w:tcBorders>
              <w:bottom w:val="single" w:sz="8" w:color="CCEEFF"/>
            </w:tcBorders>
          </w:tcPr>
          <w:p>
            <w:pPr>
              <w:spacing w:after="0"/>
              <w:rPr>
                <w:sz w:val="14"/>
                <w:szCs w:val="14"/>
                <w:color w:val="auto"/>
              </w:rPr>
            </w:pPr>
          </w:p>
        </w:tc>
        <w:tc>
          <w:tcPr>
            <w:tcW w:w="82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89"/>
              </w:rPr>
              <w:t>2020</w:t>
            </w:r>
          </w:p>
        </w:tc>
        <w:tc>
          <w:tcPr>
            <w:tcW w:w="340" w:type="dxa"/>
            <w:vAlign w:val="bottom"/>
            <w:tcBorders>
              <w:bottom w:val="single" w:sz="8" w:color="CCEEFF"/>
            </w:tcBorders>
          </w:tcPr>
          <w:p>
            <w:pPr>
              <w:spacing w:after="0"/>
              <w:rPr>
                <w:sz w:val="14"/>
                <w:szCs w:val="14"/>
                <w:color w:val="auto"/>
              </w:rPr>
            </w:pPr>
          </w:p>
        </w:tc>
        <w:tc>
          <w:tcPr>
            <w:tcW w:w="92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89"/>
              </w:rPr>
              <w:t>2019</w:t>
            </w:r>
          </w:p>
        </w:tc>
        <w:tc>
          <w:tcPr>
            <w:tcW w:w="380" w:type="dxa"/>
            <w:vAlign w:val="bottom"/>
            <w:tcBorders>
              <w:bottom w:val="single" w:sz="8" w:color="CCEEFF"/>
            </w:tcBorders>
          </w:tcPr>
          <w:p>
            <w:pPr>
              <w:spacing w:after="0"/>
              <w:rPr>
                <w:sz w:val="14"/>
                <w:szCs w:val="14"/>
                <w:color w:val="auto"/>
              </w:rPr>
            </w:pPr>
          </w:p>
        </w:tc>
        <w:tc>
          <w:tcPr>
            <w:tcW w:w="280" w:type="dxa"/>
            <w:vAlign w:val="bottom"/>
            <w:tcBorders>
              <w:left w:val="single" w:sz="8" w:color="auto"/>
              <w:bottom w:val="single" w:sz="8" w:color="CCEEFF"/>
            </w:tcBorders>
          </w:tcPr>
          <w:p>
            <w:pPr>
              <w:spacing w:after="0"/>
              <w:rPr>
                <w:sz w:val="14"/>
                <w:szCs w:val="14"/>
                <w:color w:val="auto"/>
              </w:rPr>
            </w:pPr>
          </w:p>
        </w:tc>
        <w:tc>
          <w:tcPr>
            <w:tcW w:w="114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6"/>
              </w:rPr>
              <w:t>2019</w:t>
            </w:r>
          </w:p>
        </w:tc>
        <w:tc>
          <w:tcPr>
            <w:tcW w:w="20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209"/>
        </w:trPr>
        <w:tc>
          <w:tcPr>
            <w:tcW w:w="6040" w:type="dxa"/>
            <w:vAlign w:val="bottom"/>
            <w:shd w:val="clear" w:color="auto" w:fill="CCEEFF"/>
          </w:tcPr>
          <w:p>
            <w:pPr>
              <w:spacing w:after="0"/>
              <w:rPr>
                <w:sz w:val="20"/>
                <w:szCs w:val="20"/>
                <w:color w:val="auto"/>
              </w:rPr>
            </w:pPr>
            <w:r>
              <w:rPr>
                <w:rFonts w:ascii="Arial" w:cs="Arial" w:eastAsia="Arial" w:hAnsi="Arial"/>
                <w:sz w:val="18"/>
                <w:szCs w:val="18"/>
                <w:color w:val="auto"/>
              </w:rPr>
              <w:t>Federal income tax expense at statutory rate</w:t>
            </w:r>
          </w:p>
        </w:tc>
        <w:tc>
          <w:tcPr>
            <w:tcW w:w="11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21.00%</w:t>
            </w:r>
          </w:p>
        </w:tc>
        <w:tc>
          <w:tcPr>
            <w:tcW w:w="13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21.00%</w:t>
            </w:r>
          </w:p>
        </w:tc>
        <w:tc>
          <w:tcPr>
            <w:tcW w:w="280" w:type="dxa"/>
            <w:vAlign w:val="bottom"/>
            <w:tcBorders>
              <w:left w:val="single" w:sz="8" w:color="auto"/>
            </w:tcBorders>
            <w:shd w:val="clear" w:color="auto" w:fill="CCEEFF"/>
          </w:tcPr>
          <w:p>
            <w:pPr>
              <w:spacing w:after="0"/>
              <w:rPr>
                <w:sz w:val="18"/>
                <w:szCs w:val="18"/>
                <w:color w:val="auto"/>
              </w:rPr>
            </w:pPr>
          </w:p>
        </w:tc>
        <w:tc>
          <w:tcPr>
            <w:tcW w:w="1340" w:type="dxa"/>
            <w:vAlign w:val="bottom"/>
            <w:gridSpan w:val="2"/>
            <w:shd w:val="clear" w:color="auto" w:fill="CCEEFF"/>
          </w:tcPr>
          <w:p>
            <w:pPr>
              <w:ind w:left="820"/>
              <w:spacing w:after="0"/>
              <w:rPr>
                <w:sz w:val="20"/>
                <w:szCs w:val="20"/>
                <w:color w:val="auto"/>
              </w:rPr>
            </w:pPr>
            <w:r>
              <w:rPr>
                <w:rFonts w:ascii="Arial" w:cs="Arial" w:eastAsia="Arial" w:hAnsi="Arial"/>
                <w:sz w:val="18"/>
                <w:szCs w:val="18"/>
                <w:color w:val="auto"/>
                <w:w w:val="97"/>
              </w:rPr>
              <w:t>0.00%</w:t>
            </w:r>
          </w:p>
        </w:tc>
        <w:tc>
          <w:tcPr>
            <w:tcW w:w="0" w:type="dxa"/>
            <w:vAlign w:val="bottom"/>
          </w:tcPr>
          <w:p>
            <w:pPr>
              <w:spacing w:after="0"/>
              <w:rPr>
                <w:sz w:val="1"/>
                <w:szCs w:val="1"/>
                <w:color w:val="auto"/>
              </w:rPr>
            </w:pPr>
          </w:p>
        </w:tc>
      </w:tr>
      <w:tr>
        <w:trPr>
          <w:trHeight w:val="216"/>
        </w:trPr>
        <w:tc>
          <w:tcPr>
            <w:tcW w:w="6040" w:type="dxa"/>
            <w:vAlign w:val="bottom"/>
          </w:tcPr>
          <w:p>
            <w:pPr>
              <w:spacing w:after="0"/>
              <w:rPr>
                <w:sz w:val="20"/>
                <w:szCs w:val="20"/>
                <w:color w:val="auto"/>
              </w:rPr>
            </w:pPr>
            <w:r>
              <w:rPr>
                <w:rFonts w:ascii="Arial" w:cs="Arial" w:eastAsia="Arial" w:hAnsi="Arial"/>
                <w:sz w:val="18"/>
                <w:szCs w:val="18"/>
                <w:color w:val="auto"/>
              </w:rPr>
              <w:t>State income tax, net of federal benefit</w:t>
            </w:r>
          </w:p>
        </w:tc>
        <w:tc>
          <w:tcPr>
            <w:tcW w:w="1160" w:type="dxa"/>
            <w:vAlign w:val="bottom"/>
            <w:gridSpan w:val="2"/>
          </w:tcPr>
          <w:p>
            <w:pPr>
              <w:jc w:val="right"/>
              <w:ind w:right="280"/>
              <w:spacing w:after="0"/>
              <w:rPr>
                <w:sz w:val="20"/>
                <w:szCs w:val="20"/>
                <w:color w:val="auto"/>
              </w:rPr>
            </w:pPr>
            <w:r>
              <w:rPr>
                <w:rFonts w:ascii="Arial" w:cs="Arial" w:eastAsia="Arial" w:hAnsi="Arial"/>
                <w:sz w:val="18"/>
                <w:szCs w:val="18"/>
                <w:color w:val="auto"/>
              </w:rPr>
              <w:t>(0.14)</w:t>
            </w:r>
          </w:p>
        </w:tc>
        <w:tc>
          <w:tcPr>
            <w:tcW w:w="1300" w:type="dxa"/>
            <w:vAlign w:val="bottom"/>
            <w:gridSpan w:val="2"/>
          </w:tcPr>
          <w:p>
            <w:pPr>
              <w:jc w:val="right"/>
              <w:ind w:right="380"/>
              <w:spacing w:after="0"/>
              <w:rPr>
                <w:sz w:val="20"/>
                <w:szCs w:val="20"/>
                <w:color w:val="auto"/>
              </w:rPr>
            </w:pPr>
            <w:r>
              <w:rPr>
                <w:rFonts w:ascii="Arial" w:cs="Arial" w:eastAsia="Arial" w:hAnsi="Arial"/>
                <w:sz w:val="18"/>
                <w:szCs w:val="18"/>
                <w:color w:val="auto"/>
              </w:rPr>
              <w:t>0.04</w:t>
            </w:r>
          </w:p>
        </w:tc>
        <w:tc>
          <w:tcPr>
            <w:tcW w:w="280" w:type="dxa"/>
            <w:vAlign w:val="bottom"/>
            <w:tcBorders>
              <w:left w:val="single" w:sz="8" w:color="auto"/>
            </w:tcBorders>
          </w:tcPr>
          <w:p>
            <w:pPr>
              <w:spacing w:after="0"/>
              <w:rPr>
                <w:sz w:val="18"/>
                <w:szCs w:val="18"/>
                <w:color w:val="auto"/>
              </w:rPr>
            </w:pPr>
          </w:p>
        </w:tc>
        <w:tc>
          <w:tcPr>
            <w:tcW w:w="1340" w:type="dxa"/>
            <w:vAlign w:val="bottom"/>
            <w:gridSpan w:val="2"/>
          </w:tcPr>
          <w:p>
            <w:pPr>
              <w:ind w:left="820"/>
              <w:spacing w:after="0"/>
              <w:rPr>
                <w:sz w:val="20"/>
                <w:szCs w:val="20"/>
                <w:color w:val="auto"/>
              </w:rPr>
            </w:pPr>
            <w:r>
              <w:rPr>
                <w:rFonts w:ascii="Arial" w:cs="Arial" w:eastAsia="Arial" w:hAnsi="Arial"/>
                <w:sz w:val="18"/>
                <w:szCs w:val="18"/>
                <w:color w:val="auto"/>
              </w:rPr>
              <w:t>0.00</w:t>
            </w:r>
          </w:p>
        </w:tc>
        <w:tc>
          <w:tcPr>
            <w:tcW w:w="0" w:type="dxa"/>
            <w:vAlign w:val="bottom"/>
          </w:tcPr>
          <w:p>
            <w:pPr>
              <w:spacing w:after="0"/>
              <w:rPr>
                <w:sz w:val="1"/>
                <w:szCs w:val="1"/>
                <w:color w:val="auto"/>
              </w:rPr>
            </w:pPr>
          </w:p>
        </w:tc>
      </w:tr>
      <w:tr>
        <w:trPr>
          <w:trHeight w:val="216"/>
        </w:trPr>
        <w:tc>
          <w:tcPr>
            <w:tcW w:w="6040" w:type="dxa"/>
            <w:vAlign w:val="bottom"/>
            <w:shd w:val="clear" w:color="auto" w:fill="CCEEFF"/>
          </w:tcPr>
          <w:p>
            <w:pPr>
              <w:spacing w:after="0"/>
              <w:rPr>
                <w:sz w:val="20"/>
                <w:szCs w:val="20"/>
                <w:color w:val="auto"/>
              </w:rPr>
            </w:pPr>
            <w:r>
              <w:rPr>
                <w:rFonts w:ascii="Arial" w:cs="Arial" w:eastAsia="Arial" w:hAnsi="Arial"/>
                <w:sz w:val="18"/>
                <w:szCs w:val="18"/>
                <w:color w:val="auto"/>
              </w:rPr>
              <w:t>Permanent differences</w:t>
            </w:r>
          </w:p>
        </w:tc>
        <w:tc>
          <w:tcPr>
            <w:tcW w:w="11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(0.98)</w:t>
            </w:r>
          </w:p>
        </w:tc>
        <w:tc>
          <w:tcPr>
            <w:tcW w:w="13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(2.73)</w:t>
            </w:r>
          </w:p>
        </w:tc>
        <w:tc>
          <w:tcPr>
            <w:tcW w:w="280" w:type="dxa"/>
            <w:vAlign w:val="bottom"/>
            <w:tcBorders>
              <w:left w:val="single" w:sz="8" w:color="auto"/>
            </w:tcBorders>
            <w:shd w:val="clear" w:color="auto" w:fill="CCEEFF"/>
          </w:tcPr>
          <w:p>
            <w:pPr>
              <w:spacing w:after="0"/>
              <w:rPr>
                <w:sz w:val="18"/>
                <w:szCs w:val="18"/>
                <w:color w:val="auto"/>
              </w:rPr>
            </w:pPr>
          </w:p>
        </w:tc>
        <w:tc>
          <w:tcPr>
            <w:tcW w:w="1340" w:type="dxa"/>
            <w:vAlign w:val="bottom"/>
            <w:gridSpan w:val="2"/>
            <w:shd w:val="clear" w:color="auto" w:fill="CCEEFF"/>
          </w:tcPr>
          <w:p>
            <w:pPr>
              <w:ind w:left="820"/>
              <w:spacing w:after="0"/>
              <w:rPr>
                <w:sz w:val="20"/>
                <w:szCs w:val="20"/>
                <w:color w:val="auto"/>
              </w:rPr>
            </w:pPr>
            <w:r>
              <w:rPr>
                <w:rFonts w:ascii="Arial" w:cs="Arial" w:eastAsia="Arial" w:hAnsi="Arial"/>
                <w:sz w:val="18"/>
                <w:szCs w:val="18"/>
                <w:color w:val="auto"/>
              </w:rPr>
              <w:t>0.00</w:t>
            </w:r>
          </w:p>
        </w:tc>
        <w:tc>
          <w:tcPr>
            <w:tcW w:w="0" w:type="dxa"/>
            <w:vAlign w:val="bottom"/>
          </w:tcPr>
          <w:p>
            <w:pPr>
              <w:spacing w:after="0"/>
              <w:rPr>
                <w:sz w:val="1"/>
                <w:szCs w:val="1"/>
                <w:color w:val="auto"/>
              </w:rPr>
            </w:pPr>
          </w:p>
        </w:tc>
      </w:tr>
      <w:tr>
        <w:trPr>
          <w:trHeight w:val="216"/>
        </w:trPr>
        <w:tc>
          <w:tcPr>
            <w:tcW w:w="6040" w:type="dxa"/>
            <w:vAlign w:val="bottom"/>
          </w:tcPr>
          <w:p>
            <w:pPr>
              <w:spacing w:after="0"/>
              <w:rPr>
                <w:sz w:val="20"/>
                <w:szCs w:val="20"/>
                <w:color w:val="auto"/>
              </w:rPr>
            </w:pPr>
            <w:r>
              <w:rPr>
                <w:rFonts w:ascii="Arial" w:cs="Arial" w:eastAsia="Arial" w:hAnsi="Arial"/>
                <w:sz w:val="18"/>
                <w:szCs w:val="18"/>
                <w:color w:val="auto"/>
              </w:rPr>
              <w:t>Research and development credit</w:t>
            </w:r>
          </w:p>
        </w:tc>
        <w:tc>
          <w:tcPr>
            <w:tcW w:w="1160" w:type="dxa"/>
            <w:vAlign w:val="bottom"/>
            <w:gridSpan w:val="2"/>
          </w:tcPr>
          <w:p>
            <w:pPr>
              <w:jc w:val="right"/>
              <w:ind w:right="340"/>
              <w:spacing w:after="0"/>
              <w:rPr>
                <w:sz w:val="20"/>
                <w:szCs w:val="20"/>
                <w:color w:val="auto"/>
              </w:rPr>
            </w:pPr>
            <w:r>
              <w:rPr>
                <w:rFonts w:ascii="Arial" w:cs="Arial" w:eastAsia="Arial" w:hAnsi="Arial"/>
                <w:sz w:val="18"/>
                <w:szCs w:val="18"/>
                <w:color w:val="auto"/>
              </w:rPr>
              <w:t>0.00</w:t>
            </w:r>
          </w:p>
        </w:tc>
        <w:tc>
          <w:tcPr>
            <w:tcW w:w="1300" w:type="dxa"/>
            <w:vAlign w:val="bottom"/>
            <w:gridSpan w:val="2"/>
          </w:tcPr>
          <w:p>
            <w:pPr>
              <w:jc w:val="right"/>
              <w:ind w:right="380"/>
              <w:spacing w:after="0"/>
              <w:rPr>
                <w:sz w:val="20"/>
                <w:szCs w:val="20"/>
                <w:color w:val="auto"/>
              </w:rPr>
            </w:pPr>
            <w:r>
              <w:rPr>
                <w:rFonts w:ascii="Arial" w:cs="Arial" w:eastAsia="Arial" w:hAnsi="Arial"/>
                <w:sz w:val="18"/>
                <w:szCs w:val="18"/>
                <w:color w:val="auto"/>
              </w:rPr>
              <w:t>0.00</w:t>
            </w:r>
          </w:p>
        </w:tc>
        <w:tc>
          <w:tcPr>
            <w:tcW w:w="280" w:type="dxa"/>
            <w:vAlign w:val="bottom"/>
            <w:tcBorders>
              <w:left w:val="single" w:sz="8" w:color="auto"/>
            </w:tcBorders>
          </w:tcPr>
          <w:p>
            <w:pPr>
              <w:spacing w:after="0"/>
              <w:rPr>
                <w:sz w:val="18"/>
                <w:szCs w:val="18"/>
                <w:color w:val="auto"/>
              </w:rPr>
            </w:pPr>
          </w:p>
        </w:tc>
        <w:tc>
          <w:tcPr>
            <w:tcW w:w="1340" w:type="dxa"/>
            <w:vAlign w:val="bottom"/>
            <w:gridSpan w:val="2"/>
          </w:tcPr>
          <w:p>
            <w:pPr>
              <w:ind w:left="820"/>
              <w:spacing w:after="0"/>
              <w:rPr>
                <w:sz w:val="20"/>
                <w:szCs w:val="20"/>
                <w:color w:val="auto"/>
              </w:rPr>
            </w:pPr>
            <w:r>
              <w:rPr>
                <w:rFonts w:ascii="Arial" w:cs="Arial" w:eastAsia="Arial" w:hAnsi="Arial"/>
                <w:sz w:val="18"/>
                <w:szCs w:val="18"/>
                <w:color w:val="auto"/>
              </w:rPr>
              <w:t>0.00</w:t>
            </w:r>
          </w:p>
        </w:tc>
        <w:tc>
          <w:tcPr>
            <w:tcW w:w="0" w:type="dxa"/>
            <w:vAlign w:val="bottom"/>
          </w:tcPr>
          <w:p>
            <w:pPr>
              <w:spacing w:after="0"/>
              <w:rPr>
                <w:sz w:val="1"/>
                <w:szCs w:val="1"/>
                <w:color w:val="auto"/>
              </w:rPr>
            </w:pPr>
          </w:p>
        </w:tc>
      </w:tr>
      <w:tr>
        <w:trPr>
          <w:trHeight w:val="216"/>
        </w:trPr>
        <w:tc>
          <w:tcPr>
            <w:tcW w:w="6040" w:type="dxa"/>
            <w:vAlign w:val="bottom"/>
            <w:shd w:val="clear" w:color="auto" w:fill="CCEEFF"/>
          </w:tcPr>
          <w:p>
            <w:pPr>
              <w:spacing w:after="0"/>
              <w:rPr>
                <w:sz w:val="20"/>
                <w:szCs w:val="20"/>
                <w:color w:val="auto"/>
              </w:rPr>
            </w:pPr>
            <w:r>
              <w:rPr>
                <w:rFonts w:ascii="Arial" w:cs="Arial" w:eastAsia="Arial" w:hAnsi="Arial"/>
                <w:sz w:val="18"/>
                <w:szCs w:val="18"/>
                <w:color w:val="auto"/>
              </w:rPr>
              <w:t>Foreign rate differential</w:t>
            </w:r>
          </w:p>
        </w:tc>
        <w:tc>
          <w:tcPr>
            <w:tcW w:w="11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(0.01)</w:t>
            </w:r>
          </w:p>
        </w:tc>
        <w:tc>
          <w:tcPr>
            <w:tcW w:w="13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0.00</w:t>
            </w:r>
          </w:p>
        </w:tc>
        <w:tc>
          <w:tcPr>
            <w:tcW w:w="280" w:type="dxa"/>
            <w:vAlign w:val="bottom"/>
            <w:tcBorders>
              <w:left w:val="single" w:sz="8" w:color="auto"/>
            </w:tcBorders>
            <w:shd w:val="clear" w:color="auto" w:fill="CCEEFF"/>
          </w:tcPr>
          <w:p>
            <w:pPr>
              <w:spacing w:after="0"/>
              <w:rPr>
                <w:sz w:val="18"/>
                <w:szCs w:val="18"/>
                <w:color w:val="auto"/>
              </w:rPr>
            </w:pPr>
          </w:p>
        </w:tc>
        <w:tc>
          <w:tcPr>
            <w:tcW w:w="1340" w:type="dxa"/>
            <w:vAlign w:val="bottom"/>
            <w:gridSpan w:val="2"/>
            <w:shd w:val="clear" w:color="auto" w:fill="CCEEFF"/>
          </w:tcPr>
          <w:p>
            <w:pPr>
              <w:ind w:left="820"/>
              <w:spacing w:after="0"/>
              <w:rPr>
                <w:sz w:val="20"/>
                <w:szCs w:val="20"/>
                <w:color w:val="auto"/>
              </w:rPr>
            </w:pPr>
            <w:r>
              <w:rPr>
                <w:rFonts w:ascii="Arial" w:cs="Arial" w:eastAsia="Arial" w:hAnsi="Arial"/>
                <w:sz w:val="18"/>
                <w:szCs w:val="18"/>
                <w:color w:val="auto"/>
              </w:rPr>
              <w:t>0.00</w:t>
            </w:r>
          </w:p>
        </w:tc>
        <w:tc>
          <w:tcPr>
            <w:tcW w:w="0" w:type="dxa"/>
            <w:vAlign w:val="bottom"/>
          </w:tcPr>
          <w:p>
            <w:pPr>
              <w:spacing w:after="0"/>
              <w:rPr>
                <w:sz w:val="1"/>
                <w:szCs w:val="1"/>
                <w:color w:val="auto"/>
              </w:rPr>
            </w:pPr>
          </w:p>
        </w:tc>
      </w:tr>
      <w:tr>
        <w:trPr>
          <w:trHeight w:val="216"/>
        </w:trPr>
        <w:tc>
          <w:tcPr>
            <w:tcW w:w="6040" w:type="dxa"/>
            <w:vAlign w:val="bottom"/>
          </w:tcPr>
          <w:p>
            <w:pPr>
              <w:spacing w:after="0"/>
              <w:rPr>
                <w:sz w:val="20"/>
                <w:szCs w:val="20"/>
                <w:color w:val="auto"/>
              </w:rPr>
            </w:pPr>
            <w:r>
              <w:rPr>
                <w:rFonts w:ascii="Arial" w:cs="Arial" w:eastAsia="Arial" w:hAnsi="Arial"/>
                <w:sz w:val="18"/>
                <w:szCs w:val="18"/>
                <w:color w:val="auto"/>
              </w:rPr>
              <w:t>Change in valuation allowance</w:t>
            </w:r>
          </w:p>
        </w:tc>
        <w:tc>
          <w:tcPr>
            <w:tcW w:w="1160" w:type="dxa"/>
            <w:vAlign w:val="bottom"/>
            <w:gridSpan w:val="2"/>
          </w:tcPr>
          <w:p>
            <w:pPr>
              <w:jc w:val="right"/>
              <w:ind w:right="340"/>
              <w:spacing w:after="0"/>
              <w:rPr>
                <w:sz w:val="20"/>
                <w:szCs w:val="20"/>
                <w:color w:val="auto"/>
              </w:rPr>
            </w:pPr>
            <w:r>
              <w:rPr>
                <w:rFonts w:ascii="Arial" w:cs="Arial" w:eastAsia="Arial" w:hAnsi="Arial"/>
                <w:sz w:val="18"/>
                <w:szCs w:val="18"/>
                <w:color w:val="auto"/>
              </w:rPr>
              <w:t>0.60</w:t>
            </w:r>
          </w:p>
        </w:tc>
        <w:tc>
          <w:tcPr>
            <w:tcW w:w="1300" w:type="dxa"/>
            <w:vAlign w:val="bottom"/>
            <w:gridSpan w:val="2"/>
          </w:tcPr>
          <w:p>
            <w:pPr>
              <w:jc w:val="right"/>
              <w:ind w:right="380"/>
              <w:spacing w:after="0"/>
              <w:rPr>
                <w:sz w:val="20"/>
                <w:szCs w:val="20"/>
                <w:color w:val="auto"/>
              </w:rPr>
            </w:pPr>
            <w:r>
              <w:rPr>
                <w:rFonts w:ascii="Arial" w:cs="Arial" w:eastAsia="Arial" w:hAnsi="Arial"/>
                <w:sz w:val="18"/>
                <w:szCs w:val="18"/>
                <w:color w:val="auto"/>
              </w:rPr>
              <w:t>0.00</w:t>
            </w:r>
          </w:p>
        </w:tc>
        <w:tc>
          <w:tcPr>
            <w:tcW w:w="280" w:type="dxa"/>
            <w:vAlign w:val="bottom"/>
            <w:tcBorders>
              <w:left w:val="single" w:sz="8" w:color="auto"/>
            </w:tcBorders>
          </w:tcPr>
          <w:p>
            <w:pPr>
              <w:spacing w:after="0"/>
              <w:rPr>
                <w:sz w:val="18"/>
                <w:szCs w:val="18"/>
                <w:color w:val="auto"/>
              </w:rPr>
            </w:pPr>
          </w:p>
        </w:tc>
        <w:tc>
          <w:tcPr>
            <w:tcW w:w="1340" w:type="dxa"/>
            <w:vAlign w:val="bottom"/>
            <w:gridSpan w:val="2"/>
          </w:tcPr>
          <w:p>
            <w:pPr>
              <w:ind w:left="820"/>
              <w:spacing w:after="0"/>
              <w:rPr>
                <w:sz w:val="20"/>
                <w:szCs w:val="20"/>
                <w:color w:val="auto"/>
              </w:rPr>
            </w:pPr>
            <w:r>
              <w:rPr>
                <w:rFonts w:ascii="Arial" w:cs="Arial" w:eastAsia="Arial" w:hAnsi="Arial"/>
                <w:sz w:val="18"/>
                <w:szCs w:val="18"/>
                <w:color w:val="auto"/>
              </w:rPr>
              <w:t>0.00</w:t>
            </w:r>
          </w:p>
        </w:tc>
        <w:tc>
          <w:tcPr>
            <w:tcW w:w="0" w:type="dxa"/>
            <w:vAlign w:val="bottom"/>
          </w:tcPr>
          <w:p>
            <w:pPr>
              <w:spacing w:after="0"/>
              <w:rPr>
                <w:sz w:val="1"/>
                <w:szCs w:val="1"/>
                <w:color w:val="auto"/>
              </w:rPr>
            </w:pPr>
          </w:p>
        </w:tc>
      </w:tr>
      <w:tr>
        <w:trPr>
          <w:trHeight w:val="216"/>
        </w:trPr>
        <w:tc>
          <w:tcPr>
            <w:tcW w:w="6040" w:type="dxa"/>
            <w:vAlign w:val="bottom"/>
            <w:shd w:val="clear" w:color="auto" w:fill="CCEEFF"/>
          </w:tcPr>
          <w:p>
            <w:pPr>
              <w:spacing w:after="0"/>
              <w:rPr>
                <w:sz w:val="20"/>
                <w:szCs w:val="20"/>
                <w:color w:val="auto"/>
              </w:rPr>
            </w:pPr>
            <w:r>
              <w:rPr>
                <w:rFonts w:ascii="Arial" w:cs="Arial" w:eastAsia="Arial" w:hAnsi="Arial"/>
                <w:sz w:val="18"/>
                <w:szCs w:val="18"/>
                <w:color w:val="auto"/>
              </w:rPr>
              <w:t>Provision to return adjustments</w:t>
            </w:r>
          </w:p>
        </w:tc>
        <w:tc>
          <w:tcPr>
            <w:tcW w:w="11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0.46</w:t>
            </w:r>
          </w:p>
        </w:tc>
        <w:tc>
          <w:tcPr>
            <w:tcW w:w="13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0.00</w:t>
            </w:r>
          </w:p>
        </w:tc>
        <w:tc>
          <w:tcPr>
            <w:tcW w:w="280" w:type="dxa"/>
            <w:vAlign w:val="bottom"/>
            <w:tcBorders>
              <w:left w:val="single" w:sz="8" w:color="auto"/>
            </w:tcBorders>
            <w:shd w:val="clear" w:color="auto" w:fill="CCEEFF"/>
          </w:tcPr>
          <w:p>
            <w:pPr>
              <w:spacing w:after="0"/>
              <w:rPr>
                <w:sz w:val="18"/>
                <w:szCs w:val="18"/>
                <w:color w:val="auto"/>
              </w:rPr>
            </w:pPr>
          </w:p>
        </w:tc>
        <w:tc>
          <w:tcPr>
            <w:tcW w:w="1340" w:type="dxa"/>
            <w:vAlign w:val="bottom"/>
            <w:gridSpan w:val="2"/>
            <w:shd w:val="clear" w:color="auto" w:fill="CCEEFF"/>
          </w:tcPr>
          <w:p>
            <w:pPr>
              <w:ind w:left="820"/>
              <w:spacing w:after="0"/>
              <w:rPr>
                <w:sz w:val="20"/>
                <w:szCs w:val="20"/>
                <w:color w:val="auto"/>
              </w:rPr>
            </w:pPr>
            <w:r>
              <w:rPr>
                <w:rFonts w:ascii="Arial" w:cs="Arial" w:eastAsia="Arial" w:hAnsi="Arial"/>
                <w:sz w:val="18"/>
                <w:szCs w:val="18"/>
                <w:color w:val="auto"/>
              </w:rPr>
              <w:t>0.00</w:t>
            </w:r>
          </w:p>
        </w:tc>
        <w:tc>
          <w:tcPr>
            <w:tcW w:w="0" w:type="dxa"/>
            <w:vAlign w:val="bottom"/>
          </w:tcPr>
          <w:p>
            <w:pPr>
              <w:spacing w:after="0"/>
              <w:rPr>
                <w:sz w:val="1"/>
                <w:szCs w:val="1"/>
                <w:color w:val="auto"/>
              </w:rPr>
            </w:pPr>
          </w:p>
        </w:tc>
      </w:tr>
      <w:tr>
        <w:trPr>
          <w:trHeight w:val="216"/>
        </w:trPr>
        <w:tc>
          <w:tcPr>
            <w:tcW w:w="6040" w:type="dxa"/>
            <w:vAlign w:val="bottom"/>
          </w:tcPr>
          <w:p>
            <w:pPr>
              <w:spacing w:after="0"/>
              <w:rPr>
                <w:sz w:val="20"/>
                <w:szCs w:val="20"/>
                <w:color w:val="auto"/>
              </w:rPr>
            </w:pPr>
            <w:r>
              <w:rPr>
                <w:rFonts w:ascii="Arial" w:cs="Arial" w:eastAsia="Arial" w:hAnsi="Arial"/>
                <w:sz w:val="18"/>
                <w:szCs w:val="18"/>
                <w:color w:val="auto"/>
              </w:rPr>
              <w:t>Other</w:t>
            </w:r>
          </w:p>
        </w:tc>
        <w:tc>
          <w:tcPr>
            <w:tcW w:w="1160" w:type="dxa"/>
            <w:vAlign w:val="bottom"/>
            <w:gridSpan w:val="2"/>
          </w:tcPr>
          <w:p>
            <w:pPr>
              <w:jc w:val="right"/>
              <w:ind w:right="340"/>
              <w:spacing w:after="0"/>
              <w:rPr>
                <w:sz w:val="20"/>
                <w:szCs w:val="20"/>
                <w:color w:val="auto"/>
              </w:rPr>
            </w:pPr>
            <w:r>
              <w:rPr>
                <w:rFonts w:ascii="Arial" w:cs="Arial" w:eastAsia="Arial" w:hAnsi="Arial"/>
                <w:sz w:val="18"/>
                <w:szCs w:val="18"/>
                <w:color w:val="auto"/>
              </w:rPr>
              <w:t>6.50</w:t>
            </w:r>
          </w:p>
        </w:tc>
        <w:tc>
          <w:tcPr>
            <w:tcW w:w="1300" w:type="dxa"/>
            <w:vAlign w:val="bottom"/>
            <w:gridSpan w:val="2"/>
          </w:tcPr>
          <w:p>
            <w:pPr>
              <w:jc w:val="right"/>
              <w:ind w:right="320"/>
              <w:spacing w:after="0"/>
              <w:rPr>
                <w:sz w:val="20"/>
                <w:szCs w:val="20"/>
                <w:color w:val="auto"/>
              </w:rPr>
            </w:pPr>
            <w:r>
              <w:rPr>
                <w:rFonts w:ascii="Arial" w:cs="Arial" w:eastAsia="Arial" w:hAnsi="Arial"/>
                <w:sz w:val="18"/>
                <w:szCs w:val="18"/>
                <w:color w:val="auto"/>
              </w:rPr>
              <w:t>(0.04)</w:t>
            </w:r>
          </w:p>
        </w:tc>
        <w:tc>
          <w:tcPr>
            <w:tcW w:w="280" w:type="dxa"/>
            <w:vAlign w:val="bottom"/>
            <w:tcBorders>
              <w:left w:val="single" w:sz="8" w:color="auto"/>
            </w:tcBorders>
          </w:tcPr>
          <w:p>
            <w:pPr>
              <w:spacing w:after="0"/>
              <w:rPr>
                <w:sz w:val="18"/>
                <w:szCs w:val="18"/>
                <w:color w:val="auto"/>
              </w:rPr>
            </w:pPr>
          </w:p>
        </w:tc>
        <w:tc>
          <w:tcPr>
            <w:tcW w:w="1340" w:type="dxa"/>
            <w:vAlign w:val="bottom"/>
            <w:gridSpan w:val="2"/>
          </w:tcPr>
          <w:p>
            <w:pPr>
              <w:ind w:left="820"/>
              <w:spacing w:after="0"/>
              <w:rPr>
                <w:sz w:val="20"/>
                <w:szCs w:val="20"/>
                <w:color w:val="auto"/>
              </w:rPr>
            </w:pPr>
            <w:r>
              <w:rPr>
                <w:rFonts w:ascii="Arial" w:cs="Arial" w:eastAsia="Arial" w:hAnsi="Arial"/>
                <w:sz w:val="18"/>
                <w:szCs w:val="18"/>
                <w:color w:val="auto"/>
              </w:rPr>
              <w:t>0.37</w:t>
            </w:r>
          </w:p>
        </w:tc>
        <w:tc>
          <w:tcPr>
            <w:tcW w:w="0" w:type="dxa"/>
            <w:vAlign w:val="bottom"/>
          </w:tcPr>
          <w:p>
            <w:pPr>
              <w:spacing w:after="0"/>
              <w:rPr>
                <w:sz w:val="1"/>
                <w:szCs w:val="1"/>
                <w:color w:val="auto"/>
              </w:rPr>
            </w:pPr>
          </w:p>
        </w:tc>
      </w:tr>
      <w:tr>
        <w:trPr>
          <w:trHeight w:val="216"/>
        </w:trPr>
        <w:tc>
          <w:tcPr>
            <w:tcW w:w="6040" w:type="dxa"/>
            <w:vAlign w:val="bottom"/>
            <w:shd w:val="clear" w:color="auto" w:fill="CCEEFF"/>
          </w:tcPr>
          <w:p>
            <w:pPr>
              <w:spacing w:after="0"/>
              <w:rPr>
                <w:sz w:val="20"/>
                <w:szCs w:val="20"/>
                <w:color w:val="auto"/>
              </w:rPr>
            </w:pPr>
            <w:r>
              <w:rPr>
                <w:rFonts w:ascii="Arial" w:cs="Arial" w:eastAsia="Arial" w:hAnsi="Arial"/>
                <w:sz w:val="18"/>
                <w:szCs w:val="18"/>
                <w:color w:val="auto"/>
              </w:rPr>
              <w:t>Pass through income not subject to tax</w:t>
            </w:r>
          </w:p>
        </w:tc>
        <w:tc>
          <w:tcPr>
            <w:tcW w:w="11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(27.55)</w:t>
            </w:r>
          </w:p>
        </w:tc>
        <w:tc>
          <w:tcPr>
            <w:tcW w:w="13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(18.27)</w:t>
            </w:r>
          </w:p>
        </w:tc>
        <w:tc>
          <w:tcPr>
            <w:tcW w:w="280" w:type="dxa"/>
            <w:vAlign w:val="bottom"/>
            <w:tcBorders>
              <w:left w:val="single" w:sz="8" w:color="auto"/>
            </w:tcBorders>
            <w:shd w:val="clear" w:color="auto" w:fill="CCEEFF"/>
          </w:tcPr>
          <w:p>
            <w:pPr>
              <w:spacing w:after="0"/>
              <w:rPr>
                <w:sz w:val="18"/>
                <w:szCs w:val="18"/>
                <w:color w:val="auto"/>
              </w:rPr>
            </w:pPr>
          </w:p>
        </w:tc>
        <w:tc>
          <w:tcPr>
            <w:tcW w:w="1340" w:type="dxa"/>
            <w:vAlign w:val="bottom"/>
            <w:gridSpan w:val="2"/>
            <w:shd w:val="clear" w:color="auto" w:fill="CCEEFF"/>
          </w:tcPr>
          <w:p>
            <w:pPr>
              <w:ind w:left="820"/>
              <w:spacing w:after="0"/>
              <w:rPr>
                <w:sz w:val="20"/>
                <w:szCs w:val="20"/>
                <w:color w:val="auto"/>
              </w:rPr>
            </w:pPr>
            <w:r>
              <w:rPr>
                <w:rFonts w:ascii="Arial" w:cs="Arial" w:eastAsia="Arial" w:hAnsi="Arial"/>
                <w:sz w:val="18"/>
                <w:szCs w:val="18"/>
                <w:color w:val="auto"/>
              </w:rPr>
              <w:t>0.01</w:t>
            </w:r>
          </w:p>
        </w:tc>
        <w:tc>
          <w:tcPr>
            <w:tcW w:w="0" w:type="dxa"/>
            <w:vAlign w:val="bottom"/>
          </w:tcPr>
          <w:p>
            <w:pPr>
              <w:spacing w:after="0"/>
              <w:rPr>
                <w:sz w:val="1"/>
                <w:szCs w:val="1"/>
                <w:color w:val="auto"/>
              </w:rPr>
            </w:pPr>
          </w:p>
        </w:tc>
      </w:tr>
      <w:tr>
        <w:trPr>
          <w:trHeight w:val="20"/>
        </w:trPr>
        <w:tc>
          <w:tcPr>
            <w:tcW w:w="6040" w:type="dxa"/>
            <w:vAlign w:val="bottom"/>
            <w:vMerge w:val="restart"/>
          </w:tcPr>
          <w:p>
            <w:pPr>
              <w:ind w:left="360"/>
              <w:spacing w:after="0"/>
              <w:rPr>
                <w:sz w:val="20"/>
                <w:szCs w:val="20"/>
                <w:color w:val="auto"/>
              </w:rPr>
            </w:pPr>
            <w:r>
              <w:rPr>
                <w:rFonts w:ascii="Arial" w:cs="Arial" w:eastAsia="Arial" w:hAnsi="Arial"/>
                <w:sz w:val="18"/>
                <w:szCs w:val="18"/>
                <w:color w:val="auto"/>
              </w:rPr>
              <w:t>Effective income tax rate</w:t>
            </w:r>
          </w:p>
        </w:tc>
        <w:tc>
          <w:tcPr>
            <w:tcW w:w="82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80" w:type="dxa"/>
            <w:vAlign w:val="bottom"/>
            <w:tcBorders>
              <w:left w:val="single" w:sz="8" w:color="auto"/>
            </w:tcBorders>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6040" w:type="dxa"/>
            <w:vAlign w:val="bottom"/>
            <w:vMerge w:val="continue"/>
          </w:tcPr>
          <w:p>
            <w:pPr>
              <w:spacing w:after="0"/>
              <w:rPr>
                <w:sz w:val="19"/>
                <w:szCs w:val="19"/>
                <w:color w:val="auto"/>
              </w:rPr>
            </w:pPr>
          </w:p>
        </w:tc>
        <w:tc>
          <w:tcPr>
            <w:tcW w:w="1160" w:type="dxa"/>
            <w:vAlign w:val="bottom"/>
            <w:gridSpan w:val="2"/>
          </w:tcPr>
          <w:p>
            <w:pPr>
              <w:jc w:val="right"/>
              <w:ind w:right="140"/>
              <w:spacing w:after="0"/>
              <w:rPr>
                <w:sz w:val="20"/>
                <w:szCs w:val="20"/>
                <w:color w:val="auto"/>
              </w:rPr>
            </w:pPr>
            <w:r>
              <w:rPr>
                <w:rFonts w:ascii="Arial" w:cs="Arial" w:eastAsia="Arial" w:hAnsi="Arial"/>
                <w:sz w:val="18"/>
                <w:szCs w:val="18"/>
                <w:color w:val="auto"/>
              </w:rPr>
              <w:t>(0.12%)</w:t>
            </w: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0.00%</w:t>
            </w:r>
          </w:p>
        </w:tc>
        <w:tc>
          <w:tcPr>
            <w:tcW w:w="280" w:type="dxa"/>
            <w:vAlign w:val="bottom"/>
            <w:tcBorders>
              <w:left w:val="single" w:sz="8" w:color="auto"/>
            </w:tcBorders>
          </w:tcPr>
          <w:p>
            <w:pPr>
              <w:spacing w:after="0"/>
              <w:rPr>
                <w:sz w:val="19"/>
                <w:szCs w:val="19"/>
                <w:color w:val="auto"/>
              </w:rPr>
            </w:pPr>
          </w:p>
        </w:tc>
        <w:tc>
          <w:tcPr>
            <w:tcW w:w="1340" w:type="dxa"/>
            <w:vAlign w:val="bottom"/>
            <w:gridSpan w:val="2"/>
          </w:tcPr>
          <w:p>
            <w:pPr>
              <w:ind w:left="820"/>
              <w:spacing w:after="0"/>
              <w:rPr>
                <w:sz w:val="20"/>
                <w:szCs w:val="20"/>
                <w:color w:val="auto"/>
              </w:rPr>
            </w:pPr>
            <w:r>
              <w:rPr>
                <w:rFonts w:ascii="Arial" w:cs="Arial" w:eastAsia="Arial" w:hAnsi="Arial"/>
                <w:sz w:val="18"/>
                <w:szCs w:val="18"/>
                <w:color w:val="auto"/>
                <w:w w:val="97"/>
              </w:rPr>
              <w:t>0.38%</w:t>
            </w:r>
          </w:p>
        </w:tc>
        <w:tc>
          <w:tcPr>
            <w:tcW w:w="0" w:type="dxa"/>
            <w:vAlign w:val="bottom"/>
          </w:tcPr>
          <w:p>
            <w:pPr>
              <w:spacing w:after="0"/>
              <w:rPr>
                <w:sz w:val="1"/>
                <w:szCs w:val="1"/>
                <w:color w:val="auto"/>
              </w:rPr>
            </w:pPr>
          </w:p>
        </w:tc>
      </w:tr>
      <w:tr>
        <w:trPr>
          <w:trHeight w:val="20"/>
        </w:trPr>
        <w:tc>
          <w:tcPr>
            <w:tcW w:w="604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80" w:type="dxa"/>
            <w:vAlign w:val="bottom"/>
            <w:tcBorders>
              <w:left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120" w:right="300" w:firstLine="440"/>
        <w:spacing w:after="0" w:line="273" w:lineRule="auto"/>
        <w:rPr>
          <w:sz w:val="20"/>
          <w:szCs w:val="20"/>
          <w:color w:val="auto"/>
        </w:rPr>
      </w:pPr>
      <w:r>
        <w:rPr>
          <w:rFonts w:ascii="Arial" w:cs="Arial" w:eastAsia="Arial" w:hAnsi="Arial"/>
          <w:sz w:val="17"/>
          <w:szCs w:val="17"/>
          <w:color w:val="auto"/>
        </w:rPr>
        <w:t>As of December 31, 2020 and 2019, the HSE subsidiary had U.S. federal net operating loss carryforwards of approximately $0.6 million and $1.1 million, respectively, a portion of which expire at various dates through 2037, and a portion of which may be carried forward indefinitely. As of December 31, 2020 and 2019, HSE had U.S. state net operating loss carryforwards of approximately $0.6 million and $1.5 million, respectively, a portion of which expire at various dates through 2037, and a portion of which may be carried forward indefinitely. As of December 31, 2020, the Swedish Monocl subsidiaries had foreign net operating loss carryforwards of approximately $6.9 million, which may be available to offset future Swedish income tax liabilities and may be carried forward indefinitely.</w:t>
      </w:r>
    </w:p>
    <w:p>
      <w:pPr>
        <w:spacing w:after="0" w:line="178" w:lineRule="exact"/>
        <w:rPr>
          <w:sz w:val="20"/>
          <w:szCs w:val="20"/>
          <w:color w:val="auto"/>
        </w:rPr>
      </w:pPr>
    </w:p>
    <w:p>
      <w:pPr>
        <w:ind w:left="120" w:firstLine="440"/>
        <w:spacing w:after="0" w:line="255" w:lineRule="auto"/>
        <w:rPr>
          <w:sz w:val="20"/>
          <w:szCs w:val="20"/>
          <w:color w:val="auto"/>
        </w:rPr>
      </w:pPr>
      <w:r>
        <w:rPr>
          <w:rFonts w:ascii="Arial" w:cs="Arial" w:eastAsia="Arial" w:hAnsi="Arial"/>
          <w:sz w:val="18"/>
          <w:szCs w:val="18"/>
          <w:color w:val="auto"/>
        </w:rPr>
        <w:t>ASC 740 requires a valuation allowance to reduce the deferred tax assets reported if, based on the weight of the evidence, it is more likely than not that some portion or all of the deferred tax assets will not be realized. After consideration of all the evidence, both positive and negative, the Company has recorded a valuation allowance against the deferred tax assets of the Swedish Monocl subsidiaries at December 31, 2020, because the Company’s management has determined that it is more likely than not that the Company will not recognize the benefits of its foreign deferred tax assets primarily due to its historical loss position and, as a result, a valuation allowance of approximately $1.4 million has been established at December 31, 2020. The valuation allowance</w:t>
      </w:r>
    </w:p>
    <w:p>
      <w:pPr>
        <w:spacing w:after="0" w:line="125"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F-44</w:t>
      </w:r>
    </w:p>
    <w:p>
      <w:pPr>
        <w:sectPr>
          <w:pgSz w:w="11900" w:h="16838" w:orient="portrait"/>
          <w:cols w:equalWidth="0" w:num="1">
            <w:col w:w="11120"/>
          </w:cols>
          <w:pgMar w:left="320" w:top="459" w:right="459" w:bottom="1440" w:gutter="0" w:footer="0" w:header="0"/>
        </w:sectPr>
      </w:pPr>
    </w:p>
    <w:bookmarkStart w:id="250" w:name="page251"/>
    <w:bookmarkEnd w:id="25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36">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Confidential Treatment Requested by Definitive Healthcare Corp.</w:t>
      </w:r>
    </w:p>
    <w:p>
      <w:pPr>
        <w:spacing w:after="0" w:line="27"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Pursuant to 17 C.F.R. Section 200.83</w:t>
      </w:r>
    </w:p>
    <w:p>
      <w:pPr>
        <w:spacing w:after="0" w:line="143" w:lineRule="exact"/>
        <w:rPr>
          <w:sz w:val="20"/>
          <w:szCs w:val="20"/>
          <w:color w:val="auto"/>
        </w:rPr>
      </w:pPr>
    </w:p>
    <w:p>
      <w:pPr>
        <w:ind w:left="120" w:right="20"/>
        <w:spacing w:after="0" w:line="277" w:lineRule="auto"/>
        <w:rPr>
          <w:sz w:val="20"/>
          <w:szCs w:val="20"/>
          <w:color w:val="auto"/>
        </w:rPr>
      </w:pPr>
      <w:r>
        <w:rPr>
          <w:rFonts w:ascii="Arial" w:cs="Arial" w:eastAsia="Arial" w:hAnsi="Arial"/>
          <w:sz w:val="18"/>
          <w:szCs w:val="18"/>
          <w:color w:val="auto"/>
        </w:rPr>
        <w:t>increased by approximately $1.4 million in the tax year ended December 31, 2020. The increase in valuation allowance for the year ended December 31, 2020 primarily related to the net operating losses in the Swedish Monocl subsidiary.</w:t>
      </w:r>
    </w:p>
    <w:p>
      <w:pPr>
        <w:spacing w:after="0" w:line="170" w:lineRule="exact"/>
        <w:rPr>
          <w:sz w:val="20"/>
          <w:szCs w:val="20"/>
          <w:color w:val="auto"/>
        </w:rPr>
      </w:pPr>
    </w:p>
    <w:p>
      <w:pPr>
        <w:ind w:left="120" w:right="220" w:firstLine="440"/>
        <w:spacing w:after="0" w:line="287" w:lineRule="auto"/>
        <w:rPr>
          <w:sz w:val="20"/>
          <w:szCs w:val="20"/>
          <w:color w:val="auto"/>
        </w:rPr>
      </w:pPr>
      <w:r>
        <w:rPr>
          <w:rFonts w:ascii="Arial" w:cs="Arial" w:eastAsia="Arial" w:hAnsi="Arial"/>
          <w:sz w:val="16"/>
          <w:szCs w:val="16"/>
          <w:color w:val="auto"/>
        </w:rPr>
        <w:t>Under the provisions of the Internal Revenue Code, the net operating loss and tax credit carryforwards are subject to review and possible adjustment by the Internal Revenue Service and state tax authorities. Net operating loss and tax credit carryforwards may become subject to an annual limitation in the event of certain cumulative changes in the ownership interest of significant shareholders over a three-year period in excess of</w:t>
      </w:r>
    </w:p>
    <w:p>
      <w:pPr>
        <w:spacing w:after="0" w:line="2" w:lineRule="exact"/>
        <w:rPr>
          <w:sz w:val="20"/>
          <w:szCs w:val="20"/>
          <w:color w:val="auto"/>
        </w:rPr>
      </w:pPr>
    </w:p>
    <w:p>
      <w:pPr>
        <w:ind w:left="120" w:right="100"/>
        <w:spacing w:after="0" w:line="271" w:lineRule="auto"/>
        <w:rPr>
          <w:sz w:val="20"/>
          <w:szCs w:val="20"/>
          <w:color w:val="auto"/>
        </w:rPr>
      </w:pPr>
      <w:r>
        <w:rPr>
          <w:rFonts w:ascii="Arial" w:cs="Arial" w:eastAsia="Arial" w:hAnsi="Arial"/>
          <w:sz w:val="17"/>
          <w:szCs w:val="17"/>
          <w:color w:val="auto"/>
        </w:rPr>
        <w:t>50 percent, as defined under Sections 382 and 383 of the Internal Revenue Code, respectively, as well as similar state provisions. This could limit the amount of tax attributes that can be utilized annually to offset future taxable income or tax liabilities. The amount of the annual limitation is determined based on the value of us immediately prior to the ownership change. Subsequent ownership changes may further affect the limitation in future years. In the future, the Company may complete financings that could result in a change in control, which will reduce the deferred tax assets for tax attributes the Company believes will expire unused due to the change in control limitations.</w:t>
      </w:r>
    </w:p>
    <w:p>
      <w:pPr>
        <w:spacing w:after="0" w:line="178" w:lineRule="exact"/>
        <w:rPr>
          <w:sz w:val="20"/>
          <w:szCs w:val="20"/>
          <w:color w:val="auto"/>
        </w:rPr>
      </w:pPr>
    </w:p>
    <w:p>
      <w:pPr>
        <w:ind w:left="120" w:right="300" w:firstLine="440"/>
        <w:spacing w:after="0" w:line="279" w:lineRule="auto"/>
        <w:rPr>
          <w:sz w:val="20"/>
          <w:szCs w:val="20"/>
          <w:color w:val="auto"/>
        </w:rPr>
      </w:pPr>
      <w:r>
        <w:rPr>
          <w:rFonts w:ascii="Arial" w:cs="Arial" w:eastAsia="Arial" w:hAnsi="Arial"/>
          <w:sz w:val="17"/>
          <w:szCs w:val="17"/>
          <w:color w:val="auto"/>
        </w:rPr>
        <w:t>On March 27, 2020, the Coronavirus Aid, Relief, and Economic Security (CARES) Act was signed into law making several changes to the Internal Revenue Code. The changes include but are not limited to: increasing the limitation on the amount of deductible interest expense, allowing companies to carryback certain net operating losses, and increasing the amount of net operating loss carryforwards that corporations can use to offset taxable income. The tax law changes in the Act did not have a material impact on the Company’s income tax provision.</w:t>
      </w:r>
    </w:p>
    <w:p>
      <w:pPr>
        <w:spacing w:after="0" w:line="171" w:lineRule="exact"/>
        <w:rPr>
          <w:sz w:val="20"/>
          <w:szCs w:val="20"/>
          <w:color w:val="auto"/>
        </w:rPr>
      </w:pPr>
    </w:p>
    <w:p>
      <w:pPr>
        <w:ind w:left="120" w:right="140" w:firstLine="440"/>
        <w:spacing w:after="0" w:line="308" w:lineRule="auto"/>
        <w:rPr>
          <w:sz w:val="20"/>
          <w:szCs w:val="20"/>
          <w:color w:val="auto"/>
        </w:rPr>
      </w:pPr>
      <w:r>
        <w:rPr>
          <w:rFonts w:ascii="Arial" w:cs="Arial" w:eastAsia="Arial" w:hAnsi="Arial"/>
          <w:sz w:val="17"/>
          <w:szCs w:val="17"/>
          <w:color w:val="auto"/>
        </w:rPr>
        <w:t>The Company will recognize interest and penalties related to uncertain tax positions in income tax expense. As of December 31, 2020, and 2019, there was no accrued interest or penalties related to uncertain tax positions and no such amounts have been recognized.</w:t>
      </w:r>
    </w:p>
    <w:p>
      <w:pPr>
        <w:spacing w:after="0" w:line="146" w:lineRule="exact"/>
        <w:rPr>
          <w:sz w:val="20"/>
          <w:szCs w:val="20"/>
          <w:color w:val="auto"/>
        </w:rPr>
      </w:pPr>
    </w:p>
    <w:p>
      <w:pPr>
        <w:ind w:left="120" w:right="80" w:firstLine="440"/>
        <w:spacing w:after="0" w:line="279" w:lineRule="auto"/>
        <w:rPr>
          <w:sz w:val="20"/>
          <w:szCs w:val="20"/>
          <w:color w:val="auto"/>
        </w:rPr>
      </w:pPr>
      <w:r>
        <w:rPr>
          <w:rFonts w:ascii="Arial" w:cs="Arial" w:eastAsia="Arial" w:hAnsi="Arial"/>
          <w:sz w:val="17"/>
          <w:szCs w:val="17"/>
          <w:color w:val="auto"/>
        </w:rPr>
        <w:t>The Company or one of its subsidiaries file income tax returns in the United States, and various state and foreign jurisdictions. The federal, state and foreign income tax returns are generally subject to tax examinations for the tax years ended December 31, 2017 through December 31, 2020. To the extent the Company has tax attribute carryforwards, the tax years in which the attribute was generated may still be adjusted upon examination by the Internal Revenue Service, state or foreign tax authorities to the extent utilized in a future period.</w:t>
      </w:r>
    </w:p>
    <w:p>
      <w:pPr>
        <w:spacing w:after="0" w:line="320" w:lineRule="exact"/>
        <w:rPr>
          <w:sz w:val="20"/>
          <w:szCs w:val="20"/>
          <w:color w:val="auto"/>
        </w:rPr>
      </w:pPr>
    </w:p>
    <w:p>
      <w:pPr>
        <w:ind w:left="540" w:hanging="424"/>
        <w:spacing w:after="0"/>
        <w:tabs>
          <w:tab w:leader="none" w:pos="540" w:val="left"/>
        </w:tabs>
        <w:numPr>
          <w:ilvl w:val="0"/>
          <w:numId w:val="199"/>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Net Loss per Unit</w:t>
      </w:r>
    </w:p>
    <w:p>
      <w:pPr>
        <w:spacing w:after="0" w:line="117" w:lineRule="exact"/>
        <w:rPr>
          <w:rFonts w:ascii="Arial" w:cs="Arial" w:eastAsia="Arial" w:hAnsi="Arial"/>
          <w:sz w:val="18"/>
          <w:szCs w:val="18"/>
          <w:b w:val="1"/>
          <w:bCs w:val="1"/>
          <w:color w:val="auto"/>
        </w:rPr>
      </w:pPr>
    </w:p>
    <w:p>
      <w:pPr>
        <w:ind w:left="560"/>
        <w:spacing w:after="0"/>
        <w:rPr>
          <w:rFonts w:ascii="Arial" w:cs="Arial" w:eastAsia="Arial" w:hAnsi="Arial"/>
          <w:sz w:val="18"/>
          <w:szCs w:val="18"/>
          <w:b w:val="1"/>
          <w:bCs w:val="1"/>
          <w:color w:val="auto"/>
        </w:rPr>
      </w:pPr>
      <w:r>
        <w:rPr>
          <w:rFonts w:ascii="Arial" w:cs="Arial" w:eastAsia="Arial" w:hAnsi="Arial"/>
          <w:sz w:val="18"/>
          <w:szCs w:val="18"/>
          <w:color w:val="auto"/>
        </w:rPr>
        <w:t>The following table presents the calculation of basic and diluted net income/(loss) per unit (“EPU”) for the Company’s common units:</w:t>
      </w:r>
    </w:p>
    <w:p>
      <w:pPr>
        <w:spacing w:after="0" w:line="244"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678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740" w:type="dxa"/>
            <w:vAlign w:val="bottom"/>
            <w:gridSpan w:val="5"/>
          </w:tcPr>
          <w:p>
            <w:pPr>
              <w:jc w:val="right"/>
              <w:ind w:right="860"/>
              <w:spacing w:after="0"/>
              <w:rPr>
                <w:sz w:val="20"/>
                <w:szCs w:val="20"/>
                <w:color w:val="auto"/>
              </w:rPr>
            </w:pPr>
            <w:r>
              <w:rPr>
                <w:rFonts w:ascii="Arial" w:cs="Arial" w:eastAsia="Arial" w:hAnsi="Arial"/>
                <w:sz w:val="14"/>
                <w:szCs w:val="14"/>
                <w:b w:val="1"/>
                <w:bCs w:val="1"/>
                <w:color w:val="auto"/>
              </w:rPr>
              <w:t>Successor Company</w:t>
            </w:r>
          </w:p>
        </w:tc>
      </w:tr>
      <w:tr>
        <w:trPr>
          <w:trHeight w:val="123"/>
        </w:trPr>
        <w:tc>
          <w:tcPr>
            <w:tcW w:w="6780" w:type="dxa"/>
            <w:vAlign w:val="bottom"/>
          </w:tcPr>
          <w:p>
            <w:pPr>
              <w:spacing w:after="0"/>
              <w:rPr>
                <w:sz w:val="10"/>
                <w:szCs w:val="10"/>
                <w:color w:val="auto"/>
              </w:rPr>
            </w:pPr>
          </w:p>
        </w:tc>
        <w:tc>
          <w:tcPr>
            <w:tcW w:w="1420" w:type="dxa"/>
            <w:vAlign w:val="bottom"/>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900" w:type="dxa"/>
            <w:vAlign w:val="bottom"/>
            <w:tcBorders>
              <w:top w:val="single" w:sz="8" w:color="auto"/>
            </w:tcBorders>
          </w:tcPr>
          <w:p>
            <w:pPr>
              <w:spacing w:after="0"/>
              <w:rPr>
                <w:sz w:val="10"/>
                <w:szCs w:val="10"/>
                <w:color w:val="auto"/>
              </w:rPr>
            </w:pPr>
          </w:p>
        </w:tc>
        <w:tc>
          <w:tcPr>
            <w:tcW w:w="720" w:type="dxa"/>
            <w:vAlign w:val="bottom"/>
            <w:tcBorders>
              <w:top w:val="single" w:sz="8" w:color="auto"/>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900" w:type="dxa"/>
            <w:vAlign w:val="bottom"/>
            <w:tcBorders>
              <w:top w:val="single" w:sz="8" w:color="auto"/>
            </w:tcBorders>
          </w:tcPr>
          <w:p>
            <w:pPr>
              <w:jc w:val="center"/>
              <w:spacing w:after="0" w:line="123" w:lineRule="exact"/>
              <w:rPr>
                <w:sz w:val="20"/>
                <w:szCs w:val="20"/>
                <w:color w:val="auto"/>
              </w:rPr>
            </w:pPr>
            <w:r>
              <w:rPr>
                <w:rFonts w:ascii="Arial" w:cs="Arial" w:eastAsia="Arial" w:hAnsi="Arial"/>
                <w:sz w:val="14"/>
                <w:szCs w:val="14"/>
                <w:color w:val="auto"/>
                <w:w w:val="96"/>
              </w:rPr>
              <w:t>Period from</w:t>
            </w:r>
          </w:p>
        </w:tc>
        <w:tc>
          <w:tcPr>
            <w:tcW w:w="120" w:type="dxa"/>
            <w:vAlign w:val="bottom"/>
          </w:tcPr>
          <w:p>
            <w:pPr>
              <w:spacing w:after="0"/>
              <w:rPr>
                <w:sz w:val="10"/>
                <w:szCs w:val="10"/>
                <w:color w:val="auto"/>
              </w:rPr>
            </w:pPr>
          </w:p>
        </w:tc>
      </w:tr>
      <w:tr>
        <w:trPr>
          <w:trHeight w:val="148"/>
        </w:trPr>
        <w:tc>
          <w:tcPr>
            <w:tcW w:w="678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20" w:type="dxa"/>
            <w:vAlign w:val="bottom"/>
            <w:gridSpan w:val="2"/>
          </w:tcPr>
          <w:p>
            <w:pPr>
              <w:jc w:val="center"/>
              <w:ind w:right="800"/>
              <w:spacing w:after="0" w:line="149" w:lineRule="exact"/>
              <w:rPr>
                <w:sz w:val="20"/>
                <w:szCs w:val="20"/>
                <w:color w:val="auto"/>
              </w:rPr>
            </w:pPr>
            <w:r>
              <w:rPr>
                <w:rFonts w:ascii="Arial" w:cs="Arial" w:eastAsia="Arial" w:hAnsi="Arial"/>
                <w:sz w:val="14"/>
                <w:szCs w:val="14"/>
                <w:color w:val="auto"/>
                <w:w w:val="89"/>
              </w:rPr>
              <w:t>Year Ended</w:t>
            </w:r>
          </w:p>
        </w:tc>
        <w:tc>
          <w:tcPr>
            <w:tcW w:w="1120" w:type="dxa"/>
            <w:vAlign w:val="bottom"/>
            <w:gridSpan w:val="3"/>
          </w:tcPr>
          <w:p>
            <w:pPr>
              <w:jc w:val="center"/>
              <w:ind w:right="120"/>
              <w:spacing w:after="0" w:line="149" w:lineRule="exact"/>
              <w:rPr>
                <w:sz w:val="20"/>
                <w:szCs w:val="20"/>
                <w:color w:val="auto"/>
              </w:rPr>
            </w:pPr>
            <w:r>
              <w:rPr>
                <w:rFonts w:ascii="Arial" w:cs="Arial" w:eastAsia="Arial" w:hAnsi="Arial"/>
                <w:sz w:val="14"/>
                <w:szCs w:val="14"/>
                <w:color w:val="auto"/>
                <w:w w:val="93"/>
              </w:rPr>
              <w:t>July 16, 2019 to</w:t>
            </w:r>
          </w:p>
        </w:tc>
      </w:tr>
      <w:tr>
        <w:trPr>
          <w:trHeight w:val="149"/>
        </w:trPr>
        <w:tc>
          <w:tcPr>
            <w:tcW w:w="678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20" w:type="dxa"/>
            <w:vAlign w:val="bottom"/>
            <w:gridSpan w:val="2"/>
          </w:tcPr>
          <w:p>
            <w:pPr>
              <w:jc w:val="center"/>
              <w:ind w:right="800"/>
              <w:spacing w:after="0" w:line="149" w:lineRule="exact"/>
              <w:rPr>
                <w:sz w:val="20"/>
                <w:szCs w:val="20"/>
                <w:color w:val="auto"/>
              </w:rPr>
            </w:pPr>
            <w:r>
              <w:rPr>
                <w:rFonts w:ascii="Arial" w:cs="Arial" w:eastAsia="Arial" w:hAnsi="Arial"/>
                <w:sz w:val="14"/>
                <w:szCs w:val="14"/>
                <w:color w:val="auto"/>
                <w:w w:val="93"/>
              </w:rPr>
              <w:t>December 31,</w:t>
            </w:r>
          </w:p>
        </w:tc>
        <w:tc>
          <w:tcPr>
            <w:tcW w:w="100" w:type="dxa"/>
            <w:vAlign w:val="bottom"/>
          </w:tcPr>
          <w:p>
            <w:pPr>
              <w:spacing w:after="0"/>
              <w:rPr>
                <w:sz w:val="12"/>
                <w:szCs w:val="12"/>
                <w:color w:val="auto"/>
              </w:rPr>
            </w:pPr>
          </w:p>
        </w:tc>
        <w:tc>
          <w:tcPr>
            <w:tcW w:w="1020" w:type="dxa"/>
            <w:vAlign w:val="bottom"/>
            <w:gridSpan w:val="2"/>
          </w:tcPr>
          <w:p>
            <w:pPr>
              <w:jc w:val="center"/>
              <w:ind w:right="220"/>
              <w:spacing w:after="0" w:line="149" w:lineRule="exact"/>
              <w:rPr>
                <w:sz w:val="20"/>
                <w:szCs w:val="20"/>
                <w:color w:val="auto"/>
              </w:rPr>
            </w:pPr>
            <w:r>
              <w:rPr>
                <w:rFonts w:ascii="Arial" w:cs="Arial" w:eastAsia="Arial" w:hAnsi="Arial"/>
                <w:sz w:val="14"/>
                <w:szCs w:val="14"/>
                <w:color w:val="auto"/>
                <w:w w:val="90"/>
              </w:rPr>
              <w:t>December 31,</w:t>
            </w:r>
          </w:p>
        </w:tc>
      </w:tr>
      <w:tr>
        <w:trPr>
          <w:trHeight w:val="167"/>
        </w:trPr>
        <w:tc>
          <w:tcPr>
            <w:tcW w:w="6780" w:type="dxa"/>
            <w:vAlign w:val="bottom"/>
            <w:tcBorders>
              <w:bottom w:val="single" w:sz="8" w:color="CCEEFF"/>
            </w:tcBorders>
          </w:tcPr>
          <w:p>
            <w:pPr>
              <w:spacing w:after="0"/>
              <w:rPr>
                <w:sz w:val="14"/>
                <w:szCs w:val="14"/>
                <w:color w:val="auto"/>
              </w:rPr>
            </w:pPr>
          </w:p>
        </w:tc>
        <w:tc>
          <w:tcPr>
            <w:tcW w:w="142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6"/>
              </w:rPr>
              <w:t>2020</w:t>
            </w:r>
          </w:p>
        </w:tc>
        <w:tc>
          <w:tcPr>
            <w:tcW w:w="72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center"/>
              <w:ind w:right="19"/>
              <w:spacing w:after="0"/>
              <w:rPr>
                <w:sz w:val="20"/>
                <w:szCs w:val="20"/>
                <w:color w:val="auto"/>
              </w:rPr>
            </w:pPr>
            <w:r>
              <w:rPr>
                <w:rFonts w:ascii="Arial" w:cs="Arial" w:eastAsia="Arial" w:hAnsi="Arial"/>
                <w:sz w:val="14"/>
                <w:szCs w:val="14"/>
                <w:color w:val="auto"/>
                <w:w w:val="89"/>
              </w:rPr>
              <w:t>2019</w:t>
            </w:r>
          </w:p>
        </w:tc>
        <w:tc>
          <w:tcPr>
            <w:tcW w:w="120" w:type="dxa"/>
            <w:vAlign w:val="bottom"/>
            <w:tcBorders>
              <w:bottom w:val="single" w:sz="8" w:color="CCEEFF"/>
            </w:tcBorders>
          </w:tcPr>
          <w:p>
            <w:pPr>
              <w:spacing w:after="0"/>
              <w:rPr>
                <w:sz w:val="14"/>
                <w:szCs w:val="14"/>
                <w:color w:val="auto"/>
              </w:rPr>
            </w:pPr>
          </w:p>
        </w:tc>
      </w:tr>
      <w:tr>
        <w:trPr>
          <w:trHeight w:val="210"/>
        </w:trPr>
        <w:tc>
          <w:tcPr>
            <w:tcW w:w="6780" w:type="dxa"/>
            <w:vAlign w:val="bottom"/>
            <w:shd w:val="clear" w:color="auto" w:fill="CCEEFF"/>
          </w:tcPr>
          <w:p>
            <w:pPr>
              <w:spacing w:after="0"/>
              <w:rPr>
                <w:sz w:val="20"/>
                <w:szCs w:val="20"/>
                <w:color w:val="auto"/>
              </w:rPr>
            </w:pPr>
            <w:r>
              <w:rPr>
                <w:rFonts w:ascii="Arial" w:cs="Arial" w:eastAsia="Arial" w:hAnsi="Arial"/>
                <w:sz w:val="18"/>
                <w:szCs w:val="18"/>
                <w:color w:val="auto"/>
              </w:rPr>
              <w:t>Net loss</w:t>
            </w:r>
          </w:p>
        </w:tc>
        <w:tc>
          <w:tcPr>
            <w:tcW w:w="142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(51,157)</w:t>
            </w: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(49,266)</w:t>
            </w:r>
          </w:p>
        </w:tc>
        <w:tc>
          <w:tcPr>
            <w:tcW w:w="120" w:type="dxa"/>
            <w:vAlign w:val="bottom"/>
            <w:shd w:val="clear" w:color="auto" w:fill="CCEEFF"/>
          </w:tcPr>
          <w:p>
            <w:pPr>
              <w:spacing w:after="0"/>
              <w:rPr>
                <w:sz w:val="18"/>
                <w:szCs w:val="18"/>
                <w:color w:val="auto"/>
              </w:rPr>
            </w:pPr>
          </w:p>
        </w:tc>
      </w:tr>
      <w:tr>
        <w:trPr>
          <w:trHeight w:val="216"/>
        </w:trPr>
        <w:tc>
          <w:tcPr>
            <w:tcW w:w="6780" w:type="dxa"/>
            <w:vAlign w:val="bottom"/>
          </w:tcPr>
          <w:p>
            <w:pPr>
              <w:spacing w:after="0"/>
              <w:rPr>
                <w:sz w:val="20"/>
                <w:szCs w:val="20"/>
                <w:color w:val="auto"/>
              </w:rPr>
            </w:pPr>
            <w:r>
              <w:rPr>
                <w:rFonts w:ascii="Arial" w:cs="Arial" w:eastAsia="Arial" w:hAnsi="Arial"/>
                <w:sz w:val="18"/>
                <w:szCs w:val="18"/>
                <w:color w:val="auto"/>
              </w:rPr>
              <w:t>Weighted-average units used to compute basic and diluted net loss per unit</w:t>
            </w:r>
          </w:p>
        </w:tc>
        <w:tc>
          <w:tcPr>
            <w:tcW w:w="1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20" w:type="dxa"/>
            <w:vAlign w:val="bottom"/>
            <w:gridSpan w:val="2"/>
          </w:tcPr>
          <w:p>
            <w:pPr>
              <w:jc w:val="right"/>
              <w:ind w:right="720"/>
              <w:spacing w:after="0"/>
              <w:rPr>
                <w:sz w:val="20"/>
                <w:szCs w:val="20"/>
                <w:color w:val="auto"/>
              </w:rPr>
            </w:pPr>
            <w:r>
              <w:rPr>
                <w:rFonts w:ascii="Arial" w:cs="Arial" w:eastAsia="Arial" w:hAnsi="Arial"/>
                <w:sz w:val="18"/>
                <w:szCs w:val="18"/>
                <w:color w:val="auto"/>
                <w:w w:val="87"/>
              </w:rPr>
              <w:t>127,682,376</w:t>
            </w:r>
          </w:p>
        </w:tc>
        <w:tc>
          <w:tcPr>
            <w:tcW w:w="100" w:type="dxa"/>
            <w:vAlign w:val="bottom"/>
          </w:tcPr>
          <w:p>
            <w:pPr>
              <w:spacing w:after="0"/>
              <w:rPr>
                <w:sz w:val="18"/>
                <w:szCs w:val="18"/>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8"/>
                <w:szCs w:val="18"/>
                <w:color w:val="auto"/>
                <w:w w:val="87"/>
              </w:rPr>
              <w:t>126,794,329</w:t>
            </w:r>
          </w:p>
        </w:tc>
      </w:tr>
      <w:tr>
        <w:trPr>
          <w:trHeight w:val="27"/>
        </w:trPr>
        <w:tc>
          <w:tcPr>
            <w:tcW w:w="67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r>
      <w:tr>
        <w:trPr>
          <w:trHeight w:val="216"/>
        </w:trPr>
        <w:tc>
          <w:tcPr>
            <w:tcW w:w="6780" w:type="dxa"/>
            <w:vAlign w:val="bottom"/>
            <w:shd w:val="clear" w:color="auto" w:fill="CCEEFF"/>
          </w:tcPr>
          <w:p>
            <w:pPr>
              <w:spacing w:after="0"/>
              <w:rPr>
                <w:sz w:val="20"/>
                <w:szCs w:val="20"/>
                <w:color w:val="auto"/>
              </w:rPr>
            </w:pPr>
            <w:r>
              <w:rPr>
                <w:rFonts w:ascii="Arial" w:cs="Arial" w:eastAsia="Arial" w:hAnsi="Arial"/>
                <w:sz w:val="18"/>
                <w:szCs w:val="18"/>
                <w:color w:val="auto"/>
              </w:rPr>
              <w:t>Net loss per unit, basic and diluted</w:t>
            </w:r>
          </w:p>
        </w:tc>
        <w:tc>
          <w:tcPr>
            <w:tcW w:w="1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2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(0.40)</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(0.39)</w:t>
            </w:r>
          </w:p>
        </w:tc>
      </w:tr>
      <w:tr>
        <w:trPr>
          <w:trHeight w:val="20"/>
        </w:trPr>
        <w:tc>
          <w:tcPr>
            <w:tcW w:w="678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15" w:lineRule="exact"/>
        <w:rPr>
          <w:sz w:val="20"/>
          <w:szCs w:val="20"/>
          <w:color w:val="auto"/>
        </w:rPr>
      </w:pPr>
    </w:p>
    <w:p>
      <w:pPr>
        <w:ind w:left="120" w:right="180" w:firstLine="440"/>
        <w:spacing w:after="0" w:line="255" w:lineRule="auto"/>
        <w:rPr>
          <w:sz w:val="20"/>
          <w:szCs w:val="20"/>
          <w:color w:val="auto"/>
        </w:rPr>
      </w:pPr>
      <w:r>
        <w:rPr>
          <w:rFonts w:ascii="Arial" w:cs="Arial" w:eastAsia="Arial" w:hAnsi="Arial"/>
          <w:sz w:val="18"/>
          <w:szCs w:val="18"/>
          <w:color w:val="auto"/>
        </w:rPr>
        <w:t>The Company has issued potentially dilutive instruments in the form of Class B Profit Interest Units granted to the Company’s employees. As of December 31, 2020, there were 474,920 vested Class B Profit Interest Units. The Company’s LLC operating agreement precludes Class B members from participating in distributions until Class A members’ capital contributions have been recovered and until performance hurdle rates have been exceeded. The Company does not include any of these instruments in its calculation of diluted loss per unit during the period from July 16, 2019 to December 31, 2019 (Successor) and for the year ended December 31, 2020 (Successor) because to include them would be anti-dilutive due to the Company’s net loss during the period.</w:t>
      </w:r>
    </w:p>
    <w:p>
      <w:pPr>
        <w:spacing w:after="0" w:line="125"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F-45</w:t>
      </w:r>
    </w:p>
    <w:p>
      <w:pPr>
        <w:sectPr>
          <w:pgSz w:w="11900" w:h="16838" w:orient="portrait"/>
          <w:cols w:equalWidth="0" w:num="1">
            <w:col w:w="11140"/>
          </w:cols>
          <w:pgMar w:left="320" w:top="459" w:right="439" w:bottom="1440" w:gutter="0" w:footer="0" w:header="0"/>
        </w:sectPr>
      </w:pPr>
    </w:p>
    <w:bookmarkStart w:id="251" w:name="page252"/>
    <w:bookmarkEnd w:id="25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37">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Confidential Treatment Requested by Definitive Healthcare Corp.</w:t>
      </w:r>
    </w:p>
    <w:p>
      <w:pPr>
        <w:spacing w:after="0" w:line="27"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Pursuant to 17 C.F.R. Section 200.83</w:t>
      </w:r>
    </w:p>
    <w:p>
      <w:pPr>
        <w:spacing w:after="0" w:line="143" w:lineRule="exact"/>
        <w:rPr>
          <w:sz w:val="20"/>
          <w:szCs w:val="20"/>
          <w:color w:val="auto"/>
        </w:rPr>
      </w:pPr>
    </w:p>
    <w:p>
      <w:pPr>
        <w:ind w:left="540" w:hanging="424"/>
        <w:spacing w:after="0"/>
        <w:tabs>
          <w:tab w:leader="none" w:pos="540" w:val="left"/>
        </w:tabs>
        <w:numPr>
          <w:ilvl w:val="0"/>
          <w:numId w:val="200"/>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Segment and Geographic Data</w:t>
      </w:r>
    </w:p>
    <w:p>
      <w:pPr>
        <w:spacing w:after="0" w:line="117" w:lineRule="exact"/>
        <w:rPr>
          <w:sz w:val="20"/>
          <w:szCs w:val="20"/>
          <w:color w:val="auto"/>
        </w:rPr>
      </w:pPr>
    </w:p>
    <w:p>
      <w:pPr>
        <w:ind w:left="120" w:firstLine="440"/>
        <w:spacing w:after="0" w:line="257" w:lineRule="auto"/>
        <w:rPr>
          <w:sz w:val="20"/>
          <w:szCs w:val="20"/>
          <w:color w:val="auto"/>
        </w:rPr>
      </w:pPr>
      <w:r>
        <w:rPr>
          <w:rFonts w:ascii="Arial" w:cs="Arial" w:eastAsia="Arial" w:hAnsi="Arial"/>
          <w:sz w:val="18"/>
          <w:szCs w:val="18"/>
          <w:color w:val="auto"/>
        </w:rPr>
        <w:t>The Company operates as one operating segment. Operating segments are defined as components of the Company for which separate financial information is available and evaluated regularly by the Company’s chief operating decision maker in deciding how to allocate resources and in assessing performance. The chief operating decision maker for the Company is the chief executive officer. The chief executive officer reviews financial information presented on a consolidated basis, accompanied by information about revenue by type of service and geographic region, for purposes of allocating resources and evaluating financial performance.</w:t>
      </w:r>
    </w:p>
    <w:p>
      <w:pPr>
        <w:spacing w:after="0" w:line="188" w:lineRule="exact"/>
        <w:rPr>
          <w:sz w:val="20"/>
          <w:szCs w:val="20"/>
          <w:color w:val="auto"/>
        </w:rPr>
      </w:pPr>
    </w:p>
    <w:p>
      <w:pPr>
        <w:ind w:left="560"/>
        <w:spacing w:after="0"/>
        <w:rPr>
          <w:sz w:val="20"/>
          <w:szCs w:val="20"/>
          <w:color w:val="auto"/>
        </w:rPr>
      </w:pPr>
      <w:r>
        <w:rPr>
          <w:rFonts w:ascii="Arial" w:cs="Arial" w:eastAsia="Arial" w:hAnsi="Arial"/>
          <w:sz w:val="18"/>
          <w:szCs w:val="18"/>
          <w:color w:val="auto"/>
        </w:rPr>
        <w:t>Revenues by geographic area presented based upon the location of the customer are as follows (in thousands):</w:t>
      </w:r>
    </w:p>
    <w:p>
      <w:pPr>
        <w:spacing w:after="0" w:line="231" w:lineRule="exact"/>
        <w:rPr>
          <w:sz w:val="20"/>
          <w:szCs w:val="20"/>
          <w:color w:val="auto"/>
        </w:rPr>
      </w:pPr>
    </w:p>
    <w:tbl>
      <w:tblPr>
        <w:tblLayout w:type="fixed"/>
        <w:tblInd w:w="1000" w:type="dxa"/>
        <w:tblCellMar>
          <w:top w:w="0" w:type="dxa"/>
          <w:left w:w="0" w:type="dxa"/>
          <w:bottom w:w="0" w:type="dxa"/>
          <w:right w:w="0" w:type="dxa"/>
        </w:tblCellMar>
      </w:tblPr>
      <w:tr>
        <w:trPr>
          <w:trHeight w:val="35"/>
        </w:trPr>
        <w:tc>
          <w:tcPr>
            <w:tcW w:w="3580" w:type="dxa"/>
            <w:vAlign w:val="bottom"/>
          </w:tcPr>
          <w:p>
            <w:pPr>
              <w:spacing w:after="0"/>
              <w:rPr>
                <w:sz w:val="3"/>
                <w:szCs w:val="3"/>
                <w:color w:val="auto"/>
              </w:rPr>
            </w:pPr>
          </w:p>
        </w:tc>
        <w:tc>
          <w:tcPr>
            <w:tcW w:w="2160" w:type="dxa"/>
            <w:vAlign w:val="bottom"/>
          </w:tcPr>
          <w:p>
            <w:pPr>
              <w:spacing w:after="0"/>
              <w:rPr>
                <w:sz w:val="3"/>
                <w:szCs w:val="3"/>
                <w:color w:val="auto"/>
              </w:rPr>
            </w:pPr>
          </w:p>
        </w:tc>
        <w:tc>
          <w:tcPr>
            <w:tcW w:w="160" w:type="dxa"/>
            <w:vAlign w:val="bottom"/>
          </w:tcPr>
          <w:p>
            <w:pPr>
              <w:spacing w:after="0"/>
              <w:rPr>
                <w:sz w:val="3"/>
                <w:szCs w:val="3"/>
                <w:color w:val="auto"/>
              </w:rPr>
            </w:pPr>
          </w:p>
        </w:tc>
        <w:tc>
          <w:tcPr>
            <w:tcW w:w="1740" w:type="dxa"/>
            <w:vAlign w:val="bottom"/>
            <w:gridSpan w:val="4"/>
            <w:vMerge w:val="restart"/>
          </w:tcPr>
          <w:p>
            <w:pPr>
              <w:jc w:val="right"/>
              <w:ind w:right="257"/>
              <w:spacing w:after="0"/>
              <w:rPr>
                <w:sz w:val="20"/>
                <w:szCs w:val="20"/>
                <w:color w:val="auto"/>
              </w:rPr>
            </w:pPr>
            <w:r>
              <w:rPr>
                <w:rFonts w:ascii="Arial" w:cs="Arial" w:eastAsia="Arial" w:hAnsi="Arial"/>
                <w:sz w:val="14"/>
                <w:szCs w:val="14"/>
                <w:b w:val="1"/>
                <w:bCs w:val="1"/>
                <w:color w:val="auto"/>
                <w:w w:val="99"/>
              </w:rPr>
              <w:t>Successor Company</w:t>
            </w:r>
          </w:p>
        </w:tc>
        <w:tc>
          <w:tcPr>
            <w:tcW w:w="260" w:type="dxa"/>
            <w:vAlign w:val="bottom"/>
          </w:tcPr>
          <w:p>
            <w:pPr>
              <w:spacing w:after="0"/>
              <w:rPr>
                <w:sz w:val="3"/>
                <w:szCs w:val="3"/>
                <w:color w:val="auto"/>
              </w:rPr>
            </w:pPr>
          </w:p>
        </w:tc>
        <w:tc>
          <w:tcPr>
            <w:tcW w:w="2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20" w:type="dxa"/>
            <w:vAlign w:val="bottom"/>
            <w:gridSpan w:val="2"/>
            <w:vMerge w:val="restart"/>
          </w:tcPr>
          <w:p>
            <w:pPr>
              <w:jc w:val="center"/>
              <w:ind w:right="180"/>
              <w:spacing w:after="0"/>
              <w:rPr>
                <w:sz w:val="20"/>
                <w:szCs w:val="20"/>
                <w:color w:val="auto"/>
              </w:rPr>
            </w:pPr>
            <w:r>
              <w:rPr>
                <w:rFonts w:ascii="Arial" w:cs="Arial" w:eastAsia="Arial" w:hAnsi="Arial"/>
                <w:sz w:val="14"/>
                <w:szCs w:val="14"/>
                <w:b w:val="1"/>
                <w:bCs w:val="1"/>
                <w:color w:val="auto"/>
                <w:w w:val="85"/>
              </w:rPr>
              <w:t>Predecessor</w:t>
            </w:r>
          </w:p>
        </w:tc>
        <w:tc>
          <w:tcPr>
            <w:tcW w:w="0" w:type="dxa"/>
            <w:vAlign w:val="bottom"/>
          </w:tcPr>
          <w:p>
            <w:pPr>
              <w:spacing w:after="0" w:line="20" w:lineRule="exact"/>
              <w:rPr>
                <w:sz w:val="1"/>
                <w:szCs w:val="1"/>
                <w:color w:val="auto"/>
              </w:rPr>
            </w:pPr>
          </w:p>
        </w:tc>
      </w:tr>
      <w:tr>
        <w:trPr>
          <w:trHeight w:val="126"/>
        </w:trPr>
        <w:tc>
          <w:tcPr>
            <w:tcW w:w="3580" w:type="dxa"/>
            <w:vAlign w:val="bottom"/>
          </w:tcPr>
          <w:p>
            <w:pPr>
              <w:spacing w:after="0"/>
              <w:rPr>
                <w:sz w:val="10"/>
                <w:szCs w:val="10"/>
                <w:color w:val="auto"/>
              </w:rPr>
            </w:pPr>
          </w:p>
        </w:tc>
        <w:tc>
          <w:tcPr>
            <w:tcW w:w="21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740" w:type="dxa"/>
            <w:vAlign w:val="bottom"/>
            <w:gridSpan w:val="4"/>
            <w:vMerge w:val="continue"/>
          </w:tcPr>
          <w:p>
            <w:pPr>
              <w:spacing w:after="0"/>
              <w:rPr>
                <w:sz w:val="10"/>
                <w:szCs w:val="10"/>
                <w:color w:val="auto"/>
              </w:rPr>
            </w:pPr>
          </w:p>
        </w:tc>
        <w:tc>
          <w:tcPr>
            <w:tcW w:w="260" w:type="dxa"/>
            <w:vAlign w:val="bottom"/>
            <w:tcBorders>
              <w:right w:val="single" w:sz="8" w:color="auto"/>
            </w:tcBorders>
          </w:tcPr>
          <w:p>
            <w:pPr>
              <w:spacing w:after="0"/>
              <w:rPr>
                <w:sz w:val="10"/>
                <w:szCs w:val="10"/>
                <w:color w:val="auto"/>
              </w:rPr>
            </w:pPr>
          </w:p>
        </w:tc>
        <w:tc>
          <w:tcPr>
            <w:tcW w:w="2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2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3580" w:type="dxa"/>
            <w:vAlign w:val="bottom"/>
          </w:tcPr>
          <w:p>
            <w:pPr>
              <w:spacing w:after="0"/>
              <w:rPr>
                <w:sz w:val="14"/>
                <w:szCs w:val="14"/>
                <w:color w:val="auto"/>
              </w:rPr>
            </w:pPr>
          </w:p>
        </w:tc>
        <w:tc>
          <w:tcPr>
            <w:tcW w:w="2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740" w:type="dxa"/>
            <w:vAlign w:val="bottom"/>
            <w:gridSpan w:val="4"/>
            <w:vMerge w:val="continue"/>
          </w:tcPr>
          <w:p>
            <w:pPr>
              <w:spacing w:after="0"/>
              <w:rPr>
                <w:sz w:val="14"/>
                <w:szCs w:val="14"/>
                <w:color w:val="auto"/>
              </w:rPr>
            </w:pPr>
          </w:p>
        </w:tc>
        <w:tc>
          <w:tcPr>
            <w:tcW w:w="260" w:type="dxa"/>
            <w:vAlign w:val="bottom"/>
            <w:tcBorders>
              <w:right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3"/>
              </w:rPr>
              <w:t>Company</w:t>
            </w:r>
          </w:p>
        </w:tc>
        <w:tc>
          <w:tcPr>
            <w:tcW w:w="0" w:type="dxa"/>
            <w:vAlign w:val="bottom"/>
          </w:tcPr>
          <w:p>
            <w:pPr>
              <w:spacing w:after="0"/>
              <w:rPr>
                <w:sz w:val="1"/>
                <w:szCs w:val="1"/>
                <w:color w:val="auto"/>
              </w:rPr>
            </w:pPr>
          </w:p>
        </w:tc>
      </w:tr>
      <w:tr>
        <w:trPr>
          <w:trHeight w:val="123"/>
        </w:trPr>
        <w:tc>
          <w:tcPr>
            <w:tcW w:w="3580" w:type="dxa"/>
            <w:vAlign w:val="bottom"/>
          </w:tcPr>
          <w:p>
            <w:pPr>
              <w:spacing w:after="0"/>
              <w:rPr>
                <w:sz w:val="10"/>
                <w:szCs w:val="10"/>
                <w:color w:val="auto"/>
              </w:rPr>
            </w:pPr>
          </w:p>
        </w:tc>
        <w:tc>
          <w:tcPr>
            <w:tcW w:w="2160" w:type="dxa"/>
            <w:vAlign w:val="bottom"/>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660" w:type="dxa"/>
            <w:vAlign w:val="bottom"/>
            <w:tcBorders>
              <w:top w:val="single" w:sz="8" w:color="auto"/>
            </w:tcBorders>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840" w:type="dxa"/>
            <w:vAlign w:val="bottom"/>
            <w:tcBorders>
              <w:top w:val="single" w:sz="8" w:color="auto"/>
            </w:tcBorders>
          </w:tcPr>
          <w:p>
            <w:pPr>
              <w:jc w:val="center"/>
              <w:ind w:right="37"/>
              <w:spacing w:after="0" w:line="123" w:lineRule="exact"/>
              <w:rPr>
                <w:sz w:val="20"/>
                <w:szCs w:val="20"/>
                <w:color w:val="auto"/>
              </w:rPr>
            </w:pPr>
            <w:r>
              <w:rPr>
                <w:rFonts w:ascii="Arial" w:cs="Arial" w:eastAsia="Arial" w:hAnsi="Arial"/>
                <w:sz w:val="14"/>
                <w:szCs w:val="14"/>
                <w:color w:val="auto"/>
                <w:w w:val="93"/>
              </w:rPr>
              <w:t>Period from</w:t>
            </w:r>
          </w:p>
        </w:tc>
        <w:tc>
          <w:tcPr>
            <w:tcW w:w="260" w:type="dxa"/>
            <w:vAlign w:val="bottom"/>
            <w:tcBorders>
              <w:right w:val="single" w:sz="8" w:color="auto"/>
            </w:tcBorders>
          </w:tcPr>
          <w:p>
            <w:pPr>
              <w:spacing w:after="0"/>
              <w:rPr>
                <w:sz w:val="10"/>
                <w:szCs w:val="10"/>
                <w:color w:val="auto"/>
              </w:rPr>
            </w:pPr>
          </w:p>
        </w:tc>
        <w:tc>
          <w:tcPr>
            <w:tcW w:w="24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960" w:type="dxa"/>
            <w:vAlign w:val="bottom"/>
            <w:tcBorders>
              <w:top w:val="single" w:sz="8" w:color="auto"/>
            </w:tcBorders>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3580" w:type="dxa"/>
            <w:vAlign w:val="bottom"/>
          </w:tcPr>
          <w:p>
            <w:pPr>
              <w:spacing w:after="0"/>
              <w:rPr>
                <w:sz w:val="12"/>
                <w:szCs w:val="12"/>
                <w:color w:val="auto"/>
              </w:rPr>
            </w:pPr>
          </w:p>
        </w:tc>
        <w:tc>
          <w:tcPr>
            <w:tcW w:w="2160" w:type="dxa"/>
            <w:vAlign w:val="bottom"/>
          </w:tcPr>
          <w:p>
            <w:pPr>
              <w:spacing w:after="0"/>
              <w:rPr>
                <w:sz w:val="12"/>
                <w:szCs w:val="12"/>
                <w:color w:val="auto"/>
              </w:rPr>
            </w:pPr>
          </w:p>
        </w:tc>
        <w:tc>
          <w:tcPr>
            <w:tcW w:w="820" w:type="dxa"/>
            <w:vAlign w:val="bottom"/>
            <w:gridSpan w:val="2"/>
          </w:tcPr>
          <w:p>
            <w:pPr>
              <w:jc w:val="right"/>
              <w:spacing w:after="0" w:line="149" w:lineRule="exact"/>
              <w:rPr>
                <w:sz w:val="20"/>
                <w:szCs w:val="20"/>
                <w:color w:val="auto"/>
              </w:rPr>
            </w:pPr>
            <w:r>
              <w:rPr>
                <w:rFonts w:ascii="Arial" w:cs="Arial" w:eastAsia="Arial" w:hAnsi="Arial"/>
                <w:sz w:val="14"/>
                <w:szCs w:val="14"/>
                <w:color w:val="auto"/>
                <w:w w:val="97"/>
              </w:rPr>
              <w:t>Year Ended</w:t>
            </w:r>
          </w:p>
        </w:tc>
        <w:tc>
          <w:tcPr>
            <w:tcW w:w="1080" w:type="dxa"/>
            <w:vAlign w:val="bottom"/>
            <w:gridSpan w:val="3"/>
          </w:tcPr>
          <w:p>
            <w:pPr>
              <w:jc w:val="center"/>
              <w:ind w:left="39"/>
              <w:spacing w:after="0" w:line="149" w:lineRule="exact"/>
              <w:rPr>
                <w:sz w:val="20"/>
                <w:szCs w:val="20"/>
                <w:color w:val="auto"/>
              </w:rPr>
            </w:pPr>
            <w:r>
              <w:rPr>
                <w:rFonts w:ascii="Arial" w:cs="Arial" w:eastAsia="Arial" w:hAnsi="Arial"/>
                <w:sz w:val="14"/>
                <w:szCs w:val="14"/>
                <w:color w:val="auto"/>
                <w:w w:val="93"/>
              </w:rPr>
              <w:t>July 16, 2019 to</w:t>
            </w:r>
          </w:p>
        </w:tc>
        <w:tc>
          <w:tcPr>
            <w:tcW w:w="260" w:type="dxa"/>
            <w:vAlign w:val="bottom"/>
            <w:tcBorders>
              <w:right w:val="single" w:sz="8" w:color="auto"/>
            </w:tcBorders>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gridSpan w:val="2"/>
          </w:tcPr>
          <w:p>
            <w:pPr>
              <w:jc w:val="center"/>
              <w:ind w:right="180"/>
              <w:spacing w:after="0" w:line="149" w:lineRule="exact"/>
              <w:rPr>
                <w:sz w:val="20"/>
                <w:szCs w:val="20"/>
                <w:color w:val="auto"/>
              </w:rPr>
            </w:pPr>
            <w:r>
              <w:rPr>
                <w:rFonts w:ascii="Arial" w:cs="Arial" w:eastAsia="Arial" w:hAnsi="Arial"/>
                <w:sz w:val="14"/>
                <w:szCs w:val="14"/>
                <w:color w:val="auto"/>
                <w:w w:val="93"/>
              </w:rPr>
              <w:t>Period from</w:t>
            </w:r>
          </w:p>
        </w:tc>
        <w:tc>
          <w:tcPr>
            <w:tcW w:w="0" w:type="dxa"/>
            <w:vAlign w:val="bottom"/>
          </w:tcPr>
          <w:p>
            <w:pPr>
              <w:spacing w:after="0"/>
              <w:rPr>
                <w:sz w:val="1"/>
                <w:szCs w:val="1"/>
                <w:color w:val="auto"/>
              </w:rPr>
            </w:pPr>
          </w:p>
        </w:tc>
      </w:tr>
      <w:tr>
        <w:trPr>
          <w:trHeight w:val="148"/>
        </w:trPr>
        <w:tc>
          <w:tcPr>
            <w:tcW w:w="3580" w:type="dxa"/>
            <w:vAlign w:val="bottom"/>
          </w:tcPr>
          <w:p>
            <w:pPr>
              <w:spacing w:after="0"/>
              <w:rPr>
                <w:sz w:val="12"/>
                <w:szCs w:val="12"/>
                <w:color w:val="auto"/>
              </w:rPr>
            </w:pPr>
          </w:p>
        </w:tc>
        <w:tc>
          <w:tcPr>
            <w:tcW w:w="2980" w:type="dxa"/>
            <w:vAlign w:val="bottom"/>
            <w:gridSpan w:val="3"/>
          </w:tcPr>
          <w:p>
            <w:pPr>
              <w:ind w:left="2160"/>
              <w:spacing w:after="0" w:line="149" w:lineRule="exact"/>
              <w:rPr>
                <w:sz w:val="20"/>
                <w:szCs w:val="20"/>
                <w:color w:val="auto"/>
              </w:rPr>
            </w:pPr>
            <w:r>
              <w:rPr>
                <w:rFonts w:ascii="Arial" w:cs="Arial" w:eastAsia="Arial" w:hAnsi="Arial"/>
                <w:sz w:val="14"/>
                <w:szCs w:val="14"/>
                <w:color w:val="auto"/>
                <w:w w:val="90"/>
              </w:rPr>
              <w:t>December 31,</w:t>
            </w:r>
          </w:p>
        </w:tc>
        <w:tc>
          <w:tcPr>
            <w:tcW w:w="140" w:type="dxa"/>
            <w:vAlign w:val="bottom"/>
          </w:tcPr>
          <w:p>
            <w:pPr>
              <w:spacing w:after="0"/>
              <w:rPr>
                <w:sz w:val="12"/>
                <w:szCs w:val="12"/>
                <w:color w:val="auto"/>
              </w:rPr>
            </w:pPr>
          </w:p>
        </w:tc>
        <w:tc>
          <w:tcPr>
            <w:tcW w:w="940" w:type="dxa"/>
            <w:vAlign w:val="bottom"/>
            <w:gridSpan w:val="2"/>
          </w:tcPr>
          <w:p>
            <w:pPr>
              <w:jc w:val="center"/>
              <w:spacing w:after="0" w:line="149" w:lineRule="exact"/>
              <w:rPr>
                <w:sz w:val="20"/>
                <w:szCs w:val="20"/>
                <w:color w:val="auto"/>
              </w:rPr>
            </w:pPr>
            <w:r>
              <w:rPr>
                <w:rFonts w:ascii="Arial" w:cs="Arial" w:eastAsia="Arial" w:hAnsi="Arial"/>
                <w:sz w:val="14"/>
                <w:szCs w:val="14"/>
                <w:color w:val="auto"/>
                <w:w w:val="90"/>
              </w:rPr>
              <w:t>December 31,</w:t>
            </w:r>
          </w:p>
        </w:tc>
        <w:tc>
          <w:tcPr>
            <w:tcW w:w="260" w:type="dxa"/>
            <w:vAlign w:val="bottom"/>
            <w:tcBorders>
              <w:right w:val="single" w:sz="8" w:color="auto"/>
            </w:tcBorders>
          </w:tcPr>
          <w:p>
            <w:pPr>
              <w:spacing w:after="0"/>
              <w:rPr>
                <w:sz w:val="12"/>
                <w:szCs w:val="12"/>
                <w:color w:val="auto"/>
              </w:rPr>
            </w:pPr>
          </w:p>
        </w:tc>
        <w:tc>
          <w:tcPr>
            <w:tcW w:w="1360" w:type="dxa"/>
            <w:vAlign w:val="bottom"/>
            <w:gridSpan w:val="4"/>
          </w:tcPr>
          <w:p>
            <w:pPr>
              <w:jc w:val="center"/>
              <w:ind w:left="79"/>
              <w:spacing w:after="0" w:line="149" w:lineRule="exact"/>
              <w:rPr>
                <w:sz w:val="20"/>
                <w:szCs w:val="20"/>
                <w:color w:val="auto"/>
              </w:rPr>
            </w:pPr>
            <w:r>
              <w:rPr>
                <w:rFonts w:ascii="Arial" w:cs="Arial" w:eastAsia="Arial" w:hAnsi="Arial"/>
                <w:sz w:val="14"/>
                <w:szCs w:val="14"/>
                <w:color w:val="auto"/>
                <w:w w:val="93"/>
              </w:rPr>
              <w:t>January 1, 2019 to</w:t>
            </w:r>
          </w:p>
        </w:tc>
        <w:tc>
          <w:tcPr>
            <w:tcW w:w="0" w:type="dxa"/>
            <w:vAlign w:val="bottom"/>
          </w:tcPr>
          <w:p>
            <w:pPr>
              <w:spacing w:after="0"/>
              <w:rPr>
                <w:sz w:val="1"/>
                <w:szCs w:val="1"/>
                <w:color w:val="auto"/>
              </w:rPr>
            </w:pPr>
          </w:p>
        </w:tc>
      </w:tr>
      <w:tr>
        <w:trPr>
          <w:trHeight w:val="167"/>
        </w:trPr>
        <w:tc>
          <w:tcPr>
            <w:tcW w:w="3580" w:type="dxa"/>
            <w:vAlign w:val="bottom"/>
          </w:tcPr>
          <w:p>
            <w:pPr>
              <w:spacing w:after="0"/>
              <w:rPr>
                <w:sz w:val="14"/>
                <w:szCs w:val="14"/>
                <w:color w:val="auto"/>
              </w:rPr>
            </w:pPr>
          </w:p>
        </w:tc>
        <w:tc>
          <w:tcPr>
            <w:tcW w:w="2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60" w:type="dxa"/>
            <w:vAlign w:val="bottom"/>
          </w:tcPr>
          <w:p>
            <w:pPr>
              <w:jc w:val="right"/>
              <w:ind w:right="197"/>
              <w:spacing w:after="0"/>
              <w:rPr>
                <w:sz w:val="20"/>
                <w:szCs w:val="20"/>
                <w:color w:val="auto"/>
              </w:rPr>
            </w:pPr>
            <w:r>
              <w:rPr>
                <w:rFonts w:ascii="Arial" w:cs="Arial" w:eastAsia="Arial" w:hAnsi="Arial"/>
                <w:sz w:val="14"/>
                <w:szCs w:val="14"/>
                <w:color w:val="auto"/>
              </w:rPr>
              <w:t>2020</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tcPr>
          <w:p>
            <w:pPr>
              <w:jc w:val="center"/>
              <w:ind w:right="37"/>
              <w:spacing w:after="0"/>
              <w:rPr>
                <w:sz w:val="20"/>
                <w:szCs w:val="20"/>
                <w:color w:val="auto"/>
              </w:rPr>
            </w:pPr>
            <w:r>
              <w:rPr>
                <w:rFonts w:ascii="Arial" w:cs="Arial" w:eastAsia="Arial" w:hAnsi="Arial"/>
                <w:sz w:val="14"/>
                <w:szCs w:val="14"/>
                <w:color w:val="auto"/>
                <w:w w:val="89"/>
              </w:rPr>
              <w:t>2019</w:t>
            </w:r>
          </w:p>
        </w:tc>
        <w:tc>
          <w:tcPr>
            <w:tcW w:w="260" w:type="dxa"/>
            <w:vAlign w:val="bottom"/>
            <w:tcBorders>
              <w:right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gridSpan w:val="2"/>
          </w:tcPr>
          <w:p>
            <w:pPr>
              <w:jc w:val="center"/>
              <w:ind w:right="160"/>
              <w:spacing w:after="0"/>
              <w:rPr>
                <w:sz w:val="20"/>
                <w:szCs w:val="20"/>
                <w:color w:val="auto"/>
              </w:rPr>
            </w:pPr>
            <w:r>
              <w:rPr>
                <w:rFonts w:ascii="Arial" w:cs="Arial" w:eastAsia="Arial" w:hAnsi="Arial"/>
                <w:sz w:val="14"/>
                <w:szCs w:val="14"/>
                <w:color w:val="auto"/>
                <w:w w:val="93"/>
              </w:rPr>
              <w:t>July 15, 2019</w:t>
            </w:r>
          </w:p>
        </w:tc>
        <w:tc>
          <w:tcPr>
            <w:tcW w:w="0" w:type="dxa"/>
            <w:vAlign w:val="bottom"/>
          </w:tcPr>
          <w:p>
            <w:pPr>
              <w:spacing w:after="0"/>
              <w:rPr>
                <w:sz w:val="1"/>
                <w:szCs w:val="1"/>
                <w:color w:val="auto"/>
              </w:rPr>
            </w:pPr>
          </w:p>
        </w:tc>
      </w:tr>
      <w:tr>
        <w:trPr>
          <w:trHeight w:val="210"/>
        </w:trPr>
        <w:tc>
          <w:tcPr>
            <w:tcW w:w="35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United States</w:t>
            </w:r>
          </w:p>
        </w:tc>
        <w:tc>
          <w:tcPr>
            <w:tcW w:w="21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117,755</w:t>
            </w:r>
          </w:p>
        </w:tc>
        <w:tc>
          <w:tcPr>
            <w:tcW w:w="1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40,045</w:t>
            </w:r>
          </w:p>
        </w:tc>
        <w:tc>
          <w:tcPr>
            <w:tcW w:w="260" w:type="dxa"/>
            <w:vAlign w:val="bottom"/>
            <w:tcBorders>
              <w:top w:val="single" w:sz="8" w:color="CCEEFF"/>
              <w:right w:val="single" w:sz="8" w:color="auto"/>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45,458</w:t>
            </w: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3580" w:type="dxa"/>
            <w:vAlign w:val="bottom"/>
          </w:tcPr>
          <w:p>
            <w:pPr>
              <w:spacing w:after="0"/>
              <w:rPr>
                <w:sz w:val="20"/>
                <w:szCs w:val="20"/>
                <w:color w:val="auto"/>
              </w:rPr>
            </w:pPr>
            <w:r>
              <w:rPr>
                <w:rFonts w:ascii="Arial" w:cs="Arial" w:eastAsia="Arial" w:hAnsi="Arial"/>
                <w:sz w:val="18"/>
                <w:szCs w:val="18"/>
                <w:color w:val="auto"/>
              </w:rPr>
              <w:t>Rest of world</w:t>
            </w:r>
          </w:p>
        </w:tc>
        <w:tc>
          <w:tcPr>
            <w:tcW w:w="216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562</w:t>
            </w:r>
          </w:p>
        </w:tc>
        <w:tc>
          <w:tcPr>
            <w:tcW w:w="1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ind w:right="17"/>
              <w:spacing w:after="0"/>
              <w:rPr>
                <w:sz w:val="20"/>
                <w:szCs w:val="20"/>
                <w:color w:val="auto"/>
              </w:rPr>
            </w:pPr>
            <w:r>
              <w:rPr>
                <w:rFonts w:ascii="Arial" w:cs="Arial" w:eastAsia="Arial" w:hAnsi="Arial"/>
                <w:sz w:val="18"/>
                <w:szCs w:val="18"/>
                <w:color w:val="auto"/>
              </w:rPr>
              <w:t>—</w:t>
            </w:r>
          </w:p>
        </w:tc>
        <w:tc>
          <w:tcPr>
            <w:tcW w:w="260" w:type="dxa"/>
            <w:vAlign w:val="bottom"/>
            <w:tcBorders>
              <w:right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2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35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Total revenues</w:t>
            </w:r>
          </w:p>
        </w:tc>
        <w:tc>
          <w:tcPr>
            <w:tcW w:w="2320" w:type="dxa"/>
            <w:vAlign w:val="bottom"/>
            <w:gridSpan w:val="2"/>
            <w:shd w:val="clear" w:color="auto" w:fill="CCEEFF"/>
          </w:tcPr>
          <w:p>
            <w:pPr>
              <w:ind w:left="2160"/>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118,317</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40,045</w:t>
            </w:r>
          </w:p>
        </w:tc>
        <w:tc>
          <w:tcPr>
            <w:tcW w:w="260" w:type="dxa"/>
            <w:vAlign w:val="bottom"/>
            <w:tcBorders>
              <w:right w:val="single" w:sz="8" w:color="auto"/>
            </w:tcBorders>
            <w:shd w:val="clear" w:color="auto" w:fill="CCEEFF"/>
          </w:tcPr>
          <w:p>
            <w:pPr>
              <w:spacing w:after="0"/>
              <w:rPr>
                <w:sz w:val="18"/>
                <w:szCs w:val="18"/>
                <w:color w:val="auto"/>
              </w:rPr>
            </w:pP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45,458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58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right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560"/>
        <w:spacing w:after="0"/>
        <w:rPr>
          <w:sz w:val="20"/>
          <w:szCs w:val="20"/>
          <w:color w:val="auto"/>
        </w:rPr>
      </w:pPr>
      <w:r>
        <w:rPr>
          <w:rFonts w:ascii="Arial" w:cs="Arial" w:eastAsia="Arial" w:hAnsi="Arial"/>
          <w:sz w:val="18"/>
          <w:szCs w:val="18"/>
          <w:color w:val="auto"/>
        </w:rPr>
        <w:t xml:space="preserve">For a summary of our revenue disaggregated by service, refer to Note 4. </w:t>
      </w:r>
      <w:r>
        <w:rPr>
          <w:rFonts w:ascii="Arial" w:cs="Arial" w:eastAsia="Arial" w:hAnsi="Arial"/>
          <w:sz w:val="18"/>
          <w:szCs w:val="18"/>
          <w:i w:val="1"/>
          <w:iCs w:val="1"/>
          <w:color w:val="auto"/>
        </w:rPr>
        <w:t>Revenue</w:t>
      </w:r>
      <w:r>
        <w:rPr>
          <w:rFonts w:ascii="Arial" w:cs="Arial" w:eastAsia="Arial" w:hAnsi="Arial"/>
          <w:sz w:val="18"/>
          <w:szCs w:val="18"/>
          <w:color w:val="auto"/>
        </w:rPr>
        <w:t>.</w:t>
      </w:r>
    </w:p>
    <w:p>
      <w:pPr>
        <w:spacing w:after="0" w:line="225" w:lineRule="exact"/>
        <w:rPr>
          <w:sz w:val="20"/>
          <w:szCs w:val="20"/>
          <w:color w:val="auto"/>
        </w:rPr>
      </w:pPr>
    </w:p>
    <w:p>
      <w:pPr>
        <w:ind w:left="120" w:right="200" w:firstLine="440"/>
        <w:spacing w:after="0" w:line="277" w:lineRule="auto"/>
        <w:rPr>
          <w:sz w:val="20"/>
          <w:szCs w:val="20"/>
          <w:color w:val="auto"/>
        </w:rPr>
      </w:pPr>
      <w:r>
        <w:rPr>
          <w:rFonts w:ascii="Arial" w:cs="Arial" w:eastAsia="Arial" w:hAnsi="Arial"/>
          <w:sz w:val="18"/>
          <w:szCs w:val="18"/>
          <w:color w:val="auto"/>
        </w:rPr>
        <w:t>Long-lived assets by geographical region are based on the location of the legal entity that owns the assets. Long-lived assets by geographic area presented based upon the location of the assets are as follows (in thousands):</w:t>
      </w:r>
    </w:p>
    <w:p>
      <w:pPr>
        <w:spacing w:after="0" w:line="189" w:lineRule="exact"/>
        <w:rPr>
          <w:sz w:val="20"/>
          <w:szCs w:val="20"/>
          <w:color w:val="auto"/>
        </w:rPr>
      </w:pPr>
    </w:p>
    <w:tbl>
      <w:tblPr>
        <w:tblLayout w:type="fixed"/>
        <w:tblInd w:w="1440" w:type="dxa"/>
        <w:tblCellMar>
          <w:top w:w="0" w:type="dxa"/>
          <w:left w:w="0" w:type="dxa"/>
          <w:bottom w:w="0" w:type="dxa"/>
          <w:right w:w="0" w:type="dxa"/>
        </w:tblCellMar>
      </w:tblPr>
      <w:tr>
        <w:trPr>
          <w:trHeight w:val="171"/>
        </w:trPr>
        <w:tc>
          <w:tcPr>
            <w:tcW w:w="346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2260" w:type="dxa"/>
            <w:vAlign w:val="bottom"/>
            <w:tcBorders>
              <w:bottom w:val="single" w:sz="8" w:color="auto"/>
            </w:tcBorders>
            <w:gridSpan w:val="3"/>
          </w:tcPr>
          <w:p>
            <w:pPr>
              <w:ind w:left="660"/>
              <w:spacing w:after="0"/>
              <w:rPr>
                <w:sz w:val="20"/>
                <w:szCs w:val="20"/>
                <w:color w:val="auto"/>
              </w:rPr>
            </w:pPr>
            <w:r>
              <w:rPr>
                <w:rFonts w:ascii="Arial" w:cs="Arial" w:eastAsia="Arial" w:hAnsi="Arial"/>
                <w:sz w:val="14"/>
                <w:szCs w:val="14"/>
                <w:b w:val="1"/>
                <w:bCs w:val="1"/>
                <w:color w:val="auto"/>
              </w:rPr>
              <w:t>Successor Company</w:t>
            </w:r>
          </w:p>
        </w:tc>
        <w:tc>
          <w:tcPr>
            <w:tcW w:w="720" w:type="dxa"/>
            <w:vAlign w:val="bottom"/>
            <w:tcBorders>
              <w:bottom w:val="single" w:sz="8" w:color="auto"/>
            </w:tcBorders>
          </w:tcPr>
          <w:p>
            <w:pPr>
              <w:spacing w:after="0"/>
              <w:rPr>
                <w:sz w:val="14"/>
                <w:szCs w:val="14"/>
                <w:color w:val="auto"/>
              </w:rPr>
            </w:pPr>
          </w:p>
        </w:tc>
        <w:tc>
          <w:tcPr>
            <w:tcW w:w="40" w:type="dxa"/>
            <w:vAlign w:val="bottom"/>
          </w:tcPr>
          <w:p>
            <w:pPr>
              <w:spacing w:after="0"/>
              <w:rPr>
                <w:sz w:val="14"/>
                <w:szCs w:val="14"/>
                <w:color w:val="auto"/>
              </w:rPr>
            </w:pPr>
          </w:p>
        </w:tc>
      </w:tr>
      <w:tr>
        <w:trPr>
          <w:trHeight w:val="142"/>
        </w:trPr>
        <w:tc>
          <w:tcPr>
            <w:tcW w:w="346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2260" w:type="dxa"/>
            <w:vAlign w:val="bottom"/>
            <w:gridSpan w:val="3"/>
          </w:tcPr>
          <w:p>
            <w:pPr>
              <w:spacing w:after="0" w:line="142" w:lineRule="exact"/>
              <w:rPr>
                <w:sz w:val="20"/>
                <w:szCs w:val="20"/>
                <w:color w:val="auto"/>
              </w:rPr>
            </w:pPr>
            <w:r>
              <w:rPr>
                <w:rFonts w:ascii="Arial" w:cs="Arial" w:eastAsia="Arial" w:hAnsi="Arial"/>
                <w:sz w:val="14"/>
                <w:szCs w:val="14"/>
                <w:color w:val="auto"/>
              </w:rPr>
              <w:t>December 31, 2020</w:t>
            </w:r>
          </w:p>
        </w:tc>
        <w:tc>
          <w:tcPr>
            <w:tcW w:w="1140" w:type="dxa"/>
            <w:vAlign w:val="bottom"/>
            <w:gridSpan w:val="2"/>
          </w:tcPr>
          <w:p>
            <w:pPr>
              <w:spacing w:after="0" w:line="142" w:lineRule="exact"/>
              <w:rPr>
                <w:sz w:val="20"/>
                <w:szCs w:val="20"/>
                <w:color w:val="auto"/>
              </w:rPr>
            </w:pPr>
            <w:r>
              <w:rPr>
                <w:rFonts w:ascii="Arial" w:cs="Arial" w:eastAsia="Arial" w:hAnsi="Arial"/>
                <w:sz w:val="14"/>
                <w:szCs w:val="14"/>
                <w:color w:val="auto"/>
                <w:w w:val="91"/>
              </w:rPr>
              <w:t>December 31, 2019</w:t>
            </w:r>
          </w:p>
        </w:tc>
        <w:tc>
          <w:tcPr>
            <w:tcW w:w="40" w:type="dxa"/>
            <w:vAlign w:val="bottom"/>
          </w:tcPr>
          <w:p>
            <w:pPr>
              <w:spacing w:after="0"/>
              <w:rPr>
                <w:sz w:val="12"/>
                <w:szCs w:val="12"/>
                <w:color w:val="auto"/>
              </w:rPr>
            </w:pPr>
          </w:p>
        </w:tc>
      </w:tr>
      <w:tr>
        <w:trPr>
          <w:trHeight w:val="209"/>
        </w:trPr>
        <w:tc>
          <w:tcPr>
            <w:tcW w:w="34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United States</w:t>
            </w:r>
          </w:p>
        </w:tc>
        <w:tc>
          <w:tcPr>
            <w:tcW w:w="146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3,120</w:t>
            </w:r>
          </w:p>
        </w:tc>
        <w:tc>
          <w:tcPr>
            <w:tcW w:w="112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2,558</w:t>
            </w:r>
          </w:p>
        </w:tc>
        <w:tc>
          <w:tcPr>
            <w:tcW w:w="40" w:type="dxa"/>
            <w:vAlign w:val="bottom"/>
            <w:tcBorders>
              <w:top w:val="single" w:sz="8" w:color="CCEEFF"/>
            </w:tcBorders>
            <w:shd w:val="clear" w:color="auto" w:fill="CCEEFF"/>
          </w:tcPr>
          <w:p>
            <w:pPr>
              <w:spacing w:after="0"/>
              <w:rPr>
                <w:sz w:val="18"/>
                <w:szCs w:val="18"/>
                <w:color w:val="auto"/>
              </w:rPr>
            </w:pPr>
          </w:p>
        </w:tc>
      </w:tr>
      <w:tr>
        <w:trPr>
          <w:trHeight w:val="216"/>
        </w:trPr>
        <w:tc>
          <w:tcPr>
            <w:tcW w:w="3460" w:type="dxa"/>
            <w:vAlign w:val="bottom"/>
          </w:tcPr>
          <w:p>
            <w:pPr>
              <w:spacing w:after="0"/>
              <w:rPr>
                <w:sz w:val="20"/>
                <w:szCs w:val="20"/>
                <w:color w:val="auto"/>
              </w:rPr>
            </w:pPr>
            <w:r>
              <w:rPr>
                <w:rFonts w:ascii="Arial" w:cs="Arial" w:eastAsia="Arial" w:hAnsi="Arial"/>
                <w:sz w:val="18"/>
                <w:szCs w:val="18"/>
                <w:color w:val="auto"/>
              </w:rPr>
              <w:t>Rest of world</w:t>
            </w:r>
          </w:p>
        </w:tc>
        <w:tc>
          <w:tcPr>
            <w:tcW w:w="14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840" w:type="dxa"/>
            <w:vAlign w:val="bottom"/>
            <w:gridSpan w:val="2"/>
          </w:tcPr>
          <w:p>
            <w:pPr>
              <w:jc w:val="right"/>
              <w:ind w:right="1120"/>
              <w:spacing w:after="0"/>
              <w:rPr>
                <w:sz w:val="20"/>
                <w:szCs w:val="20"/>
                <w:color w:val="auto"/>
              </w:rPr>
            </w:pPr>
            <w:r>
              <w:rPr>
                <w:rFonts w:ascii="Arial" w:cs="Arial" w:eastAsia="Arial" w:hAnsi="Arial"/>
                <w:sz w:val="18"/>
                <w:szCs w:val="18"/>
                <w:color w:val="auto"/>
              </w:rPr>
              <w:t>128</w:t>
            </w:r>
          </w:p>
        </w:tc>
        <w:tc>
          <w:tcPr>
            <w:tcW w:w="420" w:type="dxa"/>
            <w:vAlign w:val="bottom"/>
          </w:tcPr>
          <w:p>
            <w:pPr>
              <w:spacing w:after="0"/>
              <w:rPr>
                <w:sz w:val="18"/>
                <w:szCs w:val="18"/>
                <w:color w:val="auto"/>
              </w:rPr>
            </w:pPr>
          </w:p>
        </w:tc>
        <w:tc>
          <w:tcPr>
            <w:tcW w:w="760" w:type="dxa"/>
            <w:vAlign w:val="bottom"/>
            <w:gridSpan w:val="2"/>
          </w:tcPr>
          <w:p>
            <w:pPr>
              <w:ind w:left="440"/>
              <w:spacing w:after="0"/>
              <w:rPr>
                <w:sz w:val="20"/>
                <w:szCs w:val="20"/>
                <w:color w:val="auto"/>
              </w:rPr>
            </w:pPr>
            <w:r>
              <w:rPr>
                <w:rFonts w:ascii="Arial" w:cs="Arial" w:eastAsia="Arial" w:hAnsi="Arial"/>
                <w:sz w:val="18"/>
                <w:szCs w:val="18"/>
                <w:color w:val="auto"/>
              </w:rPr>
              <w:t>—</w:t>
            </w:r>
          </w:p>
        </w:tc>
      </w:tr>
      <w:tr>
        <w:trPr>
          <w:trHeight w:val="27"/>
        </w:trPr>
        <w:tc>
          <w:tcPr>
            <w:tcW w:w="34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120" w:type="dxa"/>
            <w:vAlign w:val="bottom"/>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r>
      <w:tr>
        <w:trPr>
          <w:trHeight w:val="216"/>
        </w:trPr>
        <w:tc>
          <w:tcPr>
            <w:tcW w:w="34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Total long-lived assets</w:t>
            </w:r>
          </w:p>
        </w:tc>
        <w:tc>
          <w:tcPr>
            <w:tcW w:w="14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840" w:type="dxa"/>
            <w:vAlign w:val="bottom"/>
            <w:gridSpan w:val="2"/>
            <w:shd w:val="clear" w:color="auto" w:fill="CCEEFF"/>
          </w:tcPr>
          <w:p>
            <w:pPr>
              <w:jc w:val="right"/>
              <w:ind w:right="1120"/>
              <w:spacing w:after="0"/>
              <w:rPr>
                <w:sz w:val="20"/>
                <w:szCs w:val="20"/>
                <w:color w:val="auto"/>
              </w:rPr>
            </w:pPr>
            <w:r>
              <w:rPr>
                <w:rFonts w:ascii="Arial" w:cs="Arial" w:eastAsia="Arial" w:hAnsi="Arial"/>
                <w:sz w:val="18"/>
                <w:szCs w:val="18"/>
                <w:color w:val="auto"/>
              </w:rPr>
              <w:t>3,248</w:t>
            </w:r>
          </w:p>
        </w:tc>
        <w:tc>
          <w:tcPr>
            <w:tcW w:w="4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2,558</w:t>
            </w:r>
          </w:p>
        </w:tc>
      </w:tr>
      <w:tr>
        <w:trPr>
          <w:trHeight w:val="20"/>
        </w:trPr>
        <w:tc>
          <w:tcPr>
            <w:tcW w:w="346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364" w:lineRule="exact"/>
        <w:rPr>
          <w:sz w:val="20"/>
          <w:szCs w:val="20"/>
          <w:color w:val="auto"/>
        </w:rPr>
      </w:pPr>
    </w:p>
    <w:p>
      <w:pPr>
        <w:ind w:left="540" w:hanging="424"/>
        <w:spacing w:after="0"/>
        <w:tabs>
          <w:tab w:leader="none" w:pos="540" w:val="left"/>
        </w:tabs>
        <w:numPr>
          <w:ilvl w:val="0"/>
          <w:numId w:val="201"/>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Related Parties</w:t>
      </w:r>
    </w:p>
    <w:p>
      <w:pPr>
        <w:spacing w:after="0" w:line="117" w:lineRule="exact"/>
        <w:rPr>
          <w:sz w:val="20"/>
          <w:szCs w:val="20"/>
          <w:color w:val="auto"/>
        </w:rPr>
      </w:pPr>
    </w:p>
    <w:p>
      <w:pPr>
        <w:ind w:left="120" w:right="120" w:firstLine="440"/>
        <w:spacing w:after="0" w:line="311" w:lineRule="auto"/>
        <w:rPr>
          <w:sz w:val="20"/>
          <w:szCs w:val="20"/>
          <w:color w:val="auto"/>
        </w:rPr>
      </w:pPr>
      <w:r>
        <w:rPr>
          <w:rFonts w:ascii="Arial" w:cs="Arial" w:eastAsia="Arial" w:hAnsi="Arial"/>
          <w:sz w:val="16"/>
          <w:szCs w:val="16"/>
          <w:color w:val="auto"/>
        </w:rPr>
        <w:t>The Company reimburses its private equity sponsors for services and any related travel and out-of-pocket expenses. During the years ended December 31, 2020, and 2019, the Company had expenses for services, travel and out-of-pocket expenses to its private equity sponsors of $0.1 million and $0.0 million, respectively. The associated payable for the service transactions was de minimis at December 31, 2020 and 2019.</w:t>
      </w:r>
    </w:p>
    <w:p>
      <w:pPr>
        <w:spacing w:after="0" w:line="149" w:lineRule="exact"/>
        <w:rPr>
          <w:sz w:val="20"/>
          <w:szCs w:val="20"/>
          <w:color w:val="auto"/>
        </w:rPr>
      </w:pPr>
    </w:p>
    <w:p>
      <w:pPr>
        <w:ind w:left="560"/>
        <w:spacing w:after="0"/>
        <w:rPr>
          <w:sz w:val="20"/>
          <w:szCs w:val="20"/>
          <w:color w:val="auto"/>
        </w:rPr>
      </w:pPr>
      <w:r>
        <w:rPr>
          <w:rFonts w:ascii="Arial" w:cs="Arial" w:eastAsia="Arial" w:hAnsi="Arial"/>
          <w:sz w:val="16"/>
          <w:szCs w:val="16"/>
          <w:color w:val="auto"/>
        </w:rPr>
        <w:t>The Company has engaged in revenue transactions within the ordinary course of business with entities affiliated with its private equity sponsors</w:t>
      </w:r>
    </w:p>
    <w:p>
      <w:pPr>
        <w:spacing w:after="0" w:line="46" w:lineRule="exact"/>
        <w:rPr>
          <w:sz w:val="20"/>
          <w:szCs w:val="20"/>
          <w:color w:val="auto"/>
        </w:rPr>
      </w:pPr>
    </w:p>
    <w:p>
      <w:pPr>
        <w:ind w:left="120"/>
        <w:spacing w:after="0"/>
        <w:rPr>
          <w:sz w:val="20"/>
          <w:szCs w:val="20"/>
          <w:color w:val="auto"/>
        </w:rPr>
      </w:pPr>
      <w:r>
        <w:rPr>
          <w:rFonts w:ascii="Arial" w:cs="Arial" w:eastAsia="Arial" w:hAnsi="Arial"/>
          <w:sz w:val="17"/>
          <w:szCs w:val="17"/>
          <w:color w:val="auto"/>
        </w:rPr>
        <w:t>and with members of the Company’s board of directors. During the years ended December 31, 2020, and 2019 the Company recorded revenue of</w:t>
      </w:r>
    </w:p>
    <w:p>
      <w:pPr>
        <w:spacing w:after="0" w:line="21" w:lineRule="exact"/>
        <w:rPr>
          <w:sz w:val="20"/>
          <w:szCs w:val="20"/>
          <w:color w:val="auto"/>
        </w:rPr>
      </w:pPr>
    </w:p>
    <w:p>
      <w:pPr>
        <w:ind w:left="120"/>
        <w:spacing w:after="0"/>
        <w:rPr>
          <w:sz w:val="20"/>
          <w:szCs w:val="20"/>
          <w:color w:val="auto"/>
        </w:rPr>
      </w:pPr>
      <w:r>
        <w:rPr>
          <w:rFonts w:ascii="Arial" w:cs="Arial" w:eastAsia="Arial" w:hAnsi="Arial"/>
          <w:sz w:val="16"/>
          <w:szCs w:val="16"/>
          <w:color w:val="auto"/>
        </w:rPr>
        <w:t>$0.4 million and $0.2 million, respectively. The associated receivables for the revenue transactions were $0.1 million and $0.1 million at December 31,</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8"/>
          <w:szCs w:val="18"/>
          <w:color w:val="auto"/>
        </w:rPr>
        <w:t>2020 and 2019, respectively.</w:t>
      </w:r>
    </w:p>
    <w:p>
      <w:pPr>
        <w:spacing w:after="0" w:line="359" w:lineRule="exact"/>
        <w:rPr>
          <w:sz w:val="20"/>
          <w:szCs w:val="20"/>
          <w:color w:val="auto"/>
        </w:rPr>
      </w:pPr>
    </w:p>
    <w:p>
      <w:pPr>
        <w:ind w:left="540" w:hanging="424"/>
        <w:spacing w:after="0"/>
        <w:tabs>
          <w:tab w:leader="none" w:pos="540" w:val="left"/>
        </w:tabs>
        <w:numPr>
          <w:ilvl w:val="0"/>
          <w:numId w:val="202"/>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Subsequent Events</w:t>
      </w:r>
    </w:p>
    <w:p>
      <w:pPr>
        <w:spacing w:after="0" w:line="117" w:lineRule="exact"/>
        <w:rPr>
          <w:sz w:val="20"/>
          <w:szCs w:val="20"/>
          <w:color w:val="auto"/>
        </w:rPr>
      </w:pPr>
    </w:p>
    <w:p>
      <w:pPr>
        <w:ind w:left="120" w:right="140" w:firstLine="440"/>
        <w:spacing w:after="0" w:line="277" w:lineRule="auto"/>
        <w:rPr>
          <w:sz w:val="20"/>
          <w:szCs w:val="20"/>
          <w:color w:val="auto"/>
        </w:rPr>
      </w:pPr>
      <w:r>
        <w:rPr>
          <w:rFonts w:ascii="Arial" w:cs="Arial" w:eastAsia="Arial" w:hAnsi="Arial"/>
          <w:sz w:val="18"/>
          <w:szCs w:val="18"/>
          <w:color w:val="auto"/>
        </w:rPr>
        <w:t>The Company has evaluated subsequent events through May 28, 2021, the date which the consolidated financial statements were issued, and did not identify any additional matters that require disclosure.</w:t>
      </w:r>
    </w:p>
    <w:p>
      <w:pPr>
        <w:spacing w:after="0" w:line="103" w:lineRule="exact"/>
        <w:rPr>
          <w:sz w:val="20"/>
          <w:szCs w:val="20"/>
          <w:color w:val="auto"/>
        </w:rPr>
      </w:pPr>
    </w:p>
    <w:p>
      <w:pPr>
        <w:jc w:val="center"/>
        <w:ind w:right="-379"/>
        <w:spacing w:after="0"/>
        <w:rPr>
          <w:sz w:val="20"/>
          <w:szCs w:val="20"/>
          <w:color w:val="auto"/>
        </w:rPr>
      </w:pPr>
      <w:r>
        <w:rPr>
          <w:rFonts w:ascii="Arial" w:cs="Arial" w:eastAsia="Arial" w:hAnsi="Arial"/>
          <w:sz w:val="18"/>
          <w:szCs w:val="18"/>
          <w:color w:val="auto"/>
        </w:rPr>
        <w:t>F-46</w:t>
      </w:r>
    </w:p>
    <w:p>
      <w:pPr>
        <w:sectPr>
          <w:pgSz w:w="11900" w:h="16838" w:orient="portrait"/>
          <w:cols w:equalWidth="0" w:num="1">
            <w:col w:w="11100"/>
          </w:cols>
          <w:pgMar w:left="320" w:top="459" w:right="479" w:bottom="1440" w:gutter="0" w:footer="0" w:header="0"/>
        </w:sectPr>
      </w:pPr>
    </w:p>
    <w:bookmarkStart w:id="252" w:name="page253"/>
    <w:bookmarkEnd w:id="25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38">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619"/>
        <w:spacing w:after="0"/>
        <w:rPr>
          <w:sz w:val="20"/>
          <w:szCs w:val="20"/>
          <w:color w:val="auto"/>
        </w:rPr>
      </w:pPr>
      <w:r>
        <w:rPr>
          <w:rFonts w:ascii="Arial" w:cs="Arial" w:eastAsia="Arial" w:hAnsi="Arial"/>
          <w:sz w:val="18"/>
          <w:szCs w:val="18"/>
          <w:b w:val="1"/>
          <w:bCs w:val="1"/>
          <w:color w:val="auto"/>
        </w:rPr>
        <w:t>Confidential Treatment Requested by Definitive Healthcare Corp.</w:t>
      </w:r>
    </w:p>
    <w:p>
      <w:pPr>
        <w:spacing w:after="0" w:line="27" w:lineRule="exact"/>
        <w:rPr>
          <w:sz w:val="20"/>
          <w:szCs w:val="20"/>
          <w:color w:val="auto"/>
        </w:rPr>
      </w:pPr>
    </w:p>
    <w:p>
      <w:pPr>
        <w:jc w:val="center"/>
        <w:ind w:right="-619"/>
        <w:spacing w:after="0"/>
        <w:rPr>
          <w:sz w:val="20"/>
          <w:szCs w:val="20"/>
          <w:color w:val="auto"/>
        </w:rPr>
      </w:pPr>
      <w:r>
        <w:rPr>
          <w:rFonts w:ascii="Arial" w:cs="Arial" w:eastAsia="Arial" w:hAnsi="Arial"/>
          <w:sz w:val="18"/>
          <w:szCs w:val="18"/>
          <w:b w:val="1"/>
          <w:bCs w:val="1"/>
          <w:color w:val="auto"/>
        </w:rPr>
        <w:t>Pursuant to 17 C.F.R. Section 200.83</w:t>
      </w:r>
    </w:p>
    <w:p>
      <w:pPr>
        <w:spacing w:after="0" w:line="13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AIDH TopCo, LLC and Subsidiaries</w:t>
      </w:r>
    </w:p>
    <w:p>
      <w:pPr>
        <w:spacing w:after="0" w:line="121" w:lineRule="exact"/>
        <w:rPr>
          <w:sz w:val="20"/>
          <w:szCs w:val="20"/>
          <w:color w:val="auto"/>
        </w:rPr>
      </w:pPr>
    </w:p>
    <w:p>
      <w:pPr>
        <w:ind w:left="120"/>
        <w:spacing w:after="0" w:line="277" w:lineRule="auto"/>
        <w:rPr>
          <w:sz w:val="20"/>
          <w:szCs w:val="20"/>
          <w:color w:val="auto"/>
        </w:rPr>
      </w:pPr>
      <w:r>
        <w:rPr>
          <w:rFonts w:ascii="Arial" w:cs="Arial" w:eastAsia="Arial" w:hAnsi="Arial"/>
          <w:sz w:val="18"/>
          <w:szCs w:val="18"/>
          <w:color w:val="auto"/>
        </w:rPr>
        <w:t>Condensed Consolidated Financial Statements as of June 30, 2021 and December 31, 2020 and for the Six Months Ended June 30, 2021 and 2020 (Unaudited)</w:t>
      </w:r>
    </w:p>
    <w:p>
      <w:pPr>
        <w:spacing w:after="0" w:line="103"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F-47</w:t>
      </w:r>
    </w:p>
    <w:p>
      <w:pPr>
        <w:sectPr>
          <w:pgSz w:w="11900" w:h="16838" w:orient="portrait"/>
          <w:cols w:equalWidth="0" w:num="1">
            <w:col w:w="10640"/>
          </w:cols>
          <w:pgMar w:left="320" w:top="459" w:right="939" w:bottom="1440" w:gutter="0" w:footer="0" w:header="0"/>
        </w:sectPr>
      </w:pPr>
    </w:p>
    <w:bookmarkStart w:id="253" w:name="page254"/>
    <w:bookmarkEnd w:id="25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39">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Confidential Treatment Requested by Definitive Healthcare Corp.</w:t>
      </w:r>
    </w:p>
    <w:p>
      <w:pPr>
        <w:spacing w:after="0" w:line="27"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Pursuant to 17 C.F.R. Section 200.83</w:t>
      </w:r>
    </w:p>
    <w:p>
      <w:pPr>
        <w:spacing w:after="0" w:line="139"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AIDH TOPCO, LLC</w:t>
      </w:r>
    </w:p>
    <w:p>
      <w:pPr>
        <w:spacing w:after="0" w:line="22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27" w:lineRule="exact"/>
        <w:rPr>
          <w:sz w:val="20"/>
          <w:szCs w:val="20"/>
          <w:color w:val="auto"/>
        </w:rPr>
      </w:pPr>
    </w:p>
    <w:p>
      <w:pPr>
        <w:jc w:val="center"/>
        <w:ind w:right="-99"/>
        <w:spacing w:after="0"/>
        <w:rPr>
          <w:sz w:val="20"/>
          <w:szCs w:val="20"/>
          <w:color w:val="auto"/>
        </w:rPr>
      </w:pPr>
      <w:r>
        <w:rPr>
          <w:rFonts w:ascii="Arial" w:cs="Arial" w:eastAsia="Arial" w:hAnsi="Arial"/>
          <w:sz w:val="18"/>
          <w:szCs w:val="18"/>
          <w:i w:val="1"/>
          <w:iCs w:val="1"/>
          <w:color w:val="auto"/>
        </w:rPr>
        <w:t>(in thousands, except number of units)</w:t>
      </w:r>
    </w:p>
    <w:p>
      <w:pPr>
        <w:spacing w:after="0" w:line="229"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8360" w:type="dxa"/>
            <w:vAlign w:val="bottom"/>
          </w:tcPr>
          <w:p>
            <w:pPr>
              <w:spacing w:after="0"/>
              <w:rPr>
                <w:sz w:val="14"/>
                <w:szCs w:val="14"/>
                <w:color w:val="auto"/>
              </w:rPr>
            </w:pPr>
          </w:p>
        </w:tc>
        <w:tc>
          <w:tcPr>
            <w:tcW w:w="1380" w:type="dxa"/>
            <w:vAlign w:val="bottom"/>
            <w:gridSpan w:val="3"/>
          </w:tcPr>
          <w:p>
            <w:pPr>
              <w:spacing w:after="0"/>
              <w:rPr>
                <w:sz w:val="20"/>
                <w:szCs w:val="20"/>
                <w:color w:val="auto"/>
              </w:rPr>
            </w:pPr>
            <w:r>
              <w:rPr>
                <w:rFonts w:ascii="Arial" w:cs="Arial" w:eastAsia="Arial" w:hAnsi="Arial"/>
                <w:sz w:val="14"/>
                <w:szCs w:val="14"/>
                <w:b w:val="1"/>
                <w:bCs w:val="1"/>
                <w:color w:val="auto"/>
              </w:rPr>
              <w:t>June 30, 2021</w:t>
            </w:r>
          </w:p>
        </w:tc>
        <w:tc>
          <w:tcPr>
            <w:tcW w:w="1280" w:type="dxa"/>
            <w:vAlign w:val="bottom"/>
            <w:gridSpan w:val="3"/>
          </w:tcPr>
          <w:p>
            <w:pPr>
              <w:spacing w:after="0"/>
              <w:rPr>
                <w:sz w:val="20"/>
                <w:szCs w:val="20"/>
                <w:color w:val="auto"/>
              </w:rPr>
            </w:pPr>
            <w:r>
              <w:rPr>
                <w:rFonts w:ascii="Arial" w:cs="Arial" w:eastAsia="Arial" w:hAnsi="Arial"/>
                <w:sz w:val="14"/>
                <w:szCs w:val="14"/>
                <w:b w:val="1"/>
                <w:bCs w:val="1"/>
                <w:color w:val="auto"/>
                <w:w w:val="99"/>
              </w:rPr>
              <w:t>December 31, 2020</w:t>
            </w:r>
          </w:p>
        </w:tc>
        <w:tc>
          <w:tcPr>
            <w:tcW w:w="0" w:type="dxa"/>
            <w:vAlign w:val="bottom"/>
          </w:tcPr>
          <w:p>
            <w:pPr>
              <w:spacing w:after="0"/>
              <w:rPr>
                <w:sz w:val="1"/>
                <w:szCs w:val="1"/>
                <w:color w:val="auto"/>
              </w:rPr>
            </w:pPr>
          </w:p>
        </w:tc>
      </w:tr>
      <w:tr>
        <w:trPr>
          <w:trHeight w:val="142"/>
        </w:trPr>
        <w:tc>
          <w:tcPr>
            <w:tcW w:w="8360" w:type="dxa"/>
            <w:vAlign w:val="bottom"/>
          </w:tcPr>
          <w:p>
            <w:pPr>
              <w:spacing w:after="0"/>
              <w:rPr>
                <w:sz w:val="12"/>
                <w:szCs w:val="12"/>
                <w:color w:val="auto"/>
              </w:rPr>
            </w:pPr>
          </w:p>
        </w:tc>
        <w:tc>
          <w:tcPr>
            <w:tcW w:w="840" w:type="dxa"/>
            <w:vAlign w:val="bottom"/>
            <w:tcBorders>
              <w:top w:val="single" w:sz="8" w:color="auto"/>
            </w:tcBorders>
            <w:gridSpan w:val="2"/>
          </w:tcPr>
          <w:p>
            <w:pPr>
              <w:ind w:left="80"/>
              <w:spacing w:after="0" w:line="142" w:lineRule="exact"/>
              <w:rPr>
                <w:sz w:val="20"/>
                <w:szCs w:val="20"/>
                <w:color w:val="auto"/>
              </w:rPr>
            </w:pPr>
            <w:r>
              <w:rPr>
                <w:rFonts w:ascii="Arial" w:cs="Arial" w:eastAsia="Arial" w:hAnsi="Arial"/>
                <w:sz w:val="14"/>
                <w:szCs w:val="14"/>
                <w:color w:val="auto"/>
              </w:rPr>
              <w:t>(Unaudited)</w:t>
            </w:r>
          </w:p>
        </w:tc>
        <w:tc>
          <w:tcPr>
            <w:tcW w:w="540" w:type="dxa"/>
            <w:vAlign w:val="bottom"/>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90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83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360" w:type="dxa"/>
            <w:vAlign w:val="bottom"/>
          </w:tcPr>
          <w:p>
            <w:pPr>
              <w:spacing w:after="0"/>
              <w:rPr>
                <w:sz w:val="20"/>
                <w:szCs w:val="20"/>
                <w:color w:val="auto"/>
              </w:rPr>
            </w:pPr>
            <w:r>
              <w:rPr>
                <w:rFonts w:ascii="Arial" w:cs="Arial" w:eastAsia="Arial" w:hAnsi="Arial"/>
                <w:sz w:val="18"/>
                <w:szCs w:val="18"/>
                <w:color w:val="auto"/>
              </w:rPr>
              <w:t>Current assets:</w:t>
            </w: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3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Cash and cash equivalents</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128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38,438</w:t>
            </w:r>
          </w:p>
        </w:tc>
        <w:tc>
          <w:tcPr>
            <w:tcW w:w="2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24,774</w:t>
            </w:r>
          </w:p>
        </w:tc>
        <w:tc>
          <w:tcPr>
            <w:tcW w:w="0" w:type="dxa"/>
            <w:vAlign w:val="bottom"/>
          </w:tcPr>
          <w:p>
            <w:pPr>
              <w:spacing w:after="0"/>
              <w:rPr>
                <w:sz w:val="1"/>
                <w:szCs w:val="1"/>
                <w:color w:val="auto"/>
              </w:rPr>
            </w:pPr>
          </w:p>
        </w:tc>
      </w:tr>
      <w:tr>
        <w:trPr>
          <w:trHeight w:val="216"/>
        </w:trPr>
        <w:tc>
          <w:tcPr>
            <w:tcW w:w="8360" w:type="dxa"/>
            <w:vAlign w:val="bottom"/>
          </w:tcPr>
          <w:p>
            <w:pPr>
              <w:ind w:left="360"/>
              <w:spacing w:after="0"/>
              <w:rPr>
                <w:sz w:val="20"/>
                <w:szCs w:val="20"/>
                <w:color w:val="auto"/>
              </w:rPr>
            </w:pPr>
            <w:r>
              <w:rPr>
                <w:rFonts w:ascii="Arial" w:cs="Arial" w:eastAsia="Arial" w:hAnsi="Arial"/>
                <w:sz w:val="18"/>
                <w:szCs w:val="18"/>
                <w:color w:val="auto"/>
              </w:rPr>
              <w:t>Accounts receivable, net</w:t>
            </w:r>
          </w:p>
        </w:tc>
        <w:tc>
          <w:tcPr>
            <w:tcW w:w="100" w:type="dxa"/>
            <w:vAlign w:val="bottom"/>
          </w:tcPr>
          <w:p>
            <w:pPr>
              <w:spacing w:after="0"/>
              <w:rPr>
                <w:sz w:val="18"/>
                <w:szCs w:val="18"/>
                <w:color w:val="auto"/>
              </w:rPr>
            </w:pPr>
          </w:p>
        </w:tc>
        <w:tc>
          <w:tcPr>
            <w:tcW w:w="1280" w:type="dxa"/>
            <w:vAlign w:val="bottom"/>
            <w:gridSpan w:val="2"/>
          </w:tcPr>
          <w:p>
            <w:pPr>
              <w:jc w:val="right"/>
              <w:ind w:right="540"/>
              <w:spacing w:after="0"/>
              <w:rPr>
                <w:sz w:val="20"/>
                <w:szCs w:val="20"/>
                <w:color w:val="auto"/>
              </w:rPr>
            </w:pPr>
            <w:r>
              <w:rPr>
                <w:rFonts w:ascii="Arial" w:cs="Arial" w:eastAsia="Arial" w:hAnsi="Arial"/>
                <w:sz w:val="18"/>
                <w:szCs w:val="18"/>
                <w:color w:val="auto"/>
              </w:rPr>
              <w:t>22,818</w:t>
            </w:r>
          </w:p>
        </w:tc>
        <w:tc>
          <w:tcPr>
            <w:tcW w:w="260" w:type="dxa"/>
            <w:vAlign w:val="bottom"/>
          </w:tcPr>
          <w:p>
            <w:pPr>
              <w:spacing w:after="0"/>
              <w:rPr>
                <w:sz w:val="18"/>
                <w:szCs w:val="18"/>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8"/>
                <w:szCs w:val="18"/>
                <w:color w:val="auto"/>
              </w:rPr>
              <w:t>33,108</w:t>
            </w:r>
          </w:p>
        </w:tc>
        <w:tc>
          <w:tcPr>
            <w:tcW w:w="0" w:type="dxa"/>
            <w:vAlign w:val="bottom"/>
          </w:tcPr>
          <w:p>
            <w:pPr>
              <w:spacing w:after="0"/>
              <w:rPr>
                <w:sz w:val="1"/>
                <w:szCs w:val="1"/>
                <w:color w:val="auto"/>
              </w:rPr>
            </w:pPr>
          </w:p>
        </w:tc>
      </w:tr>
      <w:tr>
        <w:trPr>
          <w:trHeight w:val="216"/>
        </w:trPr>
        <w:tc>
          <w:tcPr>
            <w:tcW w:w="83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Prepaid expenses and other current assets</w:t>
            </w: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3,660</w:t>
            </w:r>
          </w:p>
        </w:tc>
        <w:tc>
          <w:tcPr>
            <w:tcW w:w="2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3,016</w:t>
            </w:r>
          </w:p>
        </w:tc>
        <w:tc>
          <w:tcPr>
            <w:tcW w:w="0" w:type="dxa"/>
            <w:vAlign w:val="bottom"/>
          </w:tcPr>
          <w:p>
            <w:pPr>
              <w:spacing w:after="0"/>
              <w:rPr>
                <w:sz w:val="1"/>
                <w:szCs w:val="1"/>
                <w:color w:val="auto"/>
              </w:rPr>
            </w:pPr>
          </w:p>
        </w:tc>
      </w:tr>
      <w:tr>
        <w:trPr>
          <w:trHeight w:val="216"/>
        </w:trPr>
        <w:tc>
          <w:tcPr>
            <w:tcW w:w="8360" w:type="dxa"/>
            <w:vAlign w:val="bottom"/>
          </w:tcPr>
          <w:p>
            <w:pPr>
              <w:ind w:left="360"/>
              <w:spacing w:after="0"/>
              <w:rPr>
                <w:sz w:val="20"/>
                <w:szCs w:val="20"/>
                <w:color w:val="auto"/>
              </w:rPr>
            </w:pPr>
            <w:r>
              <w:rPr>
                <w:rFonts w:ascii="Arial" w:cs="Arial" w:eastAsia="Arial" w:hAnsi="Arial"/>
                <w:sz w:val="18"/>
                <w:szCs w:val="18"/>
                <w:color w:val="auto"/>
              </w:rPr>
              <w:t>Current portion of deferred contract costs</w:t>
            </w:r>
          </w:p>
        </w:tc>
        <w:tc>
          <w:tcPr>
            <w:tcW w:w="100" w:type="dxa"/>
            <w:vAlign w:val="bottom"/>
          </w:tcPr>
          <w:p>
            <w:pPr>
              <w:spacing w:after="0"/>
              <w:rPr>
                <w:sz w:val="18"/>
                <w:szCs w:val="18"/>
                <w:color w:val="auto"/>
              </w:rPr>
            </w:pPr>
          </w:p>
        </w:tc>
        <w:tc>
          <w:tcPr>
            <w:tcW w:w="1280" w:type="dxa"/>
            <w:vAlign w:val="bottom"/>
            <w:gridSpan w:val="2"/>
          </w:tcPr>
          <w:p>
            <w:pPr>
              <w:jc w:val="right"/>
              <w:ind w:right="540"/>
              <w:spacing w:after="0"/>
              <w:rPr>
                <w:sz w:val="20"/>
                <w:szCs w:val="20"/>
                <w:color w:val="auto"/>
              </w:rPr>
            </w:pPr>
            <w:r>
              <w:rPr>
                <w:rFonts w:ascii="Arial" w:cs="Arial" w:eastAsia="Arial" w:hAnsi="Arial"/>
                <w:sz w:val="18"/>
                <w:szCs w:val="18"/>
                <w:color w:val="auto"/>
              </w:rPr>
              <w:t>4,549</w:t>
            </w:r>
          </w:p>
        </w:tc>
        <w:tc>
          <w:tcPr>
            <w:tcW w:w="260" w:type="dxa"/>
            <w:vAlign w:val="bottom"/>
          </w:tcPr>
          <w:p>
            <w:pPr>
              <w:spacing w:after="0"/>
              <w:rPr>
                <w:sz w:val="18"/>
                <w:szCs w:val="18"/>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8"/>
                <w:szCs w:val="18"/>
                <w:color w:val="auto"/>
              </w:rPr>
              <w:t>2,947</w:t>
            </w:r>
          </w:p>
        </w:tc>
        <w:tc>
          <w:tcPr>
            <w:tcW w:w="0" w:type="dxa"/>
            <w:vAlign w:val="bottom"/>
          </w:tcPr>
          <w:p>
            <w:pPr>
              <w:spacing w:after="0"/>
              <w:rPr>
                <w:sz w:val="1"/>
                <w:szCs w:val="1"/>
                <w:color w:val="auto"/>
              </w:rPr>
            </w:pPr>
          </w:p>
        </w:tc>
      </w:tr>
      <w:tr>
        <w:trPr>
          <w:trHeight w:val="27"/>
        </w:trPr>
        <w:tc>
          <w:tcPr>
            <w:tcW w:w="83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54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8360" w:type="dxa"/>
            <w:vAlign w:val="bottom"/>
            <w:shd w:val="clear" w:color="auto" w:fill="CCEEFF"/>
          </w:tcPr>
          <w:p>
            <w:pPr>
              <w:ind w:left="720"/>
              <w:spacing w:after="0"/>
              <w:rPr>
                <w:sz w:val="20"/>
                <w:szCs w:val="20"/>
                <w:color w:val="auto"/>
              </w:rPr>
            </w:pPr>
            <w:r>
              <w:rPr>
                <w:rFonts w:ascii="Arial" w:cs="Arial" w:eastAsia="Arial" w:hAnsi="Arial"/>
                <w:sz w:val="18"/>
                <w:szCs w:val="18"/>
                <w:b w:val="1"/>
                <w:bCs w:val="1"/>
                <w:color w:val="auto"/>
              </w:rPr>
              <w:t>Total current assets</w:t>
            </w: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69,465</w:t>
            </w:r>
          </w:p>
        </w:tc>
        <w:tc>
          <w:tcPr>
            <w:tcW w:w="2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63,845</w:t>
            </w:r>
          </w:p>
        </w:tc>
        <w:tc>
          <w:tcPr>
            <w:tcW w:w="0" w:type="dxa"/>
            <w:vAlign w:val="bottom"/>
          </w:tcPr>
          <w:p>
            <w:pPr>
              <w:spacing w:after="0"/>
              <w:rPr>
                <w:sz w:val="1"/>
                <w:szCs w:val="1"/>
                <w:color w:val="auto"/>
              </w:rPr>
            </w:pPr>
          </w:p>
        </w:tc>
      </w:tr>
      <w:tr>
        <w:trPr>
          <w:trHeight w:val="324"/>
        </w:trPr>
        <w:tc>
          <w:tcPr>
            <w:tcW w:w="8360" w:type="dxa"/>
            <w:vAlign w:val="bottom"/>
          </w:tcPr>
          <w:p>
            <w:pPr>
              <w:spacing w:after="0"/>
              <w:rPr>
                <w:sz w:val="20"/>
                <w:szCs w:val="20"/>
                <w:color w:val="auto"/>
              </w:rPr>
            </w:pPr>
            <w:r>
              <w:rPr>
                <w:rFonts w:ascii="Arial" w:cs="Arial" w:eastAsia="Arial" w:hAnsi="Arial"/>
                <w:sz w:val="18"/>
                <w:szCs w:val="18"/>
                <w:color w:val="auto"/>
              </w:rPr>
              <w:t>Property and equipment, net</w:t>
            </w:r>
          </w:p>
        </w:tc>
        <w:tc>
          <w:tcPr>
            <w:tcW w:w="100" w:type="dxa"/>
            <w:vAlign w:val="bottom"/>
          </w:tcPr>
          <w:p>
            <w:pPr>
              <w:spacing w:after="0"/>
              <w:rPr>
                <w:sz w:val="24"/>
                <w:szCs w:val="24"/>
                <w:color w:val="auto"/>
              </w:rPr>
            </w:pPr>
          </w:p>
        </w:tc>
        <w:tc>
          <w:tcPr>
            <w:tcW w:w="1280" w:type="dxa"/>
            <w:vAlign w:val="bottom"/>
            <w:gridSpan w:val="2"/>
          </w:tcPr>
          <w:p>
            <w:pPr>
              <w:jc w:val="right"/>
              <w:ind w:right="540"/>
              <w:spacing w:after="0"/>
              <w:rPr>
                <w:sz w:val="20"/>
                <w:szCs w:val="20"/>
                <w:color w:val="auto"/>
              </w:rPr>
            </w:pPr>
            <w:r>
              <w:rPr>
                <w:rFonts w:ascii="Arial" w:cs="Arial" w:eastAsia="Arial" w:hAnsi="Arial"/>
                <w:sz w:val="18"/>
                <w:szCs w:val="18"/>
                <w:color w:val="auto"/>
              </w:rPr>
              <w:t>4,340</w:t>
            </w:r>
          </w:p>
        </w:tc>
        <w:tc>
          <w:tcPr>
            <w:tcW w:w="260" w:type="dxa"/>
            <w:vAlign w:val="bottom"/>
          </w:tcPr>
          <w:p>
            <w:pPr>
              <w:spacing w:after="0"/>
              <w:rPr>
                <w:sz w:val="24"/>
                <w:szCs w:val="24"/>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8"/>
                <w:szCs w:val="18"/>
                <w:color w:val="auto"/>
              </w:rPr>
              <w:t>3,248</w:t>
            </w:r>
          </w:p>
        </w:tc>
        <w:tc>
          <w:tcPr>
            <w:tcW w:w="0" w:type="dxa"/>
            <w:vAlign w:val="bottom"/>
          </w:tcPr>
          <w:p>
            <w:pPr>
              <w:spacing w:after="0"/>
              <w:rPr>
                <w:sz w:val="1"/>
                <w:szCs w:val="1"/>
                <w:color w:val="auto"/>
              </w:rPr>
            </w:pPr>
          </w:p>
        </w:tc>
      </w:tr>
      <w:tr>
        <w:trPr>
          <w:trHeight w:val="216"/>
        </w:trPr>
        <w:tc>
          <w:tcPr>
            <w:tcW w:w="8360" w:type="dxa"/>
            <w:vAlign w:val="bottom"/>
            <w:shd w:val="clear" w:color="auto" w:fill="CCEEFF"/>
          </w:tcPr>
          <w:p>
            <w:pPr>
              <w:spacing w:after="0"/>
              <w:rPr>
                <w:sz w:val="20"/>
                <w:szCs w:val="20"/>
                <w:color w:val="auto"/>
              </w:rPr>
            </w:pPr>
            <w:r>
              <w:rPr>
                <w:rFonts w:ascii="Arial" w:cs="Arial" w:eastAsia="Arial" w:hAnsi="Arial"/>
                <w:sz w:val="18"/>
                <w:szCs w:val="18"/>
                <w:color w:val="auto"/>
              </w:rPr>
              <w:t>Other assets</w:t>
            </w: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4,226</w:t>
            </w:r>
          </w:p>
        </w:tc>
        <w:tc>
          <w:tcPr>
            <w:tcW w:w="2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472</w:t>
            </w:r>
          </w:p>
        </w:tc>
        <w:tc>
          <w:tcPr>
            <w:tcW w:w="0" w:type="dxa"/>
            <w:vAlign w:val="bottom"/>
          </w:tcPr>
          <w:p>
            <w:pPr>
              <w:spacing w:after="0"/>
              <w:rPr>
                <w:sz w:val="1"/>
                <w:szCs w:val="1"/>
                <w:color w:val="auto"/>
              </w:rPr>
            </w:pPr>
          </w:p>
        </w:tc>
      </w:tr>
      <w:tr>
        <w:trPr>
          <w:trHeight w:val="216"/>
        </w:trPr>
        <w:tc>
          <w:tcPr>
            <w:tcW w:w="8360" w:type="dxa"/>
            <w:vAlign w:val="bottom"/>
          </w:tcPr>
          <w:p>
            <w:pPr>
              <w:spacing w:after="0"/>
              <w:rPr>
                <w:sz w:val="20"/>
                <w:szCs w:val="20"/>
                <w:color w:val="auto"/>
              </w:rPr>
            </w:pPr>
            <w:r>
              <w:rPr>
                <w:rFonts w:ascii="Arial" w:cs="Arial" w:eastAsia="Arial" w:hAnsi="Arial"/>
                <w:sz w:val="18"/>
                <w:szCs w:val="18"/>
                <w:color w:val="auto"/>
              </w:rPr>
              <w:t>Deferred contract costs, net of current portion</w:t>
            </w:r>
          </w:p>
        </w:tc>
        <w:tc>
          <w:tcPr>
            <w:tcW w:w="100" w:type="dxa"/>
            <w:vAlign w:val="bottom"/>
          </w:tcPr>
          <w:p>
            <w:pPr>
              <w:spacing w:after="0"/>
              <w:rPr>
                <w:sz w:val="18"/>
                <w:szCs w:val="18"/>
                <w:color w:val="auto"/>
              </w:rPr>
            </w:pPr>
          </w:p>
        </w:tc>
        <w:tc>
          <w:tcPr>
            <w:tcW w:w="1280" w:type="dxa"/>
            <w:vAlign w:val="bottom"/>
            <w:gridSpan w:val="2"/>
          </w:tcPr>
          <w:p>
            <w:pPr>
              <w:jc w:val="right"/>
              <w:ind w:right="540"/>
              <w:spacing w:after="0"/>
              <w:rPr>
                <w:sz w:val="20"/>
                <w:szCs w:val="20"/>
                <w:color w:val="auto"/>
              </w:rPr>
            </w:pPr>
            <w:r>
              <w:rPr>
                <w:rFonts w:ascii="Arial" w:cs="Arial" w:eastAsia="Arial" w:hAnsi="Arial"/>
                <w:sz w:val="18"/>
                <w:szCs w:val="18"/>
                <w:color w:val="auto"/>
              </w:rPr>
              <w:t>8,490</w:t>
            </w:r>
          </w:p>
        </w:tc>
        <w:tc>
          <w:tcPr>
            <w:tcW w:w="260" w:type="dxa"/>
            <w:vAlign w:val="bottom"/>
          </w:tcPr>
          <w:p>
            <w:pPr>
              <w:spacing w:after="0"/>
              <w:rPr>
                <w:sz w:val="18"/>
                <w:szCs w:val="18"/>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8"/>
                <w:szCs w:val="18"/>
                <w:color w:val="auto"/>
              </w:rPr>
              <w:t>5,952</w:t>
            </w:r>
          </w:p>
        </w:tc>
        <w:tc>
          <w:tcPr>
            <w:tcW w:w="0" w:type="dxa"/>
            <w:vAlign w:val="bottom"/>
          </w:tcPr>
          <w:p>
            <w:pPr>
              <w:spacing w:after="0"/>
              <w:rPr>
                <w:sz w:val="1"/>
                <w:szCs w:val="1"/>
                <w:color w:val="auto"/>
              </w:rPr>
            </w:pPr>
          </w:p>
        </w:tc>
      </w:tr>
      <w:tr>
        <w:trPr>
          <w:trHeight w:val="216"/>
        </w:trPr>
        <w:tc>
          <w:tcPr>
            <w:tcW w:w="8360" w:type="dxa"/>
            <w:vAlign w:val="bottom"/>
            <w:shd w:val="clear" w:color="auto" w:fill="CCEEFF"/>
          </w:tcPr>
          <w:p>
            <w:pPr>
              <w:spacing w:after="0"/>
              <w:rPr>
                <w:sz w:val="20"/>
                <w:szCs w:val="20"/>
                <w:color w:val="auto"/>
              </w:rPr>
            </w:pPr>
            <w:r>
              <w:rPr>
                <w:rFonts w:ascii="Arial" w:cs="Arial" w:eastAsia="Arial" w:hAnsi="Arial"/>
                <w:sz w:val="18"/>
                <w:szCs w:val="18"/>
                <w:color w:val="auto"/>
              </w:rPr>
              <w:t>Deferred tax asset</w:t>
            </w: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161</w:t>
            </w:r>
          </w:p>
        </w:tc>
        <w:tc>
          <w:tcPr>
            <w:tcW w:w="2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161</w:t>
            </w:r>
          </w:p>
        </w:tc>
        <w:tc>
          <w:tcPr>
            <w:tcW w:w="0" w:type="dxa"/>
            <w:vAlign w:val="bottom"/>
          </w:tcPr>
          <w:p>
            <w:pPr>
              <w:spacing w:after="0"/>
              <w:rPr>
                <w:sz w:val="1"/>
                <w:szCs w:val="1"/>
                <w:color w:val="auto"/>
              </w:rPr>
            </w:pPr>
          </w:p>
        </w:tc>
      </w:tr>
      <w:tr>
        <w:trPr>
          <w:trHeight w:val="216"/>
        </w:trPr>
        <w:tc>
          <w:tcPr>
            <w:tcW w:w="8360" w:type="dxa"/>
            <w:vAlign w:val="bottom"/>
          </w:tcPr>
          <w:p>
            <w:pPr>
              <w:spacing w:after="0"/>
              <w:rPr>
                <w:sz w:val="20"/>
                <w:szCs w:val="20"/>
                <w:color w:val="auto"/>
              </w:rPr>
            </w:pPr>
            <w:r>
              <w:rPr>
                <w:rFonts w:ascii="Arial" w:cs="Arial" w:eastAsia="Arial" w:hAnsi="Arial"/>
                <w:sz w:val="18"/>
                <w:szCs w:val="18"/>
                <w:color w:val="auto"/>
              </w:rPr>
              <w:t>Intangible assets, net</w:t>
            </w:r>
          </w:p>
        </w:tc>
        <w:tc>
          <w:tcPr>
            <w:tcW w:w="100" w:type="dxa"/>
            <w:vAlign w:val="bottom"/>
          </w:tcPr>
          <w:p>
            <w:pPr>
              <w:spacing w:after="0"/>
              <w:rPr>
                <w:sz w:val="18"/>
                <w:szCs w:val="18"/>
                <w:color w:val="auto"/>
              </w:rPr>
            </w:pPr>
          </w:p>
        </w:tc>
        <w:tc>
          <w:tcPr>
            <w:tcW w:w="1280" w:type="dxa"/>
            <w:vAlign w:val="bottom"/>
            <w:gridSpan w:val="2"/>
          </w:tcPr>
          <w:p>
            <w:pPr>
              <w:jc w:val="right"/>
              <w:ind w:right="540"/>
              <w:spacing w:after="0"/>
              <w:rPr>
                <w:sz w:val="20"/>
                <w:szCs w:val="20"/>
                <w:color w:val="auto"/>
              </w:rPr>
            </w:pPr>
            <w:r>
              <w:rPr>
                <w:rFonts w:ascii="Arial" w:cs="Arial" w:eastAsia="Arial" w:hAnsi="Arial"/>
                <w:sz w:val="18"/>
                <w:szCs w:val="18"/>
                <w:color w:val="auto"/>
              </w:rPr>
              <w:t>381,387</w:t>
            </w:r>
          </w:p>
        </w:tc>
        <w:tc>
          <w:tcPr>
            <w:tcW w:w="260" w:type="dxa"/>
            <w:vAlign w:val="bottom"/>
          </w:tcPr>
          <w:p>
            <w:pPr>
              <w:spacing w:after="0"/>
              <w:rPr>
                <w:sz w:val="18"/>
                <w:szCs w:val="18"/>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8"/>
                <w:szCs w:val="18"/>
                <w:color w:val="auto"/>
              </w:rPr>
              <w:t>410,237</w:t>
            </w:r>
          </w:p>
        </w:tc>
        <w:tc>
          <w:tcPr>
            <w:tcW w:w="0" w:type="dxa"/>
            <w:vAlign w:val="bottom"/>
          </w:tcPr>
          <w:p>
            <w:pPr>
              <w:spacing w:after="0"/>
              <w:rPr>
                <w:sz w:val="1"/>
                <w:szCs w:val="1"/>
                <w:color w:val="auto"/>
              </w:rPr>
            </w:pPr>
          </w:p>
        </w:tc>
      </w:tr>
      <w:tr>
        <w:trPr>
          <w:trHeight w:val="216"/>
        </w:trPr>
        <w:tc>
          <w:tcPr>
            <w:tcW w:w="8360" w:type="dxa"/>
            <w:vAlign w:val="bottom"/>
            <w:shd w:val="clear" w:color="auto" w:fill="CCEEFF"/>
          </w:tcPr>
          <w:p>
            <w:pPr>
              <w:spacing w:after="0"/>
              <w:rPr>
                <w:sz w:val="20"/>
                <w:szCs w:val="20"/>
                <w:color w:val="auto"/>
              </w:rPr>
            </w:pPr>
            <w:r>
              <w:rPr>
                <w:rFonts w:ascii="Arial" w:cs="Arial" w:eastAsia="Arial" w:hAnsi="Arial"/>
                <w:sz w:val="18"/>
                <w:szCs w:val="18"/>
                <w:color w:val="auto"/>
              </w:rPr>
              <w:t>Goodwill</w:t>
            </w: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w w:val="89"/>
              </w:rPr>
              <w:t>1,261,444</w:t>
            </w:r>
          </w:p>
        </w:tc>
        <w:tc>
          <w:tcPr>
            <w:tcW w:w="2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1,261,444</w:t>
            </w:r>
          </w:p>
        </w:tc>
        <w:tc>
          <w:tcPr>
            <w:tcW w:w="0" w:type="dxa"/>
            <w:vAlign w:val="bottom"/>
          </w:tcPr>
          <w:p>
            <w:pPr>
              <w:spacing w:after="0"/>
              <w:rPr>
                <w:sz w:val="1"/>
                <w:szCs w:val="1"/>
                <w:color w:val="auto"/>
              </w:rPr>
            </w:pPr>
          </w:p>
        </w:tc>
      </w:tr>
      <w:tr>
        <w:trPr>
          <w:trHeight w:val="223"/>
        </w:trPr>
        <w:tc>
          <w:tcPr>
            <w:tcW w:w="8360" w:type="dxa"/>
            <w:vAlign w:val="bottom"/>
          </w:tcPr>
          <w:p>
            <w:pPr>
              <w:ind w:left="720"/>
              <w:spacing w:after="0"/>
              <w:rPr>
                <w:sz w:val="20"/>
                <w:szCs w:val="20"/>
                <w:color w:val="auto"/>
              </w:rPr>
            </w:pPr>
            <w:r>
              <w:rPr>
                <w:rFonts w:ascii="Arial" w:cs="Arial" w:eastAsia="Arial" w:hAnsi="Arial"/>
                <w:sz w:val="18"/>
                <w:szCs w:val="18"/>
                <w:b w:val="1"/>
                <w:bCs w:val="1"/>
                <w:color w:val="auto"/>
              </w:rPr>
              <w:t>Total assets</w:t>
            </w:r>
          </w:p>
        </w:tc>
        <w:tc>
          <w:tcPr>
            <w:tcW w:w="1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1,729,513</w:t>
            </w:r>
          </w:p>
        </w:tc>
        <w:tc>
          <w:tcPr>
            <w:tcW w:w="540" w:type="dxa"/>
            <w:vAlign w:val="bottom"/>
          </w:tcPr>
          <w:p>
            <w:pPr>
              <w:spacing w:after="0"/>
              <w:rPr>
                <w:sz w:val="19"/>
                <w:szCs w:val="19"/>
                <w:color w:val="auto"/>
              </w:rPr>
            </w:pPr>
          </w:p>
        </w:tc>
        <w:tc>
          <w:tcPr>
            <w:tcW w:w="26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1,745,359</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3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2"/>
        </w:trPr>
        <w:tc>
          <w:tcPr>
            <w:tcW w:w="8360" w:type="dxa"/>
            <w:vAlign w:val="bottom"/>
          </w:tcPr>
          <w:p>
            <w:pPr>
              <w:spacing w:after="0"/>
              <w:rPr>
                <w:sz w:val="8"/>
                <w:szCs w:val="8"/>
                <w:color w:val="auto"/>
              </w:rPr>
            </w:pPr>
          </w:p>
        </w:tc>
        <w:tc>
          <w:tcPr>
            <w:tcW w:w="100" w:type="dxa"/>
            <w:vAlign w:val="bottom"/>
          </w:tcPr>
          <w:p>
            <w:pPr>
              <w:spacing w:after="0"/>
              <w:rPr>
                <w:sz w:val="8"/>
                <w:szCs w:val="8"/>
                <w:color w:val="auto"/>
              </w:rPr>
            </w:pPr>
          </w:p>
        </w:tc>
        <w:tc>
          <w:tcPr>
            <w:tcW w:w="740" w:type="dxa"/>
            <w:vAlign w:val="bottom"/>
          </w:tcPr>
          <w:p>
            <w:pPr>
              <w:spacing w:after="0"/>
              <w:rPr>
                <w:sz w:val="8"/>
                <w:szCs w:val="8"/>
                <w:color w:val="auto"/>
              </w:rPr>
            </w:pPr>
          </w:p>
        </w:tc>
        <w:tc>
          <w:tcPr>
            <w:tcW w:w="540" w:type="dxa"/>
            <w:vAlign w:val="bottom"/>
          </w:tcPr>
          <w:p>
            <w:pPr>
              <w:spacing w:after="0"/>
              <w:rPr>
                <w:sz w:val="8"/>
                <w:szCs w:val="8"/>
                <w:color w:val="auto"/>
              </w:rPr>
            </w:pPr>
          </w:p>
        </w:tc>
        <w:tc>
          <w:tcPr>
            <w:tcW w:w="260" w:type="dxa"/>
            <w:vAlign w:val="bottom"/>
          </w:tcPr>
          <w:p>
            <w:pPr>
              <w:spacing w:after="0"/>
              <w:rPr>
                <w:sz w:val="8"/>
                <w:szCs w:val="8"/>
                <w:color w:val="auto"/>
              </w:rPr>
            </w:pPr>
          </w:p>
        </w:tc>
        <w:tc>
          <w:tcPr>
            <w:tcW w:w="900" w:type="dxa"/>
            <w:vAlign w:val="bottom"/>
          </w:tcPr>
          <w:p>
            <w:pPr>
              <w:spacing w:after="0"/>
              <w:rPr>
                <w:sz w:val="8"/>
                <w:szCs w:val="8"/>
                <w:color w:val="auto"/>
              </w:rPr>
            </w:pPr>
          </w:p>
        </w:tc>
        <w:tc>
          <w:tcPr>
            <w:tcW w:w="1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83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Liabilities and Members’ Capital</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360" w:type="dxa"/>
            <w:vAlign w:val="bottom"/>
          </w:tcPr>
          <w:p>
            <w:pPr>
              <w:spacing w:after="0"/>
              <w:rPr>
                <w:sz w:val="20"/>
                <w:szCs w:val="20"/>
                <w:color w:val="auto"/>
              </w:rPr>
            </w:pPr>
            <w:r>
              <w:rPr>
                <w:rFonts w:ascii="Arial" w:cs="Arial" w:eastAsia="Arial" w:hAnsi="Arial"/>
                <w:sz w:val="18"/>
                <w:szCs w:val="18"/>
                <w:color w:val="auto"/>
              </w:rPr>
              <w:t>Current liabilities:</w:t>
            </w: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3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Accounts payable</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128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4,556</w:t>
            </w:r>
          </w:p>
        </w:tc>
        <w:tc>
          <w:tcPr>
            <w:tcW w:w="2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5,662</w:t>
            </w:r>
          </w:p>
        </w:tc>
        <w:tc>
          <w:tcPr>
            <w:tcW w:w="0" w:type="dxa"/>
            <w:vAlign w:val="bottom"/>
          </w:tcPr>
          <w:p>
            <w:pPr>
              <w:spacing w:after="0"/>
              <w:rPr>
                <w:sz w:val="1"/>
                <w:szCs w:val="1"/>
                <w:color w:val="auto"/>
              </w:rPr>
            </w:pPr>
          </w:p>
        </w:tc>
      </w:tr>
      <w:tr>
        <w:trPr>
          <w:trHeight w:val="216"/>
        </w:trPr>
        <w:tc>
          <w:tcPr>
            <w:tcW w:w="8360" w:type="dxa"/>
            <w:vAlign w:val="bottom"/>
          </w:tcPr>
          <w:p>
            <w:pPr>
              <w:ind w:left="360"/>
              <w:spacing w:after="0"/>
              <w:rPr>
                <w:sz w:val="20"/>
                <w:szCs w:val="20"/>
                <w:color w:val="auto"/>
              </w:rPr>
            </w:pPr>
            <w:r>
              <w:rPr>
                <w:rFonts w:ascii="Arial" w:cs="Arial" w:eastAsia="Arial" w:hAnsi="Arial"/>
                <w:sz w:val="18"/>
                <w:szCs w:val="18"/>
                <w:color w:val="auto"/>
              </w:rPr>
              <w:t>Accrued expenses and other current liabilities</w:t>
            </w:r>
          </w:p>
        </w:tc>
        <w:tc>
          <w:tcPr>
            <w:tcW w:w="100" w:type="dxa"/>
            <w:vAlign w:val="bottom"/>
          </w:tcPr>
          <w:p>
            <w:pPr>
              <w:spacing w:after="0"/>
              <w:rPr>
                <w:sz w:val="18"/>
                <w:szCs w:val="18"/>
                <w:color w:val="auto"/>
              </w:rPr>
            </w:pPr>
          </w:p>
        </w:tc>
        <w:tc>
          <w:tcPr>
            <w:tcW w:w="1280" w:type="dxa"/>
            <w:vAlign w:val="bottom"/>
            <w:gridSpan w:val="2"/>
          </w:tcPr>
          <w:p>
            <w:pPr>
              <w:jc w:val="right"/>
              <w:ind w:right="540"/>
              <w:spacing w:after="0"/>
              <w:rPr>
                <w:sz w:val="20"/>
                <w:szCs w:val="20"/>
                <w:color w:val="auto"/>
              </w:rPr>
            </w:pPr>
            <w:r>
              <w:rPr>
                <w:rFonts w:ascii="Arial" w:cs="Arial" w:eastAsia="Arial" w:hAnsi="Arial"/>
                <w:sz w:val="18"/>
                <w:szCs w:val="18"/>
                <w:color w:val="auto"/>
              </w:rPr>
              <w:t>20,485</w:t>
            </w:r>
          </w:p>
        </w:tc>
        <w:tc>
          <w:tcPr>
            <w:tcW w:w="260" w:type="dxa"/>
            <w:vAlign w:val="bottom"/>
          </w:tcPr>
          <w:p>
            <w:pPr>
              <w:spacing w:after="0"/>
              <w:rPr>
                <w:sz w:val="18"/>
                <w:szCs w:val="18"/>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8"/>
                <w:szCs w:val="18"/>
                <w:color w:val="auto"/>
              </w:rPr>
              <w:t>17,321</w:t>
            </w:r>
          </w:p>
        </w:tc>
        <w:tc>
          <w:tcPr>
            <w:tcW w:w="0" w:type="dxa"/>
            <w:vAlign w:val="bottom"/>
          </w:tcPr>
          <w:p>
            <w:pPr>
              <w:spacing w:after="0"/>
              <w:rPr>
                <w:sz w:val="1"/>
                <w:szCs w:val="1"/>
                <w:color w:val="auto"/>
              </w:rPr>
            </w:pPr>
          </w:p>
        </w:tc>
      </w:tr>
      <w:tr>
        <w:trPr>
          <w:trHeight w:val="216"/>
        </w:trPr>
        <w:tc>
          <w:tcPr>
            <w:tcW w:w="83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Current portion of deferred revenue</w:t>
            </w: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68,885</w:t>
            </w:r>
          </w:p>
        </w:tc>
        <w:tc>
          <w:tcPr>
            <w:tcW w:w="2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61,060</w:t>
            </w:r>
          </w:p>
        </w:tc>
        <w:tc>
          <w:tcPr>
            <w:tcW w:w="0" w:type="dxa"/>
            <w:vAlign w:val="bottom"/>
          </w:tcPr>
          <w:p>
            <w:pPr>
              <w:spacing w:after="0"/>
              <w:rPr>
                <w:sz w:val="1"/>
                <w:szCs w:val="1"/>
                <w:color w:val="auto"/>
              </w:rPr>
            </w:pPr>
          </w:p>
        </w:tc>
      </w:tr>
      <w:tr>
        <w:trPr>
          <w:trHeight w:val="216"/>
        </w:trPr>
        <w:tc>
          <w:tcPr>
            <w:tcW w:w="8360" w:type="dxa"/>
            <w:vAlign w:val="bottom"/>
          </w:tcPr>
          <w:p>
            <w:pPr>
              <w:ind w:left="360"/>
              <w:spacing w:after="0"/>
              <w:rPr>
                <w:sz w:val="20"/>
                <w:szCs w:val="20"/>
                <w:color w:val="auto"/>
              </w:rPr>
            </w:pPr>
            <w:r>
              <w:rPr>
                <w:rFonts w:ascii="Arial" w:cs="Arial" w:eastAsia="Arial" w:hAnsi="Arial"/>
                <w:sz w:val="18"/>
                <w:szCs w:val="18"/>
                <w:color w:val="auto"/>
              </w:rPr>
              <w:t>Current portion of term loan</w:t>
            </w:r>
          </w:p>
        </w:tc>
        <w:tc>
          <w:tcPr>
            <w:tcW w:w="100" w:type="dxa"/>
            <w:vAlign w:val="bottom"/>
          </w:tcPr>
          <w:p>
            <w:pPr>
              <w:spacing w:after="0"/>
              <w:rPr>
                <w:sz w:val="18"/>
                <w:szCs w:val="18"/>
                <w:color w:val="auto"/>
              </w:rPr>
            </w:pPr>
          </w:p>
        </w:tc>
        <w:tc>
          <w:tcPr>
            <w:tcW w:w="1280" w:type="dxa"/>
            <w:vAlign w:val="bottom"/>
            <w:gridSpan w:val="2"/>
          </w:tcPr>
          <w:p>
            <w:pPr>
              <w:jc w:val="right"/>
              <w:ind w:right="540"/>
              <w:spacing w:after="0"/>
              <w:rPr>
                <w:sz w:val="20"/>
                <w:szCs w:val="20"/>
                <w:color w:val="auto"/>
              </w:rPr>
            </w:pPr>
            <w:r>
              <w:rPr>
                <w:rFonts w:ascii="Arial" w:cs="Arial" w:eastAsia="Arial" w:hAnsi="Arial"/>
                <w:sz w:val="18"/>
                <w:szCs w:val="18"/>
                <w:color w:val="auto"/>
              </w:rPr>
              <w:t>4,680</w:t>
            </w:r>
          </w:p>
        </w:tc>
        <w:tc>
          <w:tcPr>
            <w:tcW w:w="260" w:type="dxa"/>
            <w:vAlign w:val="bottom"/>
          </w:tcPr>
          <w:p>
            <w:pPr>
              <w:spacing w:after="0"/>
              <w:rPr>
                <w:sz w:val="18"/>
                <w:szCs w:val="18"/>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8"/>
                <w:szCs w:val="18"/>
                <w:color w:val="auto"/>
              </w:rPr>
              <w:t>4,680</w:t>
            </w:r>
          </w:p>
        </w:tc>
        <w:tc>
          <w:tcPr>
            <w:tcW w:w="0" w:type="dxa"/>
            <w:vAlign w:val="bottom"/>
          </w:tcPr>
          <w:p>
            <w:pPr>
              <w:spacing w:after="0"/>
              <w:rPr>
                <w:sz w:val="1"/>
                <w:szCs w:val="1"/>
                <w:color w:val="auto"/>
              </w:rPr>
            </w:pPr>
          </w:p>
        </w:tc>
      </w:tr>
      <w:tr>
        <w:trPr>
          <w:trHeight w:val="27"/>
        </w:trPr>
        <w:tc>
          <w:tcPr>
            <w:tcW w:w="83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54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8360" w:type="dxa"/>
            <w:vAlign w:val="bottom"/>
            <w:shd w:val="clear" w:color="auto" w:fill="CCEEFF"/>
          </w:tcPr>
          <w:p>
            <w:pPr>
              <w:ind w:left="720"/>
              <w:spacing w:after="0"/>
              <w:rPr>
                <w:sz w:val="20"/>
                <w:szCs w:val="20"/>
                <w:color w:val="auto"/>
              </w:rPr>
            </w:pPr>
            <w:r>
              <w:rPr>
                <w:rFonts w:ascii="Arial" w:cs="Arial" w:eastAsia="Arial" w:hAnsi="Arial"/>
                <w:sz w:val="18"/>
                <w:szCs w:val="18"/>
                <w:b w:val="1"/>
                <w:bCs w:val="1"/>
                <w:color w:val="auto"/>
              </w:rPr>
              <w:t>Total current liabilities</w:t>
            </w: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98,606</w:t>
            </w:r>
          </w:p>
        </w:tc>
        <w:tc>
          <w:tcPr>
            <w:tcW w:w="2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88,723</w:t>
            </w:r>
          </w:p>
        </w:tc>
        <w:tc>
          <w:tcPr>
            <w:tcW w:w="0" w:type="dxa"/>
            <w:vAlign w:val="bottom"/>
          </w:tcPr>
          <w:p>
            <w:pPr>
              <w:spacing w:after="0"/>
              <w:rPr>
                <w:sz w:val="1"/>
                <w:szCs w:val="1"/>
                <w:color w:val="auto"/>
              </w:rPr>
            </w:pPr>
          </w:p>
        </w:tc>
      </w:tr>
      <w:tr>
        <w:trPr>
          <w:trHeight w:val="324"/>
        </w:trPr>
        <w:tc>
          <w:tcPr>
            <w:tcW w:w="8360" w:type="dxa"/>
            <w:vAlign w:val="bottom"/>
          </w:tcPr>
          <w:p>
            <w:pPr>
              <w:spacing w:after="0"/>
              <w:rPr>
                <w:sz w:val="20"/>
                <w:szCs w:val="20"/>
                <w:color w:val="auto"/>
              </w:rPr>
            </w:pPr>
            <w:r>
              <w:rPr>
                <w:rFonts w:ascii="Arial" w:cs="Arial" w:eastAsia="Arial" w:hAnsi="Arial"/>
                <w:sz w:val="18"/>
                <w:szCs w:val="18"/>
                <w:color w:val="auto"/>
              </w:rPr>
              <w:t>Long term liabilities:</w:t>
            </w: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83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Deferred revenue</w:t>
            </w: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236</w:t>
            </w:r>
          </w:p>
        </w:tc>
        <w:tc>
          <w:tcPr>
            <w:tcW w:w="2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140</w:t>
            </w:r>
          </w:p>
        </w:tc>
        <w:tc>
          <w:tcPr>
            <w:tcW w:w="0" w:type="dxa"/>
            <w:vAlign w:val="bottom"/>
          </w:tcPr>
          <w:p>
            <w:pPr>
              <w:spacing w:after="0"/>
              <w:rPr>
                <w:sz w:val="1"/>
                <w:szCs w:val="1"/>
                <w:color w:val="auto"/>
              </w:rPr>
            </w:pPr>
          </w:p>
        </w:tc>
      </w:tr>
      <w:tr>
        <w:trPr>
          <w:trHeight w:val="216"/>
        </w:trPr>
        <w:tc>
          <w:tcPr>
            <w:tcW w:w="8360" w:type="dxa"/>
            <w:vAlign w:val="bottom"/>
          </w:tcPr>
          <w:p>
            <w:pPr>
              <w:ind w:left="360"/>
              <w:spacing w:after="0"/>
              <w:rPr>
                <w:sz w:val="20"/>
                <w:szCs w:val="20"/>
                <w:color w:val="auto"/>
              </w:rPr>
            </w:pPr>
            <w:r>
              <w:rPr>
                <w:rFonts w:ascii="Arial" w:cs="Arial" w:eastAsia="Arial" w:hAnsi="Arial"/>
                <w:sz w:val="18"/>
                <w:szCs w:val="18"/>
                <w:color w:val="auto"/>
              </w:rPr>
              <w:t>Term loan, net of current portion</w:t>
            </w:r>
          </w:p>
        </w:tc>
        <w:tc>
          <w:tcPr>
            <w:tcW w:w="100" w:type="dxa"/>
            <w:vAlign w:val="bottom"/>
          </w:tcPr>
          <w:p>
            <w:pPr>
              <w:spacing w:after="0"/>
              <w:rPr>
                <w:sz w:val="18"/>
                <w:szCs w:val="18"/>
                <w:color w:val="auto"/>
              </w:rPr>
            </w:pPr>
          </w:p>
        </w:tc>
        <w:tc>
          <w:tcPr>
            <w:tcW w:w="1280" w:type="dxa"/>
            <w:vAlign w:val="bottom"/>
            <w:gridSpan w:val="2"/>
          </w:tcPr>
          <w:p>
            <w:pPr>
              <w:jc w:val="right"/>
              <w:ind w:right="540"/>
              <w:spacing w:after="0"/>
              <w:rPr>
                <w:sz w:val="20"/>
                <w:szCs w:val="20"/>
                <w:color w:val="auto"/>
              </w:rPr>
            </w:pPr>
            <w:r>
              <w:rPr>
                <w:rFonts w:ascii="Arial" w:cs="Arial" w:eastAsia="Arial" w:hAnsi="Arial"/>
                <w:sz w:val="18"/>
                <w:szCs w:val="18"/>
                <w:color w:val="auto"/>
              </w:rPr>
              <w:t>455,838</w:t>
            </w:r>
          </w:p>
        </w:tc>
        <w:tc>
          <w:tcPr>
            <w:tcW w:w="260" w:type="dxa"/>
            <w:vAlign w:val="bottom"/>
          </w:tcPr>
          <w:p>
            <w:pPr>
              <w:spacing w:after="0"/>
              <w:rPr>
                <w:sz w:val="18"/>
                <w:szCs w:val="18"/>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8"/>
                <w:szCs w:val="18"/>
                <w:color w:val="auto"/>
              </w:rPr>
              <w:t>457,197</w:t>
            </w:r>
          </w:p>
        </w:tc>
        <w:tc>
          <w:tcPr>
            <w:tcW w:w="0" w:type="dxa"/>
            <w:vAlign w:val="bottom"/>
          </w:tcPr>
          <w:p>
            <w:pPr>
              <w:spacing w:after="0"/>
              <w:rPr>
                <w:sz w:val="1"/>
                <w:szCs w:val="1"/>
                <w:color w:val="auto"/>
              </w:rPr>
            </w:pPr>
          </w:p>
        </w:tc>
      </w:tr>
      <w:tr>
        <w:trPr>
          <w:trHeight w:val="216"/>
        </w:trPr>
        <w:tc>
          <w:tcPr>
            <w:tcW w:w="83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Other long-term liabilities</w:t>
            </w: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460</w:t>
            </w:r>
          </w:p>
        </w:tc>
        <w:tc>
          <w:tcPr>
            <w:tcW w:w="2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3,736</w:t>
            </w:r>
          </w:p>
        </w:tc>
        <w:tc>
          <w:tcPr>
            <w:tcW w:w="0" w:type="dxa"/>
            <w:vAlign w:val="bottom"/>
          </w:tcPr>
          <w:p>
            <w:pPr>
              <w:spacing w:after="0"/>
              <w:rPr>
                <w:sz w:val="1"/>
                <w:szCs w:val="1"/>
                <w:color w:val="auto"/>
              </w:rPr>
            </w:pPr>
          </w:p>
        </w:tc>
      </w:tr>
      <w:tr>
        <w:trPr>
          <w:trHeight w:val="223"/>
        </w:trPr>
        <w:tc>
          <w:tcPr>
            <w:tcW w:w="8360" w:type="dxa"/>
            <w:vAlign w:val="bottom"/>
          </w:tcPr>
          <w:p>
            <w:pPr>
              <w:ind w:left="720"/>
              <w:spacing w:after="0"/>
              <w:rPr>
                <w:sz w:val="20"/>
                <w:szCs w:val="20"/>
                <w:color w:val="auto"/>
              </w:rPr>
            </w:pPr>
            <w:r>
              <w:rPr>
                <w:rFonts w:ascii="Arial" w:cs="Arial" w:eastAsia="Arial" w:hAnsi="Arial"/>
                <w:sz w:val="18"/>
                <w:szCs w:val="18"/>
                <w:b w:val="1"/>
                <w:bCs w:val="1"/>
                <w:color w:val="auto"/>
              </w:rPr>
              <w:t>Total liabilities</w:t>
            </w:r>
          </w:p>
        </w:tc>
        <w:tc>
          <w:tcPr>
            <w:tcW w:w="10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555,140</w:t>
            </w:r>
          </w:p>
        </w:tc>
        <w:tc>
          <w:tcPr>
            <w:tcW w:w="540" w:type="dxa"/>
            <w:vAlign w:val="bottom"/>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549,796</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83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Commitments and Contingencies (Note 11)</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360" w:type="dxa"/>
            <w:vAlign w:val="bottom"/>
          </w:tcPr>
          <w:p>
            <w:pPr>
              <w:spacing w:after="0"/>
              <w:rPr>
                <w:sz w:val="20"/>
                <w:szCs w:val="20"/>
                <w:color w:val="auto"/>
              </w:rPr>
            </w:pPr>
            <w:r>
              <w:rPr>
                <w:rFonts w:ascii="Arial" w:cs="Arial" w:eastAsia="Arial" w:hAnsi="Arial"/>
                <w:sz w:val="18"/>
                <w:szCs w:val="18"/>
                <w:b w:val="1"/>
                <w:bCs w:val="1"/>
                <w:color w:val="auto"/>
              </w:rPr>
              <w:t>Members’ capital:</w:t>
            </w: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8360" w:type="dxa"/>
            <w:vAlign w:val="bottom"/>
            <w:shd w:val="clear" w:color="auto" w:fill="CCEEFF"/>
          </w:tcPr>
          <w:p>
            <w:pPr>
              <w:ind w:left="360"/>
              <w:spacing w:after="0" w:line="201" w:lineRule="exact"/>
              <w:rPr>
                <w:sz w:val="20"/>
                <w:szCs w:val="20"/>
                <w:color w:val="auto"/>
              </w:rPr>
            </w:pPr>
            <w:r>
              <w:rPr>
                <w:rFonts w:ascii="Arial" w:cs="Arial" w:eastAsia="Arial" w:hAnsi="Arial"/>
                <w:sz w:val="18"/>
                <w:szCs w:val="18"/>
                <w:color w:val="auto"/>
                <w:w w:val="97"/>
              </w:rPr>
              <w:t>Class A units, 130,609,506 and 130,245,990 units authorized, issued and outstanding at June 30, 2021</w:t>
            </w: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8360" w:type="dxa"/>
            <w:vAlign w:val="bottom"/>
            <w:shd w:val="clear" w:color="auto" w:fill="CCEEFF"/>
          </w:tcPr>
          <w:p>
            <w:pPr>
              <w:ind w:left="540"/>
              <w:spacing w:after="0"/>
              <w:rPr>
                <w:sz w:val="20"/>
                <w:szCs w:val="20"/>
                <w:color w:val="auto"/>
              </w:rPr>
            </w:pPr>
            <w:r>
              <w:rPr>
                <w:rFonts w:ascii="Arial" w:cs="Arial" w:eastAsia="Arial" w:hAnsi="Arial"/>
                <w:sz w:val="18"/>
                <w:szCs w:val="18"/>
                <w:color w:val="auto"/>
              </w:rPr>
              <w:t>and December 31, 2020, respectively</w:t>
            </w:r>
          </w:p>
        </w:tc>
        <w:tc>
          <w:tcPr>
            <w:tcW w:w="100" w:type="dxa"/>
            <w:vAlign w:val="bottom"/>
            <w:shd w:val="clear" w:color="auto" w:fill="CCEEFF"/>
          </w:tcPr>
          <w:p>
            <w:pPr>
              <w:spacing w:after="0"/>
              <w:rPr>
                <w:sz w:val="20"/>
                <w:szCs w:val="20"/>
                <w:color w:val="auto"/>
              </w:rPr>
            </w:pPr>
          </w:p>
        </w:tc>
        <w:tc>
          <w:tcPr>
            <w:tcW w:w="128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w w:val="89"/>
              </w:rPr>
              <w:t>1,309,614</w:t>
            </w:r>
          </w:p>
        </w:tc>
        <w:tc>
          <w:tcPr>
            <w:tcW w:w="260" w:type="dxa"/>
            <w:vAlign w:val="bottom"/>
            <w:shd w:val="clear" w:color="auto" w:fill="CCEEFF"/>
          </w:tcPr>
          <w:p>
            <w:pPr>
              <w:spacing w:after="0"/>
              <w:rPr>
                <w:sz w:val="20"/>
                <w:szCs w:val="20"/>
                <w:color w:val="auto"/>
              </w:rPr>
            </w:pP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1,303,058</w:t>
            </w:r>
          </w:p>
        </w:tc>
        <w:tc>
          <w:tcPr>
            <w:tcW w:w="0" w:type="dxa"/>
            <w:vAlign w:val="bottom"/>
          </w:tcPr>
          <w:p>
            <w:pPr>
              <w:spacing w:after="0"/>
              <w:rPr>
                <w:sz w:val="1"/>
                <w:szCs w:val="1"/>
                <w:color w:val="auto"/>
              </w:rPr>
            </w:pPr>
          </w:p>
        </w:tc>
      </w:tr>
      <w:tr>
        <w:trPr>
          <w:trHeight w:val="202"/>
        </w:trPr>
        <w:tc>
          <w:tcPr>
            <w:tcW w:w="8360" w:type="dxa"/>
            <w:vAlign w:val="bottom"/>
          </w:tcPr>
          <w:p>
            <w:pPr>
              <w:ind w:left="360"/>
              <w:spacing w:after="0" w:line="201" w:lineRule="exact"/>
              <w:rPr>
                <w:sz w:val="20"/>
                <w:szCs w:val="20"/>
                <w:color w:val="auto"/>
              </w:rPr>
            </w:pPr>
            <w:r>
              <w:rPr>
                <w:rFonts w:ascii="Arial" w:cs="Arial" w:eastAsia="Arial" w:hAnsi="Arial"/>
                <w:sz w:val="18"/>
                <w:szCs w:val="18"/>
                <w:color w:val="auto"/>
              </w:rPr>
              <w:t>Class B units, 8,088,877 units authorized at June 30, 2021 and December 31, 2020; 6,349,125 and</w:t>
            </w: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8360" w:type="dxa"/>
            <w:vAlign w:val="bottom"/>
          </w:tcPr>
          <w:p>
            <w:pPr>
              <w:ind w:left="540"/>
              <w:spacing w:after="0"/>
              <w:rPr>
                <w:sz w:val="20"/>
                <w:szCs w:val="20"/>
                <w:color w:val="auto"/>
              </w:rPr>
            </w:pPr>
            <w:r>
              <w:rPr>
                <w:rFonts w:ascii="Arial" w:cs="Arial" w:eastAsia="Arial" w:hAnsi="Arial"/>
                <w:sz w:val="18"/>
                <w:szCs w:val="18"/>
                <w:color w:val="auto"/>
              </w:rPr>
              <w:t>3,720,063 units issued at June 30, 2021 and December 31, 2020, respectively; and 493,073 and</w:t>
            </w: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8360" w:type="dxa"/>
            <w:vAlign w:val="bottom"/>
          </w:tcPr>
          <w:p>
            <w:pPr>
              <w:ind w:left="540"/>
              <w:spacing w:after="0"/>
              <w:rPr>
                <w:sz w:val="20"/>
                <w:szCs w:val="20"/>
                <w:color w:val="auto"/>
              </w:rPr>
            </w:pPr>
            <w:r>
              <w:rPr>
                <w:rFonts w:ascii="Arial" w:cs="Arial" w:eastAsia="Arial" w:hAnsi="Arial"/>
                <w:sz w:val="18"/>
                <w:szCs w:val="18"/>
                <w:color w:val="auto"/>
              </w:rPr>
              <w:t>474,920 units outstanding at June 30, 2021 and December 31, 2020, respectively</w:t>
            </w:r>
          </w:p>
        </w:tc>
        <w:tc>
          <w:tcPr>
            <w:tcW w:w="100" w:type="dxa"/>
            <w:vAlign w:val="bottom"/>
          </w:tcPr>
          <w:p>
            <w:pPr>
              <w:spacing w:after="0"/>
              <w:rPr>
                <w:sz w:val="20"/>
                <w:szCs w:val="20"/>
                <w:color w:val="auto"/>
              </w:rPr>
            </w:pPr>
          </w:p>
        </w:tc>
        <w:tc>
          <w:tcPr>
            <w:tcW w:w="1280" w:type="dxa"/>
            <w:vAlign w:val="bottom"/>
            <w:gridSpan w:val="2"/>
          </w:tcPr>
          <w:p>
            <w:pPr>
              <w:jc w:val="right"/>
              <w:ind w:right="540"/>
              <w:spacing w:after="0"/>
              <w:rPr>
                <w:sz w:val="20"/>
                <w:szCs w:val="20"/>
                <w:color w:val="auto"/>
              </w:rPr>
            </w:pPr>
            <w:r>
              <w:rPr>
                <w:rFonts w:ascii="Arial" w:cs="Arial" w:eastAsia="Arial" w:hAnsi="Arial"/>
                <w:sz w:val="18"/>
                <w:szCs w:val="18"/>
                <w:color w:val="auto"/>
              </w:rPr>
              <w:t>3,456</w:t>
            </w:r>
          </w:p>
        </w:tc>
        <w:tc>
          <w:tcPr>
            <w:tcW w:w="260" w:type="dxa"/>
            <w:vAlign w:val="bottom"/>
          </w:tcPr>
          <w:p>
            <w:pPr>
              <w:spacing w:after="0"/>
              <w:rPr>
                <w:sz w:val="20"/>
                <w:szCs w:val="20"/>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8"/>
                <w:szCs w:val="18"/>
                <w:color w:val="auto"/>
              </w:rPr>
              <w:t>2,491</w:t>
            </w:r>
          </w:p>
        </w:tc>
        <w:tc>
          <w:tcPr>
            <w:tcW w:w="0" w:type="dxa"/>
            <w:vAlign w:val="bottom"/>
          </w:tcPr>
          <w:p>
            <w:pPr>
              <w:spacing w:after="0"/>
              <w:rPr>
                <w:sz w:val="1"/>
                <w:szCs w:val="1"/>
                <w:color w:val="auto"/>
              </w:rPr>
            </w:pPr>
          </w:p>
        </w:tc>
      </w:tr>
      <w:tr>
        <w:trPr>
          <w:trHeight w:val="216"/>
        </w:trPr>
        <w:tc>
          <w:tcPr>
            <w:tcW w:w="83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Accumulated deficit</w:t>
            </w: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(138,710)</w:t>
            </w:r>
          </w:p>
        </w:tc>
        <w:tc>
          <w:tcPr>
            <w:tcW w:w="2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(109,855)</w:t>
            </w:r>
          </w:p>
        </w:tc>
        <w:tc>
          <w:tcPr>
            <w:tcW w:w="0" w:type="dxa"/>
            <w:vAlign w:val="bottom"/>
          </w:tcPr>
          <w:p>
            <w:pPr>
              <w:spacing w:after="0"/>
              <w:rPr>
                <w:sz w:val="1"/>
                <w:szCs w:val="1"/>
                <w:color w:val="auto"/>
              </w:rPr>
            </w:pPr>
          </w:p>
        </w:tc>
      </w:tr>
      <w:tr>
        <w:trPr>
          <w:trHeight w:val="216"/>
        </w:trPr>
        <w:tc>
          <w:tcPr>
            <w:tcW w:w="8360" w:type="dxa"/>
            <w:vAlign w:val="bottom"/>
          </w:tcPr>
          <w:p>
            <w:pPr>
              <w:ind w:left="360"/>
              <w:spacing w:after="0"/>
              <w:rPr>
                <w:sz w:val="20"/>
                <w:szCs w:val="20"/>
                <w:color w:val="auto"/>
              </w:rPr>
            </w:pPr>
            <w:r>
              <w:rPr>
                <w:rFonts w:ascii="Arial" w:cs="Arial" w:eastAsia="Arial" w:hAnsi="Arial"/>
                <w:sz w:val="18"/>
                <w:szCs w:val="18"/>
                <w:color w:val="auto"/>
              </w:rPr>
              <w:t>Accumulated other comprehensive income (loss)</w:t>
            </w:r>
          </w:p>
        </w:tc>
        <w:tc>
          <w:tcPr>
            <w:tcW w:w="100" w:type="dxa"/>
            <w:vAlign w:val="bottom"/>
          </w:tcPr>
          <w:p>
            <w:pPr>
              <w:spacing w:after="0"/>
              <w:rPr>
                <w:sz w:val="18"/>
                <w:szCs w:val="18"/>
                <w:color w:val="auto"/>
              </w:rPr>
            </w:pPr>
          </w:p>
        </w:tc>
        <w:tc>
          <w:tcPr>
            <w:tcW w:w="1280" w:type="dxa"/>
            <w:vAlign w:val="bottom"/>
            <w:gridSpan w:val="2"/>
          </w:tcPr>
          <w:p>
            <w:pPr>
              <w:jc w:val="right"/>
              <w:ind w:right="540"/>
              <w:spacing w:after="0"/>
              <w:rPr>
                <w:sz w:val="20"/>
                <w:szCs w:val="20"/>
                <w:color w:val="auto"/>
              </w:rPr>
            </w:pPr>
            <w:r>
              <w:rPr>
                <w:rFonts w:ascii="Arial" w:cs="Arial" w:eastAsia="Arial" w:hAnsi="Arial"/>
                <w:sz w:val="18"/>
                <w:szCs w:val="18"/>
                <w:color w:val="auto"/>
              </w:rPr>
              <w:t>13</w:t>
            </w:r>
          </w:p>
        </w:tc>
        <w:tc>
          <w:tcPr>
            <w:tcW w:w="260" w:type="dxa"/>
            <w:vAlign w:val="bottom"/>
          </w:tcPr>
          <w:p>
            <w:pPr>
              <w:spacing w:after="0"/>
              <w:rPr>
                <w:sz w:val="18"/>
                <w:szCs w:val="18"/>
                <w:color w:val="auto"/>
              </w:rPr>
            </w:pPr>
          </w:p>
        </w:tc>
        <w:tc>
          <w:tcPr>
            <w:tcW w:w="1020" w:type="dxa"/>
            <w:vAlign w:val="bottom"/>
            <w:gridSpan w:val="2"/>
          </w:tcPr>
          <w:p>
            <w:pPr>
              <w:jc w:val="right"/>
              <w:ind w:right="60"/>
              <w:spacing w:after="0"/>
              <w:rPr>
                <w:sz w:val="20"/>
                <w:szCs w:val="20"/>
                <w:color w:val="auto"/>
              </w:rPr>
            </w:pPr>
            <w:r>
              <w:rPr>
                <w:rFonts w:ascii="Arial" w:cs="Arial" w:eastAsia="Arial" w:hAnsi="Arial"/>
                <w:sz w:val="18"/>
                <w:szCs w:val="18"/>
                <w:color w:val="auto"/>
              </w:rPr>
              <w:t>(131)</w:t>
            </w:r>
          </w:p>
        </w:tc>
        <w:tc>
          <w:tcPr>
            <w:tcW w:w="0" w:type="dxa"/>
            <w:vAlign w:val="bottom"/>
          </w:tcPr>
          <w:p>
            <w:pPr>
              <w:spacing w:after="0"/>
              <w:rPr>
                <w:sz w:val="1"/>
                <w:szCs w:val="1"/>
                <w:color w:val="auto"/>
              </w:rPr>
            </w:pPr>
          </w:p>
        </w:tc>
      </w:tr>
      <w:tr>
        <w:trPr>
          <w:trHeight w:val="27"/>
        </w:trPr>
        <w:tc>
          <w:tcPr>
            <w:tcW w:w="83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54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8360" w:type="dxa"/>
            <w:vAlign w:val="bottom"/>
            <w:shd w:val="clear" w:color="auto" w:fill="CCEEFF"/>
          </w:tcPr>
          <w:p>
            <w:pPr>
              <w:ind w:left="720"/>
              <w:spacing w:after="0"/>
              <w:rPr>
                <w:sz w:val="20"/>
                <w:szCs w:val="20"/>
                <w:color w:val="auto"/>
              </w:rPr>
            </w:pPr>
            <w:r>
              <w:rPr>
                <w:rFonts w:ascii="Arial" w:cs="Arial" w:eastAsia="Arial" w:hAnsi="Arial"/>
                <w:sz w:val="18"/>
                <w:szCs w:val="18"/>
                <w:b w:val="1"/>
                <w:bCs w:val="1"/>
                <w:color w:val="auto"/>
              </w:rPr>
              <w:t>Total members’ capital</w:t>
            </w: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w w:val="89"/>
              </w:rPr>
              <w:t>1,174,373</w:t>
            </w:r>
          </w:p>
        </w:tc>
        <w:tc>
          <w:tcPr>
            <w:tcW w:w="2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1,195,563</w:t>
            </w:r>
          </w:p>
        </w:tc>
        <w:tc>
          <w:tcPr>
            <w:tcW w:w="0" w:type="dxa"/>
            <w:vAlign w:val="bottom"/>
          </w:tcPr>
          <w:p>
            <w:pPr>
              <w:spacing w:after="0"/>
              <w:rPr>
                <w:sz w:val="1"/>
                <w:szCs w:val="1"/>
                <w:color w:val="auto"/>
              </w:rPr>
            </w:pPr>
          </w:p>
        </w:tc>
      </w:tr>
      <w:tr>
        <w:trPr>
          <w:trHeight w:val="230"/>
        </w:trPr>
        <w:tc>
          <w:tcPr>
            <w:tcW w:w="836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740" w:type="dxa"/>
            <w:vAlign w:val="bottom"/>
            <w:tcBorders>
              <w:top w:val="single" w:sz="8" w:color="auto"/>
              <w:bottom w:val="single" w:sz="8" w:color="auto"/>
            </w:tcBorders>
          </w:tcPr>
          <w:p>
            <w:pPr>
              <w:spacing w:after="0"/>
              <w:rPr>
                <w:sz w:val="20"/>
                <w:szCs w:val="20"/>
                <w:color w:val="auto"/>
              </w:rPr>
            </w:pPr>
          </w:p>
        </w:tc>
        <w:tc>
          <w:tcPr>
            <w:tcW w:w="540" w:type="dxa"/>
            <w:vAlign w:val="bottom"/>
          </w:tcPr>
          <w:p>
            <w:pPr>
              <w:spacing w:after="0"/>
              <w:rPr>
                <w:sz w:val="20"/>
                <w:szCs w:val="20"/>
                <w:color w:val="auto"/>
              </w:rPr>
            </w:pPr>
          </w:p>
        </w:tc>
        <w:tc>
          <w:tcPr>
            <w:tcW w:w="260" w:type="dxa"/>
            <w:vAlign w:val="bottom"/>
            <w:tcBorders>
              <w:top w:val="single" w:sz="8" w:color="auto"/>
              <w:bottom w:val="single" w:sz="8" w:color="auto"/>
            </w:tcBorders>
          </w:tcPr>
          <w:p>
            <w:pPr>
              <w:spacing w:after="0"/>
              <w:rPr>
                <w:sz w:val="20"/>
                <w:szCs w:val="20"/>
                <w:color w:val="auto"/>
              </w:rPr>
            </w:pPr>
          </w:p>
        </w:tc>
        <w:tc>
          <w:tcPr>
            <w:tcW w:w="900" w:type="dxa"/>
            <w:vAlign w:val="bottom"/>
            <w:tcBorders>
              <w:top w:val="single" w:sz="8" w:color="auto"/>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8360" w:type="dxa"/>
            <w:vAlign w:val="bottom"/>
            <w:shd w:val="clear" w:color="auto" w:fill="CCEEFF"/>
          </w:tcPr>
          <w:p>
            <w:pPr>
              <w:ind w:left="720"/>
              <w:spacing w:after="0"/>
              <w:rPr>
                <w:sz w:val="20"/>
                <w:szCs w:val="20"/>
                <w:color w:val="auto"/>
              </w:rPr>
            </w:pPr>
            <w:r>
              <w:rPr>
                <w:rFonts w:ascii="Arial" w:cs="Arial" w:eastAsia="Arial" w:hAnsi="Arial"/>
                <w:sz w:val="18"/>
                <w:szCs w:val="18"/>
                <w:b w:val="1"/>
                <w:bCs w:val="1"/>
                <w:color w:val="auto"/>
              </w:rPr>
              <w:t>Total liabilities and members’ capital</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128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w w:val="89"/>
              </w:rPr>
              <w:t>1,729,513</w:t>
            </w:r>
          </w:p>
        </w:tc>
        <w:tc>
          <w:tcPr>
            <w:tcW w:w="2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1,745,359</w:t>
            </w:r>
          </w:p>
        </w:tc>
        <w:tc>
          <w:tcPr>
            <w:tcW w:w="0" w:type="dxa"/>
            <w:vAlign w:val="bottom"/>
          </w:tcPr>
          <w:p>
            <w:pPr>
              <w:spacing w:after="0"/>
              <w:rPr>
                <w:sz w:val="1"/>
                <w:szCs w:val="1"/>
                <w:color w:val="auto"/>
              </w:rPr>
            </w:pPr>
          </w:p>
        </w:tc>
      </w:tr>
      <w:tr>
        <w:trPr>
          <w:trHeight w:val="20"/>
        </w:trPr>
        <w:tc>
          <w:tcPr>
            <w:tcW w:w="8360" w:type="dxa"/>
            <w:vAlign w:val="bottom"/>
            <w:vMerge w:val="restart"/>
          </w:tcPr>
          <w:p>
            <w:pPr>
              <w:ind w:left="3460"/>
              <w:spacing w:after="0"/>
              <w:rPr>
                <w:sz w:val="20"/>
                <w:szCs w:val="20"/>
                <w:color w:val="auto"/>
              </w:rPr>
            </w:pPr>
            <w:r>
              <w:rPr>
                <w:rFonts w:ascii="Arial" w:cs="Arial" w:eastAsia="Arial" w:hAnsi="Arial"/>
                <w:sz w:val="18"/>
                <w:szCs w:val="18"/>
                <w:color w:val="auto"/>
              </w:rPr>
              <w:t>See notes to condensed consolidated financial statements</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836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4"/>
        </w:trPr>
        <w:tc>
          <w:tcPr>
            <w:tcW w:w="8360" w:type="dxa"/>
            <w:vAlign w:val="bottom"/>
          </w:tcPr>
          <w:p>
            <w:pPr>
              <w:ind w:left="5440"/>
              <w:spacing w:after="0"/>
              <w:rPr>
                <w:sz w:val="20"/>
                <w:szCs w:val="20"/>
                <w:color w:val="auto"/>
              </w:rPr>
            </w:pPr>
            <w:r>
              <w:rPr>
                <w:rFonts w:ascii="Arial" w:cs="Arial" w:eastAsia="Arial" w:hAnsi="Arial"/>
                <w:sz w:val="18"/>
                <w:szCs w:val="18"/>
                <w:color w:val="auto"/>
              </w:rPr>
              <w:t>F-48</w:t>
            </w: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140"/>
          </w:cols>
          <w:pgMar w:left="320" w:top="459" w:right="439" w:bottom="1440" w:gutter="0" w:footer="0" w:header="0"/>
        </w:sectPr>
      </w:pPr>
    </w:p>
    <w:bookmarkStart w:id="254" w:name="page255"/>
    <w:bookmarkEnd w:id="25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40">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Confidential Treatment Requested by Definitive Healthcare Corp.</w:t>
      </w:r>
    </w:p>
    <w:p>
      <w:pPr>
        <w:spacing w:after="0" w:line="27"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Pursuant to 17 C.F.R. Section 200.83</w:t>
      </w:r>
    </w:p>
    <w:p>
      <w:pPr>
        <w:spacing w:after="0" w:line="139"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AIDH TOPCO, LLC</w:t>
      </w:r>
    </w:p>
    <w:p>
      <w:pPr>
        <w:spacing w:after="0" w:line="22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CONDENSED CONSOLIDATED STATEMENTS OF OPERATIONS</w:t>
      </w:r>
    </w:p>
    <w:p>
      <w:pPr>
        <w:spacing w:after="0" w:line="27" w:lineRule="exact"/>
        <w:rPr>
          <w:sz w:val="20"/>
          <w:szCs w:val="20"/>
          <w:color w:val="auto"/>
        </w:rPr>
      </w:pPr>
    </w:p>
    <w:p>
      <w:pPr>
        <w:jc w:val="center"/>
        <w:ind w:right="-99"/>
        <w:spacing w:after="0"/>
        <w:rPr>
          <w:sz w:val="20"/>
          <w:szCs w:val="20"/>
          <w:color w:val="auto"/>
        </w:rPr>
      </w:pPr>
      <w:r>
        <w:rPr>
          <w:rFonts w:ascii="Arial" w:cs="Arial" w:eastAsia="Arial" w:hAnsi="Arial"/>
          <w:sz w:val="18"/>
          <w:szCs w:val="18"/>
          <w:i w:val="1"/>
          <w:iCs w:val="1"/>
          <w:color w:val="auto"/>
        </w:rPr>
        <w:t>(amounts in thousands, except number of units and per unit data)</w:t>
      </w:r>
    </w:p>
    <w:p>
      <w:pPr>
        <w:spacing w:after="0" w:line="9" w:lineRule="exact"/>
        <w:rPr>
          <w:sz w:val="20"/>
          <w:szCs w:val="20"/>
          <w:color w:val="auto"/>
        </w:rPr>
      </w:pPr>
    </w:p>
    <w:p>
      <w:pPr>
        <w:jc w:val="center"/>
        <w:ind w:right="-99"/>
        <w:spacing w:after="0"/>
        <w:rPr>
          <w:sz w:val="20"/>
          <w:szCs w:val="20"/>
          <w:color w:val="auto"/>
        </w:rPr>
      </w:pPr>
      <w:r>
        <w:rPr>
          <w:rFonts w:ascii="Arial" w:cs="Arial" w:eastAsia="Arial" w:hAnsi="Arial"/>
          <w:sz w:val="18"/>
          <w:szCs w:val="18"/>
          <w:i w:val="1"/>
          <w:iCs w:val="1"/>
          <w:color w:val="auto"/>
        </w:rPr>
        <w:t>(Unaudited)</w:t>
      </w:r>
    </w:p>
    <w:p>
      <w:pPr>
        <w:spacing w:after="0" w:line="229"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6280" w:type="dxa"/>
            <w:vAlign w:val="bottom"/>
          </w:tcPr>
          <w:p>
            <w:pPr>
              <w:spacing w:after="0"/>
              <w:rPr>
                <w:sz w:val="14"/>
                <w:szCs w:val="14"/>
                <w:color w:val="auto"/>
              </w:rPr>
            </w:pPr>
          </w:p>
        </w:tc>
        <w:tc>
          <w:tcPr>
            <w:tcW w:w="19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740" w:type="dxa"/>
            <w:vAlign w:val="bottom"/>
            <w:gridSpan w:val="6"/>
          </w:tcPr>
          <w:p>
            <w:pPr>
              <w:jc w:val="right"/>
              <w:ind w:right="640"/>
              <w:spacing w:after="0"/>
              <w:rPr>
                <w:sz w:val="20"/>
                <w:szCs w:val="20"/>
                <w:color w:val="auto"/>
              </w:rPr>
            </w:pPr>
            <w:r>
              <w:rPr>
                <w:rFonts w:ascii="Arial" w:cs="Arial" w:eastAsia="Arial" w:hAnsi="Arial"/>
                <w:sz w:val="14"/>
                <w:szCs w:val="14"/>
                <w:b w:val="1"/>
                <w:bCs w:val="1"/>
                <w:color w:val="auto"/>
              </w:rPr>
              <w:t>Six Months Ended June 30,</w:t>
            </w:r>
          </w:p>
        </w:tc>
      </w:tr>
      <w:tr>
        <w:trPr>
          <w:trHeight w:val="142"/>
        </w:trPr>
        <w:tc>
          <w:tcPr>
            <w:tcW w:w="6280" w:type="dxa"/>
            <w:vAlign w:val="bottom"/>
          </w:tcPr>
          <w:p>
            <w:pPr>
              <w:spacing w:after="0"/>
              <w:rPr>
                <w:sz w:val="12"/>
                <w:szCs w:val="12"/>
                <w:color w:val="auto"/>
              </w:rPr>
            </w:pPr>
          </w:p>
        </w:tc>
        <w:tc>
          <w:tcPr>
            <w:tcW w:w="1920" w:type="dxa"/>
            <w:vAlign w:val="bottom"/>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900" w:type="dxa"/>
            <w:vAlign w:val="bottom"/>
            <w:tcBorders>
              <w:top w:val="single" w:sz="8" w:color="auto"/>
              <w:bottom w:val="single" w:sz="8" w:color="auto"/>
            </w:tcBorders>
          </w:tcPr>
          <w:p>
            <w:pPr>
              <w:jc w:val="right"/>
              <w:ind w:right="252"/>
              <w:spacing w:after="0" w:line="142" w:lineRule="exact"/>
              <w:rPr>
                <w:sz w:val="20"/>
                <w:szCs w:val="20"/>
                <w:color w:val="auto"/>
              </w:rPr>
            </w:pPr>
            <w:r>
              <w:rPr>
                <w:rFonts w:ascii="Arial" w:cs="Arial" w:eastAsia="Arial" w:hAnsi="Arial"/>
                <w:sz w:val="14"/>
                <w:szCs w:val="14"/>
                <w:b w:val="1"/>
                <w:bCs w:val="1"/>
                <w:color w:val="auto"/>
              </w:rPr>
              <w:t>2021</w:t>
            </w:r>
          </w:p>
        </w:tc>
        <w:tc>
          <w:tcPr>
            <w:tcW w:w="20" w:type="dxa"/>
            <w:vAlign w:val="bottom"/>
            <w:tcBorders>
              <w:top w:val="single" w:sz="8" w:color="auto"/>
            </w:tcBorders>
          </w:tcPr>
          <w:p>
            <w:pPr>
              <w:spacing w:after="0"/>
              <w:rPr>
                <w:sz w:val="12"/>
                <w:szCs w:val="12"/>
                <w:color w:val="auto"/>
              </w:rPr>
            </w:pPr>
          </w:p>
        </w:tc>
        <w:tc>
          <w:tcPr>
            <w:tcW w:w="700" w:type="dxa"/>
            <w:vAlign w:val="bottom"/>
            <w:tcBorders>
              <w:top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900" w:type="dxa"/>
            <w:vAlign w:val="bottom"/>
            <w:tcBorders>
              <w:top w:val="single" w:sz="8" w:color="auto"/>
              <w:bottom w:val="single" w:sz="8" w:color="auto"/>
            </w:tcBorders>
          </w:tcPr>
          <w:p>
            <w:pPr>
              <w:jc w:val="right"/>
              <w:ind w:right="271"/>
              <w:spacing w:after="0" w:line="142" w:lineRule="exact"/>
              <w:rPr>
                <w:sz w:val="20"/>
                <w:szCs w:val="20"/>
                <w:color w:val="auto"/>
              </w:rPr>
            </w:pPr>
            <w:r>
              <w:rPr>
                <w:rFonts w:ascii="Arial" w:cs="Arial" w:eastAsia="Arial" w:hAnsi="Arial"/>
                <w:sz w:val="14"/>
                <w:szCs w:val="14"/>
                <w:b w:val="1"/>
                <w:bCs w:val="1"/>
                <w:color w:val="auto"/>
              </w:rPr>
              <w:t>2020</w:t>
            </w:r>
          </w:p>
        </w:tc>
        <w:tc>
          <w:tcPr>
            <w:tcW w:w="120" w:type="dxa"/>
            <w:vAlign w:val="bottom"/>
          </w:tcPr>
          <w:p>
            <w:pPr>
              <w:spacing w:after="0"/>
              <w:rPr>
                <w:sz w:val="12"/>
                <w:szCs w:val="12"/>
                <w:color w:val="auto"/>
              </w:rPr>
            </w:pPr>
          </w:p>
        </w:tc>
      </w:tr>
      <w:tr>
        <w:trPr>
          <w:trHeight w:val="88"/>
        </w:trPr>
        <w:tc>
          <w:tcPr>
            <w:tcW w:w="6280" w:type="dxa"/>
            <w:vAlign w:val="bottom"/>
          </w:tcPr>
          <w:p>
            <w:pPr>
              <w:spacing w:after="0"/>
              <w:rPr>
                <w:sz w:val="7"/>
                <w:szCs w:val="7"/>
                <w:color w:val="auto"/>
              </w:rPr>
            </w:pPr>
          </w:p>
        </w:tc>
        <w:tc>
          <w:tcPr>
            <w:tcW w:w="1920" w:type="dxa"/>
            <w:vAlign w:val="bottom"/>
          </w:tcPr>
          <w:p>
            <w:pPr>
              <w:spacing w:after="0"/>
              <w:rPr>
                <w:sz w:val="7"/>
                <w:szCs w:val="7"/>
                <w:color w:val="auto"/>
              </w:rPr>
            </w:pPr>
          </w:p>
        </w:tc>
        <w:tc>
          <w:tcPr>
            <w:tcW w:w="80" w:type="dxa"/>
            <w:vAlign w:val="bottom"/>
          </w:tcPr>
          <w:p>
            <w:pPr>
              <w:spacing w:after="0"/>
              <w:rPr>
                <w:sz w:val="7"/>
                <w:szCs w:val="7"/>
                <w:color w:val="auto"/>
              </w:rPr>
            </w:pPr>
          </w:p>
        </w:tc>
        <w:tc>
          <w:tcPr>
            <w:tcW w:w="900" w:type="dxa"/>
            <w:vAlign w:val="bottom"/>
          </w:tcPr>
          <w:p>
            <w:pPr>
              <w:spacing w:after="0"/>
              <w:rPr>
                <w:sz w:val="7"/>
                <w:szCs w:val="7"/>
                <w:color w:val="auto"/>
              </w:rPr>
            </w:pPr>
          </w:p>
        </w:tc>
        <w:tc>
          <w:tcPr>
            <w:tcW w:w="20" w:type="dxa"/>
            <w:vAlign w:val="bottom"/>
          </w:tcPr>
          <w:p>
            <w:pPr>
              <w:spacing w:after="0"/>
              <w:rPr>
                <w:sz w:val="7"/>
                <w:szCs w:val="7"/>
                <w:color w:val="auto"/>
              </w:rPr>
            </w:pPr>
          </w:p>
        </w:tc>
        <w:tc>
          <w:tcPr>
            <w:tcW w:w="700" w:type="dxa"/>
            <w:vAlign w:val="bottom"/>
          </w:tcPr>
          <w:p>
            <w:pPr>
              <w:spacing w:after="0"/>
              <w:rPr>
                <w:sz w:val="7"/>
                <w:szCs w:val="7"/>
                <w:color w:val="auto"/>
              </w:rPr>
            </w:pPr>
          </w:p>
        </w:tc>
        <w:tc>
          <w:tcPr>
            <w:tcW w:w="100" w:type="dxa"/>
            <w:vAlign w:val="bottom"/>
          </w:tcPr>
          <w:p>
            <w:pPr>
              <w:spacing w:after="0"/>
              <w:rPr>
                <w:sz w:val="7"/>
                <w:szCs w:val="7"/>
                <w:color w:val="auto"/>
              </w:rPr>
            </w:pPr>
          </w:p>
        </w:tc>
        <w:tc>
          <w:tcPr>
            <w:tcW w:w="900" w:type="dxa"/>
            <w:vAlign w:val="bottom"/>
          </w:tcPr>
          <w:p>
            <w:pPr>
              <w:spacing w:after="0"/>
              <w:rPr>
                <w:sz w:val="7"/>
                <w:szCs w:val="7"/>
                <w:color w:val="auto"/>
              </w:rPr>
            </w:pPr>
          </w:p>
        </w:tc>
        <w:tc>
          <w:tcPr>
            <w:tcW w:w="120" w:type="dxa"/>
            <w:vAlign w:val="bottom"/>
          </w:tcPr>
          <w:p>
            <w:pPr>
              <w:spacing w:after="0"/>
              <w:rPr>
                <w:sz w:val="7"/>
                <w:szCs w:val="7"/>
                <w:color w:val="auto"/>
              </w:rPr>
            </w:pPr>
          </w:p>
        </w:tc>
      </w:tr>
      <w:tr>
        <w:trPr>
          <w:trHeight w:val="216"/>
        </w:trPr>
        <w:tc>
          <w:tcPr>
            <w:tcW w:w="6280" w:type="dxa"/>
            <w:vAlign w:val="bottom"/>
            <w:shd w:val="clear" w:color="auto" w:fill="CCEEFF"/>
          </w:tcPr>
          <w:p>
            <w:pPr>
              <w:spacing w:after="0"/>
              <w:rPr>
                <w:sz w:val="20"/>
                <w:szCs w:val="20"/>
                <w:color w:val="auto"/>
              </w:rPr>
            </w:pPr>
            <w:r>
              <w:rPr>
                <w:rFonts w:ascii="Arial" w:cs="Arial" w:eastAsia="Arial" w:hAnsi="Arial"/>
                <w:sz w:val="18"/>
                <w:szCs w:val="18"/>
                <w:color w:val="auto"/>
              </w:rPr>
              <w:t>Revenue</w:t>
            </w:r>
          </w:p>
        </w:tc>
        <w:tc>
          <w:tcPr>
            <w:tcW w:w="2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76,757</w:t>
            </w: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54,586</w:t>
            </w:r>
          </w:p>
        </w:tc>
      </w:tr>
      <w:tr>
        <w:trPr>
          <w:trHeight w:val="216"/>
        </w:trPr>
        <w:tc>
          <w:tcPr>
            <w:tcW w:w="6280" w:type="dxa"/>
            <w:vAlign w:val="bottom"/>
          </w:tcPr>
          <w:p>
            <w:pPr>
              <w:spacing w:after="0"/>
              <w:rPr>
                <w:sz w:val="20"/>
                <w:szCs w:val="20"/>
                <w:color w:val="auto"/>
              </w:rPr>
            </w:pPr>
            <w:r>
              <w:rPr>
                <w:rFonts w:ascii="Arial" w:cs="Arial" w:eastAsia="Arial" w:hAnsi="Arial"/>
                <w:sz w:val="18"/>
                <w:szCs w:val="18"/>
                <w:color w:val="auto"/>
              </w:rPr>
              <w:t>Cost of revenue:</w:t>
            </w:r>
          </w:p>
        </w:tc>
        <w:tc>
          <w:tcPr>
            <w:tcW w:w="19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62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Cost of revenue exclusive of amortization shown below</w:t>
            </w:r>
          </w:p>
        </w:tc>
        <w:tc>
          <w:tcPr>
            <w:tcW w:w="19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8,766</w:t>
            </w: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5,257</w:t>
            </w:r>
          </w:p>
        </w:tc>
      </w:tr>
      <w:tr>
        <w:trPr>
          <w:trHeight w:val="216"/>
        </w:trPr>
        <w:tc>
          <w:tcPr>
            <w:tcW w:w="6280" w:type="dxa"/>
            <w:vAlign w:val="bottom"/>
          </w:tcPr>
          <w:p>
            <w:pPr>
              <w:ind w:left="360"/>
              <w:spacing w:after="0"/>
              <w:rPr>
                <w:sz w:val="20"/>
                <w:szCs w:val="20"/>
                <w:color w:val="auto"/>
              </w:rPr>
            </w:pPr>
            <w:r>
              <w:rPr>
                <w:rFonts w:ascii="Arial" w:cs="Arial" w:eastAsia="Arial" w:hAnsi="Arial"/>
                <w:sz w:val="18"/>
                <w:szCs w:val="18"/>
                <w:color w:val="auto"/>
              </w:rPr>
              <w:t>Amortization</w:t>
            </w:r>
          </w:p>
        </w:tc>
        <w:tc>
          <w:tcPr>
            <w:tcW w:w="19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10,540</w:t>
            </w:r>
          </w:p>
        </w:tc>
        <w:tc>
          <w:tcPr>
            <w:tcW w:w="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8"/>
                <w:szCs w:val="18"/>
                <w:color w:val="auto"/>
              </w:rPr>
              <w:t>9,484</w:t>
            </w:r>
          </w:p>
        </w:tc>
      </w:tr>
      <w:tr>
        <w:trPr>
          <w:trHeight w:val="27"/>
        </w:trPr>
        <w:tc>
          <w:tcPr>
            <w:tcW w:w="6280" w:type="dxa"/>
            <w:vAlign w:val="bottom"/>
          </w:tcPr>
          <w:p>
            <w:pPr>
              <w:spacing w:after="0"/>
              <w:rPr>
                <w:sz w:val="2"/>
                <w:szCs w:val="2"/>
                <w:color w:val="auto"/>
              </w:rPr>
            </w:pPr>
          </w:p>
        </w:tc>
        <w:tc>
          <w:tcPr>
            <w:tcW w:w="19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r>
      <w:tr>
        <w:trPr>
          <w:trHeight w:val="216"/>
        </w:trPr>
        <w:tc>
          <w:tcPr>
            <w:tcW w:w="6280" w:type="dxa"/>
            <w:vAlign w:val="bottom"/>
            <w:shd w:val="clear" w:color="auto" w:fill="CCEEFF"/>
          </w:tcPr>
          <w:p>
            <w:pPr>
              <w:ind w:left="1080"/>
              <w:spacing w:after="0"/>
              <w:rPr>
                <w:sz w:val="20"/>
                <w:szCs w:val="20"/>
                <w:color w:val="auto"/>
              </w:rPr>
            </w:pPr>
            <w:r>
              <w:rPr>
                <w:rFonts w:ascii="Arial" w:cs="Arial" w:eastAsia="Arial" w:hAnsi="Arial"/>
                <w:sz w:val="18"/>
                <w:szCs w:val="18"/>
                <w:color w:val="auto"/>
              </w:rPr>
              <w:t>Gross profit</w:t>
            </w:r>
          </w:p>
        </w:tc>
        <w:tc>
          <w:tcPr>
            <w:tcW w:w="19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57,451</w:t>
            </w:r>
          </w:p>
        </w:tc>
        <w:tc>
          <w:tcPr>
            <w:tcW w:w="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39,845</w:t>
            </w:r>
          </w:p>
        </w:tc>
      </w:tr>
      <w:tr>
        <w:trPr>
          <w:trHeight w:val="216"/>
        </w:trPr>
        <w:tc>
          <w:tcPr>
            <w:tcW w:w="6280" w:type="dxa"/>
            <w:vAlign w:val="bottom"/>
          </w:tcPr>
          <w:p>
            <w:pPr>
              <w:spacing w:after="0"/>
              <w:rPr>
                <w:sz w:val="20"/>
                <w:szCs w:val="20"/>
                <w:color w:val="auto"/>
              </w:rPr>
            </w:pPr>
            <w:r>
              <w:rPr>
                <w:rFonts w:ascii="Arial" w:cs="Arial" w:eastAsia="Arial" w:hAnsi="Arial"/>
                <w:sz w:val="18"/>
                <w:szCs w:val="18"/>
                <w:color w:val="auto"/>
              </w:rPr>
              <w:t>Operating expenses:</w:t>
            </w:r>
          </w:p>
        </w:tc>
        <w:tc>
          <w:tcPr>
            <w:tcW w:w="19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62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Sales and marketing</w:t>
            </w:r>
          </w:p>
        </w:tc>
        <w:tc>
          <w:tcPr>
            <w:tcW w:w="19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24,627</w:t>
            </w: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15,250</w:t>
            </w:r>
          </w:p>
        </w:tc>
      </w:tr>
      <w:tr>
        <w:trPr>
          <w:trHeight w:val="216"/>
        </w:trPr>
        <w:tc>
          <w:tcPr>
            <w:tcW w:w="6280" w:type="dxa"/>
            <w:vAlign w:val="bottom"/>
          </w:tcPr>
          <w:p>
            <w:pPr>
              <w:ind w:left="360"/>
              <w:spacing w:after="0"/>
              <w:rPr>
                <w:sz w:val="20"/>
                <w:szCs w:val="20"/>
                <w:color w:val="auto"/>
              </w:rPr>
            </w:pPr>
            <w:r>
              <w:rPr>
                <w:rFonts w:ascii="Arial" w:cs="Arial" w:eastAsia="Arial" w:hAnsi="Arial"/>
                <w:sz w:val="18"/>
                <w:szCs w:val="18"/>
                <w:color w:val="auto"/>
              </w:rPr>
              <w:t>Product development</w:t>
            </w:r>
          </w:p>
        </w:tc>
        <w:tc>
          <w:tcPr>
            <w:tcW w:w="19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rPr>
              <w:t>8,071</w:t>
            </w: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8"/>
                <w:szCs w:val="18"/>
                <w:color w:val="auto"/>
              </w:rPr>
              <w:t>4,948</w:t>
            </w:r>
          </w:p>
        </w:tc>
      </w:tr>
      <w:tr>
        <w:trPr>
          <w:trHeight w:val="216"/>
        </w:trPr>
        <w:tc>
          <w:tcPr>
            <w:tcW w:w="62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General and administrative</w:t>
            </w:r>
          </w:p>
        </w:tc>
        <w:tc>
          <w:tcPr>
            <w:tcW w:w="19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11,011</w:t>
            </w: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5,567</w:t>
            </w:r>
          </w:p>
        </w:tc>
      </w:tr>
      <w:tr>
        <w:trPr>
          <w:trHeight w:val="216"/>
        </w:trPr>
        <w:tc>
          <w:tcPr>
            <w:tcW w:w="6280" w:type="dxa"/>
            <w:vAlign w:val="bottom"/>
          </w:tcPr>
          <w:p>
            <w:pPr>
              <w:ind w:left="360"/>
              <w:spacing w:after="0"/>
              <w:rPr>
                <w:sz w:val="20"/>
                <w:szCs w:val="20"/>
                <w:color w:val="auto"/>
              </w:rPr>
            </w:pPr>
            <w:r>
              <w:rPr>
                <w:rFonts w:ascii="Arial" w:cs="Arial" w:eastAsia="Arial" w:hAnsi="Arial"/>
                <w:sz w:val="18"/>
                <w:szCs w:val="18"/>
                <w:color w:val="auto"/>
              </w:rPr>
              <w:t>Depreciation and amortization</w:t>
            </w:r>
          </w:p>
        </w:tc>
        <w:tc>
          <w:tcPr>
            <w:tcW w:w="19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rPr>
              <w:t>19,054</w:t>
            </w: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8"/>
                <w:szCs w:val="18"/>
                <w:color w:val="auto"/>
              </w:rPr>
              <w:t>19,925</w:t>
            </w:r>
          </w:p>
        </w:tc>
      </w:tr>
      <w:tr>
        <w:trPr>
          <w:trHeight w:val="216"/>
        </w:trPr>
        <w:tc>
          <w:tcPr>
            <w:tcW w:w="62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Transaction expenses</w:t>
            </w:r>
          </w:p>
        </w:tc>
        <w:tc>
          <w:tcPr>
            <w:tcW w:w="19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3,469</w:t>
            </w: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708</w:t>
            </w:r>
          </w:p>
        </w:tc>
      </w:tr>
      <w:tr>
        <w:trPr>
          <w:trHeight w:val="230"/>
        </w:trPr>
        <w:tc>
          <w:tcPr>
            <w:tcW w:w="6280" w:type="dxa"/>
            <w:vAlign w:val="bottom"/>
          </w:tcPr>
          <w:p>
            <w:pPr>
              <w:ind w:left="720"/>
              <w:spacing w:after="0"/>
              <w:rPr>
                <w:sz w:val="20"/>
                <w:szCs w:val="20"/>
                <w:color w:val="auto"/>
              </w:rPr>
            </w:pPr>
            <w:r>
              <w:rPr>
                <w:rFonts w:ascii="Arial" w:cs="Arial" w:eastAsia="Arial" w:hAnsi="Arial"/>
                <w:sz w:val="18"/>
                <w:szCs w:val="18"/>
                <w:color w:val="auto"/>
              </w:rPr>
              <w:t>Total operating expenses</w:t>
            </w:r>
          </w:p>
        </w:tc>
        <w:tc>
          <w:tcPr>
            <w:tcW w:w="1920" w:type="dxa"/>
            <w:vAlign w:val="bottom"/>
          </w:tcPr>
          <w:p>
            <w:pPr>
              <w:spacing w:after="0"/>
              <w:rPr>
                <w:sz w:val="20"/>
                <w:szCs w:val="20"/>
                <w:color w:val="auto"/>
              </w:rPr>
            </w:pPr>
          </w:p>
        </w:tc>
        <w:tc>
          <w:tcPr>
            <w:tcW w:w="80" w:type="dxa"/>
            <w:vAlign w:val="bottom"/>
            <w:tcBorders>
              <w:top w:val="single" w:sz="8" w:color="auto"/>
              <w:bottom w:val="single" w:sz="8" w:color="auto"/>
            </w:tcBorders>
          </w:tcPr>
          <w:p>
            <w:pPr>
              <w:spacing w:after="0"/>
              <w:rPr>
                <w:sz w:val="20"/>
                <w:szCs w:val="20"/>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66,232</w:t>
            </w:r>
          </w:p>
        </w:tc>
        <w:tc>
          <w:tcPr>
            <w:tcW w:w="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46,398</w:t>
            </w:r>
          </w:p>
        </w:tc>
        <w:tc>
          <w:tcPr>
            <w:tcW w:w="120" w:type="dxa"/>
            <w:vAlign w:val="bottom"/>
          </w:tcPr>
          <w:p>
            <w:pPr>
              <w:spacing w:after="0"/>
              <w:rPr>
                <w:sz w:val="20"/>
                <w:szCs w:val="20"/>
                <w:color w:val="auto"/>
              </w:rPr>
            </w:pPr>
          </w:p>
        </w:tc>
      </w:tr>
      <w:tr>
        <w:trPr>
          <w:trHeight w:val="216"/>
        </w:trPr>
        <w:tc>
          <w:tcPr>
            <w:tcW w:w="6280" w:type="dxa"/>
            <w:vAlign w:val="bottom"/>
            <w:shd w:val="clear" w:color="auto" w:fill="CCEEFF"/>
          </w:tcPr>
          <w:p>
            <w:pPr>
              <w:ind w:left="1080"/>
              <w:spacing w:after="0"/>
              <w:rPr>
                <w:sz w:val="20"/>
                <w:szCs w:val="20"/>
                <w:color w:val="auto"/>
              </w:rPr>
            </w:pPr>
            <w:r>
              <w:rPr>
                <w:rFonts w:ascii="Arial" w:cs="Arial" w:eastAsia="Arial" w:hAnsi="Arial"/>
                <w:sz w:val="18"/>
                <w:szCs w:val="18"/>
                <w:color w:val="auto"/>
              </w:rPr>
              <w:t>Loss from operations</w:t>
            </w:r>
          </w:p>
        </w:tc>
        <w:tc>
          <w:tcPr>
            <w:tcW w:w="19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20" w:type="dxa"/>
            <w:vAlign w:val="bottom"/>
            <w:gridSpan w:val="3"/>
            <w:shd w:val="clear" w:color="auto" w:fill="CCEEFF"/>
          </w:tcPr>
          <w:p>
            <w:pPr>
              <w:jc w:val="right"/>
              <w:ind w:right="660"/>
              <w:spacing w:after="0"/>
              <w:rPr>
                <w:sz w:val="20"/>
                <w:szCs w:val="20"/>
                <w:color w:val="auto"/>
              </w:rPr>
            </w:pPr>
            <w:r>
              <w:rPr>
                <w:rFonts w:ascii="Arial" w:cs="Arial" w:eastAsia="Arial" w:hAnsi="Arial"/>
                <w:sz w:val="18"/>
                <w:szCs w:val="18"/>
                <w:color w:val="auto"/>
              </w:rPr>
              <w:t>(8,781)</w:t>
            </w: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(6,553)</w:t>
            </w:r>
          </w:p>
        </w:tc>
      </w:tr>
      <w:tr>
        <w:trPr>
          <w:trHeight w:val="216"/>
        </w:trPr>
        <w:tc>
          <w:tcPr>
            <w:tcW w:w="6280" w:type="dxa"/>
            <w:vAlign w:val="bottom"/>
          </w:tcPr>
          <w:p>
            <w:pPr>
              <w:spacing w:after="0"/>
              <w:rPr>
                <w:sz w:val="20"/>
                <w:szCs w:val="20"/>
                <w:color w:val="auto"/>
              </w:rPr>
            </w:pPr>
            <w:r>
              <w:rPr>
                <w:rFonts w:ascii="Arial" w:cs="Arial" w:eastAsia="Arial" w:hAnsi="Arial"/>
                <w:sz w:val="18"/>
                <w:szCs w:val="18"/>
                <w:color w:val="auto"/>
              </w:rPr>
              <w:t>Other expense, net:</w:t>
            </w:r>
          </w:p>
        </w:tc>
        <w:tc>
          <w:tcPr>
            <w:tcW w:w="19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62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Foreign currency transaction gain</w:t>
            </w:r>
          </w:p>
        </w:tc>
        <w:tc>
          <w:tcPr>
            <w:tcW w:w="19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24</w:t>
            </w: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r>
      <w:tr>
        <w:trPr>
          <w:trHeight w:val="216"/>
        </w:trPr>
        <w:tc>
          <w:tcPr>
            <w:tcW w:w="6280" w:type="dxa"/>
            <w:vAlign w:val="bottom"/>
          </w:tcPr>
          <w:p>
            <w:pPr>
              <w:ind w:left="360"/>
              <w:spacing w:after="0"/>
              <w:rPr>
                <w:sz w:val="20"/>
                <w:szCs w:val="20"/>
                <w:color w:val="auto"/>
              </w:rPr>
            </w:pPr>
            <w:r>
              <w:rPr>
                <w:rFonts w:ascii="Arial" w:cs="Arial" w:eastAsia="Arial" w:hAnsi="Arial"/>
                <w:sz w:val="18"/>
                <w:szCs w:val="18"/>
                <w:color w:val="auto"/>
              </w:rPr>
              <w:t>Interest expense, net</w:t>
            </w:r>
          </w:p>
        </w:tc>
        <w:tc>
          <w:tcPr>
            <w:tcW w:w="19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20" w:type="dxa"/>
            <w:vAlign w:val="bottom"/>
            <w:gridSpan w:val="3"/>
          </w:tcPr>
          <w:p>
            <w:pPr>
              <w:jc w:val="right"/>
              <w:ind w:right="660"/>
              <w:spacing w:after="0"/>
              <w:rPr>
                <w:sz w:val="20"/>
                <w:szCs w:val="20"/>
                <w:color w:val="auto"/>
              </w:rPr>
            </w:pPr>
            <w:r>
              <w:rPr>
                <w:rFonts w:ascii="Arial" w:cs="Arial" w:eastAsia="Arial" w:hAnsi="Arial"/>
                <w:sz w:val="18"/>
                <w:szCs w:val="18"/>
                <w:color w:val="auto"/>
              </w:rPr>
              <w:t>(16,770)</w:t>
            </w:r>
          </w:p>
        </w:tc>
        <w:tc>
          <w:tcPr>
            <w:tcW w:w="100" w:type="dxa"/>
            <w:vAlign w:val="bottom"/>
          </w:tcPr>
          <w:p>
            <w:pPr>
              <w:spacing w:after="0"/>
              <w:rPr>
                <w:sz w:val="18"/>
                <w:szCs w:val="18"/>
                <w:color w:val="auto"/>
              </w:rPr>
            </w:pPr>
          </w:p>
        </w:tc>
        <w:tc>
          <w:tcPr>
            <w:tcW w:w="1020" w:type="dxa"/>
            <w:vAlign w:val="bottom"/>
            <w:gridSpan w:val="2"/>
          </w:tcPr>
          <w:p>
            <w:pPr>
              <w:jc w:val="right"/>
              <w:ind w:right="60"/>
              <w:spacing w:after="0"/>
              <w:rPr>
                <w:sz w:val="20"/>
                <w:szCs w:val="20"/>
                <w:color w:val="auto"/>
              </w:rPr>
            </w:pPr>
            <w:r>
              <w:rPr>
                <w:rFonts w:ascii="Arial" w:cs="Arial" w:eastAsia="Arial" w:hAnsi="Arial"/>
                <w:sz w:val="18"/>
                <w:szCs w:val="18"/>
                <w:color w:val="auto"/>
              </w:rPr>
              <w:t>(18,780)</w:t>
            </w:r>
          </w:p>
        </w:tc>
      </w:tr>
      <w:tr>
        <w:trPr>
          <w:trHeight w:val="27"/>
        </w:trPr>
        <w:tc>
          <w:tcPr>
            <w:tcW w:w="6280" w:type="dxa"/>
            <w:vAlign w:val="bottom"/>
          </w:tcPr>
          <w:p>
            <w:pPr>
              <w:spacing w:after="0"/>
              <w:rPr>
                <w:sz w:val="2"/>
                <w:szCs w:val="2"/>
                <w:color w:val="auto"/>
              </w:rPr>
            </w:pPr>
          </w:p>
        </w:tc>
        <w:tc>
          <w:tcPr>
            <w:tcW w:w="19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r>
      <w:tr>
        <w:trPr>
          <w:trHeight w:val="216"/>
        </w:trPr>
        <w:tc>
          <w:tcPr>
            <w:tcW w:w="6280" w:type="dxa"/>
            <w:vAlign w:val="bottom"/>
            <w:shd w:val="clear" w:color="auto" w:fill="CCEEFF"/>
          </w:tcPr>
          <w:p>
            <w:pPr>
              <w:ind w:left="720"/>
              <w:spacing w:after="0"/>
              <w:rPr>
                <w:sz w:val="20"/>
                <w:szCs w:val="20"/>
                <w:color w:val="auto"/>
              </w:rPr>
            </w:pPr>
            <w:r>
              <w:rPr>
                <w:rFonts w:ascii="Arial" w:cs="Arial" w:eastAsia="Arial" w:hAnsi="Arial"/>
                <w:sz w:val="18"/>
                <w:szCs w:val="18"/>
                <w:color w:val="auto"/>
              </w:rPr>
              <w:t>Total other expense, net</w:t>
            </w:r>
          </w:p>
        </w:tc>
        <w:tc>
          <w:tcPr>
            <w:tcW w:w="19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20" w:type="dxa"/>
            <w:vAlign w:val="bottom"/>
            <w:gridSpan w:val="3"/>
            <w:shd w:val="clear" w:color="auto" w:fill="CCEEFF"/>
          </w:tcPr>
          <w:p>
            <w:pPr>
              <w:jc w:val="right"/>
              <w:ind w:right="660"/>
              <w:spacing w:after="0"/>
              <w:rPr>
                <w:sz w:val="20"/>
                <w:szCs w:val="20"/>
                <w:color w:val="auto"/>
              </w:rPr>
            </w:pPr>
            <w:r>
              <w:rPr>
                <w:rFonts w:ascii="Arial" w:cs="Arial" w:eastAsia="Arial" w:hAnsi="Arial"/>
                <w:sz w:val="18"/>
                <w:szCs w:val="18"/>
                <w:color w:val="auto"/>
              </w:rPr>
              <w:t>(16,746)</w:t>
            </w: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(18,780)</w:t>
            </w:r>
          </w:p>
        </w:tc>
      </w:tr>
      <w:tr>
        <w:trPr>
          <w:trHeight w:val="223"/>
        </w:trPr>
        <w:tc>
          <w:tcPr>
            <w:tcW w:w="6280" w:type="dxa"/>
            <w:vAlign w:val="bottom"/>
          </w:tcPr>
          <w:p>
            <w:pPr>
              <w:ind w:left="1080"/>
              <w:spacing w:after="0"/>
              <w:rPr>
                <w:sz w:val="20"/>
                <w:szCs w:val="20"/>
                <w:color w:val="auto"/>
              </w:rPr>
            </w:pPr>
            <w:r>
              <w:rPr>
                <w:rFonts w:ascii="Arial" w:cs="Arial" w:eastAsia="Arial" w:hAnsi="Arial"/>
                <w:sz w:val="18"/>
                <w:szCs w:val="18"/>
                <w:color w:val="auto"/>
              </w:rPr>
              <w:t>Net loss</w:t>
            </w:r>
          </w:p>
        </w:tc>
        <w:tc>
          <w:tcPr>
            <w:tcW w:w="192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(25,527)</w:t>
            </w:r>
          </w:p>
        </w:tc>
        <w:tc>
          <w:tcPr>
            <w:tcW w:w="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(25,333)</w:t>
            </w:r>
          </w:p>
        </w:tc>
        <w:tc>
          <w:tcPr>
            <w:tcW w:w="120" w:type="dxa"/>
            <w:vAlign w:val="bottom"/>
          </w:tcPr>
          <w:p>
            <w:pPr>
              <w:spacing w:after="0"/>
              <w:rPr>
                <w:sz w:val="19"/>
                <w:szCs w:val="19"/>
                <w:color w:val="auto"/>
              </w:rPr>
            </w:pPr>
          </w:p>
        </w:tc>
      </w:tr>
      <w:tr>
        <w:trPr>
          <w:trHeight w:val="20"/>
        </w:trPr>
        <w:tc>
          <w:tcPr>
            <w:tcW w:w="628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10"/>
        </w:trPr>
        <w:tc>
          <w:tcPr>
            <w:tcW w:w="6280" w:type="dxa"/>
            <w:vAlign w:val="bottom"/>
            <w:shd w:val="clear" w:color="auto" w:fill="CCEEFF"/>
          </w:tcPr>
          <w:p>
            <w:pPr>
              <w:spacing w:after="0"/>
              <w:rPr>
                <w:sz w:val="20"/>
                <w:szCs w:val="20"/>
                <w:color w:val="auto"/>
              </w:rPr>
            </w:pPr>
            <w:r>
              <w:rPr>
                <w:rFonts w:ascii="Arial" w:cs="Arial" w:eastAsia="Arial" w:hAnsi="Arial"/>
                <w:sz w:val="18"/>
                <w:szCs w:val="18"/>
                <w:color w:val="auto"/>
              </w:rPr>
              <w:t>Net loss per unit:</w:t>
            </w:r>
          </w:p>
        </w:tc>
        <w:tc>
          <w:tcPr>
            <w:tcW w:w="19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6280" w:type="dxa"/>
            <w:vAlign w:val="bottom"/>
          </w:tcPr>
          <w:p>
            <w:pPr>
              <w:ind w:left="360"/>
              <w:spacing w:after="0"/>
              <w:rPr>
                <w:sz w:val="20"/>
                <w:szCs w:val="20"/>
                <w:color w:val="auto"/>
              </w:rPr>
            </w:pPr>
            <w:r>
              <w:rPr>
                <w:rFonts w:ascii="Arial" w:cs="Arial" w:eastAsia="Arial" w:hAnsi="Arial"/>
                <w:sz w:val="18"/>
                <w:szCs w:val="18"/>
                <w:color w:val="auto"/>
              </w:rPr>
              <w:t>Basic and diluted</w:t>
            </w:r>
          </w:p>
        </w:tc>
        <w:tc>
          <w:tcPr>
            <w:tcW w:w="20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620" w:type="dxa"/>
            <w:vAlign w:val="bottom"/>
            <w:gridSpan w:val="3"/>
          </w:tcPr>
          <w:p>
            <w:pPr>
              <w:jc w:val="right"/>
              <w:ind w:right="660"/>
              <w:spacing w:after="0"/>
              <w:rPr>
                <w:sz w:val="20"/>
                <w:szCs w:val="20"/>
                <w:color w:val="auto"/>
              </w:rPr>
            </w:pPr>
            <w:r>
              <w:rPr>
                <w:rFonts w:ascii="Arial" w:cs="Arial" w:eastAsia="Arial" w:hAnsi="Arial"/>
                <w:sz w:val="18"/>
                <w:szCs w:val="18"/>
                <w:color w:val="auto"/>
              </w:rPr>
              <w:t>(0.20)</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gridSpan w:val="2"/>
          </w:tcPr>
          <w:p>
            <w:pPr>
              <w:jc w:val="right"/>
              <w:ind w:right="60"/>
              <w:spacing w:after="0"/>
              <w:rPr>
                <w:sz w:val="20"/>
                <w:szCs w:val="20"/>
                <w:color w:val="auto"/>
              </w:rPr>
            </w:pPr>
            <w:r>
              <w:rPr>
                <w:rFonts w:ascii="Arial" w:cs="Arial" w:eastAsia="Arial" w:hAnsi="Arial"/>
                <w:sz w:val="18"/>
                <w:szCs w:val="18"/>
                <w:color w:val="auto"/>
              </w:rPr>
              <w:t>(0.20)</w:t>
            </w:r>
          </w:p>
        </w:tc>
      </w:tr>
      <w:tr>
        <w:trPr>
          <w:trHeight w:val="20"/>
        </w:trPr>
        <w:tc>
          <w:tcPr>
            <w:tcW w:w="628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10"/>
        </w:trPr>
        <w:tc>
          <w:tcPr>
            <w:tcW w:w="6280" w:type="dxa"/>
            <w:vAlign w:val="bottom"/>
            <w:shd w:val="clear" w:color="auto" w:fill="CCEEFF"/>
          </w:tcPr>
          <w:p>
            <w:pPr>
              <w:spacing w:after="0"/>
              <w:rPr>
                <w:sz w:val="20"/>
                <w:szCs w:val="20"/>
                <w:color w:val="auto"/>
              </w:rPr>
            </w:pPr>
            <w:r>
              <w:rPr>
                <w:rFonts w:ascii="Arial" w:cs="Arial" w:eastAsia="Arial" w:hAnsi="Arial"/>
                <w:sz w:val="18"/>
                <w:szCs w:val="18"/>
                <w:color w:val="auto"/>
              </w:rPr>
              <w:t>Weighted average common units outstanding:</w:t>
            </w:r>
          </w:p>
        </w:tc>
        <w:tc>
          <w:tcPr>
            <w:tcW w:w="19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6280" w:type="dxa"/>
            <w:vAlign w:val="bottom"/>
          </w:tcPr>
          <w:p>
            <w:pPr>
              <w:ind w:left="360"/>
              <w:spacing w:after="0"/>
              <w:rPr>
                <w:sz w:val="20"/>
                <w:szCs w:val="20"/>
                <w:color w:val="auto"/>
              </w:rPr>
            </w:pPr>
            <w:r>
              <w:rPr>
                <w:rFonts w:ascii="Arial" w:cs="Arial" w:eastAsia="Arial" w:hAnsi="Arial"/>
                <w:sz w:val="18"/>
                <w:szCs w:val="18"/>
                <w:color w:val="auto"/>
              </w:rPr>
              <w:t>Basic and diluted</w:t>
            </w:r>
          </w:p>
        </w:tc>
        <w:tc>
          <w:tcPr>
            <w:tcW w:w="19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w w:val="87"/>
              </w:rPr>
              <w:t>130,268,082</w:t>
            </w: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8"/>
                <w:szCs w:val="18"/>
                <w:color w:val="auto"/>
                <w:w w:val="87"/>
              </w:rPr>
              <w:t>127,125,435</w:t>
            </w:r>
          </w:p>
        </w:tc>
      </w:tr>
      <w:tr>
        <w:trPr>
          <w:trHeight w:val="20"/>
        </w:trPr>
        <w:tc>
          <w:tcPr>
            <w:tcW w:w="628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15" w:lineRule="exact"/>
        <w:rPr>
          <w:sz w:val="20"/>
          <w:szCs w:val="20"/>
          <w:color w:val="auto"/>
        </w:rPr>
      </w:pPr>
    </w:p>
    <w:p>
      <w:pPr>
        <w:ind w:left="3580"/>
        <w:spacing w:after="0"/>
        <w:rPr>
          <w:sz w:val="20"/>
          <w:szCs w:val="20"/>
          <w:color w:val="auto"/>
        </w:rPr>
      </w:pPr>
      <w:r>
        <w:rPr>
          <w:rFonts w:ascii="Arial" w:cs="Arial" w:eastAsia="Arial" w:hAnsi="Arial"/>
          <w:sz w:val="18"/>
          <w:szCs w:val="18"/>
          <w:color w:val="auto"/>
        </w:rPr>
        <w:t>See notes to condensed consolidated financial statements</w:t>
      </w:r>
    </w:p>
    <w:p>
      <w:pPr>
        <w:spacing w:after="0" w:line="158"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F-49</w:t>
      </w:r>
    </w:p>
    <w:p>
      <w:pPr>
        <w:sectPr>
          <w:pgSz w:w="11900" w:h="16838" w:orient="portrait"/>
          <w:cols w:equalWidth="0" w:num="1">
            <w:col w:w="11140"/>
          </w:cols>
          <w:pgMar w:left="320" w:top="459" w:right="439" w:bottom="1440" w:gutter="0" w:footer="0" w:header="0"/>
        </w:sectPr>
      </w:pPr>
    </w:p>
    <w:bookmarkStart w:id="255" w:name="page256"/>
    <w:bookmarkEnd w:id="25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41">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Confidential Treatment Requested by Definitive Healthcare Corp.</w:t>
      </w:r>
    </w:p>
    <w:p>
      <w:pPr>
        <w:spacing w:after="0" w:line="27"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Pursuant to 17 C.F.R. Section 200.83</w:t>
      </w:r>
    </w:p>
    <w:p>
      <w:pPr>
        <w:spacing w:after="0" w:line="139"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AIDH TOPCO, LLC</w:t>
      </w:r>
    </w:p>
    <w:p>
      <w:pPr>
        <w:spacing w:after="0" w:line="22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CONDENSED CONSOLIDATED STATEMENTS OF COMPREHENSIVE (LOSS) INCOME</w:t>
      </w:r>
    </w:p>
    <w:p>
      <w:pPr>
        <w:spacing w:after="0" w:line="27" w:lineRule="exact"/>
        <w:rPr>
          <w:sz w:val="20"/>
          <w:szCs w:val="20"/>
          <w:color w:val="auto"/>
        </w:rPr>
      </w:pPr>
    </w:p>
    <w:p>
      <w:pPr>
        <w:jc w:val="center"/>
        <w:ind w:right="-99"/>
        <w:spacing w:after="0"/>
        <w:rPr>
          <w:sz w:val="20"/>
          <w:szCs w:val="20"/>
          <w:color w:val="auto"/>
        </w:rPr>
      </w:pPr>
      <w:r>
        <w:rPr>
          <w:rFonts w:ascii="Arial" w:cs="Arial" w:eastAsia="Arial" w:hAnsi="Arial"/>
          <w:sz w:val="18"/>
          <w:szCs w:val="18"/>
          <w:i w:val="1"/>
          <w:iCs w:val="1"/>
          <w:color w:val="auto"/>
        </w:rPr>
        <w:t>(amounts in thousands)</w:t>
      </w:r>
    </w:p>
    <w:p>
      <w:pPr>
        <w:spacing w:after="0" w:line="9" w:lineRule="exact"/>
        <w:rPr>
          <w:sz w:val="20"/>
          <w:szCs w:val="20"/>
          <w:color w:val="auto"/>
        </w:rPr>
      </w:pPr>
    </w:p>
    <w:p>
      <w:pPr>
        <w:jc w:val="center"/>
        <w:ind w:right="-99"/>
        <w:spacing w:after="0"/>
        <w:rPr>
          <w:sz w:val="20"/>
          <w:szCs w:val="20"/>
          <w:color w:val="auto"/>
        </w:rPr>
      </w:pPr>
      <w:r>
        <w:rPr>
          <w:rFonts w:ascii="Arial" w:cs="Arial" w:eastAsia="Arial" w:hAnsi="Arial"/>
          <w:sz w:val="18"/>
          <w:szCs w:val="18"/>
          <w:i w:val="1"/>
          <w:iCs w:val="1"/>
          <w:color w:val="auto"/>
        </w:rPr>
        <w:t>(Unaudited)</w:t>
      </w:r>
    </w:p>
    <w:p>
      <w:pPr>
        <w:spacing w:after="0" w:line="229"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90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920" w:type="dxa"/>
            <w:vAlign w:val="bottom"/>
            <w:gridSpan w:val="7"/>
          </w:tcPr>
          <w:p>
            <w:pPr>
              <w:ind w:left="20"/>
              <w:spacing w:after="0"/>
              <w:rPr>
                <w:sz w:val="20"/>
                <w:szCs w:val="20"/>
                <w:color w:val="auto"/>
              </w:rPr>
            </w:pPr>
            <w:r>
              <w:rPr>
                <w:rFonts w:ascii="Arial" w:cs="Arial" w:eastAsia="Arial" w:hAnsi="Arial"/>
                <w:sz w:val="14"/>
                <w:szCs w:val="14"/>
                <w:b w:val="1"/>
                <w:bCs w:val="1"/>
                <w:color w:val="auto"/>
              </w:rPr>
              <w:t>Six Months Ended June 30,</w:t>
            </w:r>
          </w:p>
        </w:tc>
      </w:tr>
      <w:tr>
        <w:trPr>
          <w:trHeight w:val="142"/>
        </w:trPr>
        <w:tc>
          <w:tcPr>
            <w:tcW w:w="9020" w:type="dxa"/>
            <w:vAlign w:val="bottom"/>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680" w:type="dxa"/>
            <w:vAlign w:val="bottom"/>
            <w:tcBorders>
              <w:top w:val="single" w:sz="8" w:color="auto"/>
              <w:bottom w:val="single" w:sz="8" w:color="auto"/>
            </w:tcBorders>
          </w:tcPr>
          <w:p>
            <w:pPr>
              <w:jc w:val="right"/>
              <w:ind w:right="157"/>
              <w:spacing w:after="0" w:line="142" w:lineRule="exact"/>
              <w:rPr>
                <w:sz w:val="20"/>
                <w:szCs w:val="20"/>
                <w:color w:val="auto"/>
              </w:rPr>
            </w:pPr>
            <w:r>
              <w:rPr>
                <w:rFonts w:ascii="Arial" w:cs="Arial" w:eastAsia="Arial" w:hAnsi="Arial"/>
                <w:sz w:val="14"/>
                <w:szCs w:val="14"/>
                <w:b w:val="1"/>
                <w:bCs w:val="1"/>
                <w:color w:val="auto"/>
              </w:rPr>
              <w:t>2021</w:t>
            </w:r>
          </w:p>
        </w:tc>
        <w:tc>
          <w:tcPr>
            <w:tcW w:w="20" w:type="dxa"/>
            <w:vAlign w:val="bottom"/>
            <w:tcBorders>
              <w:top w:val="single" w:sz="8" w:color="auto"/>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660" w:type="dxa"/>
            <w:vAlign w:val="bottom"/>
            <w:tcBorders>
              <w:top w:val="single" w:sz="8" w:color="auto"/>
              <w:bottom w:val="single" w:sz="8" w:color="auto"/>
            </w:tcBorders>
          </w:tcPr>
          <w:p>
            <w:pPr>
              <w:ind w:left="120"/>
              <w:spacing w:after="0" w:line="142" w:lineRule="exact"/>
              <w:rPr>
                <w:sz w:val="20"/>
                <w:szCs w:val="20"/>
                <w:color w:val="auto"/>
              </w:rPr>
            </w:pPr>
            <w:r>
              <w:rPr>
                <w:rFonts w:ascii="Arial" w:cs="Arial" w:eastAsia="Arial" w:hAnsi="Arial"/>
                <w:sz w:val="14"/>
                <w:szCs w:val="14"/>
                <w:b w:val="1"/>
                <w:bCs w:val="1"/>
                <w:color w:val="auto"/>
              </w:rPr>
              <w:t>2020</w:t>
            </w:r>
          </w:p>
        </w:tc>
        <w:tc>
          <w:tcPr>
            <w:tcW w:w="120" w:type="dxa"/>
            <w:vAlign w:val="bottom"/>
          </w:tcPr>
          <w:p>
            <w:pPr>
              <w:spacing w:after="0"/>
              <w:rPr>
                <w:sz w:val="12"/>
                <w:szCs w:val="12"/>
                <w:color w:val="auto"/>
              </w:rPr>
            </w:pPr>
          </w:p>
        </w:tc>
      </w:tr>
      <w:tr>
        <w:trPr>
          <w:trHeight w:val="88"/>
        </w:trPr>
        <w:tc>
          <w:tcPr>
            <w:tcW w:w="9020" w:type="dxa"/>
            <w:vAlign w:val="bottom"/>
          </w:tcPr>
          <w:p>
            <w:pPr>
              <w:spacing w:after="0"/>
              <w:rPr>
                <w:sz w:val="7"/>
                <w:szCs w:val="7"/>
                <w:color w:val="auto"/>
              </w:rPr>
            </w:pPr>
          </w:p>
        </w:tc>
        <w:tc>
          <w:tcPr>
            <w:tcW w:w="80" w:type="dxa"/>
            <w:vAlign w:val="bottom"/>
          </w:tcPr>
          <w:p>
            <w:pPr>
              <w:spacing w:after="0"/>
              <w:rPr>
                <w:sz w:val="7"/>
                <w:szCs w:val="7"/>
                <w:color w:val="auto"/>
              </w:rPr>
            </w:pPr>
          </w:p>
        </w:tc>
        <w:tc>
          <w:tcPr>
            <w:tcW w:w="680" w:type="dxa"/>
            <w:vAlign w:val="bottom"/>
          </w:tcPr>
          <w:p>
            <w:pPr>
              <w:spacing w:after="0"/>
              <w:rPr>
                <w:sz w:val="7"/>
                <w:szCs w:val="7"/>
                <w:color w:val="auto"/>
              </w:rPr>
            </w:pPr>
          </w:p>
        </w:tc>
        <w:tc>
          <w:tcPr>
            <w:tcW w:w="20" w:type="dxa"/>
            <w:vAlign w:val="bottom"/>
          </w:tcPr>
          <w:p>
            <w:pPr>
              <w:spacing w:after="0"/>
              <w:rPr>
                <w:sz w:val="7"/>
                <w:szCs w:val="7"/>
                <w:color w:val="auto"/>
              </w:rPr>
            </w:pPr>
          </w:p>
        </w:tc>
        <w:tc>
          <w:tcPr>
            <w:tcW w:w="180" w:type="dxa"/>
            <w:vAlign w:val="bottom"/>
          </w:tcPr>
          <w:p>
            <w:pPr>
              <w:spacing w:after="0"/>
              <w:rPr>
                <w:sz w:val="7"/>
                <w:szCs w:val="7"/>
                <w:color w:val="auto"/>
              </w:rPr>
            </w:pPr>
          </w:p>
        </w:tc>
        <w:tc>
          <w:tcPr>
            <w:tcW w:w="120" w:type="dxa"/>
            <w:vAlign w:val="bottom"/>
          </w:tcPr>
          <w:p>
            <w:pPr>
              <w:spacing w:after="0"/>
              <w:rPr>
                <w:sz w:val="7"/>
                <w:szCs w:val="7"/>
                <w:color w:val="auto"/>
              </w:rPr>
            </w:pPr>
          </w:p>
        </w:tc>
        <w:tc>
          <w:tcPr>
            <w:tcW w:w="140" w:type="dxa"/>
            <w:vAlign w:val="bottom"/>
          </w:tcPr>
          <w:p>
            <w:pPr>
              <w:spacing w:after="0"/>
              <w:rPr>
                <w:sz w:val="7"/>
                <w:szCs w:val="7"/>
                <w:color w:val="auto"/>
              </w:rPr>
            </w:pPr>
          </w:p>
        </w:tc>
        <w:tc>
          <w:tcPr>
            <w:tcW w:w="660" w:type="dxa"/>
            <w:vAlign w:val="bottom"/>
          </w:tcPr>
          <w:p>
            <w:pPr>
              <w:spacing w:after="0"/>
              <w:rPr>
                <w:sz w:val="7"/>
                <w:szCs w:val="7"/>
                <w:color w:val="auto"/>
              </w:rPr>
            </w:pPr>
          </w:p>
        </w:tc>
        <w:tc>
          <w:tcPr>
            <w:tcW w:w="120" w:type="dxa"/>
            <w:vAlign w:val="bottom"/>
          </w:tcPr>
          <w:p>
            <w:pPr>
              <w:spacing w:after="0"/>
              <w:rPr>
                <w:sz w:val="7"/>
                <w:szCs w:val="7"/>
                <w:color w:val="auto"/>
              </w:rPr>
            </w:pPr>
          </w:p>
        </w:tc>
      </w:tr>
      <w:tr>
        <w:trPr>
          <w:trHeight w:val="216"/>
        </w:trPr>
        <w:tc>
          <w:tcPr>
            <w:tcW w:w="9020" w:type="dxa"/>
            <w:vAlign w:val="bottom"/>
            <w:shd w:val="clear" w:color="auto" w:fill="CCEEFF"/>
          </w:tcPr>
          <w:p>
            <w:pPr>
              <w:jc w:val="right"/>
              <w:ind w:right="8350"/>
              <w:spacing w:after="0"/>
              <w:rPr>
                <w:sz w:val="20"/>
                <w:szCs w:val="20"/>
                <w:color w:val="auto"/>
              </w:rPr>
            </w:pPr>
            <w:r>
              <w:rPr>
                <w:rFonts w:ascii="Arial" w:cs="Arial" w:eastAsia="Arial" w:hAnsi="Arial"/>
                <w:sz w:val="18"/>
                <w:szCs w:val="18"/>
                <w:color w:val="auto"/>
                <w:w w:val="86"/>
              </w:rPr>
              <w:t>Net loss</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(25,527)</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w w:val="98"/>
              </w:rPr>
              <w:t>(25,333)</w:t>
            </w:r>
          </w:p>
        </w:tc>
      </w:tr>
      <w:tr>
        <w:trPr>
          <w:trHeight w:val="216"/>
        </w:trPr>
        <w:tc>
          <w:tcPr>
            <w:tcW w:w="9020" w:type="dxa"/>
            <w:vAlign w:val="bottom"/>
          </w:tcPr>
          <w:p>
            <w:pPr>
              <w:jc w:val="right"/>
              <w:ind w:right="6770"/>
              <w:spacing w:after="0"/>
              <w:rPr>
                <w:sz w:val="20"/>
                <w:szCs w:val="20"/>
                <w:color w:val="auto"/>
              </w:rPr>
            </w:pPr>
            <w:r>
              <w:rPr>
                <w:rFonts w:ascii="Arial" w:cs="Arial" w:eastAsia="Arial" w:hAnsi="Arial"/>
                <w:sz w:val="18"/>
                <w:szCs w:val="18"/>
                <w:color w:val="auto"/>
                <w:w w:val="89"/>
              </w:rPr>
              <w:t>Other comprehensive income:</w:t>
            </w:r>
          </w:p>
        </w:tc>
        <w:tc>
          <w:tcPr>
            <w:tcW w:w="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9020" w:type="dxa"/>
            <w:vAlign w:val="bottom"/>
            <w:shd w:val="clear" w:color="auto" w:fill="CCEEFF"/>
          </w:tcPr>
          <w:p>
            <w:pPr>
              <w:jc w:val="right"/>
              <w:ind w:right="6190"/>
              <w:spacing w:after="0"/>
              <w:rPr>
                <w:sz w:val="20"/>
                <w:szCs w:val="20"/>
                <w:color w:val="auto"/>
              </w:rPr>
            </w:pPr>
            <w:r>
              <w:rPr>
                <w:rFonts w:ascii="Arial" w:cs="Arial" w:eastAsia="Arial" w:hAnsi="Arial"/>
                <w:sz w:val="18"/>
                <w:szCs w:val="18"/>
                <w:color w:val="auto"/>
              </w:rPr>
              <w:t>Foreign currency translation gain</w:t>
            </w:r>
          </w:p>
        </w:tc>
        <w:tc>
          <w:tcPr>
            <w:tcW w:w="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144</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w:t>
            </w:r>
          </w:p>
        </w:tc>
      </w:tr>
      <w:tr>
        <w:trPr>
          <w:trHeight w:val="223"/>
        </w:trPr>
        <w:tc>
          <w:tcPr>
            <w:tcW w:w="9020" w:type="dxa"/>
            <w:vAlign w:val="bottom"/>
          </w:tcPr>
          <w:p>
            <w:pPr>
              <w:jc w:val="right"/>
              <w:ind w:right="6750"/>
              <w:spacing w:after="0"/>
              <w:rPr>
                <w:sz w:val="20"/>
                <w:szCs w:val="20"/>
                <w:color w:val="auto"/>
              </w:rPr>
            </w:pPr>
            <w:r>
              <w:rPr>
                <w:rFonts w:ascii="Arial" w:cs="Arial" w:eastAsia="Arial" w:hAnsi="Arial"/>
                <w:sz w:val="18"/>
                <w:szCs w:val="18"/>
                <w:color w:val="auto"/>
              </w:rPr>
              <w:t>Comprehensive loss</w:t>
            </w: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8"/>
              </w:rPr>
              <w:t>(25,383)</w:t>
            </w:r>
          </w:p>
        </w:tc>
        <w:tc>
          <w:tcPr>
            <w:tcW w:w="20" w:type="dxa"/>
            <w:vAlign w:val="bottom"/>
            <w:tcBorders>
              <w:bottom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5"/>
              </w:rPr>
              <w:t>(25,333)</w:t>
            </w:r>
          </w:p>
        </w:tc>
        <w:tc>
          <w:tcPr>
            <w:tcW w:w="120" w:type="dxa"/>
            <w:vAlign w:val="bottom"/>
          </w:tcPr>
          <w:p>
            <w:pPr>
              <w:spacing w:after="0"/>
              <w:rPr>
                <w:sz w:val="19"/>
                <w:szCs w:val="19"/>
                <w:color w:val="auto"/>
              </w:rPr>
            </w:pPr>
          </w:p>
        </w:tc>
      </w:tr>
      <w:tr>
        <w:trPr>
          <w:trHeight w:val="20"/>
        </w:trPr>
        <w:tc>
          <w:tcPr>
            <w:tcW w:w="90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15" w:lineRule="exact"/>
        <w:rPr>
          <w:sz w:val="20"/>
          <w:szCs w:val="20"/>
          <w:color w:val="auto"/>
        </w:rPr>
      </w:pPr>
    </w:p>
    <w:p>
      <w:pPr>
        <w:ind w:left="3580"/>
        <w:spacing w:after="0"/>
        <w:rPr>
          <w:sz w:val="20"/>
          <w:szCs w:val="20"/>
          <w:color w:val="auto"/>
        </w:rPr>
      </w:pPr>
      <w:r>
        <w:rPr>
          <w:rFonts w:ascii="Arial" w:cs="Arial" w:eastAsia="Arial" w:hAnsi="Arial"/>
          <w:sz w:val="18"/>
          <w:szCs w:val="18"/>
          <w:color w:val="auto"/>
        </w:rPr>
        <w:t>See notes to condensed consolidated financial statements</w:t>
      </w:r>
    </w:p>
    <w:p>
      <w:pPr>
        <w:spacing w:after="0" w:line="158"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F-50</w:t>
      </w:r>
    </w:p>
    <w:p>
      <w:pPr>
        <w:sectPr>
          <w:pgSz w:w="11900" w:h="16838" w:orient="portrait"/>
          <w:cols w:equalWidth="0" w:num="1">
            <w:col w:w="11140"/>
          </w:cols>
          <w:pgMar w:left="320" w:top="459" w:right="439" w:bottom="1440" w:gutter="0" w:footer="0" w:header="0"/>
        </w:sectPr>
      </w:pPr>
    </w:p>
    <w:bookmarkStart w:id="256" w:name="page257"/>
    <w:bookmarkEnd w:id="25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42">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Confidential Treatment Requested by Definitive Healthcare Corp.</w:t>
      </w:r>
    </w:p>
    <w:p>
      <w:pPr>
        <w:spacing w:after="0" w:line="27"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Pursuant to 17 C.F.R. Section 200.83</w:t>
      </w:r>
    </w:p>
    <w:p>
      <w:pPr>
        <w:spacing w:after="0" w:line="139"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AIDH TOPCO, LLC</w:t>
      </w:r>
    </w:p>
    <w:p>
      <w:pPr>
        <w:spacing w:after="0" w:line="22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CONDENSED CONSOLIDATED STATEMENTS OF CHANGES IN MEMBERS’ EQUITY</w:t>
      </w:r>
    </w:p>
    <w:p>
      <w:pPr>
        <w:spacing w:after="0" w:line="27" w:lineRule="exact"/>
        <w:rPr>
          <w:sz w:val="20"/>
          <w:szCs w:val="20"/>
          <w:color w:val="auto"/>
        </w:rPr>
      </w:pPr>
    </w:p>
    <w:p>
      <w:pPr>
        <w:jc w:val="center"/>
        <w:ind w:right="-99"/>
        <w:spacing w:after="0"/>
        <w:rPr>
          <w:sz w:val="20"/>
          <w:szCs w:val="20"/>
          <w:color w:val="auto"/>
        </w:rPr>
      </w:pPr>
      <w:r>
        <w:rPr>
          <w:rFonts w:ascii="Arial" w:cs="Arial" w:eastAsia="Arial" w:hAnsi="Arial"/>
          <w:sz w:val="18"/>
          <w:szCs w:val="18"/>
          <w:i w:val="1"/>
          <w:iCs w:val="1"/>
          <w:color w:val="auto"/>
        </w:rPr>
        <w:t>(amounts in thousands, except number of units)</w:t>
      </w:r>
    </w:p>
    <w:p>
      <w:pPr>
        <w:spacing w:after="0" w:line="9" w:lineRule="exact"/>
        <w:rPr>
          <w:sz w:val="20"/>
          <w:szCs w:val="20"/>
          <w:color w:val="auto"/>
        </w:rPr>
      </w:pPr>
    </w:p>
    <w:p>
      <w:pPr>
        <w:jc w:val="center"/>
        <w:ind w:right="-99"/>
        <w:spacing w:after="0"/>
        <w:rPr>
          <w:sz w:val="20"/>
          <w:szCs w:val="20"/>
          <w:color w:val="auto"/>
        </w:rPr>
      </w:pPr>
      <w:r>
        <w:rPr>
          <w:rFonts w:ascii="Arial" w:cs="Arial" w:eastAsia="Arial" w:hAnsi="Arial"/>
          <w:sz w:val="18"/>
          <w:szCs w:val="18"/>
          <w:i w:val="1"/>
          <w:iCs w:val="1"/>
          <w:color w:val="auto"/>
        </w:rPr>
        <w:t>(Unaudited)</w:t>
      </w:r>
    </w:p>
    <w:p>
      <w:pPr>
        <w:spacing w:after="0" w:line="217"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33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60" w:type="dxa"/>
            <w:vAlign w:val="bottom"/>
            <w:gridSpan w:val="4"/>
            <w:vMerge w:val="restart"/>
          </w:tcPr>
          <w:p>
            <w:pPr>
              <w:ind w:left="20"/>
              <w:spacing w:after="0"/>
              <w:rPr>
                <w:sz w:val="20"/>
                <w:szCs w:val="20"/>
                <w:color w:val="auto"/>
              </w:rPr>
            </w:pPr>
            <w:r>
              <w:rPr>
                <w:rFonts w:ascii="Arial" w:cs="Arial" w:eastAsia="Arial" w:hAnsi="Arial"/>
                <w:sz w:val="14"/>
                <w:szCs w:val="14"/>
                <w:b w:val="1"/>
                <w:bCs w:val="1"/>
                <w:color w:val="auto"/>
              </w:rPr>
              <w:t>Additional</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60" w:type="dxa"/>
            <w:vAlign w:val="bottom"/>
            <w:gridSpan w:val="3"/>
          </w:tcPr>
          <w:p>
            <w:pPr>
              <w:spacing w:after="0"/>
              <w:rPr>
                <w:sz w:val="20"/>
                <w:szCs w:val="20"/>
                <w:color w:val="auto"/>
              </w:rPr>
            </w:pPr>
            <w:r>
              <w:rPr>
                <w:rFonts w:ascii="Arial" w:cs="Arial" w:eastAsia="Arial" w:hAnsi="Arial"/>
                <w:sz w:val="14"/>
                <w:szCs w:val="14"/>
                <w:b w:val="1"/>
                <w:bCs w:val="1"/>
                <w:color w:val="auto"/>
              </w:rPr>
              <w:t>Accumulated</w:t>
            </w:r>
          </w:p>
        </w:tc>
        <w:tc>
          <w:tcPr>
            <w:tcW w:w="2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3380" w:type="dxa"/>
            <w:vAlign w:val="bottom"/>
          </w:tcPr>
          <w:p>
            <w:pPr>
              <w:spacing w:after="0"/>
              <w:rPr>
                <w:sz w:val="12"/>
                <w:szCs w:val="12"/>
                <w:color w:val="auto"/>
              </w:rPr>
            </w:pPr>
          </w:p>
        </w:tc>
        <w:tc>
          <w:tcPr>
            <w:tcW w:w="1100" w:type="dxa"/>
            <w:vAlign w:val="bottom"/>
            <w:gridSpan w:val="3"/>
            <w:vMerge w:val="restart"/>
          </w:tcPr>
          <w:p>
            <w:pPr>
              <w:jc w:val="center"/>
              <w:ind w:right="280"/>
              <w:spacing w:after="0"/>
              <w:rPr>
                <w:sz w:val="20"/>
                <w:szCs w:val="20"/>
                <w:color w:val="auto"/>
              </w:rPr>
            </w:pPr>
            <w:r>
              <w:rPr>
                <w:rFonts w:ascii="Arial" w:cs="Arial" w:eastAsia="Arial" w:hAnsi="Arial"/>
                <w:sz w:val="14"/>
                <w:szCs w:val="14"/>
                <w:b w:val="1"/>
                <w:bCs w:val="1"/>
                <w:color w:val="auto"/>
                <w:w w:val="89"/>
              </w:rPr>
              <w:t>Class A</w:t>
            </w:r>
          </w:p>
        </w:tc>
        <w:tc>
          <w:tcPr>
            <w:tcW w:w="2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0" w:type="dxa"/>
            <w:vAlign w:val="bottom"/>
            <w:gridSpan w:val="4"/>
            <w:vMerge w:val="restart"/>
          </w:tcPr>
          <w:p>
            <w:pPr>
              <w:jc w:val="center"/>
              <w:ind w:right="220"/>
              <w:spacing w:after="0"/>
              <w:rPr>
                <w:sz w:val="20"/>
                <w:szCs w:val="20"/>
                <w:color w:val="auto"/>
              </w:rPr>
            </w:pPr>
            <w:r>
              <w:rPr>
                <w:rFonts w:ascii="Arial" w:cs="Arial" w:eastAsia="Arial" w:hAnsi="Arial"/>
                <w:sz w:val="14"/>
                <w:szCs w:val="14"/>
                <w:b w:val="1"/>
                <w:bCs w:val="1"/>
                <w:color w:val="auto"/>
                <w:w w:val="89"/>
              </w:rPr>
              <w:t>Class B</w:t>
            </w:r>
          </w:p>
        </w:tc>
        <w:tc>
          <w:tcPr>
            <w:tcW w:w="1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60" w:type="dxa"/>
            <w:vAlign w:val="bottom"/>
            <w:gridSpan w:val="4"/>
            <w:vMerge w:val="continue"/>
          </w:tcPr>
          <w:p>
            <w:pPr>
              <w:spacing w:after="0"/>
              <w:rPr>
                <w:sz w:val="12"/>
                <w:szCs w:val="12"/>
                <w:color w:val="auto"/>
              </w:rPr>
            </w:pPr>
          </w:p>
        </w:tc>
        <w:tc>
          <w:tcPr>
            <w:tcW w:w="140" w:type="dxa"/>
            <w:vAlign w:val="bottom"/>
          </w:tcPr>
          <w:p>
            <w:pPr>
              <w:spacing w:after="0"/>
              <w:rPr>
                <w:sz w:val="12"/>
                <w:szCs w:val="12"/>
                <w:color w:val="auto"/>
              </w:rPr>
            </w:pPr>
          </w:p>
        </w:tc>
        <w:tc>
          <w:tcPr>
            <w:tcW w:w="1040" w:type="dxa"/>
            <w:vAlign w:val="bottom"/>
            <w:gridSpan w:val="5"/>
            <w:vMerge w:val="restart"/>
          </w:tcPr>
          <w:p>
            <w:pPr>
              <w:spacing w:after="0"/>
              <w:rPr>
                <w:sz w:val="20"/>
                <w:szCs w:val="20"/>
                <w:color w:val="auto"/>
              </w:rPr>
            </w:pPr>
            <w:r>
              <w:rPr>
                <w:rFonts w:ascii="Arial" w:cs="Arial" w:eastAsia="Arial" w:hAnsi="Arial"/>
                <w:sz w:val="14"/>
                <w:szCs w:val="14"/>
                <w:b w:val="1"/>
                <w:bCs w:val="1"/>
                <w:color w:val="auto"/>
              </w:rPr>
              <w:t>Accumulated</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20" w:type="dxa"/>
            <w:vAlign w:val="bottom"/>
            <w:gridSpan w:val="2"/>
          </w:tcPr>
          <w:p>
            <w:pPr>
              <w:ind w:left="80"/>
              <w:spacing w:after="0" w:line="149" w:lineRule="exact"/>
              <w:rPr>
                <w:sz w:val="20"/>
                <w:szCs w:val="20"/>
                <w:color w:val="auto"/>
              </w:rPr>
            </w:pPr>
            <w:r>
              <w:rPr>
                <w:rFonts w:ascii="Arial" w:cs="Arial" w:eastAsia="Arial" w:hAnsi="Arial"/>
                <w:sz w:val="14"/>
                <w:szCs w:val="14"/>
                <w:b w:val="1"/>
                <w:bCs w:val="1"/>
                <w:color w:val="auto"/>
              </w:rPr>
              <w:t>Other</w:t>
            </w:r>
          </w:p>
        </w:tc>
        <w:tc>
          <w:tcPr>
            <w:tcW w:w="200" w:type="dxa"/>
            <w:vAlign w:val="bottom"/>
          </w:tcPr>
          <w:p>
            <w:pPr>
              <w:spacing w:after="0"/>
              <w:rPr>
                <w:sz w:val="12"/>
                <w:szCs w:val="12"/>
                <w:color w:val="auto"/>
              </w:rPr>
            </w:pPr>
          </w:p>
        </w:tc>
        <w:tc>
          <w:tcPr>
            <w:tcW w:w="840" w:type="dxa"/>
            <w:vAlign w:val="bottom"/>
            <w:gridSpan w:val="2"/>
            <w:vMerge w:val="restart"/>
          </w:tcPr>
          <w:p>
            <w:pPr>
              <w:jc w:val="center"/>
              <w:ind w:right="80"/>
              <w:spacing w:after="0"/>
              <w:rPr>
                <w:sz w:val="20"/>
                <w:szCs w:val="20"/>
                <w:color w:val="auto"/>
              </w:rPr>
            </w:pPr>
            <w:r>
              <w:rPr>
                <w:rFonts w:ascii="Arial" w:cs="Arial" w:eastAsia="Arial" w:hAnsi="Arial"/>
                <w:sz w:val="14"/>
                <w:szCs w:val="14"/>
                <w:b w:val="1"/>
                <w:bCs w:val="1"/>
                <w:color w:val="auto"/>
                <w:w w:val="95"/>
              </w:rPr>
              <w:t>Total</w:t>
            </w:r>
          </w:p>
        </w:tc>
        <w:tc>
          <w:tcPr>
            <w:tcW w:w="0" w:type="dxa"/>
            <w:vAlign w:val="bottom"/>
          </w:tcPr>
          <w:p>
            <w:pPr>
              <w:spacing w:after="0"/>
              <w:rPr>
                <w:sz w:val="1"/>
                <w:szCs w:val="1"/>
                <w:color w:val="auto"/>
              </w:rPr>
            </w:pPr>
          </w:p>
        </w:tc>
      </w:tr>
      <w:tr>
        <w:trPr>
          <w:trHeight w:val="148"/>
        </w:trPr>
        <w:tc>
          <w:tcPr>
            <w:tcW w:w="3380" w:type="dxa"/>
            <w:vAlign w:val="bottom"/>
          </w:tcPr>
          <w:p>
            <w:pPr>
              <w:spacing w:after="0"/>
              <w:rPr>
                <w:sz w:val="12"/>
                <w:szCs w:val="12"/>
                <w:color w:val="auto"/>
              </w:rPr>
            </w:pPr>
          </w:p>
        </w:tc>
        <w:tc>
          <w:tcPr>
            <w:tcW w:w="1100" w:type="dxa"/>
            <w:vAlign w:val="bottom"/>
            <w:gridSpan w:val="3"/>
            <w:vMerge w:val="continue"/>
          </w:tcPr>
          <w:p>
            <w:pPr>
              <w:spacing w:after="0"/>
              <w:rPr>
                <w:sz w:val="12"/>
                <w:szCs w:val="12"/>
                <w:color w:val="auto"/>
              </w:rPr>
            </w:pPr>
          </w:p>
        </w:tc>
        <w:tc>
          <w:tcPr>
            <w:tcW w:w="920" w:type="dxa"/>
            <w:vAlign w:val="bottom"/>
            <w:gridSpan w:val="3"/>
            <w:vMerge w:val="restart"/>
          </w:tcPr>
          <w:p>
            <w:pPr>
              <w:jc w:val="right"/>
              <w:ind w:right="340"/>
              <w:spacing w:after="0"/>
              <w:rPr>
                <w:sz w:val="20"/>
                <w:szCs w:val="20"/>
                <w:color w:val="auto"/>
              </w:rPr>
            </w:pPr>
            <w:r>
              <w:rPr>
                <w:rFonts w:ascii="Arial" w:cs="Arial" w:eastAsia="Arial" w:hAnsi="Arial"/>
                <w:sz w:val="14"/>
                <w:szCs w:val="14"/>
                <w:b w:val="1"/>
                <w:bCs w:val="1"/>
                <w:color w:val="auto"/>
              </w:rPr>
              <w:t>Amount</w:t>
            </w:r>
          </w:p>
        </w:tc>
        <w:tc>
          <w:tcPr>
            <w:tcW w:w="800" w:type="dxa"/>
            <w:vAlign w:val="bottom"/>
            <w:gridSpan w:val="4"/>
            <w:vMerge w:val="continue"/>
          </w:tcPr>
          <w:p>
            <w:pPr>
              <w:spacing w:after="0"/>
              <w:rPr>
                <w:sz w:val="12"/>
                <w:szCs w:val="12"/>
                <w:color w:val="auto"/>
              </w:rPr>
            </w:pPr>
          </w:p>
        </w:tc>
        <w:tc>
          <w:tcPr>
            <w:tcW w:w="680" w:type="dxa"/>
            <w:vAlign w:val="bottom"/>
            <w:gridSpan w:val="4"/>
            <w:vMerge w:val="restart"/>
          </w:tcPr>
          <w:p>
            <w:pPr>
              <w:ind w:left="20"/>
              <w:spacing w:after="0"/>
              <w:rPr>
                <w:sz w:val="20"/>
                <w:szCs w:val="20"/>
                <w:color w:val="auto"/>
              </w:rPr>
            </w:pPr>
            <w:r>
              <w:rPr>
                <w:rFonts w:ascii="Arial" w:cs="Arial" w:eastAsia="Arial" w:hAnsi="Arial"/>
                <w:sz w:val="14"/>
                <w:szCs w:val="14"/>
                <w:b w:val="1"/>
                <w:bCs w:val="1"/>
                <w:color w:val="auto"/>
              </w:rPr>
              <w:t>Amount</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Paid-In</w:t>
            </w:r>
          </w:p>
        </w:tc>
        <w:tc>
          <w:tcPr>
            <w:tcW w:w="140" w:type="dxa"/>
            <w:vAlign w:val="bottom"/>
          </w:tcPr>
          <w:p>
            <w:pPr>
              <w:spacing w:after="0"/>
              <w:rPr>
                <w:sz w:val="12"/>
                <w:szCs w:val="12"/>
                <w:color w:val="auto"/>
              </w:rPr>
            </w:pPr>
          </w:p>
        </w:tc>
        <w:tc>
          <w:tcPr>
            <w:tcW w:w="1040" w:type="dxa"/>
            <w:vAlign w:val="bottom"/>
            <w:gridSpan w:val="5"/>
            <w:vMerge w:val="continue"/>
          </w:tcPr>
          <w:p>
            <w:pPr>
              <w:spacing w:after="0"/>
              <w:rPr>
                <w:sz w:val="12"/>
                <w:szCs w:val="12"/>
                <w:color w:val="auto"/>
              </w:rPr>
            </w:pPr>
          </w:p>
        </w:tc>
        <w:tc>
          <w:tcPr>
            <w:tcW w:w="60" w:type="dxa"/>
            <w:vAlign w:val="bottom"/>
          </w:tcPr>
          <w:p>
            <w:pPr>
              <w:spacing w:after="0"/>
              <w:rPr>
                <w:sz w:val="12"/>
                <w:szCs w:val="12"/>
                <w:color w:val="auto"/>
              </w:rPr>
            </w:pPr>
          </w:p>
        </w:tc>
        <w:tc>
          <w:tcPr>
            <w:tcW w:w="1040" w:type="dxa"/>
            <w:vAlign w:val="bottom"/>
            <w:gridSpan w:val="4"/>
          </w:tcPr>
          <w:p>
            <w:pPr>
              <w:spacing w:after="0" w:line="149" w:lineRule="exact"/>
              <w:rPr>
                <w:sz w:val="20"/>
                <w:szCs w:val="20"/>
                <w:color w:val="auto"/>
              </w:rPr>
            </w:pPr>
            <w:r>
              <w:rPr>
                <w:rFonts w:ascii="Arial" w:cs="Arial" w:eastAsia="Arial" w:hAnsi="Arial"/>
                <w:sz w:val="14"/>
                <w:szCs w:val="14"/>
                <w:b w:val="1"/>
                <w:bCs w:val="1"/>
                <w:color w:val="auto"/>
                <w:w w:val="97"/>
              </w:rPr>
              <w:t>Comprehensive</w:t>
            </w:r>
          </w:p>
        </w:tc>
        <w:tc>
          <w:tcPr>
            <w:tcW w:w="200" w:type="dxa"/>
            <w:vAlign w:val="bottom"/>
          </w:tcPr>
          <w:p>
            <w:pPr>
              <w:spacing w:after="0"/>
              <w:rPr>
                <w:sz w:val="12"/>
                <w:szCs w:val="12"/>
                <w:color w:val="auto"/>
              </w:rPr>
            </w:pPr>
          </w:p>
        </w:tc>
        <w:tc>
          <w:tcPr>
            <w:tcW w:w="84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33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60" w:type="dxa"/>
            <w:vAlign w:val="bottom"/>
            <w:gridSpan w:val="2"/>
          </w:tcPr>
          <w:p>
            <w:pPr>
              <w:jc w:val="center"/>
              <w:ind w:right="500"/>
              <w:spacing w:after="0"/>
              <w:rPr>
                <w:sz w:val="20"/>
                <w:szCs w:val="20"/>
                <w:color w:val="auto"/>
              </w:rPr>
            </w:pPr>
            <w:r>
              <w:rPr>
                <w:rFonts w:ascii="Arial" w:cs="Arial" w:eastAsia="Arial" w:hAnsi="Arial"/>
                <w:sz w:val="14"/>
                <w:szCs w:val="14"/>
                <w:b w:val="1"/>
                <w:bCs w:val="1"/>
                <w:color w:val="auto"/>
                <w:w w:val="91"/>
              </w:rPr>
              <w:t>Units</w:t>
            </w:r>
          </w:p>
        </w:tc>
        <w:tc>
          <w:tcPr>
            <w:tcW w:w="920" w:type="dxa"/>
            <w:vAlign w:val="bottom"/>
            <w:gridSpan w:val="3"/>
            <w:vMerge w:val="continue"/>
          </w:tcPr>
          <w:p>
            <w:pPr>
              <w:spacing w:after="0"/>
              <w:rPr>
                <w:sz w:val="14"/>
                <w:szCs w:val="14"/>
                <w:color w:val="auto"/>
              </w:rPr>
            </w:pPr>
          </w:p>
        </w:tc>
        <w:tc>
          <w:tcPr>
            <w:tcW w:w="800" w:type="dxa"/>
            <w:vAlign w:val="bottom"/>
            <w:gridSpan w:val="4"/>
          </w:tcPr>
          <w:p>
            <w:pPr>
              <w:jc w:val="center"/>
              <w:ind w:right="220"/>
              <w:spacing w:after="0"/>
              <w:rPr>
                <w:sz w:val="20"/>
                <w:szCs w:val="20"/>
                <w:color w:val="auto"/>
              </w:rPr>
            </w:pPr>
            <w:r>
              <w:rPr>
                <w:rFonts w:ascii="Arial" w:cs="Arial" w:eastAsia="Arial" w:hAnsi="Arial"/>
                <w:sz w:val="14"/>
                <w:szCs w:val="14"/>
                <w:b w:val="1"/>
                <w:bCs w:val="1"/>
                <w:color w:val="auto"/>
                <w:w w:val="97"/>
              </w:rPr>
              <w:t>Units</w:t>
            </w:r>
          </w:p>
        </w:tc>
        <w:tc>
          <w:tcPr>
            <w:tcW w:w="680" w:type="dxa"/>
            <w:vAlign w:val="bottom"/>
            <w:gridSpan w:val="4"/>
            <w:vMerge w:val="continue"/>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gridSpan w:val="3"/>
          </w:tcPr>
          <w:p>
            <w:pPr>
              <w:ind w:left="20"/>
              <w:spacing w:after="0"/>
              <w:rPr>
                <w:sz w:val="20"/>
                <w:szCs w:val="20"/>
                <w:color w:val="auto"/>
              </w:rPr>
            </w:pPr>
            <w:r>
              <w:rPr>
                <w:rFonts w:ascii="Arial" w:cs="Arial" w:eastAsia="Arial" w:hAnsi="Arial"/>
                <w:sz w:val="14"/>
                <w:szCs w:val="14"/>
                <w:b w:val="1"/>
                <w:bCs w:val="1"/>
                <w:color w:val="auto"/>
              </w:rPr>
              <w:t>Capital</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gridSpan w:val="3"/>
          </w:tcPr>
          <w:p>
            <w:pPr>
              <w:jc w:val="right"/>
              <w:ind w:right="420"/>
              <w:spacing w:after="0"/>
              <w:rPr>
                <w:sz w:val="20"/>
                <w:szCs w:val="20"/>
                <w:color w:val="auto"/>
              </w:rPr>
            </w:pPr>
            <w:r>
              <w:rPr>
                <w:rFonts w:ascii="Arial" w:cs="Arial" w:eastAsia="Arial" w:hAnsi="Arial"/>
                <w:sz w:val="14"/>
                <w:szCs w:val="14"/>
                <w:b w:val="1"/>
                <w:bCs w:val="1"/>
                <w:color w:val="auto"/>
                <w:w w:val="98"/>
              </w:rPr>
              <w:t>Deficit</w:t>
            </w:r>
          </w:p>
        </w:tc>
        <w:tc>
          <w:tcPr>
            <w:tcW w:w="60" w:type="dxa"/>
            <w:vAlign w:val="bottom"/>
          </w:tcPr>
          <w:p>
            <w:pPr>
              <w:spacing w:after="0"/>
              <w:rPr>
                <w:sz w:val="14"/>
                <w:szCs w:val="14"/>
                <w:color w:val="auto"/>
              </w:rPr>
            </w:pPr>
          </w:p>
        </w:tc>
        <w:tc>
          <w:tcPr>
            <w:tcW w:w="1040" w:type="dxa"/>
            <w:vAlign w:val="bottom"/>
            <w:gridSpan w:val="4"/>
          </w:tcPr>
          <w:p>
            <w:pPr>
              <w:ind w:left="60"/>
              <w:spacing w:after="0"/>
              <w:rPr>
                <w:sz w:val="20"/>
                <w:szCs w:val="20"/>
                <w:color w:val="auto"/>
              </w:rPr>
            </w:pPr>
            <w:r>
              <w:rPr>
                <w:rFonts w:ascii="Arial" w:cs="Arial" w:eastAsia="Arial" w:hAnsi="Arial"/>
                <w:sz w:val="14"/>
                <w:szCs w:val="14"/>
                <w:b w:val="1"/>
                <w:bCs w:val="1"/>
                <w:color w:val="auto"/>
              </w:rPr>
              <w:t>(Loss) Income</w:t>
            </w:r>
          </w:p>
        </w:tc>
        <w:tc>
          <w:tcPr>
            <w:tcW w:w="200" w:type="dxa"/>
            <w:vAlign w:val="bottom"/>
          </w:tcPr>
          <w:p>
            <w:pPr>
              <w:spacing w:after="0"/>
              <w:rPr>
                <w:sz w:val="14"/>
                <w:szCs w:val="14"/>
                <w:color w:val="auto"/>
              </w:rPr>
            </w:pPr>
          </w:p>
        </w:tc>
        <w:tc>
          <w:tcPr>
            <w:tcW w:w="84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8"/>
              </w:rPr>
              <w:t>Equity</w:t>
            </w:r>
          </w:p>
        </w:tc>
        <w:tc>
          <w:tcPr>
            <w:tcW w:w="0" w:type="dxa"/>
            <w:vAlign w:val="bottom"/>
          </w:tcPr>
          <w:p>
            <w:pPr>
              <w:spacing w:after="0"/>
              <w:rPr>
                <w:sz w:val="1"/>
                <w:szCs w:val="1"/>
                <w:color w:val="auto"/>
              </w:rPr>
            </w:pPr>
          </w:p>
        </w:tc>
      </w:tr>
      <w:tr>
        <w:trPr>
          <w:trHeight w:val="196"/>
        </w:trPr>
        <w:tc>
          <w:tcPr>
            <w:tcW w:w="33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6"/>
                <w:szCs w:val="16"/>
                <w:b w:val="1"/>
                <w:bCs w:val="1"/>
                <w:color w:val="auto"/>
              </w:rPr>
              <w:t>Balance at December 31, 2020</w:t>
            </w:r>
          </w:p>
        </w:tc>
        <w:tc>
          <w:tcPr>
            <w:tcW w:w="84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6"/>
                <w:szCs w:val="16"/>
                <w:b w:val="1"/>
                <w:bCs w:val="1"/>
                <w:color w:val="auto"/>
                <w:w w:val="92"/>
              </w:rPr>
              <w:t>130,245,990</w:t>
            </w:r>
          </w:p>
        </w:tc>
        <w:tc>
          <w:tcPr>
            <w:tcW w:w="260" w:type="dxa"/>
            <w:vAlign w:val="bottom"/>
            <w:tcBorders>
              <w:top w:val="single" w:sz="8" w:color="CCEEFF"/>
              <w:right w:val="single" w:sz="8" w:color="CCEEFF"/>
            </w:tcBorders>
            <w:shd w:val="clear" w:color="auto" w:fill="CCEEFF"/>
          </w:tcPr>
          <w:p>
            <w:pPr>
              <w:spacing w:after="0"/>
              <w:rPr>
                <w:sz w:val="17"/>
                <w:szCs w:val="17"/>
                <w:color w:val="auto"/>
              </w:rPr>
            </w:pPr>
          </w:p>
        </w:tc>
        <w:tc>
          <w:tcPr>
            <w:tcW w:w="70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6"/>
                <w:szCs w:val="16"/>
                <w:b w:val="1"/>
                <w:bCs w:val="1"/>
                <w:color w:val="auto"/>
                <w:w w:val="84"/>
              </w:rPr>
              <w:t>$1,303,058</w:t>
            </w:r>
          </w:p>
        </w:tc>
        <w:tc>
          <w:tcPr>
            <w:tcW w:w="220" w:type="dxa"/>
            <w:vAlign w:val="bottom"/>
            <w:tcBorders>
              <w:top w:val="single" w:sz="8" w:color="CCEEFF"/>
            </w:tcBorders>
            <w:shd w:val="clear" w:color="auto" w:fill="CCEEFF"/>
          </w:tcPr>
          <w:p>
            <w:pPr>
              <w:spacing w:after="0"/>
              <w:rPr>
                <w:sz w:val="17"/>
                <w:szCs w:val="17"/>
                <w:color w:val="auto"/>
              </w:rPr>
            </w:pPr>
          </w:p>
        </w:tc>
        <w:tc>
          <w:tcPr>
            <w:tcW w:w="58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6"/>
                <w:szCs w:val="16"/>
                <w:b w:val="1"/>
                <w:bCs w:val="1"/>
                <w:color w:val="auto"/>
                <w:w w:val="96"/>
              </w:rPr>
              <w:t>474,920</w:t>
            </w:r>
          </w:p>
        </w:tc>
        <w:tc>
          <w:tcPr>
            <w:tcW w:w="1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520" w:type="dxa"/>
            <w:vAlign w:val="bottom"/>
            <w:tcBorders>
              <w:top w:val="single" w:sz="8" w:color="auto"/>
            </w:tcBorders>
            <w:gridSpan w:val="2"/>
            <w:shd w:val="clear" w:color="auto" w:fill="CCEEFF"/>
          </w:tcPr>
          <w:p>
            <w:pPr>
              <w:spacing w:after="0"/>
              <w:rPr>
                <w:sz w:val="20"/>
                <w:szCs w:val="20"/>
                <w:color w:val="auto"/>
              </w:rPr>
            </w:pPr>
            <w:r>
              <w:rPr>
                <w:rFonts w:ascii="Arial" w:cs="Arial" w:eastAsia="Arial" w:hAnsi="Arial"/>
                <w:sz w:val="16"/>
                <w:szCs w:val="16"/>
                <w:b w:val="1"/>
                <w:bCs w:val="1"/>
                <w:color w:val="auto"/>
                <w:w w:val="93"/>
              </w:rPr>
              <w:t>$ 2,491</w:t>
            </w:r>
          </w:p>
        </w:tc>
        <w:tc>
          <w:tcPr>
            <w:tcW w:w="100" w:type="dxa"/>
            <w:vAlign w:val="bottom"/>
            <w:tcBorders>
              <w:top w:val="single" w:sz="8" w:color="CCEEFF"/>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6"/>
                <w:szCs w:val="16"/>
                <w:b w:val="1"/>
                <w:bCs w:val="1"/>
                <w:color w:val="auto"/>
                <w:w w:val="89"/>
              </w:rPr>
              <w:t>$</w:t>
            </w:r>
          </w:p>
        </w:tc>
        <w:tc>
          <w:tcPr>
            <w:tcW w:w="100" w:type="dxa"/>
            <w:vAlign w:val="bottom"/>
            <w:tcBorders>
              <w:top w:val="single" w:sz="8" w:color="auto"/>
            </w:tcBorders>
            <w:shd w:val="clear" w:color="auto" w:fill="CCEEFF"/>
          </w:tcPr>
          <w:p>
            <w:pPr>
              <w:spacing w:after="0"/>
              <w:rPr>
                <w:sz w:val="17"/>
                <w:szCs w:val="17"/>
                <w:color w:val="auto"/>
              </w:rPr>
            </w:pPr>
          </w:p>
        </w:tc>
        <w:tc>
          <w:tcPr>
            <w:tcW w:w="460" w:type="dxa"/>
            <w:vAlign w:val="bottom"/>
            <w:tcBorders>
              <w:top w:val="single" w:sz="8" w:color="auto"/>
            </w:tcBorders>
            <w:shd w:val="clear" w:color="auto" w:fill="CCEEFF"/>
          </w:tcPr>
          <w:p>
            <w:pPr>
              <w:ind w:left="220"/>
              <w:spacing w:after="0"/>
              <w:rPr>
                <w:sz w:val="20"/>
                <w:szCs w:val="20"/>
                <w:color w:val="auto"/>
              </w:rPr>
            </w:pPr>
            <w:r>
              <w:rPr>
                <w:rFonts w:ascii="Arial" w:cs="Arial" w:eastAsia="Arial" w:hAnsi="Arial"/>
                <w:sz w:val="16"/>
                <w:szCs w:val="16"/>
                <w:b w:val="1"/>
                <w:bCs w:val="1"/>
                <w:color w:val="auto"/>
              </w:rPr>
              <w:t>—</w:t>
            </w:r>
          </w:p>
        </w:tc>
        <w:tc>
          <w:tcPr>
            <w:tcW w:w="1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5"/>
                <w:szCs w:val="15"/>
                <w:b w:val="1"/>
                <w:bCs w:val="1"/>
                <w:color w:val="auto"/>
                <w:w w:val="71"/>
              </w:rPr>
              <w:t>$</w:t>
            </w:r>
          </w:p>
        </w:tc>
        <w:tc>
          <w:tcPr>
            <w:tcW w:w="100" w:type="dxa"/>
            <w:vAlign w:val="bottom"/>
            <w:tcBorders>
              <w:top w:val="single" w:sz="8" w:color="auto"/>
            </w:tcBorders>
            <w:shd w:val="clear" w:color="auto" w:fill="CCEEFF"/>
          </w:tcPr>
          <w:p>
            <w:pPr>
              <w:spacing w:after="0"/>
              <w:rPr>
                <w:sz w:val="17"/>
                <w:szCs w:val="17"/>
                <w:color w:val="auto"/>
              </w:rPr>
            </w:pP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w w:val="90"/>
              </w:rPr>
              <w:t>(109,855)</w:t>
            </w:r>
          </w:p>
        </w:tc>
        <w:tc>
          <w:tcPr>
            <w:tcW w:w="8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gridSpan w:val="2"/>
            <w:shd w:val="clear" w:color="auto" w:fill="CCEEFF"/>
          </w:tcPr>
          <w:p>
            <w:pPr>
              <w:spacing w:after="0"/>
              <w:rPr>
                <w:sz w:val="20"/>
                <w:szCs w:val="20"/>
                <w:color w:val="auto"/>
              </w:rPr>
            </w:pPr>
            <w:r>
              <w:rPr>
                <w:rFonts w:ascii="Arial" w:cs="Arial" w:eastAsia="Arial" w:hAnsi="Arial"/>
                <w:sz w:val="16"/>
                <w:szCs w:val="16"/>
                <w:b w:val="1"/>
                <w:bCs w:val="1"/>
                <w:color w:val="auto"/>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(131)</w:t>
            </w:r>
          </w:p>
        </w:tc>
        <w:tc>
          <w:tcPr>
            <w:tcW w:w="8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w w:val="89"/>
              </w:rPr>
              <w:t>$1,195,563</w:t>
            </w: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380" w:type="dxa"/>
            <w:vAlign w:val="bottom"/>
          </w:tcPr>
          <w:p>
            <w:pPr>
              <w:spacing w:after="0"/>
              <w:rPr>
                <w:sz w:val="20"/>
                <w:szCs w:val="20"/>
                <w:color w:val="auto"/>
              </w:rPr>
            </w:pPr>
            <w:r>
              <w:rPr>
                <w:rFonts w:ascii="Arial" w:cs="Arial" w:eastAsia="Arial" w:hAnsi="Arial"/>
                <w:sz w:val="16"/>
                <w:szCs w:val="16"/>
                <w:color w:val="auto"/>
              </w:rPr>
              <w:t>Net loss</w:t>
            </w:r>
          </w:p>
        </w:tc>
        <w:tc>
          <w:tcPr>
            <w:tcW w:w="240" w:type="dxa"/>
            <w:vAlign w:val="bottom"/>
          </w:tcPr>
          <w:p>
            <w:pPr>
              <w:spacing w:after="0"/>
              <w:rPr>
                <w:sz w:val="17"/>
                <w:szCs w:val="17"/>
                <w:color w:val="auto"/>
              </w:rPr>
            </w:pPr>
          </w:p>
        </w:tc>
        <w:tc>
          <w:tcPr>
            <w:tcW w:w="860" w:type="dxa"/>
            <w:vAlign w:val="bottom"/>
            <w:gridSpan w:val="2"/>
          </w:tcPr>
          <w:p>
            <w:pPr>
              <w:jc w:val="center"/>
              <w:spacing w:after="0"/>
              <w:rPr>
                <w:sz w:val="20"/>
                <w:szCs w:val="20"/>
                <w:color w:val="auto"/>
              </w:rPr>
            </w:pPr>
            <w:r>
              <w:rPr>
                <w:rFonts w:ascii="Arial" w:cs="Arial" w:eastAsia="Arial" w:hAnsi="Arial"/>
                <w:sz w:val="16"/>
                <w:szCs w:val="16"/>
                <w:color w:val="auto"/>
                <w:w w:val="99"/>
              </w:rPr>
              <w:t>—</w:t>
            </w:r>
          </w:p>
        </w:tc>
        <w:tc>
          <w:tcPr>
            <w:tcW w:w="200" w:type="dxa"/>
            <w:vAlign w:val="bottom"/>
          </w:tcPr>
          <w:p>
            <w:pPr>
              <w:spacing w:after="0"/>
              <w:rPr>
                <w:sz w:val="17"/>
                <w:szCs w:val="17"/>
                <w:color w:val="auto"/>
              </w:rPr>
            </w:pPr>
          </w:p>
        </w:tc>
        <w:tc>
          <w:tcPr>
            <w:tcW w:w="720" w:type="dxa"/>
            <w:vAlign w:val="bottom"/>
            <w:gridSpan w:val="2"/>
          </w:tcPr>
          <w:p>
            <w:pPr>
              <w:jc w:val="right"/>
              <w:ind w:right="30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7"/>
                <w:szCs w:val="17"/>
                <w:color w:val="auto"/>
              </w:rPr>
            </w:pPr>
          </w:p>
        </w:tc>
        <w:tc>
          <w:tcPr>
            <w:tcW w:w="580" w:type="dxa"/>
            <w:vAlign w:val="bottom"/>
            <w:gridSpan w:val="3"/>
          </w:tcPr>
          <w:p>
            <w:pPr>
              <w:ind w:left="1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560" w:type="dxa"/>
            <w:vAlign w:val="bottom"/>
            <w:gridSpan w:val="3"/>
          </w:tcPr>
          <w:p>
            <w:pPr>
              <w:ind w:left="160"/>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gridSpan w:val="2"/>
          </w:tcPr>
          <w:p>
            <w:pPr>
              <w:ind w:left="2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gridSpan w:val="2"/>
          </w:tcPr>
          <w:p>
            <w:pPr>
              <w:jc w:val="right"/>
              <w:ind w:right="20"/>
              <w:spacing w:after="0"/>
              <w:rPr>
                <w:sz w:val="20"/>
                <w:szCs w:val="20"/>
                <w:color w:val="auto"/>
              </w:rPr>
            </w:pPr>
            <w:r>
              <w:rPr>
                <w:rFonts w:ascii="Arial" w:cs="Arial" w:eastAsia="Arial" w:hAnsi="Arial"/>
                <w:sz w:val="16"/>
                <w:szCs w:val="16"/>
                <w:color w:val="auto"/>
              </w:rPr>
              <w:t>(25,527)</w:t>
            </w: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20" w:type="dxa"/>
            <w:vAlign w:val="bottom"/>
            <w:gridSpan w:val="2"/>
          </w:tcPr>
          <w:p>
            <w:pPr>
              <w:ind w:left="500"/>
              <w:spacing w:after="0"/>
              <w:rPr>
                <w:sz w:val="20"/>
                <w:szCs w:val="20"/>
                <w:color w:val="auto"/>
              </w:rPr>
            </w:pPr>
            <w:r>
              <w:rPr>
                <w:rFonts w:ascii="Arial" w:cs="Arial" w:eastAsia="Arial" w:hAnsi="Arial"/>
                <w:sz w:val="16"/>
                <w:szCs w:val="16"/>
                <w:color w:val="auto"/>
              </w:rPr>
              <w:t>—</w:t>
            </w:r>
          </w:p>
        </w:tc>
        <w:tc>
          <w:tcPr>
            <w:tcW w:w="1040" w:type="dxa"/>
            <w:vAlign w:val="bottom"/>
            <w:gridSpan w:val="3"/>
          </w:tcPr>
          <w:p>
            <w:pPr>
              <w:jc w:val="right"/>
              <w:ind w:right="40"/>
              <w:spacing w:after="0"/>
              <w:rPr>
                <w:sz w:val="20"/>
                <w:szCs w:val="20"/>
                <w:color w:val="auto"/>
              </w:rPr>
            </w:pPr>
            <w:r>
              <w:rPr>
                <w:rFonts w:ascii="Arial" w:cs="Arial" w:eastAsia="Arial" w:hAnsi="Arial"/>
                <w:sz w:val="16"/>
                <w:szCs w:val="16"/>
                <w:color w:val="auto"/>
              </w:rPr>
              <w:t>(25,527)</w:t>
            </w:r>
          </w:p>
        </w:tc>
        <w:tc>
          <w:tcPr>
            <w:tcW w:w="0" w:type="dxa"/>
            <w:vAlign w:val="bottom"/>
          </w:tcPr>
          <w:p>
            <w:pPr>
              <w:spacing w:after="0"/>
              <w:rPr>
                <w:sz w:val="1"/>
                <w:szCs w:val="1"/>
                <w:color w:val="auto"/>
              </w:rPr>
            </w:pPr>
          </w:p>
        </w:tc>
      </w:tr>
      <w:tr>
        <w:trPr>
          <w:trHeight w:val="193"/>
        </w:trPr>
        <w:tc>
          <w:tcPr>
            <w:tcW w:w="3380" w:type="dxa"/>
            <w:vAlign w:val="bottom"/>
            <w:shd w:val="clear" w:color="auto" w:fill="CCEEFF"/>
          </w:tcPr>
          <w:p>
            <w:pPr>
              <w:spacing w:after="0"/>
              <w:rPr>
                <w:sz w:val="20"/>
                <w:szCs w:val="20"/>
                <w:color w:val="auto"/>
              </w:rPr>
            </w:pPr>
            <w:r>
              <w:rPr>
                <w:rFonts w:ascii="Arial" w:cs="Arial" w:eastAsia="Arial" w:hAnsi="Arial"/>
                <w:sz w:val="16"/>
                <w:szCs w:val="16"/>
                <w:color w:val="auto"/>
              </w:rPr>
              <w:t>Vesting of Class B units / Unit-based</w:t>
            </w:r>
          </w:p>
        </w:tc>
        <w:tc>
          <w:tcPr>
            <w:tcW w:w="24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260" w:type="dxa"/>
            <w:vAlign w:val="bottom"/>
            <w:tcBorders>
              <w:right w:val="single" w:sz="8" w:color="CCEEFF"/>
            </w:tcBorders>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2"/>
        </w:trPr>
        <w:tc>
          <w:tcPr>
            <w:tcW w:w="3380" w:type="dxa"/>
            <w:vAlign w:val="bottom"/>
            <w:shd w:val="clear" w:color="auto" w:fill="CCEEFF"/>
          </w:tcPr>
          <w:p>
            <w:pPr>
              <w:ind w:left="160"/>
              <w:spacing w:after="0"/>
              <w:rPr>
                <w:sz w:val="20"/>
                <w:szCs w:val="20"/>
                <w:color w:val="auto"/>
              </w:rPr>
            </w:pPr>
            <w:r>
              <w:rPr>
                <w:rFonts w:ascii="Arial" w:cs="Arial" w:eastAsia="Arial" w:hAnsi="Arial"/>
                <w:sz w:val="16"/>
                <w:szCs w:val="16"/>
                <w:color w:val="auto"/>
              </w:rPr>
              <w:t>compensation</w:t>
            </w:r>
          </w:p>
        </w:tc>
        <w:tc>
          <w:tcPr>
            <w:tcW w:w="240" w:type="dxa"/>
            <w:vAlign w:val="bottom"/>
            <w:shd w:val="clear" w:color="auto" w:fill="CCEEFF"/>
          </w:tcPr>
          <w:p>
            <w:pPr>
              <w:spacing w:after="0"/>
              <w:rPr>
                <w:sz w:val="18"/>
                <w:szCs w:val="18"/>
                <w:color w:val="auto"/>
              </w:rPr>
            </w:pPr>
          </w:p>
        </w:tc>
        <w:tc>
          <w:tcPr>
            <w:tcW w:w="860" w:type="dxa"/>
            <w:vAlign w:val="bottom"/>
            <w:tcBorders>
              <w:right w:val="single" w:sz="8" w:color="CCEEFF"/>
            </w:tcBorders>
            <w:gridSpan w:val="2"/>
            <w:shd w:val="clear" w:color="auto" w:fill="CCEEFF"/>
          </w:tcPr>
          <w:p>
            <w:pPr>
              <w:jc w:val="center"/>
              <w:spacing w:after="0"/>
              <w:rPr>
                <w:sz w:val="20"/>
                <w:szCs w:val="20"/>
                <w:color w:val="auto"/>
              </w:rPr>
            </w:pPr>
            <w:r>
              <w:rPr>
                <w:rFonts w:ascii="Arial" w:cs="Arial" w:eastAsia="Arial" w:hAnsi="Arial"/>
                <w:sz w:val="16"/>
                <w:szCs w:val="16"/>
                <w:color w:val="auto"/>
                <w:w w:val="99"/>
              </w:rPr>
              <w:t>—</w:t>
            </w:r>
          </w:p>
        </w:tc>
        <w:tc>
          <w:tcPr>
            <w:tcW w:w="920" w:type="dxa"/>
            <w:vAlign w:val="bottom"/>
            <w:gridSpan w:val="3"/>
            <w:shd w:val="clear" w:color="auto" w:fill="CCEEFF"/>
          </w:tcPr>
          <w:p>
            <w:pPr>
              <w:jc w:val="right"/>
              <w:ind w:right="220"/>
              <w:spacing w:after="0"/>
              <w:rPr>
                <w:sz w:val="20"/>
                <w:szCs w:val="20"/>
                <w:color w:val="auto"/>
              </w:rPr>
            </w:pPr>
            <w:r>
              <w:rPr>
                <w:rFonts w:ascii="Arial" w:cs="Arial" w:eastAsia="Arial" w:hAnsi="Arial"/>
                <w:sz w:val="16"/>
                <w:szCs w:val="16"/>
                <w:color w:val="auto"/>
              </w:rPr>
              <w:t>1,056</w:t>
            </w: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18,153</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gridSpan w:val="3"/>
            <w:shd w:val="clear" w:color="auto" w:fill="CCEEFF"/>
          </w:tcPr>
          <w:p>
            <w:pPr>
              <w:ind w:left="280"/>
              <w:spacing w:after="0"/>
              <w:rPr>
                <w:sz w:val="20"/>
                <w:szCs w:val="20"/>
                <w:color w:val="auto"/>
              </w:rPr>
            </w:pPr>
            <w:r>
              <w:rPr>
                <w:rFonts w:ascii="Arial" w:cs="Arial" w:eastAsia="Arial" w:hAnsi="Arial"/>
                <w:sz w:val="16"/>
                <w:szCs w:val="16"/>
                <w:color w:val="auto"/>
              </w:rPr>
              <w:t>965</w:t>
            </w: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ind w:left="22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3"/>
            <w:shd w:val="clear" w:color="auto" w:fill="CCEEFF"/>
          </w:tcPr>
          <w:p>
            <w:pPr>
              <w:jc w:val="right"/>
              <w:ind w:right="300"/>
              <w:spacing w:after="0"/>
              <w:rPr>
                <w:sz w:val="20"/>
                <w:szCs w:val="20"/>
                <w:color w:val="auto"/>
              </w:rPr>
            </w:pPr>
            <w:r>
              <w:rPr>
                <w:rFonts w:ascii="Arial" w:cs="Arial" w:eastAsia="Arial" w:hAnsi="Arial"/>
                <w:sz w:val="16"/>
                <w:szCs w:val="16"/>
                <w:color w:val="auto"/>
              </w:rPr>
              <w:t>—</w:t>
            </w: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ind w:left="500"/>
              <w:spacing w:after="0"/>
              <w:rPr>
                <w:sz w:val="20"/>
                <w:szCs w:val="20"/>
                <w:color w:val="auto"/>
              </w:rPr>
            </w:pPr>
            <w:r>
              <w:rPr>
                <w:rFonts w:ascii="Arial" w:cs="Arial" w:eastAsia="Arial" w:hAnsi="Arial"/>
                <w:sz w:val="16"/>
                <w:szCs w:val="16"/>
                <w:color w:val="auto"/>
              </w:rPr>
              <w:t>—</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2,021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3380" w:type="dxa"/>
            <w:vAlign w:val="bottom"/>
          </w:tcPr>
          <w:p>
            <w:pPr>
              <w:spacing w:after="0"/>
              <w:rPr>
                <w:sz w:val="20"/>
                <w:szCs w:val="20"/>
                <w:color w:val="auto"/>
              </w:rPr>
            </w:pPr>
            <w:r>
              <w:rPr>
                <w:rFonts w:ascii="Arial" w:cs="Arial" w:eastAsia="Arial" w:hAnsi="Arial"/>
                <w:sz w:val="16"/>
                <w:szCs w:val="16"/>
                <w:color w:val="auto"/>
              </w:rPr>
              <w:t>Members’ contributions</w:t>
            </w:r>
          </w:p>
        </w:tc>
        <w:tc>
          <w:tcPr>
            <w:tcW w:w="840" w:type="dxa"/>
            <w:vAlign w:val="bottom"/>
            <w:gridSpan w:val="2"/>
          </w:tcPr>
          <w:p>
            <w:pPr>
              <w:jc w:val="right"/>
              <w:spacing w:after="0"/>
              <w:rPr>
                <w:sz w:val="20"/>
                <w:szCs w:val="20"/>
                <w:color w:val="auto"/>
              </w:rPr>
            </w:pPr>
            <w:r>
              <w:rPr>
                <w:rFonts w:ascii="Arial" w:cs="Arial" w:eastAsia="Arial" w:hAnsi="Arial"/>
                <w:sz w:val="16"/>
                <w:szCs w:val="16"/>
                <w:color w:val="auto"/>
              </w:rPr>
              <w:t>363,516</w:t>
            </w:r>
          </w:p>
        </w:tc>
        <w:tc>
          <w:tcPr>
            <w:tcW w:w="260" w:type="dxa"/>
            <w:vAlign w:val="bottom"/>
          </w:tcPr>
          <w:p>
            <w:pPr>
              <w:spacing w:after="0"/>
              <w:rPr>
                <w:sz w:val="17"/>
                <w:szCs w:val="17"/>
                <w:color w:val="auto"/>
              </w:rPr>
            </w:pPr>
          </w:p>
        </w:tc>
        <w:tc>
          <w:tcPr>
            <w:tcW w:w="920" w:type="dxa"/>
            <w:vAlign w:val="bottom"/>
            <w:gridSpan w:val="3"/>
          </w:tcPr>
          <w:p>
            <w:pPr>
              <w:jc w:val="right"/>
              <w:ind w:right="220"/>
              <w:spacing w:after="0"/>
              <w:rPr>
                <w:sz w:val="20"/>
                <w:szCs w:val="20"/>
                <w:color w:val="auto"/>
              </w:rPr>
            </w:pPr>
            <w:r>
              <w:rPr>
                <w:rFonts w:ascii="Arial" w:cs="Arial" w:eastAsia="Arial" w:hAnsi="Arial"/>
                <w:sz w:val="16"/>
                <w:szCs w:val="16"/>
                <w:color w:val="auto"/>
              </w:rPr>
              <w:t>5,500</w:t>
            </w:r>
          </w:p>
        </w:tc>
        <w:tc>
          <w:tcPr>
            <w:tcW w:w="220" w:type="dxa"/>
            <w:vAlign w:val="bottom"/>
          </w:tcPr>
          <w:p>
            <w:pPr>
              <w:spacing w:after="0"/>
              <w:rPr>
                <w:sz w:val="17"/>
                <w:szCs w:val="17"/>
                <w:color w:val="auto"/>
              </w:rPr>
            </w:pPr>
          </w:p>
        </w:tc>
        <w:tc>
          <w:tcPr>
            <w:tcW w:w="580" w:type="dxa"/>
            <w:vAlign w:val="bottom"/>
            <w:gridSpan w:val="3"/>
          </w:tcPr>
          <w:p>
            <w:pPr>
              <w:ind w:left="1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560" w:type="dxa"/>
            <w:vAlign w:val="bottom"/>
            <w:gridSpan w:val="3"/>
          </w:tcPr>
          <w:p>
            <w:pPr>
              <w:ind w:left="160"/>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gridSpan w:val="2"/>
          </w:tcPr>
          <w:p>
            <w:pPr>
              <w:ind w:left="2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gridSpan w:val="3"/>
          </w:tcPr>
          <w:p>
            <w:pPr>
              <w:jc w:val="right"/>
              <w:ind w:right="300"/>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20" w:type="dxa"/>
            <w:vAlign w:val="bottom"/>
            <w:gridSpan w:val="2"/>
          </w:tcPr>
          <w:p>
            <w:pPr>
              <w:ind w:left="500"/>
              <w:spacing w:after="0"/>
              <w:rPr>
                <w:sz w:val="20"/>
                <w:szCs w:val="20"/>
                <w:color w:val="auto"/>
              </w:rPr>
            </w:pPr>
            <w:r>
              <w:rPr>
                <w:rFonts w:ascii="Arial" w:cs="Arial" w:eastAsia="Arial" w:hAnsi="Arial"/>
                <w:sz w:val="16"/>
                <w:szCs w:val="16"/>
                <w:color w:val="auto"/>
              </w:rPr>
              <w:t>—</w:t>
            </w:r>
          </w:p>
        </w:tc>
        <w:tc>
          <w:tcPr>
            <w:tcW w:w="940" w:type="dxa"/>
            <w:vAlign w:val="bottom"/>
            <w:gridSpan w:val="2"/>
          </w:tcPr>
          <w:p>
            <w:pPr>
              <w:jc w:val="right"/>
              <w:spacing w:after="0"/>
              <w:rPr>
                <w:sz w:val="20"/>
                <w:szCs w:val="20"/>
                <w:color w:val="auto"/>
              </w:rPr>
            </w:pPr>
            <w:r>
              <w:rPr>
                <w:rFonts w:ascii="Arial" w:cs="Arial" w:eastAsia="Arial" w:hAnsi="Arial"/>
                <w:sz w:val="16"/>
                <w:szCs w:val="16"/>
                <w:color w:val="auto"/>
              </w:rPr>
              <w:t>5,500</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380" w:type="dxa"/>
            <w:vAlign w:val="bottom"/>
            <w:shd w:val="clear" w:color="auto" w:fill="CCEEFF"/>
          </w:tcPr>
          <w:p>
            <w:pPr>
              <w:spacing w:after="0"/>
              <w:rPr>
                <w:sz w:val="20"/>
                <w:szCs w:val="20"/>
                <w:color w:val="auto"/>
              </w:rPr>
            </w:pPr>
            <w:r>
              <w:rPr>
                <w:rFonts w:ascii="Arial" w:cs="Arial" w:eastAsia="Arial" w:hAnsi="Arial"/>
                <w:sz w:val="16"/>
                <w:szCs w:val="16"/>
                <w:color w:val="auto"/>
              </w:rPr>
              <w:t>Distribution to members</w:t>
            </w:r>
          </w:p>
        </w:tc>
        <w:tc>
          <w:tcPr>
            <w:tcW w:w="240" w:type="dxa"/>
            <w:vAlign w:val="bottom"/>
            <w:shd w:val="clear" w:color="auto" w:fill="CCEEFF"/>
          </w:tcPr>
          <w:p>
            <w:pPr>
              <w:spacing w:after="0"/>
              <w:rPr>
                <w:sz w:val="17"/>
                <w:szCs w:val="17"/>
                <w:color w:val="auto"/>
              </w:rPr>
            </w:pPr>
          </w:p>
        </w:tc>
        <w:tc>
          <w:tcPr>
            <w:tcW w:w="860" w:type="dxa"/>
            <w:vAlign w:val="bottom"/>
            <w:tcBorders>
              <w:right w:val="single" w:sz="8" w:color="CCEEFF"/>
            </w:tcBorders>
            <w:gridSpan w:val="2"/>
            <w:shd w:val="clear" w:color="auto" w:fill="CCEEFF"/>
          </w:tcPr>
          <w:p>
            <w:pPr>
              <w:jc w:val="center"/>
              <w:spacing w:after="0"/>
              <w:rPr>
                <w:sz w:val="20"/>
                <w:szCs w:val="20"/>
                <w:color w:val="auto"/>
              </w:rPr>
            </w:pPr>
            <w:r>
              <w:rPr>
                <w:rFonts w:ascii="Arial" w:cs="Arial" w:eastAsia="Arial" w:hAnsi="Arial"/>
                <w:sz w:val="16"/>
                <w:szCs w:val="16"/>
                <w:color w:val="auto"/>
                <w:w w:val="99"/>
              </w:rPr>
              <w:t>—</w:t>
            </w:r>
          </w:p>
        </w:tc>
        <w:tc>
          <w:tcPr>
            <w:tcW w:w="200" w:type="dxa"/>
            <w:vAlign w:val="bottom"/>
            <w:shd w:val="clear" w:color="auto" w:fill="CCEEFF"/>
          </w:tcPr>
          <w:p>
            <w:pPr>
              <w:spacing w:after="0"/>
              <w:rPr>
                <w:sz w:val="17"/>
                <w:szCs w:val="17"/>
                <w:color w:val="auto"/>
              </w:rPr>
            </w:pPr>
          </w:p>
        </w:tc>
        <w:tc>
          <w:tcPr>
            <w:tcW w:w="720" w:type="dxa"/>
            <w:vAlign w:val="bottom"/>
            <w:gridSpan w:val="2"/>
            <w:shd w:val="clear" w:color="auto" w:fill="CCEEFF"/>
          </w:tcPr>
          <w:p>
            <w:pPr>
              <w:jc w:val="right"/>
              <w:ind w:right="300"/>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17"/>
                <w:szCs w:val="17"/>
                <w:color w:val="auto"/>
              </w:rPr>
            </w:pPr>
          </w:p>
        </w:tc>
        <w:tc>
          <w:tcPr>
            <w:tcW w:w="580" w:type="dxa"/>
            <w:vAlign w:val="bottom"/>
            <w:gridSpan w:val="3"/>
            <w:shd w:val="clear" w:color="auto" w:fill="CCEEFF"/>
          </w:tcPr>
          <w:p>
            <w:pPr>
              <w:ind w:left="12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7"/>
                <w:szCs w:val="17"/>
                <w:color w:val="auto"/>
              </w:rPr>
            </w:pPr>
          </w:p>
        </w:tc>
        <w:tc>
          <w:tcPr>
            <w:tcW w:w="560" w:type="dxa"/>
            <w:vAlign w:val="bottom"/>
            <w:gridSpan w:val="3"/>
            <w:shd w:val="clear" w:color="auto" w:fill="CCEEFF"/>
          </w:tcPr>
          <w:p>
            <w:pPr>
              <w:ind w:left="160"/>
              <w:spacing w:after="0"/>
              <w:rPr>
                <w:sz w:val="20"/>
                <w:szCs w:val="20"/>
                <w:color w:val="auto"/>
              </w:rPr>
            </w:pPr>
            <w:r>
              <w:rPr>
                <w:rFonts w:ascii="Arial" w:cs="Arial" w:eastAsia="Arial" w:hAnsi="Arial"/>
                <w:sz w:val="16"/>
                <w:szCs w:val="16"/>
                <w:color w:val="auto"/>
              </w:rPr>
              <w:t>—</w:t>
            </w: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60" w:type="dxa"/>
            <w:vAlign w:val="bottom"/>
            <w:gridSpan w:val="2"/>
            <w:shd w:val="clear" w:color="auto" w:fill="CCEEFF"/>
          </w:tcPr>
          <w:p>
            <w:pPr>
              <w:ind w:left="22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(3,328)</w:t>
            </w:r>
          </w:p>
        </w:tc>
        <w:tc>
          <w:tcPr>
            <w:tcW w:w="1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20" w:type="dxa"/>
            <w:vAlign w:val="bottom"/>
            <w:gridSpan w:val="2"/>
            <w:shd w:val="clear" w:color="auto" w:fill="CCEEFF"/>
          </w:tcPr>
          <w:p>
            <w:pPr>
              <w:ind w:left="500"/>
              <w:spacing w:after="0"/>
              <w:rPr>
                <w:sz w:val="20"/>
                <w:szCs w:val="20"/>
                <w:color w:val="auto"/>
              </w:rPr>
            </w:pPr>
            <w:r>
              <w:rPr>
                <w:rFonts w:ascii="Arial" w:cs="Arial" w:eastAsia="Arial" w:hAnsi="Arial"/>
                <w:sz w:val="16"/>
                <w:szCs w:val="16"/>
                <w:color w:val="auto"/>
              </w:rPr>
              <w:t>—</w:t>
            </w:r>
          </w:p>
        </w:tc>
        <w:tc>
          <w:tcPr>
            <w:tcW w:w="1040" w:type="dxa"/>
            <w:vAlign w:val="bottom"/>
            <w:gridSpan w:val="3"/>
            <w:shd w:val="clear" w:color="auto" w:fill="CCEEFF"/>
          </w:tcPr>
          <w:p>
            <w:pPr>
              <w:jc w:val="right"/>
              <w:ind w:right="40"/>
              <w:spacing w:after="0"/>
              <w:rPr>
                <w:sz w:val="20"/>
                <w:szCs w:val="20"/>
                <w:color w:val="auto"/>
              </w:rPr>
            </w:pPr>
            <w:r>
              <w:rPr>
                <w:rFonts w:ascii="Arial" w:cs="Arial" w:eastAsia="Arial" w:hAnsi="Arial"/>
                <w:sz w:val="16"/>
                <w:szCs w:val="16"/>
                <w:color w:val="auto"/>
              </w:rPr>
              <w:t>(3,328)</w:t>
            </w:r>
          </w:p>
        </w:tc>
        <w:tc>
          <w:tcPr>
            <w:tcW w:w="0" w:type="dxa"/>
            <w:vAlign w:val="bottom"/>
          </w:tcPr>
          <w:p>
            <w:pPr>
              <w:spacing w:after="0"/>
              <w:rPr>
                <w:sz w:val="1"/>
                <w:szCs w:val="1"/>
                <w:color w:val="auto"/>
              </w:rPr>
            </w:pPr>
          </w:p>
        </w:tc>
      </w:tr>
      <w:tr>
        <w:trPr>
          <w:trHeight w:val="203"/>
        </w:trPr>
        <w:tc>
          <w:tcPr>
            <w:tcW w:w="3380" w:type="dxa"/>
            <w:vAlign w:val="bottom"/>
          </w:tcPr>
          <w:p>
            <w:pPr>
              <w:spacing w:after="0"/>
              <w:rPr>
                <w:sz w:val="20"/>
                <w:szCs w:val="20"/>
                <w:color w:val="auto"/>
              </w:rPr>
            </w:pPr>
            <w:r>
              <w:rPr>
                <w:rFonts w:ascii="Arial" w:cs="Arial" w:eastAsia="Arial" w:hAnsi="Arial"/>
                <w:sz w:val="16"/>
                <w:szCs w:val="16"/>
                <w:color w:val="auto"/>
              </w:rPr>
              <w:t>Comprehensive income</w:t>
            </w:r>
          </w:p>
        </w:tc>
        <w:tc>
          <w:tcPr>
            <w:tcW w:w="240" w:type="dxa"/>
            <w:vAlign w:val="bottom"/>
          </w:tcPr>
          <w:p>
            <w:pPr>
              <w:spacing w:after="0"/>
              <w:rPr>
                <w:sz w:val="17"/>
                <w:szCs w:val="17"/>
                <w:color w:val="auto"/>
              </w:rPr>
            </w:pPr>
          </w:p>
        </w:tc>
        <w:tc>
          <w:tcPr>
            <w:tcW w:w="600" w:type="dxa"/>
            <w:vAlign w:val="bottom"/>
          </w:tcPr>
          <w:p>
            <w:pPr>
              <w:jc w:val="center"/>
              <w:ind w:left="201"/>
              <w:spacing w:after="0"/>
              <w:rPr>
                <w:sz w:val="20"/>
                <w:szCs w:val="20"/>
                <w:color w:val="auto"/>
              </w:rPr>
            </w:pPr>
            <w:r>
              <w:rPr>
                <w:rFonts w:ascii="Arial" w:cs="Arial" w:eastAsia="Arial" w:hAnsi="Arial"/>
                <w:sz w:val="16"/>
                <w:szCs w:val="16"/>
                <w:color w:val="auto"/>
                <w:w w:val="99"/>
              </w:rPr>
              <w:t>—</w:t>
            </w:r>
          </w:p>
        </w:tc>
        <w:tc>
          <w:tcPr>
            <w:tcW w:w="2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00" w:type="dxa"/>
            <w:vAlign w:val="bottom"/>
          </w:tcPr>
          <w:p>
            <w:pPr>
              <w:jc w:val="right"/>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60" w:type="dxa"/>
            <w:vAlign w:val="bottom"/>
          </w:tcPr>
          <w:p>
            <w:pPr>
              <w:ind w:left="120"/>
              <w:spacing w:after="0"/>
              <w:rPr>
                <w:sz w:val="20"/>
                <w:szCs w:val="20"/>
                <w:color w:val="auto"/>
              </w:rPr>
            </w:pPr>
            <w:r>
              <w:rPr>
                <w:rFonts w:ascii="Arial" w:cs="Arial" w:eastAsia="Arial" w:hAnsi="Arial"/>
                <w:sz w:val="16"/>
                <w:szCs w:val="16"/>
                <w:color w:val="auto"/>
              </w:rPr>
              <w:t>—</w:t>
            </w:r>
          </w:p>
        </w:tc>
        <w:tc>
          <w:tcPr>
            <w:tcW w:w="220" w:type="dxa"/>
            <w:vAlign w:val="bottom"/>
            <w:gridSpan w:val="2"/>
          </w:tcPr>
          <w:p>
            <w:pPr>
              <w:spacing w:after="0"/>
              <w:rPr>
                <w:sz w:val="17"/>
                <w:szCs w:val="17"/>
                <w:color w:val="auto"/>
              </w:rPr>
            </w:pPr>
          </w:p>
        </w:tc>
        <w:tc>
          <w:tcPr>
            <w:tcW w:w="120" w:type="dxa"/>
            <w:vAlign w:val="bottom"/>
          </w:tcPr>
          <w:p>
            <w:pPr>
              <w:spacing w:after="0"/>
              <w:rPr>
                <w:sz w:val="17"/>
                <w:szCs w:val="17"/>
                <w:color w:val="auto"/>
              </w:rPr>
            </w:pPr>
          </w:p>
        </w:tc>
        <w:tc>
          <w:tcPr>
            <w:tcW w:w="400" w:type="dxa"/>
            <w:vAlign w:val="bottom"/>
          </w:tcPr>
          <w:p>
            <w:pPr>
              <w:ind w:left="160"/>
              <w:spacing w:after="0"/>
              <w:rPr>
                <w:sz w:val="20"/>
                <w:szCs w:val="20"/>
                <w:color w:val="auto"/>
              </w:rPr>
            </w:pPr>
            <w:r>
              <w:rPr>
                <w:rFonts w:ascii="Arial" w:cs="Arial" w:eastAsia="Arial" w:hAnsi="Arial"/>
                <w:sz w:val="16"/>
                <w:szCs w:val="16"/>
                <w:color w:val="auto"/>
              </w:rPr>
              <w:t>—</w:t>
            </w:r>
          </w:p>
        </w:tc>
        <w:tc>
          <w:tcPr>
            <w:tcW w:w="160" w:type="dxa"/>
            <w:vAlign w:val="bottom"/>
            <w:gridSpan w:val="2"/>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60" w:type="dxa"/>
            <w:vAlign w:val="bottom"/>
          </w:tcPr>
          <w:p>
            <w:pPr>
              <w:ind w:left="22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w:t>
            </w:r>
          </w:p>
        </w:tc>
        <w:tc>
          <w:tcPr>
            <w:tcW w:w="220" w:type="dxa"/>
            <w:vAlign w:val="bottom"/>
            <w:gridSpan w:val="2"/>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20" w:type="dxa"/>
            <w:vAlign w:val="bottom"/>
            <w:gridSpan w:val="2"/>
          </w:tcPr>
          <w:p>
            <w:pPr>
              <w:ind w:left="500"/>
              <w:spacing w:after="0"/>
              <w:rPr>
                <w:sz w:val="20"/>
                <w:szCs w:val="20"/>
                <w:color w:val="auto"/>
              </w:rPr>
            </w:pPr>
            <w:r>
              <w:rPr>
                <w:rFonts w:ascii="Arial" w:cs="Arial" w:eastAsia="Arial" w:hAnsi="Arial"/>
                <w:sz w:val="16"/>
                <w:szCs w:val="16"/>
                <w:color w:val="auto"/>
              </w:rPr>
              <w:t>144</w:t>
            </w:r>
          </w:p>
        </w:tc>
        <w:tc>
          <w:tcPr>
            <w:tcW w:w="940" w:type="dxa"/>
            <w:vAlign w:val="bottom"/>
            <w:gridSpan w:val="2"/>
          </w:tcPr>
          <w:p>
            <w:pPr>
              <w:jc w:val="right"/>
              <w:spacing w:after="0"/>
              <w:rPr>
                <w:sz w:val="20"/>
                <w:szCs w:val="20"/>
                <w:color w:val="auto"/>
              </w:rPr>
            </w:pPr>
            <w:r>
              <w:rPr>
                <w:rFonts w:ascii="Arial" w:cs="Arial" w:eastAsia="Arial" w:hAnsi="Arial"/>
                <w:sz w:val="16"/>
                <w:szCs w:val="16"/>
                <w:color w:val="auto"/>
              </w:rPr>
              <w:t>144</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7"/>
        </w:trPr>
        <w:tc>
          <w:tcPr>
            <w:tcW w:w="338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60" w:type="dxa"/>
            <w:vAlign w:val="bottom"/>
            <w:tcBorders>
              <w:right w:val="single" w:sz="8" w:color="auto"/>
            </w:tcBorders>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338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Balance at June 30, 2021</w:t>
            </w: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6"/>
                <w:szCs w:val="16"/>
                <w:b w:val="1"/>
                <w:bCs w:val="1"/>
                <w:color w:val="auto"/>
                <w:w w:val="92"/>
              </w:rPr>
              <w:t>130,609,506</w:t>
            </w:r>
          </w:p>
        </w:tc>
        <w:tc>
          <w:tcPr>
            <w:tcW w:w="260" w:type="dxa"/>
            <w:vAlign w:val="bottom"/>
            <w:tcBorders>
              <w:right w:val="single" w:sz="8" w:color="CCEEFF"/>
            </w:tcBorders>
            <w:shd w:val="clear" w:color="auto" w:fill="CCEEFF"/>
          </w:tcPr>
          <w:p>
            <w:pPr>
              <w:spacing w:after="0"/>
              <w:rPr>
                <w:sz w:val="17"/>
                <w:szCs w:val="17"/>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6"/>
                <w:szCs w:val="16"/>
                <w:b w:val="1"/>
                <w:bCs w:val="1"/>
                <w:u w:val="single" w:color="auto"/>
                <w:color w:val="auto"/>
                <w:w w:val="84"/>
              </w:rPr>
              <w:t>$</w:t>
            </w:r>
            <w:r>
              <w:rPr>
                <w:rFonts w:ascii="Arial" w:cs="Arial" w:eastAsia="Arial" w:hAnsi="Arial"/>
                <w:sz w:val="16"/>
                <w:szCs w:val="16"/>
                <w:b w:val="1"/>
                <w:bCs w:val="1"/>
                <w:color w:val="auto"/>
                <w:w w:val="84"/>
              </w:rPr>
              <w:t>1,309,614</w:t>
            </w:r>
          </w:p>
        </w:tc>
        <w:tc>
          <w:tcPr>
            <w:tcW w:w="220" w:type="dxa"/>
            <w:vAlign w:val="bottom"/>
            <w:shd w:val="clear" w:color="auto" w:fill="CCEEFF"/>
          </w:tcPr>
          <w:p>
            <w:pPr>
              <w:spacing w:after="0"/>
              <w:rPr>
                <w:sz w:val="17"/>
                <w:szCs w:val="17"/>
                <w:color w:val="auto"/>
              </w:rPr>
            </w:pP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6"/>
                <w:szCs w:val="16"/>
                <w:b w:val="1"/>
                <w:bCs w:val="1"/>
                <w:color w:val="auto"/>
                <w:w w:val="96"/>
              </w:rPr>
              <w:t>493,073</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20" w:type="dxa"/>
            <w:vAlign w:val="bottom"/>
            <w:gridSpan w:val="2"/>
            <w:shd w:val="clear" w:color="auto" w:fill="CCEEFF"/>
          </w:tcPr>
          <w:p>
            <w:pPr>
              <w:spacing w:after="0"/>
              <w:rPr>
                <w:sz w:val="20"/>
                <w:szCs w:val="20"/>
                <w:color w:val="auto"/>
              </w:rPr>
            </w:pPr>
            <w:r>
              <w:rPr>
                <w:rFonts w:ascii="Arial" w:cs="Arial" w:eastAsia="Arial" w:hAnsi="Arial"/>
                <w:sz w:val="16"/>
                <w:szCs w:val="16"/>
                <w:b w:val="1"/>
                <w:bCs w:val="1"/>
                <w:color w:val="auto"/>
                <w:w w:val="93"/>
              </w:rPr>
              <w:t>$ 3,456</w:t>
            </w:r>
          </w:p>
        </w:tc>
        <w:tc>
          <w:tcPr>
            <w:tcW w:w="1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6"/>
                <w:szCs w:val="16"/>
                <w:b w:val="1"/>
                <w:bCs w:val="1"/>
                <w:color w:val="auto"/>
                <w:w w:val="89"/>
              </w:rPr>
              <w:t>$</w:t>
            </w:r>
          </w:p>
        </w:tc>
        <w:tc>
          <w:tcPr>
            <w:tcW w:w="100" w:type="dxa"/>
            <w:vAlign w:val="bottom"/>
            <w:shd w:val="clear" w:color="auto" w:fill="CCEEFF"/>
          </w:tcPr>
          <w:p>
            <w:pPr>
              <w:spacing w:after="0"/>
              <w:rPr>
                <w:sz w:val="17"/>
                <w:szCs w:val="17"/>
                <w:color w:val="auto"/>
              </w:rPr>
            </w:pPr>
          </w:p>
        </w:tc>
        <w:tc>
          <w:tcPr>
            <w:tcW w:w="460" w:type="dxa"/>
            <w:vAlign w:val="bottom"/>
            <w:shd w:val="clear" w:color="auto" w:fill="CCEEFF"/>
          </w:tcPr>
          <w:p>
            <w:pPr>
              <w:ind w:left="220"/>
              <w:spacing w:after="0"/>
              <w:rPr>
                <w:sz w:val="20"/>
                <w:szCs w:val="20"/>
                <w:color w:val="auto"/>
              </w:rPr>
            </w:pPr>
            <w:r>
              <w:rPr>
                <w:rFonts w:ascii="Arial" w:cs="Arial" w:eastAsia="Arial" w:hAnsi="Arial"/>
                <w:sz w:val="16"/>
                <w:szCs w:val="16"/>
                <w:b w:val="1"/>
                <w:bCs w:val="1"/>
                <w:color w:val="auto"/>
              </w:rPr>
              <w:t>—</w:t>
            </w:r>
          </w:p>
        </w:tc>
        <w:tc>
          <w:tcPr>
            <w:tcW w:w="100" w:type="dxa"/>
            <w:vAlign w:val="bottom"/>
            <w:shd w:val="clear" w:color="auto" w:fill="CCEEFF"/>
          </w:tcPr>
          <w:p>
            <w:pPr>
              <w:spacing w:after="0"/>
              <w:rPr>
                <w:sz w:val="17"/>
                <w:szCs w:val="17"/>
                <w:color w:val="auto"/>
              </w:rPr>
            </w:pPr>
          </w:p>
        </w:tc>
        <w:tc>
          <w:tcPr>
            <w:tcW w:w="220" w:type="dxa"/>
            <w:vAlign w:val="bottom"/>
            <w:gridSpan w:val="2"/>
            <w:shd w:val="clear" w:color="auto" w:fill="CCEEFF"/>
          </w:tcPr>
          <w:p>
            <w:pPr>
              <w:ind w:left="140"/>
              <w:spacing w:after="0"/>
              <w:rPr>
                <w:sz w:val="20"/>
                <w:szCs w:val="20"/>
                <w:color w:val="auto"/>
              </w:rPr>
            </w:pPr>
            <w:r>
              <w:rPr>
                <w:rFonts w:ascii="Arial" w:cs="Arial" w:eastAsia="Arial" w:hAnsi="Arial"/>
                <w:sz w:val="15"/>
                <w:szCs w:val="15"/>
                <w:b w:val="1"/>
                <w:bCs w:val="1"/>
                <w:color w:val="auto"/>
                <w:w w:val="71"/>
              </w:rPr>
              <w:t>$</w:t>
            </w:r>
          </w:p>
        </w:tc>
        <w:tc>
          <w:tcPr>
            <w:tcW w:w="100" w:type="dxa"/>
            <w:vAlign w:val="bottom"/>
            <w:shd w:val="clear" w:color="auto" w:fill="CCEEFF"/>
          </w:tcPr>
          <w:p>
            <w:pPr>
              <w:spacing w:after="0"/>
              <w:rPr>
                <w:sz w:val="17"/>
                <w:szCs w:val="17"/>
                <w:color w:val="auto"/>
              </w:rPr>
            </w:pPr>
          </w:p>
        </w:tc>
        <w:tc>
          <w:tcPr>
            <w:tcW w:w="72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b w:val="1"/>
                <w:bCs w:val="1"/>
                <w:color w:val="auto"/>
                <w:w w:val="99"/>
              </w:rPr>
              <w:t>(138,710)</w:t>
            </w:r>
          </w:p>
        </w:tc>
        <w:tc>
          <w:tcPr>
            <w:tcW w:w="140" w:type="dxa"/>
            <w:vAlign w:val="bottom"/>
            <w:shd w:val="clear" w:color="auto" w:fill="CCEEFF"/>
          </w:tcPr>
          <w:p>
            <w:pPr>
              <w:spacing w:after="0"/>
              <w:rPr>
                <w:sz w:val="17"/>
                <w:szCs w:val="17"/>
                <w:color w:val="auto"/>
              </w:rPr>
            </w:pPr>
          </w:p>
        </w:tc>
        <w:tc>
          <w:tcPr>
            <w:tcW w:w="280" w:type="dxa"/>
            <w:vAlign w:val="bottom"/>
            <w:gridSpan w:val="3"/>
            <w:shd w:val="clear" w:color="auto" w:fill="CCEEFF"/>
          </w:tcPr>
          <w:p>
            <w:pPr>
              <w:ind w:left="60"/>
              <w:spacing w:after="0"/>
              <w:rPr>
                <w:sz w:val="20"/>
                <w:szCs w:val="20"/>
                <w:color w:val="auto"/>
              </w:rPr>
            </w:pPr>
            <w:r>
              <w:rPr>
                <w:rFonts w:ascii="Arial" w:cs="Arial" w:eastAsia="Arial" w:hAnsi="Arial"/>
                <w:sz w:val="16"/>
                <w:szCs w:val="16"/>
                <w:b w:val="1"/>
                <w:bCs w:val="1"/>
                <w:color w:val="auto"/>
              </w:rPr>
              <w:t>$</w:t>
            </w:r>
          </w:p>
        </w:tc>
        <w:tc>
          <w:tcPr>
            <w:tcW w:w="82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b w:val="1"/>
                <w:bCs w:val="1"/>
                <w:color w:val="auto"/>
              </w:rPr>
              <w:t>13</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6"/>
                <w:szCs w:val="16"/>
                <w:b w:val="1"/>
                <w:bCs w:val="1"/>
                <w:u w:val="single" w:color="auto"/>
                <w:color w:val="auto"/>
              </w:rPr>
              <w:t>$</w:t>
            </w:r>
            <w:r>
              <w:rPr>
                <w:rFonts w:ascii="Arial" w:cs="Arial" w:eastAsia="Arial" w:hAnsi="Arial"/>
                <w:sz w:val="16"/>
                <w:szCs w:val="16"/>
                <w:b w:val="1"/>
                <w:bCs w:val="1"/>
                <w:color w:val="auto"/>
              </w:rPr>
              <w:t>1,174,373</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33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63"/>
        </w:trPr>
        <w:tc>
          <w:tcPr>
            <w:tcW w:w="33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gridSpan w:val="3"/>
            <w:vMerge w:val="restart"/>
          </w:tcPr>
          <w:p>
            <w:pPr>
              <w:spacing w:after="0"/>
              <w:rPr>
                <w:sz w:val="20"/>
                <w:szCs w:val="20"/>
                <w:color w:val="auto"/>
              </w:rPr>
            </w:pPr>
            <w:r>
              <w:rPr>
                <w:rFonts w:ascii="Arial" w:cs="Arial" w:eastAsia="Arial" w:hAnsi="Arial"/>
                <w:sz w:val="14"/>
                <w:szCs w:val="14"/>
                <w:b w:val="1"/>
                <w:bCs w:val="1"/>
                <w:color w:val="auto"/>
                <w:w w:val="93"/>
              </w:rPr>
              <w:t>Additional</w:t>
            </w: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60" w:type="dxa"/>
            <w:vAlign w:val="bottom"/>
            <w:gridSpan w:val="3"/>
          </w:tcPr>
          <w:p>
            <w:pPr>
              <w:jc w:val="center"/>
              <w:ind w:right="20"/>
              <w:spacing w:after="0"/>
              <w:rPr>
                <w:sz w:val="20"/>
                <w:szCs w:val="20"/>
                <w:color w:val="auto"/>
              </w:rPr>
            </w:pPr>
            <w:r>
              <w:rPr>
                <w:rFonts w:ascii="Arial" w:cs="Arial" w:eastAsia="Arial" w:hAnsi="Arial"/>
                <w:sz w:val="14"/>
                <w:szCs w:val="14"/>
                <w:b w:val="1"/>
                <w:bCs w:val="1"/>
                <w:color w:val="auto"/>
                <w:w w:val="93"/>
              </w:rPr>
              <w:t>Accumulated</w:t>
            </w: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8"/>
        </w:trPr>
        <w:tc>
          <w:tcPr>
            <w:tcW w:w="33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60" w:type="dxa"/>
            <w:vAlign w:val="bottom"/>
            <w:gridSpan w:val="2"/>
            <w:vMerge w:val="restart"/>
          </w:tcPr>
          <w:p>
            <w:pPr>
              <w:jc w:val="center"/>
              <w:ind w:right="40"/>
              <w:spacing w:after="0"/>
              <w:rPr>
                <w:sz w:val="20"/>
                <w:szCs w:val="20"/>
                <w:color w:val="auto"/>
              </w:rPr>
            </w:pPr>
            <w:r>
              <w:rPr>
                <w:rFonts w:ascii="Arial" w:cs="Arial" w:eastAsia="Arial" w:hAnsi="Arial"/>
                <w:sz w:val="14"/>
                <w:szCs w:val="14"/>
                <w:b w:val="1"/>
                <w:bCs w:val="1"/>
                <w:color w:val="auto"/>
                <w:w w:val="89"/>
              </w:rPr>
              <w:t>Class A</w:t>
            </w:r>
          </w:p>
        </w:tc>
        <w:tc>
          <w:tcPr>
            <w:tcW w:w="2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8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rPr>
              <w:t>Class B</w:t>
            </w:r>
          </w:p>
        </w:tc>
        <w:tc>
          <w:tcPr>
            <w:tcW w:w="1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gridSpan w:val="3"/>
            <w:vMerge w:val="continue"/>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60" w:type="dxa"/>
            <w:vAlign w:val="bottom"/>
            <w:gridSpan w:val="4"/>
            <w:vMerge w:val="restart"/>
          </w:tcPr>
          <w:p>
            <w:pPr>
              <w:spacing w:after="0"/>
              <w:rPr>
                <w:sz w:val="20"/>
                <w:szCs w:val="20"/>
                <w:color w:val="auto"/>
              </w:rPr>
            </w:pPr>
            <w:r>
              <w:rPr>
                <w:rFonts w:ascii="Arial" w:cs="Arial" w:eastAsia="Arial" w:hAnsi="Arial"/>
                <w:sz w:val="14"/>
                <w:szCs w:val="14"/>
                <w:b w:val="1"/>
                <w:bCs w:val="1"/>
                <w:color w:val="auto"/>
              </w:rPr>
              <w:t>Accumulated</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2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rPr>
              <w:t>Other</w:t>
            </w:r>
          </w:p>
        </w:tc>
        <w:tc>
          <w:tcPr>
            <w:tcW w:w="200" w:type="dxa"/>
            <w:vAlign w:val="bottom"/>
          </w:tcPr>
          <w:p>
            <w:pPr>
              <w:spacing w:after="0"/>
              <w:rPr>
                <w:sz w:val="12"/>
                <w:szCs w:val="12"/>
                <w:color w:val="auto"/>
              </w:rPr>
            </w:pPr>
          </w:p>
        </w:tc>
        <w:tc>
          <w:tcPr>
            <w:tcW w:w="840" w:type="dxa"/>
            <w:vAlign w:val="bottom"/>
            <w:gridSpan w:val="2"/>
            <w:vMerge w:val="restart"/>
          </w:tcPr>
          <w:p>
            <w:pPr>
              <w:jc w:val="center"/>
              <w:ind w:right="80"/>
              <w:spacing w:after="0"/>
              <w:rPr>
                <w:sz w:val="20"/>
                <w:szCs w:val="20"/>
                <w:color w:val="auto"/>
              </w:rPr>
            </w:pPr>
            <w:r>
              <w:rPr>
                <w:rFonts w:ascii="Arial" w:cs="Arial" w:eastAsia="Arial" w:hAnsi="Arial"/>
                <w:sz w:val="14"/>
                <w:szCs w:val="14"/>
                <w:b w:val="1"/>
                <w:bCs w:val="1"/>
                <w:color w:val="auto"/>
                <w:w w:val="95"/>
              </w:rPr>
              <w:t>Total</w:t>
            </w:r>
          </w:p>
        </w:tc>
        <w:tc>
          <w:tcPr>
            <w:tcW w:w="0" w:type="dxa"/>
            <w:vAlign w:val="bottom"/>
          </w:tcPr>
          <w:p>
            <w:pPr>
              <w:spacing w:after="0"/>
              <w:rPr>
                <w:sz w:val="1"/>
                <w:szCs w:val="1"/>
                <w:color w:val="auto"/>
              </w:rPr>
            </w:pPr>
          </w:p>
        </w:tc>
      </w:tr>
      <w:tr>
        <w:trPr>
          <w:trHeight w:val="148"/>
        </w:trPr>
        <w:tc>
          <w:tcPr>
            <w:tcW w:w="33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60" w:type="dxa"/>
            <w:vAlign w:val="bottom"/>
            <w:gridSpan w:val="2"/>
            <w:vMerge w:val="continue"/>
          </w:tcPr>
          <w:p>
            <w:pPr>
              <w:spacing w:after="0"/>
              <w:rPr>
                <w:sz w:val="12"/>
                <w:szCs w:val="12"/>
                <w:color w:val="auto"/>
              </w:rPr>
            </w:pPr>
          </w:p>
        </w:tc>
        <w:tc>
          <w:tcPr>
            <w:tcW w:w="200" w:type="dxa"/>
            <w:vAlign w:val="bottom"/>
          </w:tcPr>
          <w:p>
            <w:pPr>
              <w:spacing w:after="0"/>
              <w:rPr>
                <w:sz w:val="12"/>
                <w:szCs w:val="12"/>
                <w:color w:val="auto"/>
              </w:rPr>
            </w:pPr>
          </w:p>
        </w:tc>
        <w:tc>
          <w:tcPr>
            <w:tcW w:w="720" w:type="dxa"/>
            <w:vAlign w:val="bottom"/>
            <w:gridSpan w:val="2"/>
            <w:vMerge w:val="restart"/>
          </w:tcPr>
          <w:p>
            <w:pPr>
              <w:jc w:val="right"/>
              <w:ind w:right="100"/>
              <w:spacing w:after="0"/>
              <w:rPr>
                <w:sz w:val="20"/>
                <w:szCs w:val="20"/>
                <w:color w:val="auto"/>
              </w:rPr>
            </w:pPr>
            <w:r>
              <w:rPr>
                <w:rFonts w:ascii="Arial" w:cs="Arial" w:eastAsia="Arial" w:hAnsi="Arial"/>
                <w:sz w:val="14"/>
                <w:szCs w:val="14"/>
                <w:b w:val="1"/>
                <w:bCs w:val="1"/>
                <w:color w:val="auto"/>
              </w:rPr>
              <w:t>Amount</w:t>
            </w:r>
          </w:p>
        </w:tc>
        <w:tc>
          <w:tcPr>
            <w:tcW w:w="220" w:type="dxa"/>
            <w:vAlign w:val="bottom"/>
          </w:tcPr>
          <w:p>
            <w:pPr>
              <w:spacing w:after="0"/>
              <w:rPr>
                <w:sz w:val="12"/>
                <w:szCs w:val="12"/>
                <w:color w:val="auto"/>
              </w:rPr>
            </w:pPr>
          </w:p>
        </w:tc>
        <w:tc>
          <w:tcPr>
            <w:tcW w:w="580" w:type="dxa"/>
            <w:vAlign w:val="bottom"/>
            <w:gridSpan w:val="3"/>
            <w:vMerge w:val="continue"/>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Amount</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gridSpan w:val="2"/>
          </w:tcPr>
          <w:p>
            <w:pPr>
              <w:spacing w:after="0" w:line="149" w:lineRule="exact"/>
              <w:rPr>
                <w:sz w:val="20"/>
                <w:szCs w:val="20"/>
                <w:color w:val="auto"/>
              </w:rPr>
            </w:pPr>
            <w:r>
              <w:rPr>
                <w:rFonts w:ascii="Arial" w:cs="Arial" w:eastAsia="Arial" w:hAnsi="Arial"/>
                <w:sz w:val="14"/>
                <w:szCs w:val="14"/>
                <w:b w:val="1"/>
                <w:bCs w:val="1"/>
                <w:color w:val="auto"/>
              </w:rPr>
              <w:t>Paid-In</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60" w:type="dxa"/>
            <w:vAlign w:val="bottom"/>
            <w:gridSpan w:val="4"/>
            <w:vMerge w:val="continue"/>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6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w w:val="89"/>
              </w:rPr>
              <w:t>Comprehensive</w:t>
            </w:r>
          </w:p>
        </w:tc>
        <w:tc>
          <w:tcPr>
            <w:tcW w:w="200" w:type="dxa"/>
            <w:vAlign w:val="bottom"/>
          </w:tcPr>
          <w:p>
            <w:pPr>
              <w:spacing w:after="0"/>
              <w:rPr>
                <w:sz w:val="12"/>
                <w:szCs w:val="12"/>
                <w:color w:val="auto"/>
              </w:rPr>
            </w:pPr>
          </w:p>
        </w:tc>
        <w:tc>
          <w:tcPr>
            <w:tcW w:w="84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33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60" w:type="dxa"/>
            <w:vAlign w:val="bottom"/>
            <w:gridSpan w:val="2"/>
          </w:tcPr>
          <w:p>
            <w:pPr>
              <w:jc w:val="center"/>
              <w:ind w:right="20"/>
              <w:spacing w:after="0"/>
              <w:rPr>
                <w:sz w:val="20"/>
                <w:szCs w:val="20"/>
                <w:color w:val="auto"/>
              </w:rPr>
            </w:pPr>
            <w:r>
              <w:rPr>
                <w:rFonts w:ascii="Arial" w:cs="Arial" w:eastAsia="Arial" w:hAnsi="Arial"/>
                <w:sz w:val="14"/>
                <w:szCs w:val="14"/>
                <w:b w:val="1"/>
                <w:bCs w:val="1"/>
                <w:color w:val="auto"/>
                <w:w w:val="91"/>
              </w:rPr>
              <w:t>Units</w:t>
            </w:r>
          </w:p>
        </w:tc>
        <w:tc>
          <w:tcPr>
            <w:tcW w:w="200" w:type="dxa"/>
            <w:vAlign w:val="bottom"/>
          </w:tcPr>
          <w:p>
            <w:pPr>
              <w:spacing w:after="0"/>
              <w:rPr>
                <w:sz w:val="14"/>
                <w:szCs w:val="14"/>
                <w:color w:val="auto"/>
              </w:rPr>
            </w:pPr>
          </w:p>
        </w:tc>
        <w:tc>
          <w:tcPr>
            <w:tcW w:w="720" w:type="dxa"/>
            <w:vAlign w:val="bottom"/>
            <w:gridSpan w:val="2"/>
            <w:vMerge w:val="continue"/>
          </w:tcPr>
          <w:p>
            <w:pPr>
              <w:spacing w:after="0"/>
              <w:rPr>
                <w:sz w:val="14"/>
                <w:szCs w:val="14"/>
                <w:color w:val="auto"/>
              </w:rPr>
            </w:pPr>
          </w:p>
        </w:tc>
        <w:tc>
          <w:tcPr>
            <w:tcW w:w="220" w:type="dxa"/>
            <w:vAlign w:val="bottom"/>
          </w:tcPr>
          <w:p>
            <w:pPr>
              <w:spacing w:after="0"/>
              <w:rPr>
                <w:sz w:val="14"/>
                <w:szCs w:val="14"/>
                <w:color w:val="auto"/>
              </w:rPr>
            </w:pPr>
          </w:p>
        </w:tc>
        <w:tc>
          <w:tcPr>
            <w:tcW w:w="580" w:type="dxa"/>
            <w:vAlign w:val="bottom"/>
            <w:gridSpan w:val="3"/>
          </w:tcPr>
          <w:p>
            <w:pPr>
              <w:ind w:left="80"/>
              <w:spacing w:after="0"/>
              <w:rPr>
                <w:sz w:val="20"/>
                <w:szCs w:val="20"/>
                <w:color w:val="auto"/>
              </w:rPr>
            </w:pPr>
            <w:r>
              <w:rPr>
                <w:rFonts w:ascii="Arial" w:cs="Arial" w:eastAsia="Arial" w:hAnsi="Arial"/>
                <w:sz w:val="14"/>
                <w:szCs w:val="14"/>
                <w:b w:val="1"/>
                <w:bCs w:val="1"/>
                <w:color w:val="auto"/>
              </w:rPr>
              <w:t>Units</w:t>
            </w:r>
          </w:p>
        </w:tc>
        <w:tc>
          <w:tcPr>
            <w:tcW w:w="120" w:type="dxa"/>
            <w:vAlign w:val="bottom"/>
          </w:tcPr>
          <w:p>
            <w:pPr>
              <w:spacing w:after="0"/>
              <w:rPr>
                <w:sz w:val="14"/>
                <w:szCs w:val="14"/>
                <w:color w:val="auto"/>
              </w:rPr>
            </w:pPr>
          </w:p>
        </w:tc>
        <w:tc>
          <w:tcPr>
            <w:tcW w:w="560" w:type="dxa"/>
            <w:vAlign w:val="bottom"/>
            <w:gridSpan w:val="3"/>
            <w:vMerge w:val="continue"/>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gridSpan w:val="2"/>
          </w:tcPr>
          <w:p>
            <w:pPr>
              <w:spacing w:after="0"/>
              <w:rPr>
                <w:sz w:val="20"/>
                <w:szCs w:val="20"/>
                <w:color w:val="auto"/>
              </w:rPr>
            </w:pPr>
            <w:r>
              <w:rPr>
                <w:rFonts w:ascii="Arial" w:cs="Arial" w:eastAsia="Arial" w:hAnsi="Arial"/>
                <w:sz w:val="14"/>
                <w:szCs w:val="14"/>
                <w:b w:val="1"/>
                <w:bCs w:val="1"/>
                <w:color w:val="auto"/>
              </w:rPr>
              <w:t>Capital</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gridSpan w:val="3"/>
          </w:tcPr>
          <w:p>
            <w:pPr>
              <w:jc w:val="right"/>
              <w:ind w:right="340"/>
              <w:spacing w:after="0"/>
              <w:rPr>
                <w:sz w:val="20"/>
                <w:szCs w:val="20"/>
                <w:color w:val="auto"/>
              </w:rPr>
            </w:pPr>
            <w:r>
              <w:rPr>
                <w:rFonts w:ascii="Arial" w:cs="Arial" w:eastAsia="Arial" w:hAnsi="Arial"/>
                <w:sz w:val="14"/>
                <w:szCs w:val="14"/>
                <w:b w:val="1"/>
                <w:bCs w:val="1"/>
                <w:color w:val="auto"/>
              </w:rPr>
              <w:t>Deficit</w:t>
            </w: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60" w:type="dxa"/>
            <w:vAlign w:val="bottom"/>
            <w:gridSpan w:val="3"/>
          </w:tcPr>
          <w:p>
            <w:pPr>
              <w:jc w:val="center"/>
              <w:ind w:right="20"/>
              <w:spacing w:after="0"/>
              <w:rPr>
                <w:sz w:val="20"/>
                <w:szCs w:val="20"/>
                <w:color w:val="auto"/>
              </w:rPr>
            </w:pPr>
            <w:r>
              <w:rPr>
                <w:rFonts w:ascii="Arial" w:cs="Arial" w:eastAsia="Arial" w:hAnsi="Arial"/>
                <w:sz w:val="14"/>
                <w:szCs w:val="14"/>
                <w:b w:val="1"/>
                <w:bCs w:val="1"/>
                <w:color w:val="auto"/>
                <w:w w:val="90"/>
              </w:rPr>
              <w:t>(Loss) Income</w:t>
            </w:r>
          </w:p>
        </w:tc>
        <w:tc>
          <w:tcPr>
            <w:tcW w:w="200" w:type="dxa"/>
            <w:vAlign w:val="bottom"/>
          </w:tcPr>
          <w:p>
            <w:pPr>
              <w:spacing w:after="0"/>
              <w:rPr>
                <w:sz w:val="14"/>
                <w:szCs w:val="14"/>
                <w:color w:val="auto"/>
              </w:rPr>
            </w:pPr>
          </w:p>
        </w:tc>
        <w:tc>
          <w:tcPr>
            <w:tcW w:w="84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8"/>
              </w:rPr>
              <w:t>Equity</w:t>
            </w:r>
          </w:p>
        </w:tc>
        <w:tc>
          <w:tcPr>
            <w:tcW w:w="0" w:type="dxa"/>
            <w:vAlign w:val="bottom"/>
          </w:tcPr>
          <w:p>
            <w:pPr>
              <w:spacing w:after="0"/>
              <w:rPr>
                <w:sz w:val="1"/>
                <w:szCs w:val="1"/>
                <w:color w:val="auto"/>
              </w:rPr>
            </w:pPr>
          </w:p>
        </w:tc>
      </w:tr>
      <w:tr>
        <w:trPr>
          <w:trHeight w:val="196"/>
        </w:trPr>
        <w:tc>
          <w:tcPr>
            <w:tcW w:w="33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6"/>
                <w:szCs w:val="16"/>
                <w:b w:val="1"/>
                <w:bCs w:val="1"/>
                <w:color w:val="auto"/>
              </w:rPr>
              <w:t>Balance at December 31, 2019</w:t>
            </w:r>
          </w:p>
        </w:tc>
        <w:tc>
          <w:tcPr>
            <w:tcW w:w="240" w:type="dxa"/>
            <w:vAlign w:val="bottom"/>
            <w:tcBorders>
              <w:top w:val="single" w:sz="8" w:color="CCEEFF"/>
            </w:tcBorders>
            <w:shd w:val="clear" w:color="auto" w:fill="CCEEFF"/>
          </w:tcPr>
          <w:p>
            <w:pPr>
              <w:spacing w:after="0"/>
              <w:rPr>
                <w:sz w:val="17"/>
                <w:szCs w:val="17"/>
                <w:color w:val="auto"/>
              </w:rPr>
            </w:pPr>
          </w:p>
        </w:tc>
        <w:tc>
          <w:tcPr>
            <w:tcW w:w="860" w:type="dxa"/>
            <w:vAlign w:val="bottom"/>
            <w:tcBorders>
              <w:top w:val="single" w:sz="8" w:color="auto"/>
              <w:right w:val="single" w:sz="8" w:color="CCEEFF"/>
            </w:tcBorders>
            <w:gridSpan w:val="2"/>
            <w:shd w:val="clear" w:color="auto" w:fill="CCEEFF"/>
          </w:tcPr>
          <w:p>
            <w:pPr>
              <w:jc w:val="center"/>
              <w:spacing w:after="0"/>
              <w:rPr>
                <w:sz w:val="20"/>
                <w:szCs w:val="20"/>
                <w:color w:val="auto"/>
              </w:rPr>
            </w:pPr>
            <w:r>
              <w:rPr>
                <w:rFonts w:ascii="Arial" w:cs="Arial" w:eastAsia="Arial" w:hAnsi="Arial"/>
                <w:sz w:val="16"/>
                <w:szCs w:val="16"/>
                <w:b w:val="1"/>
                <w:bCs w:val="1"/>
                <w:color w:val="auto"/>
                <w:w w:val="89"/>
              </w:rPr>
              <w:t>127,125,435</w:t>
            </w:r>
          </w:p>
        </w:tc>
        <w:tc>
          <w:tcPr>
            <w:tcW w:w="200" w:type="dxa"/>
            <w:vAlign w:val="bottom"/>
            <w:tcBorders>
              <w:top w:val="single" w:sz="8" w:color="CCEEFF"/>
            </w:tcBorders>
            <w:shd w:val="clear" w:color="auto" w:fill="CCEEFF"/>
          </w:tcPr>
          <w:p>
            <w:pPr>
              <w:spacing w:after="0"/>
              <w:rPr>
                <w:sz w:val="17"/>
                <w:szCs w:val="17"/>
                <w:color w:val="auto"/>
              </w:rPr>
            </w:pPr>
          </w:p>
        </w:tc>
        <w:tc>
          <w:tcPr>
            <w:tcW w:w="72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6"/>
                <w:szCs w:val="16"/>
                <w:b w:val="1"/>
                <w:bCs w:val="1"/>
                <w:color w:val="auto"/>
                <w:w w:val="87"/>
              </w:rPr>
              <w:t>$1,271,254</w:t>
            </w:r>
          </w:p>
        </w:tc>
        <w:tc>
          <w:tcPr>
            <w:tcW w:w="220" w:type="dxa"/>
            <w:vAlign w:val="bottom"/>
            <w:tcBorders>
              <w:top w:val="single" w:sz="8" w:color="CCEEFF"/>
            </w:tcBorders>
            <w:shd w:val="clear" w:color="auto" w:fill="CCEEFF"/>
          </w:tcPr>
          <w:p>
            <w:pPr>
              <w:spacing w:after="0"/>
              <w:rPr>
                <w:sz w:val="17"/>
                <w:szCs w:val="17"/>
                <w:color w:val="auto"/>
              </w:rPr>
            </w:pPr>
          </w:p>
        </w:tc>
        <w:tc>
          <w:tcPr>
            <w:tcW w:w="480" w:type="dxa"/>
            <w:vAlign w:val="bottom"/>
            <w:tcBorders>
              <w:top w:val="single" w:sz="8" w:color="auto"/>
            </w:tcBorders>
            <w:gridSpan w:val="2"/>
            <w:shd w:val="clear" w:color="auto" w:fill="CCEEFF"/>
          </w:tcPr>
          <w:p>
            <w:pPr>
              <w:ind w:left="240"/>
              <w:spacing w:after="0"/>
              <w:rPr>
                <w:sz w:val="20"/>
                <w:szCs w:val="20"/>
                <w:color w:val="auto"/>
              </w:rPr>
            </w:pPr>
            <w:r>
              <w:rPr>
                <w:rFonts w:ascii="Arial" w:cs="Arial" w:eastAsia="Arial" w:hAnsi="Arial"/>
                <w:sz w:val="16"/>
                <w:szCs w:val="16"/>
                <w:b w:val="1"/>
                <w:bCs w:val="1"/>
                <w:color w:val="auto"/>
              </w:rPr>
              <w:t>—</w:t>
            </w:r>
          </w:p>
        </w:tc>
        <w:tc>
          <w:tcPr>
            <w:tcW w:w="1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500" w:type="dxa"/>
            <w:vAlign w:val="bottom"/>
            <w:tcBorders>
              <w:top w:val="single" w:sz="8" w:color="auto"/>
            </w:tcBorders>
            <w:gridSpan w:val="2"/>
            <w:shd w:val="clear" w:color="auto" w:fill="CCEEFF"/>
          </w:tcPr>
          <w:p>
            <w:pPr>
              <w:spacing w:after="0"/>
              <w:rPr>
                <w:sz w:val="20"/>
                <w:szCs w:val="20"/>
                <w:color w:val="auto"/>
              </w:rPr>
            </w:pPr>
            <w:r>
              <w:rPr>
                <w:rFonts w:ascii="Arial" w:cs="Arial" w:eastAsia="Arial" w:hAnsi="Arial"/>
                <w:sz w:val="16"/>
                <w:szCs w:val="16"/>
                <w:b w:val="1"/>
                <w:bCs w:val="1"/>
                <w:color w:val="auto"/>
              </w:rPr>
              <w:t>$  744</w:t>
            </w:r>
          </w:p>
        </w:tc>
        <w:tc>
          <w:tcPr>
            <w:tcW w:w="6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CCEEFF"/>
            </w:tcBorders>
            <w:gridSpan w:val="2"/>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6"/>
                <w:szCs w:val="16"/>
                <w:b w:val="1"/>
                <w:bCs w:val="1"/>
                <w:color w:val="auto"/>
                <w:w w:val="89"/>
              </w:rPr>
              <w:t>$</w:t>
            </w:r>
          </w:p>
        </w:tc>
        <w:tc>
          <w:tcPr>
            <w:tcW w:w="560" w:type="dxa"/>
            <w:vAlign w:val="bottom"/>
            <w:tcBorders>
              <w:top w:val="single" w:sz="8" w:color="auto"/>
            </w:tcBorders>
            <w:gridSpan w:val="2"/>
            <w:shd w:val="clear" w:color="auto" w:fill="CCEEFF"/>
          </w:tcPr>
          <w:p>
            <w:pPr>
              <w:ind w:left="320"/>
              <w:spacing w:after="0"/>
              <w:rPr>
                <w:sz w:val="20"/>
                <w:szCs w:val="20"/>
                <w:color w:val="auto"/>
              </w:rPr>
            </w:pPr>
            <w:r>
              <w:rPr>
                <w:rFonts w:ascii="Arial" w:cs="Arial" w:eastAsia="Arial" w:hAnsi="Arial"/>
                <w:sz w:val="16"/>
                <w:szCs w:val="16"/>
                <w:b w:val="1"/>
                <w:bCs w:val="1"/>
                <w:color w:val="auto"/>
              </w:rPr>
              <w:t>—</w:t>
            </w:r>
          </w:p>
        </w:tc>
        <w:tc>
          <w:tcPr>
            <w:tcW w:w="14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72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6"/>
                <w:szCs w:val="16"/>
                <w:b w:val="1"/>
                <w:bCs w:val="1"/>
                <w:color w:val="auto"/>
              </w:rPr>
              <w:t>(55,758)</w:t>
            </w:r>
          </w:p>
        </w:tc>
        <w:tc>
          <w:tcPr>
            <w:tcW w:w="14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CCEEFF"/>
            </w:tcBorders>
            <w:gridSpan w:val="2"/>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6"/>
                <w:szCs w:val="16"/>
                <w:b w:val="1"/>
                <w:bCs w:val="1"/>
                <w:color w:val="auto"/>
              </w:rPr>
              <w:t>$</w:t>
            </w:r>
          </w:p>
        </w:tc>
        <w:tc>
          <w:tcPr>
            <w:tcW w:w="820" w:type="dxa"/>
            <w:vAlign w:val="bottom"/>
            <w:tcBorders>
              <w:top w:val="single" w:sz="8" w:color="auto"/>
            </w:tcBorders>
            <w:gridSpan w:val="2"/>
            <w:shd w:val="clear" w:color="auto" w:fill="CCEEFF"/>
          </w:tcPr>
          <w:p>
            <w:pPr>
              <w:ind w:left="560"/>
              <w:spacing w:after="0"/>
              <w:rPr>
                <w:sz w:val="20"/>
                <w:szCs w:val="20"/>
                <w:color w:val="auto"/>
              </w:rPr>
            </w:pPr>
            <w:r>
              <w:rPr>
                <w:rFonts w:ascii="Arial" w:cs="Arial" w:eastAsia="Arial" w:hAnsi="Arial"/>
                <w:sz w:val="16"/>
                <w:szCs w:val="16"/>
                <w:b w:val="1"/>
                <w:bCs w:val="1"/>
                <w:color w:val="auto"/>
              </w:rPr>
              <w:t>—</w:t>
            </w:r>
          </w:p>
        </w:tc>
        <w:tc>
          <w:tcPr>
            <w:tcW w:w="200" w:type="dxa"/>
            <w:vAlign w:val="bottom"/>
            <w:tcBorders>
              <w:top w:val="single" w:sz="8" w:color="CCEEFF"/>
            </w:tcBorders>
            <w:shd w:val="clear" w:color="auto" w:fill="CCEEFF"/>
          </w:tcPr>
          <w:p>
            <w:pPr>
              <w:spacing w:after="0"/>
              <w:rPr>
                <w:sz w:val="17"/>
                <w:szCs w:val="17"/>
                <w:color w:val="auto"/>
              </w:rPr>
            </w:pP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w w:val="89"/>
              </w:rPr>
              <w:t>$1,216,240</w:t>
            </w: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380" w:type="dxa"/>
            <w:vAlign w:val="bottom"/>
          </w:tcPr>
          <w:p>
            <w:pPr>
              <w:spacing w:after="0"/>
              <w:rPr>
                <w:sz w:val="20"/>
                <w:szCs w:val="20"/>
                <w:color w:val="auto"/>
              </w:rPr>
            </w:pPr>
            <w:r>
              <w:rPr>
                <w:rFonts w:ascii="Arial" w:cs="Arial" w:eastAsia="Arial" w:hAnsi="Arial"/>
                <w:sz w:val="16"/>
                <w:szCs w:val="16"/>
                <w:color w:val="auto"/>
              </w:rPr>
              <w:t>Net loss</w:t>
            </w:r>
          </w:p>
        </w:tc>
        <w:tc>
          <w:tcPr>
            <w:tcW w:w="240" w:type="dxa"/>
            <w:vAlign w:val="bottom"/>
          </w:tcPr>
          <w:p>
            <w:pPr>
              <w:spacing w:after="0"/>
              <w:rPr>
                <w:sz w:val="17"/>
                <w:szCs w:val="17"/>
                <w:color w:val="auto"/>
              </w:rPr>
            </w:pPr>
          </w:p>
        </w:tc>
        <w:tc>
          <w:tcPr>
            <w:tcW w:w="860" w:type="dxa"/>
            <w:vAlign w:val="bottom"/>
            <w:gridSpan w:val="2"/>
          </w:tcPr>
          <w:p>
            <w:pPr>
              <w:ind w:left="60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7"/>
                <w:szCs w:val="17"/>
                <w:color w:val="auto"/>
              </w:rPr>
            </w:pPr>
          </w:p>
        </w:tc>
        <w:tc>
          <w:tcPr>
            <w:tcW w:w="720" w:type="dxa"/>
            <w:vAlign w:val="bottom"/>
            <w:gridSpan w:val="2"/>
          </w:tcPr>
          <w:p>
            <w:pPr>
              <w:jc w:val="right"/>
              <w:ind w:right="8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7"/>
                <w:szCs w:val="17"/>
                <w:color w:val="auto"/>
              </w:rPr>
            </w:pPr>
          </w:p>
        </w:tc>
        <w:tc>
          <w:tcPr>
            <w:tcW w:w="580" w:type="dxa"/>
            <w:vAlign w:val="bottom"/>
            <w:gridSpan w:val="3"/>
          </w:tcPr>
          <w:p>
            <w:pPr>
              <w:ind w:left="24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560" w:type="dxa"/>
            <w:vAlign w:val="bottom"/>
            <w:gridSpan w:val="3"/>
          </w:tcPr>
          <w:p>
            <w:pPr>
              <w:ind w:left="260"/>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gridSpan w:val="2"/>
          </w:tcPr>
          <w:p>
            <w:pPr>
              <w:ind w:left="3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gridSpan w:val="3"/>
          </w:tcPr>
          <w:p>
            <w:pPr>
              <w:jc w:val="right"/>
              <w:ind w:right="80"/>
              <w:spacing w:after="0"/>
              <w:rPr>
                <w:sz w:val="20"/>
                <w:szCs w:val="20"/>
                <w:color w:val="auto"/>
              </w:rPr>
            </w:pPr>
            <w:r>
              <w:rPr>
                <w:rFonts w:ascii="Arial" w:cs="Arial" w:eastAsia="Arial" w:hAnsi="Arial"/>
                <w:sz w:val="16"/>
                <w:szCs w:val="16"/>
                <w:color w:val="auto"/>
              </w:rPr>
              <w:t>(25,333)</w:t>
            </w: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20" w:type="dxa"/>
            <w:vAlign w:val="bottom"/>
            <w:gridSpan w:val="2"/>
          </w:tcPr>
          <w:p>
            <w:pPr>
              <w:ind w:left="560"/>
              <w:spacing w:after="0"/>
              <w:rPr>
                <w:sz w:val="20"/>
                <w:szCs w:val="20"/>
                <w:color w:val="auto"/>
              </w:rPr>
            </w:pPr>
            <w:r>
              <w:rPr>
                <w:rFonts w:ascii="Arial" w:cs="Arial" w:eastAsia="Arial" w:hAnsi="Arial"/>
                <w:sz w:val="16"/>
                <w:szCs w:val="16"/>
                <w:color w:val="auto"/>
              </w:rPr>
              <w:t>—</w:t>
            </w:r>
          </w:p>
        </w:tc>
        <w:tc>
          <w:tcPr>
            <w:tcW w:w="1040" w:type="dxa"/>
            <w:vAlign w:val="bottom"/>
            <w:gridSpan w:val="3"/>
          </w:tcPr>
          <w:p>
            <w:pPr>
              <w:jc w:val="right"/>
              <w:ind w:right="40"/>
              <w:spacing w:after="0"/>
              <w:rPr>
                <w:sz w:val="20"/>
                <w:szCs w:val="20"/>
                <w:color w:val="auto"/>
              </w:rPr>
            </w:pPr>
            <w:r>
              <w:rPr>
                <w:rFonts w:ascii="Arial" w:cs="Arial" w:eastAsia="Arial" w:hAnsi="Arial"/>
                <w:sz w:val="16"/>
                <w:szCs w:val="16"/>
                <w:color w:val="auto"/>
              </w:rPr>
              <w:t>(25,333)</w:t>
            </w:r>
          </w:p>
        </w:tc>
        <w:tc>
          <w:tcPr>
            <w:tcW w:w="0" w:type="dxa"/>
            <w:vAlign w:val="bottom"/>
          </w:tcPr>
          <w:p>
            <w:pPr>
              <w:spacing w:after="0"/>
              <w:rPr>
                <w:sz w:val="1"/>
                <w:szCs w:val="1"/>
                <w:color w:val="auto"/>
              </w:rPr>
            </w:pPr>
          </w:p>
        </w:tc>
      </w:tr>
      <w:tr>
        <w:trPr>
          <w:trHeight w:val="202"/>
        </w:trPr>
        <w:tc>
          <w:tcPr>
            <w:tcW w:w="3380" w:type="dxa"/>
            <w:vAlign w:val="bottom"/>
            <w:shd w:val="clear" w:color="auto" w:fill="CCEEFF"/>
          </w:tcPr>
          <w:p>
            <w:pPr>
              <w:spacing w:after="0"/>
              <w:rPr>
                <w:sz w:val="20"/>
                <w:szCs w:val="20"/>
                <w:color w:val="auto"/>
              </w:rPr>
            </w:pPr>
            <w:r>
              <w:rPr>
                <w:rFonts w:ascii="Arial" w:cs="Arial" w:eastAsia="Arial" w:hAnsi="Arial"/>
                <w:sz w:val="16"/>
                <w:szCs w:val="16"/>
                <w:color w:val="auto"/>
              </w:rPr>
              <w:t>Unit-based compensation</w:t>
            </w:r>
          </w:p>
        </w:tc>
        <w:tc>
          <w:tcPr>
            <w:tcW w:w="240" w:type="dxa"/>
            <w:vAlign w:val="bottom"/>
            <w:shd w:val="clear" w:color="auto" w:fill="CCEEFF"/>
          </w:tcPr>
          <w:p>
            <w:pPr>
              <w:spacing w:after="0"/>
              <w:rPr>
                <w:sz w:val="17"/>
                <w:szCs w:val="17"/>
                <w:color w:val="auto"/>
              </w:rPr>
            </w:pPr>
          </w:p>
        </w:tc>
        <w:tc>
          <w:tcPr>
            <w:tcW w:w="860" w:type="dxa"/>
            <w:vAlign w:val="bottom"/>
            <w:tcBorders>
              <w:right w:val="single" w:sz="8" w:color="CCEEFF"/>
            </w:tcBorders>
            <w:gridSpan w:val="2"/>
            <w:shd w:val="clear" w:color="auto" w:fill="CCEEFF"/>
          </w:tcPr>
          <w:p>
            <w:pPr>
              <w:ind w:left="60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7"/>
                <w:szCs w:val="17"/>
                <w:color w:val="auto"/>
              </w:rPr>
            </w:pPr>
          </w:p>
        </w:tc>
        <w:tc>
          <w:tcPr>
            <w:tcW w:w="72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17"/>
                <w:szCs w:val="17"/>
                <w:color w:val="auto"/>
              </w:rPr>
            </w:pPr>
          </w:p>
        </w:tc>
        <w:tc>
          <w:tcPr>
            <w:tcW w:w="580" w:type="dxa"/>
            <w:vAlign w:val="bottom"/>
            <w:gridSpan w:val="3"/>
            <w:shd w:val="clear" w:color="auto" w:fill="CCEEFF"/>
          </w:tcPr>
          <w:p>
            <w:pPr>
              <w:ind w:left="240"/>
              <w:spacing w:after="0"/>
              <w:rPr>
                <w:sz w:val="20"/>
                <w:szCs w:val="20"/>
                <w:color w:val="auto"/>
              </w:rPr>
            </w:pPr>
            <w:r>
              <w:rPr>
                <w:rFonts w:ascii="Arial" w:cs="Arial" w:eastAsia="Arial" w:hAnsi="Arial"/>
                <w:sz w:val="16"/>
                <w:szCs w:val="16"/>
                <w:color w:val="auto"/>
              </w:rPr>
              <w:t>—</w:t>
            </w:r>
          </w:p>
        </w:tc>
        <w:tc>
          <w:tcPr>
            <w:tcW w:w="680" w:type="dxa"/>
            <w:vAlign w:val="bottom"/>
            <w:gridSpan w:val="4"/>
            <w:shd w:val="clear" w:color="auto" w:fill="CCEEFF"/>
          </w:tcPr>
          <w:p>
            <w:pPr>
              <w:ind w:left="380"/>
              <w:spacing w:after="0"/>
              <w:rPr>
                <w:sz w:val="20"/>
                <w:szCs w:val="20"/>
                <w:color w:val="auto"/>
              </w:rPr>
            </w:pPr>
            <w:r>
              <w:rPr>
                <w:rFonts w:ascii="Arial" w:cs="Arial" w:eastAsia="Arial" w:hAnsi="Arial"/>
                <w:sz w:val="16"/>
                <w:szCs w:val="16"/>
                <w:color w:val="auto"/>
              </w:rPr>
              <w:t>872</w:t>
            </w: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60" w:type="dxa"/>
            <w:vAlign w:val="bottom"/>
            <w:gridSpan w:val="2"/>
            <w:shd w:val="clear" w:color="auto" w:fill="CCEEFF"/>
          </w:tcPr>
          <w:p>
            <w:pPr>
              <w:ind w:left="32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60" w:type="dxa"/>
            <w:vAlign w:val="bottom"/>
            <w:gridSpan w:val="3"/>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20" w:type="dxa"/>
            <w:vAlign w:val="bottom"/>
            <w:gridSpan w:val="2"/>
            <w:shd w:val="clear" w:color="auto" w:fill="CCEEFF"/>
          </w:tcPr>
          <w:p>
            <w:pPr>
              <w:ind w:left="560"/>
              <w:spacing w:after="0"/>
              <w:rPr>
                <w:sz w:val="20"/>
                <w:szCs w:val="20"/>
                <w:color w:val="auto"/>
              </w:rPr>
            </w:pPr>
            <w:r>
              <w:rPr>
                <w:rFonts w:ascii="Arial" w:cs="Arial" w:eastAsia="Arial" w:hAnsi="Arial"/>
                <w:sz w:val="16"/>
                <w:szCs w:val="16"/>
                <w:color w:val="auto"/>
              </w:rPr>
              <w:t>—</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872</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380" w:type="dxa"/>
            <w:vAlign w:val="bottom"/>
          </w:tcPr>
          <w:p>
            <w:pPr>
              <w:spacing w:after="0"/>
              <w:rPr>
                <w:sz w:val="20"/>
                <w:szCs w:val="20"/>
                <w:color w:val="auto"/>
              </w:rPr>
            </w:pPr>
            <w:r>
              <w:rPr>
                <w:rFonts w:ascii="Arial" w:cs="Arial" w:eastAsia="Arial" w:hAnsi="Arial"/>
                <w:sz w:val="16"/>
                <w:szCs w:val="16"/>
                <w:color w:val="auto"/>
              </w:rPr>
              <w:t>Distribution to members</w:t>
            </w:r>
          </w:p>
        </w:tc>
        <w:tc>
          <w:tcPr>
            <w:tcW w:w="240" w:type="dxa"/>
            <w:vAlign w:val="bottom"/>
          </w:tcPr>
          <w:p>
            <w:pPr>
              <w:spacing w:after="0"/>
              <w:rPr>
                <w:sz w:val="17"/>
                <w:szCs w:val="17"/>
                <w:color w:val="auto"/>
              </w:rPr>
            </w:pPr>
          </w:p>
        </w:tc>
        <w:tc>
          <w:tcPr>
            <w:tcW w:w="860" w:type="dxa"/>
            <w:vAlign w:val="bottom"/>
            <w:gridSpan w:val="2"/>
          </w:tcPr>
          <w:p>
            <w:pPr>
              <w:ind w:left="60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7"/>
                <w:szCs w:val="17"/>
                <w:color w:val="auto"/>
              </w:rPr>
            </w:pPr>
          </w:p>
        </w:tc>
        <w:tc>
          <w:tcPr>
            <w:tcW w:w="720" w:type="dxa"/>
            <w:vAlign w:val="bottom"/>
            <w:gridSpan w:val="2"/>
          </w:tcPr>
          <w:p>
            <w:pPr>
              <w:jc w:val="right"/>
              <w:ind w:right="8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7"/>
                <w:szCs w:val="17"/>
                <w:color w:val="auto"/>
              </w:rPr>
            </w:pPr>
          </w:p>
        </w:tc>
        <w:tc>
          <w:tcPr>
            <w:tcW w:w="480" w:type="dxa"/>
            <w:vAlign w:val="bottom"/>
            <w:gridSpan w:val="2"/>
          </w:tcPr>
          <w:p>
            <w:pPr>
              <w:ind w:left="24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00" w:type="dxa"/>
            <w:vAlign w:val="bottom"/>
            <w:gridSpan w:val="2"/>
          </w:tcPr>
          <w:p>
            <w:pPr>
              <w:ind w:left="260"/>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gridSpan w:val="2"/>
          </w:tcPr>
          <w:p>
            <w:pPr>
              <w:ind w:left="3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gridSpan w:val="3"/>
          </w:tcPr>
          <w:p>
            <w:pPr>
              <w:jc w:val="right"/>
              <w:ind w:right="80"/>
              <w:spacing w:after="0"/>
              <w:rPr>
                <w:sz w:val="20"/>
                <w:szCs w:val="20"/>
                <w:color w:val="auto"/>
              </w:rPr>
            </w:pPr>
            <w:r>
              <w:rPr>
                <w:rFonts w:ascii="Arial" w:cs="Arial" w:eastAsia="Arial" w:hAnsi="Arial"/>
                <w:sz w:val="16"/>
                <w:szCs w:val="16"/>
                <w:color w:val="auto"/>
              </w:rPr>
              <w:t>(48)</w:t>
            </w: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20" w:type="dxa"/>
            <w:vAlign w:val="bottom"/>
            <w:gridSpan w:val="2"/>
          </w:tcPr>
          <w:p>
            <w:pPr>
              <w:ind w:left="560"/>
              <w:spacing w:after="0"/>
              <w:rPr>
                <w:sz w:val="20"/>
                <w:szCs w:val="20"/>
                <w:color w:val="auto"/>
              </w:rPr>
            </w:pPr>
            <w:r>
              <w:rPr>
                <w:rFonts w:ascii="Arial" w:cs="Arial" w:eastAsia="Arial" w:hAnsi="Arial"/>
                <w:sz w:val="16"/>
                <w:szCs w:val="16"/>
                <w:color w:val="auto"/>
              </w:rPr>
              <w:t>—</w:t>
            </w:r>
          </w:p>
        </w:tc>
        <w:tc>
          <w:tcPr>
            <w:tcW w:w="1040" w:type="dxa"/>
            <w:vAlign w:val="bottom"/>
            <w:gridSpan w:val="3"/>
          </w:tcPr>
          <w:p>
            <w:pPr>
              <w:jc w:val="right"/>
              <w:ind w:right="40"/>
              <w:spacing w:after="0"/>
              <w:rPr>
                <w:sz w:val="20"/>
                <w:szCs w:val="20"/>
                <w:color w:val="auto"/>
              </w:rPr>
            </w:pPr>
            <w:r>
              <w:rPr>
                <w:rFonts w:ascii="Arial" w:cs="Arial" w:eastAsia="Arial" w:hAnsi="Arial"/>
                <w:sz w:val="16"/>
                <w:szCs w:val="16"/>
                <w:color w:val="auto"/>
              </w:rPr>
              <w:t>(48)</w:t>
            </w:r>
          </w:p>
        </w:tc>
        <w:tc>
          <w:tcPr>
            <w:tcW w:w="0" w:type="dxa"/>
            <w:vAlign w:val="bottom"/>
          </w:tcPr>
          <w:p>
            <w:pPr>
              <w:spacing w:after="0"/>
              <w:rPr>
                <w:sz w:val="1"/>
                <w:szCs w:val="1"/>
                <w:color w:val="auto"/>
              </w:rPr>
            </w:pPr>
          </w:p>
        </w:tc>
      </w:tr>
      <w:tr>
        <w:trPr>
          <w:trHeight w:val="27"/>
        </w:trPr>
        <w:tc>
          <w:tcPr>
            <w:tcW w:w="3380" w:type="dxa"/>
            <w:vAlign w:val="bottom"/>
          </w:tcPr>
          <w:p>
            <w:pPr>
              <w:spacing w:after="0"/>
              <w:rPr>
                <w:sz w:val="2"/>
                <w:szCs w:val="2"/>
                <w:color w:val="auto"/>
              </w:rPr>
            </w:pPr>
          </w:p>
        </w:tc>
        <w:tc>
          <w:tcPr>
            <w:tcW w:w="240" w:type="dxa"/>
            <w:vAlign w:val="bottom"/>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60" w:type="dxa"/>
            <w:vAlign w:val="bottom"/>
            <w:tcBorders>
              <w:right w:val="single" w:sz="8" w:color="auto"/>
            </w:tcBorders>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338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Balance at June 30, 2020</w:t>
            </w:r>
          </w:p>
        </w:tc>
        <w:tc>
          <w:tcPr>
            <w:tcW w:w="240" w:type="dxa"/>
            <w:vAlign w:val="bottom"/>
            <w:shd w:val="clear" w:color="auto" w:fill="CCEEFF"/>
          </w:tcPr>
          <w:p>
            <w:pPr>
              <w:spacing w:after="0"/>
              <w:rPr>
                <w:sz w:val="17"/>
                <w:szCs w:val="17"/>
                <w:color w:val="auto"/>
              </w:rPr>
            </w:pPr>
          </w:p>
        </w:tc>
        <w:tc>
          <w:tcPr>
            <w:tcW w:w="860" w:type="dxa"/>
            <w:vAlign w:val="bottom"/>
            <w:tcBorders>
              <w:right w:val="single" w:sz="8" w:color="CCEEFF"/>
            </w:tcBorders>
            <w:gridSpan w:val="2"/>
            <w:shd w:val="clear" w:color="auto" w:fill="CCEEFF"/>
          </w:tcPr>
          <w:p>
            <w:pPr>
              <w:jc w:val="center"/>
              <w:spacing w:after="0"/>
              <w:rPr>
                <w:sz w:val="20"/>
                <w:szCs w:val="20"/>
                <w:color w:val="auto"/>
              </w:rPr>
            </w:pPr>
            <w:r>
              <w:rPr>
                <w:rFonts w:ascii="Arial" w:cs="Arial" w:eastAsia="Arial" w:hAnsi="Arial"/>
                <w:sz w:val="16"/>
                <w:szCs w:val="16"/>
                <w:b w:val="1"/>
                <w:bCs w:val="1"/>
                <w:color w:val="auto"/>
                <w:w w:val="89"/>
              </w:rPr>
              <w:t>127,125,435</w:t>
            </w:r>
          </w:p>
        </w:tc>
        <w:tc>
          <w:tcPr>
            <w:tcW w:w="200" w:type="dxa"/>
            <w:vAlign w:val="bottom"/>
            <w:shd w:val="clear" w:color="auto" w:fill="CCEEFF"/>
          </w:tcPr>
          <w:p>
            <w:pPr>
              <w:spacing w:after="0"/>
              <w:rPr>
                <w:sz w:val="17"/>
                <w:szCs w:val="17"/>
                <w:color w:val="auto"/>
              </w:rPr>
            </w:pP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6"/>
                <w:szCs w:val="16"/>
                <w:b w:val="1"/>
                <w:bCs w:val="1"/>
                <w:u w:val="single" w:color="auto"/>
                <w:color w:val="auto"/>
                <w:w w:val="87"/>
              </w:rPr>
              <w:t>$</w:t>
            </w:r>
            <w:r>
              <w:rPr>
                <w:rFonts w:ascii="Arial" w:cs="Arial" w:eastAsia="Arial" w:hAnsi="Arial"/>
                <w:sz w:val="16"/>
                <w:szCs w:val="16"/>
                <w:b w:val="1"/>
                <w:bCs w:val="1"/>
                <w:color w:val="auto"/>
                <w:w w:val="87"/>
              </w:rPr>
              <w:t>1,271,254</w:t>
            </w:r>
          </w:p>
        </w:tc>
        <w:tc>
          <w:tcPr>
            <w:tcW w:w="220" w:type="dxa"/>
            <w:vAlign w:val="bottom"/>
            <w:shd w:val="clear" w:color="auto" w:fill="CCEEFF"/>
          </w:tcPr>
          <w:p>
            <w:pPr>
              <w:spacing w:after="0"/>
              <w:rPr>
                <w:sz w:val="17"/>
                <w:szCs w:val="17"/>
                <w:color w:val="auto"/>
              </w:rPr>
            </w:pPr>
          </w:p>
        </w:tc>
        <w:tc>
          <w:tcPr>
            <w:tcW w:w="480" w:type="dxa"/>
            <w:vAlign w:val="bottom"/>
            <w:gridSpan w:val="2"/>
            <w:shd w:val="clear" w:color="auto" w:fill="CCEEFF"/>
          </w:tcPr>
          <w:p>
            <w:pPr>
              <w:ind w:left="240"/>
              <w:spacing w:after="0"/>
              <w:rPr>
                <w:sz w:val="20"/>
                <w:szCs w:val="20"/>
                <w:color w:val="auto"/>
              </w:rPr>
            </w:pPr>
            <w:r>
              <w:rPr>
                <w:rFonts w:ascii="Arial" w:cs="Arial" w:eastAsia="Arial" w:hAnsi="Arial"/>
                <w:sz w:val="16"/>
                <w:szCs w:val="16"/>
                <w:b w:val="1"/>
                <w:bCs w:val="1"/>
                <w:color w:val="auto"/>
              </w:rPr>
              <w:t>—</w:t>
            </w:r>
          </w:p>
        </w:tc>
        <w:tc>
          <w:tcPr>
            <w:tcW w:w="100" w:type="dxa"/>
            <w:vAlign w:val="bottom"/>
            <w:shd w:val="clear" w:color="auto" w:fill="CCEEFF"/>
          </w:tcPr>
          <w:p>
            <w:pPr>
              <w:spacing w:after="0"/>
              <w:rPr>
                <w:sz w:val="17"/>
                <w:szCs w:val="17"/>
                <w:color w:val="auto"/>
              </w:rPr>
            </w:pPr>
          </w:p>
        </w:tc>
        <w:tc>
          <w:tcPr>
            <w:tcW w:w="680" w:type="dxa"/>
            <w:vAlign w:val="bottom"/>
            <w:gridSpan w:val="4"/>
            <w:shd w:val="clear" w:color="auto" w:fill="CCEEFF"/>
          </w:tcPr>
          <w:p>
            <w:pPr>
              <w:ind w:left="120"/>
              <w:spacing w:after="0"/>
              <w:rPr>
                <w:sz w:val="20"/>
                <w:szCs w:val="20"/>
                <w:color w:val="auto"/>
              </w:rPr>
            </w:pPr>
            <w:r>
              <w:rPr>
                <w:rFonts w:ascii="Arial" w:cs="Arial" w:eastAsia="Arial" w:hAnsi="Arial"/>
                <w:sz w:val="16"/>
                <w:szCs w:val="16"/>
                <w:b w:val="1"/>
                <w:bCs w:val="1"/>
                <w:color w:val="auto"/>
              </w:rPr>
              <w:t>$ 1,616</w:t>
            </w:r>
          </w:p>
        </w:tc>
        <w:tc>
          <w:tcPr>
            <w:tcW w:w="260" w:type="dxa"/>
            <w:vAlign w:val="bottom"/>
            <w:gridSpan w:val="3"/>
            <w:shd w:val="clear" w:color="auto" w:fill="CCEEFF"/>
          </w:tcPr>
          <w:p>
            <w:pPr>
              <w:ind w:left="160"/>
              <w:spacing w:after="0"/>
              <w:rPr>
                <w:sz w:val="20"/>
                <w:szCs w:val="20"/>
                <w:color w:val="auto"/>
              </w:rPr>
            </w:pPr>
            <w:r>
              <w:rPr>
                <w:rFonts w:ascii="Arial" w:cs="Arial" w:eastAsia="Arial" w:hAnsi="Arial"/>
                <w:sz w:val="16"/>
                <w:szCs w:val="16"/>
                <w:b w:val="1"/>
                <w:bCs w:val="1"/>
                <w:color w:val="auto"/>
                <w:w w:val="89"/>
              </w:rPr>
              <w:t>$</w:t>
            </w:r>
          </w:p>
        </w:tc>
        <w:tc>
          <w:tcPr>
            <w:tcW w:w="560" w:type="dxa"/>
            <w:vAlign w:val="bottom"/>
            <w:gridSpan w:val="2"/>
            <w:shd w:val="clear" w:color="auto" w:fill="CCEEFF"/>
          </w:tcPr>
          <w:p>
            <w:pPr>
              <w:ind w:left="320"/>
              <w:spacing w:after="0"/>
              <w:rPr>
                <w:sz w:val="20"/>
                <w:szCs w:val="20"/>
                <w:color w:val="auto"/>
              </w:rPr>
            </w:pPr>
            <w:r>
              <w:rPr>
                <w:rFonts w:ascii="Arial" w:cs="Arial" w:eastAsia="Arial" w:hAnsi="Arial"/>
                <w:sz w:val="16"/>
                <w:szCs w:val="16"/>
                <w:b w:val="1"/>
                <w:bCs w:val="1"/>
                <w:color w:val="auto"/>
              </w:rPr>
              <w:t>—</w:t>
            </w:r>
          </w:p>
        </w:tc>
        <w:tc>
          <w:tcPr>
            <w:tcW w:w="320" w:type="dxa"/>
            <w:vAlign w:val="bottom"/>
            <w:gridSpan w:val="3"/>
            <w:shd w:val="clear" w:color="auto" w:fill="CCEEFF"/>
          </w:tcPr>
          <w:p>
            <w:pPr>
              <w:ind w:left="220"/>
              <w:spacing w:after="0"/>
              <w:rPr>
                <w:sz w:val="20"/>
                <w:szCs w:val="20"/>
                <w:color w:val="auto"/>
              </w:rPr>
            </w:pPr>
            <w:r>
              <w:rPr>
                <w:rFonts w:ascii="Arial" w:cs="Arial" w:eastAsia="Arial" w:hAnsi="Arial"/>
                <w:sz w:val="16"/>
                <w:szCs w:val="16"/>
                <w:b w:val="1"/>
                <w:bCs w:val="1"/>
                <w:color w:val="auto"/>
                <w:w w:val="89"/>
              </w:rPr>
              <w:t>$</w:t>
            </w:r>
          </w:p>
        </w:tc>
        <w:tc>
          <w:tcPr>
            <w:tcW w:w="860" w:type="dxa"/>
            <w:vAlign w:val="bottom"/>
            <w:gridSpan w:val="3"/>
            <w:shd w:val="clear" w:color="auto" w:fill="CCEEFF"/>
          </w:tcPr>
          <w:p>
            <w:pPr>
              <w:jc w:val="right"/>
              <w:ind w:right="80"/>
              <w:spacing w:after="0"/>
              <w:rPr>
                <w:sz w:val="20"/>
                <w:szCs w:val="20"/>
                <w:color w:val="auto"/>
              </w:rPr>
            </w:pPr>
            <w:r>
              <w:rPr>
                <w:rFonts w:ascii="Arial" w:cs="Arial" w:eastAsia="Arial" w:hAnsi="Arial"/>
                <w:sz w:val="16"/>
                <w:szCs w:val="16"/>
                <w:b w:val="1"/>
                <w:bCs w:val="1"/>
                <w:color w:val="auto"/>
              </w:rPr>
              <w:t>(81,139)</w:t>
            </w:r>
          </w:p>
        </w:tc>
        <w:tc>
          <w:tcPr>
            <w:tcW w:w="280" w:type="dxa"/>
            <w:vAlign w:val="bottom"/>
            <w:gridSpan w:val="3"/>
            <w:shd w:val="clear" w:color="auto" w:fill="CCEEFF"/>
          </w:tcPr>
          <w:p>
            <w:pPr>
              <w:ind w:left="140"/>
              <w:spacing w:after="0"/>
              <w:rPr>
                <w:sz w:val="20"/>
                <w:szCs w:val="20"/>
                <w:color w:val="auto"/>
              </w:rPr>
            </w:pPr>
            <w:r>
              <w:rPr>
                <w:rFonts w:ascii="Arial" w:cs="Arial" w:eastAsia="Arial" w:hAnsi="Arial"/>
                <w:sz w:val="16"/>
                <w:szCs w:val="16"/>
                <w:b w:val="1"/>
                <w:bCs w:val="1"/>
                <w:color w:val="auto"/>
              </w:rPr>
              <w:t>$</w:t>
            </w:r>
          </w:p>
        </w:tc>
        <w:tc>
          <w:tcPr>
            <w:tcW w:w="820" w:type="dxa"/>
            <w:vAlign w:val="bottom"/>
            <w:gridSpan w:val="2"/>
            <w:shd w:val="clear" w:color="auto" w:fill="CCEEFF"/>
          </w:tcPr>
          <w:p>
            <w:pPr>
              <w:ind w:left="560"/>
              <w:spacing w:after="0"/>
              <w:rPr>
                <w:sz w:val="20"/>
                <w:szCs w:val="20"/>
                <w:color w:val="auto"/>
              </w:rPr>
            </w:pPr>
            <w:r>
              <w:rPr>
                <w:rFonts w:ascii="Arial" w:cs="Arial" w:eastAsia="Arial" w:hAnsi="Arial"/>
                <w:sz w:val="16"/>
                <w:szCs w:val="16"/>
                <w:b w:val="1"/>
                <w:bCs w:val="1"/>
                <w:color w:val="auto"/>
              </w:rPr>
              <w:t>—</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6"/>
                <w:szCs w:val="16"/>
                <w:b w:val="1"/>
                <w:bCs w:val="1"/>
                <w:u w:val="single" w:color="auto"/>
                <w:color w:val="auto"/>
              </w:rPr>
              <w:t>$</w:t>
            </w:r>
            <w:r>
              <w:rPr>
                <w:rFonts w:ascii="Arial" w:cs="Arial" w:eastAsia="Arial" w:hAnsi="Arial"/>
                <w:sz w:val="16"/>
                <w:szCs w:val="16"/>
                <w:b w:val="1"/>
                <w:bCs w:val="1"/>
                <w:color w:val="auto"/>
              </w:rPr>
              <w:t>1,191,731</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33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left="3580"/>
        <w:spacing w:after="0"/>
        <w:rPr>
          <w:sz w:val="20"/>
          <w:szCs w:val="20"/>
          <w:color w:val="auto"/>
        </w:rPr>
      </w:pPr>
      <w:r>
        <w:rPr>
          <w:rFonts w:ascii="Arial" w:cs="Arial" w:eastAsia="Arial" w:hAnsi="Arial"/>
          <w:sz w:val="18"/>
          <w:szCs w:val="18"/>
          <w:color w:val="auto"/>
        </w:rPr>
        <w:t>See notes to condensed consolidated financial statements</w:t>
      </w:r>
    </w:p>
    <w:p>
      <w:pPr>
        <w:spacing w:after="0" w:line="158"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F-51</w:t>
      </w:r>
    </w:p>
    <w:p>
      <w:pPr>
        <w:sectPr>
          <w:pgSz w:w="11900" w:h="16838" w:orient="portrait"/>
          <w:cols w:equalWidth="0" w:num="1">
            <w:col w:w="11140"/>
          </w:cols>
          <w:pgMar w:left="320" w:top="459" w:right="439" w:bottom="1440" w:gutter="0" w:footer="0" w:header="0"/>
        </w:sectPr>
      </w:pPr>
    </w:p>
    <w:bookmarkStart w:id="257" w:name="page258"/>
    <w:bookmarkEnd w:id="25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43">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Confidential Treatment Requested by Definitive Healthcare Corp.</w:t>
      </w:r>
    </w:p>
    <w:p>
      <w:pPr>
        <w:spacing w:after="0" w:line="27"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Pursuant to 17 C.F.R. Section 200.83</w:t>
      </w:r>
    </w:p>
    <w:p>
      <w:pPr>
        <w:spacing w:after="0" w:line="139"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AIDH TOPCO, LLC</w:t>
      </w:r>
    </w:p>
    <w:p>
      <w:pPr>
        <w:spacing w:after="0" w:line="22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27" w:lineRule="exact"/>
        <w:rPr>
          <w:sz w:val="20"/>
          <w:szCs w:val="20"/>
          <w:color w:val="auto"/>
        </w:rPr>
      </w:pPr>
    </w:p>
    <w:p>
      <w:pPr>
        <w:jc w:val="center"/>
        <w:ind w:right="-99"/>
        <w:spacing w:after="0"/>
        <w:rPr>
          <w:sz w:val="20"/>
          <w:szCs w:val="20"/>
          <w:color w:val="auto"/>
        </w:rPr>
      </w:pPr>
      <w:r>
        <w:rPr>
          <w:rFonts w:ascii="Arial" w:cs="Arial" w:eastAsia="Arial" w:hAnsi="Arial"/>
          <w:sz w:val="18"/>
          <w:szCs w:val="18"/>
          <w:i w:val="1"/>
          <w:iCs w:val="1"/>
          <w:color w:val="auto"/>
        </w:rPr>
        <w:t>(amounts in thousands)</w:t>
      </w:r>
    </w:p>
    <w:p>
      <w:pPr>
        <w:spacing w:after="0" w:line="9" w:lineRule="exact"/>
        <w:rPr>
          <w:sz w:val="20"/>
          <w:szCs w:val="20"/>
          <w:color w:val="auto"/>
        </w:rPr>
      </w:pPr>
    </w:p>
    <w:p>
      <w:pPr>
        <w:jc w:val="center"/>
        <w:ind w:right="-99"/>
        <w:spacing w:after="0"/>
        <w:rPr>
          <w:sz w:val="20"/>
          <w:szCs w:val="20"/>
          <w:color w:val="auto"/>
        </w:rPr>
      </w:pPr>
      <w:r>
        <w:rPr>
          <w:rFonts w:ascii="Arial" w:cs="Arial" w:eastAsia="Arial" w:hAnsi="Arial"/>
          <w:sz w:val="18"/>
          <w:szCs w:val="18"/>
          <w:i w:val="1"/>
          <w:iCs w:val="1"/>
          <w:color w:val="auto"/>
        </w:rPr>
        <w:t>(unaudited)</w:t>
      </w:r>
    </w:p>
    <w:p>
      <w:pPr>
        <w:spacing w:after="0" w:line="229"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726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960" w:type="dxa"/>
            <w:vAlign w:val="bottom"/>
            <w:gridSpan w:val="6"/>
          </w:tcPr>
          <w:p>
            <w:pPr>
              <w:jc w:val="right"/>
              <w:ind w:right="260"/>
              <w:spacing w:after="0"/>
              <w:rPr>
                <w:sz w:val="20"/>
                <w:szCs w:val="20"/>
                <w:color w:val="auto"/>
              </w:rPr>
            </w:pPr>
            <w:r>
              <w:rPr>
                <w:rFonts w:ascii="Arial" w:cs="Arial" w:eastAsia="Arial" w:hAnsi="Arial"/>
                <w:sz w:val="14"/>
                <w:szCs w:val="14"/>
                <w:b w:val="1"/>
                <w:bCs w:val="1"/>
                <w:color w:val="auto"/>
                <w:w w:val="92"/>
              </w:rPr>
              <w:t>Six Months Ended June 30,</w:t>
            </w:r>
          </w:p>
        </w:tc>
        <w:tc>
          <w:tcPr>
            <w:tcW w:w="0" w:type="dxa"/>
            <w:vAlign w:val="bottom"/>
          </w:tcPr>
          <w:p>
            <w:pPr>
              <w:spacing w:after="0"/>
              <w:rPr>
                <w:sz w:val="1"/>
                <w:szCs w:val="1"/>
                <w:color w:val="auto"/>
              </w:rPr>
            </w:pPr>
          </w:p>
        </w:tc>
      </w:tr>
      <w:tr>
        <w:trPr>
          <w:trHeight w:val="142"/>
        </w:trPr>
        <w:tc>
          <w:tcPr>
            <w:tcW w:w="7260" w:type="dxa"/>
            <w:vAlign w:val="bottom"/>
            <w:tcBorders>
              <w:bottom w:val="single" w:sz="8" w:color="CCEEFF"/>
            </w:tcBorders>
          </w:tcPr>
          <w:p>
            <w:pPr>
              <w:spacing w:after="0"/>
              <w:rPr>
                <w:sz w:val="12"/>
                <w:szCs w:val="12"/>
                <w:color w:val="auto"/>
              </w:rPr>
            </w:pPr>
          </w:p>
        </w:tc>
        <w:tc>
          <w:tcPr>
            <w:tcW w:w="1680" w:type="dxa"/>
            <w:vAlign w:val="bottom"/>
            <w:tcBorders>
              <w:bottom w:val="single" w:sz="8" w:color="CCEEFF"/>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640" w:type="dxa"/>
            <w:vAlign w:val="bottom"/>
            <w:tcBorders>
              <w:top w:val="single" w:sz="8" w:color="auto"/>
              <w:bottom w:val="single" w:sz="8" w:color="auto"/>
            </w:tcBorders>
          </w:tcPr>
          <w:p>
            <w:pPr>
              <w:jc w:val="right"/>
              <w:ind w:right="151"/>
              <w:spacing w:after="0" w:line="142" w:lineRule="exact"/>
              <w:rPr>
                <w:sz w:val="20"/>
                <w:szCs w:val="20"/>
                <w:color w:val="auto"/>
              </w:rPr>
            </w:pPr>
            <w:r>
              <w:rPr>
                <w:rFonts w:ascii="Arial" w:cs="Arial" w:eastAsia="Arial" w:hAnsi="Arial"/>
                <w:sz w:val="14"/>
                <w:szCs w:val="14"/>
                <w:b w:val="1"/>
                <w:bCs w:val="1"/>
                <w:color w:val="auto"/>
              </w:rPr>
              <w:t>2021</w:t>
            </w:r>
          </w:p>
        </w:tc>
        <w:tc>
          <w:tcPr>
            <w:tcW w:w="240" w:type="dxa"/>
            <w:vAlign w:val="bottom"/>
            <w:tcBorders>
              <w:top w:val="single" w:sz="8" w:color="auto"/>
              <w:bottom w:val="single" w:sz="8" w:color="CCEEFF"/>
            </w:tcBorders>
          </w:tcPr>
          <w:p>
            <w:pPr>
              <w:spacing w:after="0"/>
              <w:rPr>
                <w:sz w:val="12"/>
                <w:szCs w:val="12"/>
                <w:color w:val="auto"/>
              </w:rPr>
            </w:pPr>
          </w:p>
        </w:tc>
        <w:tc>
          <w:tcPr>
            <w:tcW w:w="200" w:type="dxa"/>
            <w:vAlign w:val="bottom"/>
            <w:tcBorders>
              <w:top w:val="single" w:sz="8" w:color="auto"/>
              <w:bottom w:val="single" w:sz="8" w:color="CCEEFF"/>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620" w:type="dxa"/>
            <w:vAlign w:val="bottom"/>
            <w:tcBorders>
              <w:top w:val="single" w:sz="8" w:color="auto"/>
              <w:bottom w:val="single" w:sz="8" w:color="auto"/>
            </w:tcBorders>
          </w:tcPr>
          <w:p>
            <w:pPr>
              <w:jc w:val="right"/>
              <w:ind w:right="151"/>
              <w:spacing w:after="0" w:line="142" w:lineRule="exact"/>
              <w:rPr>
                <w:sz w:val="20"/>
                <w:szCs w:val="20"/>
                <w:color w:val="auto"/>
              </w:rPr>
            </w:pPr>
            <w:r>
              <w:rPr>
                <w:rFonts w:ascii="Arial" w:cs="Arial" w:eastAsia="Arial" w:hAnsi="Arial"/>
                <w:sz w:val="14"/>
                <w:szCs w:val="14"/>
                <w:b w:val="1"/>
                <w:bCs w:val="1"/>
                <w:color w:val="auto"/>
              </w:rPr>
              <w:t>2020</w:t>
            </w:r>
          </w:p>
        </w:tc>
        <w:tc>
          <w:tcPr>
            <w:tcW w:w="12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726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Cash flows provided by (used in) operating activities:</w:t>
            </w:r>
          </w:p>
        </w:tc>
        <w:tc>
          <w:tcPr>
            <w:tcW w:w="16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260" w:type="dxa"/>
            <w:vAlign w:val="bottom"/>
          </w:tcPr>
          <w:p>
            <w:pPr>
              <w:ind w:left="360"/>
              <w:spacing w:after="0"/>
              <w:rPr>
                <w:sz w:val="20"/>
                <w:szCs w:val="20"/>
                <w:color w:val="auto"/>
              </w:rPr>
            </w:pPr>
            <w:r>
              <w:rPr>
                <w:rFonts w:ascii="Arial" w:cs="Arial" w:eastAsia="Arial" w:hAnsi="Arial"/>
                <w:sz w:val="18"/>
                <w:szCs w:val="18"/>
                <w:color w:val="auto"/>
              </w:rPr>
              <w:t>Net loss</w:t>
            </w:r>
          </w:p>
        </w:tc>
        <w:tc>
          <w:tcPr>
            <w:tcW w:w="18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180"/>
              <w:spacing w:after="0"/>
              <w:rPr>
                <w:sz w:val="20"/>
                <w:szCs w:val="20"/>
                <w:color w:val="auto"/>
              </w:rPr>
            </w:pPr>
            <w:r>
              <w:rPr>
                <w:rFonts w:ascii="Arial" w:cs="Arial" w:eastAsia="Arial" w:hAnsi="Arial"/>
                <w:sz w:val="18"/>
                <w:szCs w:val="18"/>
                <w:color w:val="auto"/>
              </w:rPr>
              <w:t>(25,527)</w:t>
            </w:r>
          </w:p>
        </w:tc>
        <w:tc>
          <w:tcPr>
            <w:tcW w:w="34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60"/>
              <w:spacing w:after="0"/>
              <w:rPr>
                <w:sz w:val="20"/>
                <w:szCs w:val="20"/>
                <w:color w:val="auto"/>
              </w:rPr>
            </w:pPr>
            <w:r>
              <w:rPr>
                <w:rFonts w:ascii="Arial" w:cs="Arial" w:eastAsia="Arial" w:hAnsi="Arial"/>
                <w:sz w:val="18"/>
                <w:szCs w:val="18"/>
                <w:color w:val="auto"/>
                <w:w w:val="98"/>
              </w:rPr>
              <w:t>(25,333)</w:t>
            </w:r>
          </w:p>
        </w:tc>
        <w:tc>
          <w:tcPr>
            <w:tcW w:w="0" w:type="dxa"/>
            <w:vAlign w:val="bottom"/>
          </w:tcPr>
          <w:p>
            <w:pPr>
              <w:spacing w:after="0"/>
              <w:rPr>
                <w:sz w:val="1"/>
                <w:szCs w:val="1"/>
                <w:color w:val="auto"/>
              </w:rPr>
            </w:pPr>
          </w:p>
        </w:tc>
      </w:tr>
      <w:tr>
        <w:trPr>
          <w:trHeight w:val="216"/>
        </w:trPr>
        <w:tc>
          <w:tcPr>
            <w:tcW w:w="7260" w:type="dxa"/>
            <w:vAlign w:val="bottom"/>
            <w:shd w:val="clear" w:color="auto" w:fill="CCEEFF"/>
          </w:tcPr>
          <w:p>
            <w:pPr>
              <w:spacing w:after="0"/>
              <w:rPr>
                <w:sz w:val="20"/>
                <w:szCs w:val="20"/>
                <w:color w:val="auto"/>
              </w:rPr>
            </w:pPr>
            <w:r>
              <w:rPr>
                <w:rFonts w:ascii="Arial" w:cs="Arial" w:eastAsia="Arial" w:hAnsi="Arial"/>
                <w:sz w:val="18"/>
                <w:szCs w:val="18"/>
                <w:color w:val="auto"/>
              </w:rPr>
              <w:t>Adjustments to reconcile net loss to net cash provided by operating activities:</w:t>
            </w:r>
          </w:p>
        </w:tc>
        <w:tc>
          <w:tcPr>
            <w:tcW w:w="1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260" w:type="dxa"/>
            <w:vAlign w:val="bottom"/>
          </w:tcPr>
          <w:p>
            <w:pPr>
              <w:ind w:left="360"/>
              <w:spacing w:after="0"/>
              <w:rPr>
                <w:sz w:val="20"/>
                <w:szCs w:val="20"/>
                <w:color w:val="auto"/>
              </w:rPr>
            </w:pPr>
            <w:r>
              <w:rPr>
                <w:rFonts w:ascii="Arial" w:cs="Arial" w:eastAsia="Arial" w:hAnsi="Arial"/>
                <w:sz w:val="18"/>
                <w:szCs w:val="18"/>
                <w:color w:val="auto"/>
              </w:rPr>
              <w:t>Depreciation and amortization</w:t>
            </w:r>
          </w:p>
        </w:tc>
        <w:tc>
          <w:tcPr>
            <w:tcW w:w="1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gridSpan w:val="2"/>
          </w:tcPr>
          <w:p>
            <w:pPr>
              <w:jc w:val="right"/>
              <w:ind w:right="240"/>
              <w:spacing w:after="0"/>
              <w:rPr>
                <w:sz w:val="20"/>
                <w:szCs w:val="20"/>
                <w:color w:val="auto"/>
              </w:rPr>
            </w:pPr>
            <w:r>
              <w:rPr>
                <w:rFonts w:ascii="Arial" w:cs="Arial" w:eastAsia="Arial" w:hAnsi="Arial"/>
                <w:sz w:val="18"/>
                <w:szCs w:val="18"/>
                <w:color w:val="auto"/>
              </w:rPr>
              <w:t>741</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gridSpan w:val="2"/>
          </w:tcPr>
          <w:p>
            <w:pPr>
              <w:jc w:val="right"/>
              <w:ind w:right="120"/>
              <w:spacing w:after="0"/>
              <w:rPr>
                <w:sz w:val="20"/>
                <w:szCs w:val="20"/>
                <w:color w:val="auto"/>
              </w:rPr>
            </w:pPr>
            <w:r>
              <w:rPr>
                <w:rFonts w:ascii="Arial" w:cs="Arial" w:eastAsia="Arial" w:hAnsi="Arial"/>
                <w:sz w:val="18"/>
                <w:szCs w:val="18"/>
                <w:color w:val="auto"/>
              </w:rPr>
              <w:t>516</w:t>
            </w:r>
          </w:p>
        </w:tc>
        <w:tc>
          <w:tcPr>
            <w:tcW w:w="0" w:type="dxa"/>
            <w:vAlign w:val="bottom"/>
          </w:tcPr>
          <w:p>
            <w:pPr>
              <w:spacing w:after="0"/>
              <w:rPr>
                <w:sz w:val="1"/>
                <w:szCs w:val="1"/>
                <w:color w:val="auto"/>
              </w:rPr>
            </w:pPr>
          </w:p>
        </w:tc>
      </w:tr>
      <w:tr>
        <w:trPr>
          <w:trHeight w:val="216"/>
        </w:trPr>
        <w:tc>
          <w:tcPr>
            <w:tcW w:w="72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Amortization of intangible assets</w:t>
            </w:r>
          </w:p>
        </w:tc>
        <w:tc>
          <w:tcPr>
            <w:tcW w:w="1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28,853</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28,893</w:t>
            </w:r>
          </w:p>
        </w:tc>
        <w:tc>
          <w:tcPr>
            <w:tcW w:w="0" w:type="dxa"/>
            <w:vAlign w:val="bottom"/>
          </w:tcPr>
          <w:p>
            <w:pPr>
              <w:spacing w:after="0"/>
              <w:rPr>
                <w:sz w:val="1"/>
                <w:szCs w:val="1"/>
                <w:color w:val="auto"/>
              </w:rPr>
            </w:pPr>
          </w:p>
        </w:tc>
      </w:tr>
      <w:tr>
        <w:trPr>
          <w:trHeight w:val="216"/>
        </w:trPr>
        <w:tc>
          <w:tcPr>
            <w:tcW w:w="7260" w:type="dxa"/>
            <w:vAlign w:val="bottom"/>
          </w:tcPr>
          <w:p>
            <w:pPr>
              <w:ind w:left="360"/>
              <w:spacing w:after="0"/>
              <w:rPr>
                <w:sz w:val="20"/>
                <w:szCs w:val="20"/>
                <w:color w:val="auto"/>
              </w:rPr>
            </w:pPr>
            <w:r>
              <w:rPr>
                <w:rFonts w:ascii="Arial" w:cs="Arial" w:eastAsia="Arial" w:hAnsi="Arial"/>
                <w:sz w:val="18"/>
                <w:szCs w:val="18"/>
                <w:color w:val="auto"/>
              </w:rPr>
              <w:t>Amortization of deferred contract costs</w:t>
            </w:r>
          </w:p>
        </w:tc>
        <w:tc>
          <w:tcPr>
            <w:tcW w:w="1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gridSpan w:val="2"/>
          </w:tcPr>
          <w:p>
            <w:pPr>
              <w:jc w:val="right"/>
              <w:ind w:right="240"/>
              <w:spacing w:after="0"/>
              <w:rPr>
                <w:sz w:val="20"/>
                <w:szCs w:val="20"/>
                <w:color w:val="auto"/>
              </w:rPr>
            </w:pPr>
            <w:r>
              <w:rPr>
                <w:rFonts w:ascii="Arial" w:cs="Arial" w:eastAsia="Arial" w:hAnsi="Arial"/>
                <w:sz w:val="18"/>
                <w:szCs w:val="18"/>
                <w:color w:val="auto"/>
              </w:rPr>
              <w:t>1,902</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gridSpan w:val="2"/>
          </w:tcPr>
          <w:p>
            <w:pPr>
              <w:jc w:val="right"/>
              <w:ind w:right="120"/>
              <w:spacing w:after="0"/>
              <w:rPr>
                <w:sz w:val="20"/>
                <w:szCs w:val="20"/>
                <w:color w:val="auto"/>
              </w:rPr>
            </w:pPr>
            <w:r>
              <w:rPr>
                <w:rFonts w:ascii="Arial" w:cs="Arial" w:eastAsia="Arial" w:hAnsi="Arial"/>
                <w:sz w:val="18"/>
                <w:szCs w:val="18"/>
                <w:color w:val="auto"/>
              </w:rPr>
              <w:t>589</w:t>
            </w:r>
          </w:p>
        </w:tc>
        <w:tc>
          <w:tcPr>
            <w:tcW w:w="0" w:type="dxa"/>
            <w:vAlign w:val="bottom"/>
          </w:tcPr>
          <w:p>
            <w:pPr>
              <w:spacing w:after="0"/>
              <w:rPr>
                <w:sz w:val="1"/>
                <w:szCs w:val="1"/>
                <w:color w:val="auto"/>
              </w:rPr>
            </w:pPr>
          </w:p>
        </w:tc>
      </w:tr>
      <w:tr>
        <w:trPr>
          <w:trHeight w:val="216"/>
        </w:trPr>
        <w:tc>
          <w:tcPr>
            <w:tcW w:w="72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Unit-based compensation</w:t>
            </w:r>
          </w:p>
        </w:tc>
        <w:tc>
          <w:tcPr>
            <w:tcW w:w="1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2,021</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872</w:t>
            </w:r>
          </w:p>
        </w:tc>
        <w:tc>
          <w:tcPr>
            <w:tcW w:w="0" w:type="dxa"/>
            <w:vAlign w:val="bottom"/>
          </w:tcPr>
          <w:p>
            <w:pPr>
              <w:spacing w:after="0"/>
              <w:rPr>
                <w:sz w:val="1"/>
                <w:szCs w:val="1"/>
                <w:color w:val="auto"/>
              </w:rPr>
            </w:pPr>
          </w:p>
        </w:tc>
      </w:tr>
      <w:tr>
        <w:trPr>
          <w:trHeight w:val="216"/>
        </w:trPr>
        <w:tc>
          <w:tcPr>
            <w:tcW w:w="7260" w:type="dxa"/>
            <w:vAlign w:val="bottom"/>
          </w:tcPr>
          <w:p>
            <w:pPr>
              <w:ind w:left="360"/>
              <w:spacing w:after="0"/>
              <w:rPr>
                <w:sz w:val="20"/>
                <w:szCs w:val="20"/>
                <w:color w:val="auto"/>
              </w:rPr>
            </w:pPr>
            <w:r>
              <w:rPr>
                <w:rFonts w:ascii="Arial" w:cs="Arial" w:eastAsia="Arial" w:hAnsi="Arial"/>
                <w:sz w:val="18"/>
                <w:szCs w:val="18"/>
                <w:color w:val="auto"/>
              </w:rPr>
              <w:t>Noncash paid in-kind interest expense</w:t>
            </w:r>
          </w:p>
        </w:tc>
        <w:tc>
          <w:tcPr>
            <w:tcW w:w="1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gridSpan w:val="2"/>
          </w:tcPr>
          <w:p>
            <w:pPr>
              <w:jc w:val="right"/>
              <w:ind w:right="120"/>
              <w:spacing w:after="0"/>
              <w:rPr>
                <w:sz w:val="20"/>
                <w:szCs w:val="20"/>
                <w:color w:val="auto"/>
              </w:rPr>
            </w:pPr>
            <w:r>
              <w:rPr>
                <w:rFonts w:ascii="Arial" w:cs="Arial" w:eastAsia="Arial" w:hAnsi="Arial"/>
                <w:sz w:val="18"/>
                <w:szCs w:val="18"/>
                <w:color w:val="auto"/>
              </w:rPr>
              <w:t>4,354</w:t>
            </w:r>
          </w:p>
        </w:tc>
        <w:tc>
          <w:tcPr>
            <w:tcW w:w="0" w:type="dxa"/>
            <w:vAlign w:val="bottom"/>
          </w:tcPr>
          <w:p>
            <w:pPr>
              <w:spacing w:after="0"/>
              <w:rPr>
                <w:sz w:val="1"/>
                <w:szCs w:val="1"/>
                <w:color w:val="auto"/>
              </w:rPr>
            </w:pPr>
          </w:p>
        </w:tc>
      </w:tr>
      <w:tr>
        <w:trPr>
          <w:trHeight w:val="216"/>
        </w:trPr>
        <w:tc>
          <w:tcPr>
            <w:tcW w:w="72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Amortization of debt issuance costs</w:t>
            </w:r>
          </w:p>
        </w:tc>
        <w:tc>
          <w:tcPr>
            <w:tcW w:w="1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1,047</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1,027</w:t>
            </w:r>
          </w:p>
        </w:tc>
        <w:tc>
          <w:tcPr>
            <w:tcW w:w="0" w:type="dxa"/>
            <w:vAlign w:val="bottom"/>
          </w:tcPr>
          <w:p>
            <w:pPr>
              <w:spacing w:after="0"/>
              <w:rPr>
                <w:sz w:val="1"/>
                <w:szCs w:val="1"/>
                <w:color w:val="auto"/>
              </w:rPr>
            </w:pPr>
          </w:p>
        </w:tc>
      </w:tr>
      <w:tr>
        <w:trPr>
          <w:trHeight w:val="216"/>
        </w:trPr>
        <w:tc>
          <w:tcPr>
            <w:tcW w:w="7260" w:type="dxa"/>
            <w:vAlign w:val="bottom"/>
          </w:tcPr>
          <w:p>
            <w:pPr>
              <w:ind w:left="360"/>
              <w:spacing w:after="0"/>
              <w:rPr>
                <w:sz w:val="20"/>
                <w:szCs w:val="20"/>
                <w:color w:val="auto"/>
              </w:rPr>
            </w:pPr>
            <w:r>
              <w:rPr>
                <w:rFonts w:ascii="Arial" w:cs="Arial" w:eastAsia="Arial" w:hAnsi="Arial"/>
                <w:sz w:val="18"/>
                <w:szCs w:val="18"/>
                <w:color w:val="auto"/>
              </w:rPr>
              <w:t>Changes in fair value of contingent consideration</w:t>
            </w:r>
          </w:p>
        </w:tc>
        <w:tc>
          <w:tcPr>
            <w:tcW w:w="1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gridSpan w:val="2"/>
          </w:tcPr>
          <w:p>
            <w:pPr>
              <w:jc w:val="right"/>
              <w:ind w:right="240"/>
              <w:spacing w:after="0"/>
              <w:rPr>
                <w:sz w:val="20"/>
                <w:szCs w:val="20"/>
                <w:color w:val="auto"/>
              </w:rPr>
            </w:pPr>
            <w:r>
              <w:rPr>
                <w:rFonts w:ascii="Arial" w:cs="Arial" w:eastAsia="Arial" w:hAnsi="Arial"/>
                <w:sz w:val="18"/>
                <w:szCs w:val="18"/>
                <w:color w:val="auto"/>
              </w:rPr>
              <w:t>3,381</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72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(Recovery of) provision for doubtful accounts receivable</w:t>
            </w:r>
          </w:p>
        </w:tc>
        <w:tc>
          <w:tcPr>
            <w:tcW w:w="1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(105)</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375</w:t>
            </w:r>
          </w:p>
        </w:tc>
        <w:tc>
          <w:tcPr>
            <w:tcW w:w="0" w:type="dxa"/>
            <w:vAlign w:val="bottom"/>
          </w:tcPr>
          <w:p>
            <w:pPr>
              <w:spacing w:after="0"/>
              <w:rPr>
                <w:sz w:val="1"/>
                <w:szCs w:val="1"/>
                <w:color w:val="auto"/>
              </w:rPr>
            </w:pPr>
          </w:p>
        </w:tc>
      </w:tr>
      <w:tr>
        <w:trPr>
          <w:trHeight w:val="216"/>
        </w:trPr>
        <w:tc>
          <w:tcPr>
            <w:tcW w:w="7260" w:type="dxa"/>
            <w:vAlign w:val="bottom"/>
          </w:tcPr>
          <w:p>
            <w:pPr>
              <w:ind w:left="360"/>
              <w:spacing w:after="0"/>
              <w:rPr>
                <w:sz w:val="20"/>
                <w:szCs w:val="20"/>
                <w:color w:val="auto"/>
              </w:rPr>
            </w:pPr>
            <w:r>
              <w:rPr>
                <w:rFonts w:ascii="Arial" w:cs="Arial" w:eastAsia="Arial" w:hAnsi="Arial"/>
                <w:sz w:val="18"/>
                <w:szCs w:val="18"/>
                <w:color w:val="auto"/>
              </w:rPr>
              <w:t>Changes in operating assets and liabilities:</w:t>
            </w:r>
          </w:p>
        </w:tc>
        <w:tc>
          <w:tcPr>
            <w:tcW w:w="1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2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Accounts receivable</w:t>
            </w:r>
          </w:p>
        </w:tc>
        <w:tc>
          <w:tcPr>
            <w:tcW w:w="1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10,476</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5,066</w:t>
            </w:r>
          </w:p>
        </w:tc>
        <w:tc>
          <w:tcPr>
            <w:tcW w:w="0" w:type="dxa"/>
            <w:vAlign w:val="bottom"/>
          </w:tcPr>
          <w:p>
            <w:pPr>
              <w:spacing w:after="0"/>
              <w:rPr>
                <w:sz w:val="1"/>
                <w:szCs w:val="1"/>
                <w:color w:val="auto"/>
              </w:rPr>
            </w:pPr>
          </w:p>
        </w:tc>
      </w:tr>
      <w:tr>
        <w:trPr>
          <w:trHeight w:val="216"/>
        </w:trPr>
        <w:tc>
          <w:tcPr>
            <w:tcW w:w="7260" w:type="dxa"/>
            <w:vAlign w:val="bottom"/>
          </w:tcPr>
          <w:p>
            <w:pPr>
              <w:ind w:left="360"/>
              <w:spacing w:after="0"/>
              <w:rPr>
                <w:sz w:val="20"/>
                <w:szCs w:val="20"/>
                <w:color w:val="auto"/>
              </w:rPr>
            </w:pPr>
            <w:r>
              <w:rPr>
                <w:rFonts w:ascii="Arial" w:cs="Arial" w:eastAsia="Arial" w:hAnsi="Arial"/>
                <w:sz w:val="18"/>
                <w:szCs w:val="18"/>
                <w:color w:val="auto"/>
              </w:rPr>
              <w:t>Prepaid expenses and other current assets</w:t>
            </w:r>
          </w:p>
        </w:tc>
        <w:tc>
          <w:tcPr>
            <w:tcW w:w="1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gridSpan w:val="2"/>
          </w:tcPr>
          <w:p>
            <w:pPr>
              <w:jc w:val="right"/>
              <w:ind w:right="180"/>
              <w:spacing w:after="0"/>
              <w:rPr>
                <w:sz w:val="20"/>
                <w:szCs w:val="20"/>
                <w:color w:val="auto"/>
              </w:rPr>
            </w:pPr>
            <w:r>
              <w:rPr>
                <w:rFonts w:ascii="Arial" w:cs="Arial" w:eastAsia="Arial" w:hAnsi="Arial"/>
                <w:sz w:val="18"/>
                <w:szCs w:val="18"/>
                <w:color w:val="auto"/>
              </w:rPr>
              <w:t>(614)</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gridSpan w:val="2"/>
          </w:tcPr>
          <w:p>
            <w:pPr>
              <w:jc w:val="right"/>
              <w:ind w:right="120"/>
              <w:spacing w:after="0"/>
              <w:rPr>
                <w:sz w:val="20"/>
                <w:szCs w:val="20"/>
                <w:color w:val="auto"/>
              </w:rPr>
            </w:pPr>
            <w:r>
              <w:rPr>
                <w:rFonts w:ascii="Arial" w:cs="Arial" w:eastAsia="Arial" w:hAnsi="Arial"/>
                <w:sz w:val="18"/>
                <w:szCs w:val="18"/>
                <w:color w:val="auto"/>
              </w:rPr>
              <w:t>63</w:t>
            </w:r>
          </w:p>
        </w:tc>
        <w:tc>
          <w:tcPr>
            <w:tcW w:w="0" w:type="dxa"/>
            <w:vAlign w:val="bottom"/>
          </w:tcPr>
          <w:p>
            <w:pPr>
              <w:spacing w:after="0"/>
              <w:rPr>
                <w:sz w:val="1"/>
                <w:szCs w:val="1"/>
                <w:color w:val="auto"/>
              </w:rPr>
            </w:pPr>
          </w:p>
        </w:tc>
      </w:tr>
      <w:tr>
        <w:trPr>
          <w:trHeight w:val="216"/>
        </w:trPr>
        <w:tc>
          <w:tcPr>
            <w:tcW w:w="72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Deferred contract costs</w:t>
            </w:r>
          </w:p>
        </w:tc>
        <w:tc>
          <w:tcPr>
            <w:tcW w:w="1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(6,042)</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(2,572)</w:t>
            </w:r>
          </w:p>
        </w:tc>
        <w:tc>
          <w:tcPr>
            <w:tcW w:w="0" w:type="dxa"/>
            <w:vAlign w:val="bottom"/>
          </w:tcPr>
          <w:p>
            <w:pPr>
              <w:spacing w:after="0"/>
              <w:rPr>
                <w:sz w:val="1"/>
                <w:szCs w:val="1"/>
                <w:color w:val="auto"/>
              </w:rPr>
            </w:pPr>
          </w:p>
        </w:tc>
      </w:tr>
      <w:tr>
        <w:trPr>
          <w:trHeight w:val="216"/>
        </w:trPr>
        <w:tc>
          <w:tcPr>
            <w:tcW w:w="7260" w:type="dxa"/>
            <w:vAlign w:val="bottom"/>
          </w:tcPr>
          <w:p>
            <w:pPr>
              <w:ind w:left="360"/>
              <w:spacing w:after="0"/>
              <w:rPr>
                <w:sz w:val="20"/>
                <w:szCs w:val="20"/>
                <w:color w:val="auto"/>
              </w:rPr>
            </w:pPr>
            <w:r>
              <w:rPr>
                <w:rFonts w:ascii="Arial" w:cs="Arial" w:eastAsia="Arial" w:hAnsi="Arial"/>
                <w:sz w:val="18"/>
                <w:szCs w:val="18"/>
                <w:color w:val="auto"/>
              </w:rPr>
              <w:t>Accounts payable, accrued expenses and other liabilities</w:t>
            </w:r>
          </w:p>
        </w:tc>
        <w:tc>
          <w:tcPr>
            <w:tcW w:w="1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gridSpan w:val="2"/>
          </w:tcPr>
          <w:p>
            <w:pPr>
              <w:jc w:val="right"/>
              <w:ind w:right="180"/>
              <w:spacing w:after="0"/>
              <w:rPr>
                <w:sz w:val="20"/>
                <w:szCs w:val="20"/>
                <w:color w:val="auto"/>
              </w:rPr>
            </w:pPr>
            <w:r>
              <w:rPr>
                <w:rFonts w:ascii="Arial" w:cs="Arial" w:eastAsia="Arial" w:hAnsi="Arial"/>
                <w:sz w:val="18"/>
                <w:szCs w:val="18"/>
                <w:color w:val="auto"/>
              </w:rPr>
              <w:t>(2,119)</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gridSpan w:val="2"/>
          </w:tcPr>
          <w:p>
            <w:pPr>
              <w:jc w:val="right"/>
              <w:ind w:right="60"/>
              <w:spacing w:after="0"/>
              <w:rPr>
                <w:sz w:val="20"/>
                <w:szCs w:val="20"/>
                <w:color w:val="auto"/>
              </w:rPr>
            </w:pPr>
            <w:r>
              <w:rPr>
                <w:rFonts w:ascii="Arial" w:cs="Arial" w:eastAsia="Arial" w:hAnsi="Arial"/>
                <w:sz w:val="18"/>
                <w:szCs w:val="18"/>
                <w:color w:val="auto"/>
              </w:rPr>
              <w:t>(3,939)</w:t>
            </w:r>
          </w:p>
        </w:tc>
        <w:tc>
          <w:tcPr>
            <w:tcW w:w="0" w:type="dxa"/>
            <w:vAlign w:val="bottom"/>
          </w:tcPr>
          <w:p>
            <w:pPr>
              <w:spacing w:after="0"/>
              <w:rPr>
                <w:sz w:val="1"/>
                <w:szCs w:val="1"/>
                <w:color w:val="auto"/>
              </w:rPr>
            </w:pPr>
          </w:p>
        </w:tc>
      </w:tr>
      <w:tr>
        <w:trPr>
          <w:trHeight w:val="216"/>
        </w:trPr>
        <w:tc>
          <w:tcPr>
            <w:tcW w:w="72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Deferred revenue</w:t>
            </w:r>
          </w:p>
        </w:tc>
        <w:tc>
          <w:tcPr>
            <w:tcW w:w="1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7,927</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3,838</w:t>
            </w:r>
          </w:p>
        </w:tc>
        <w:tc>
          <w:tcPr>
            <w:tcW w:w="0" w:type="dxa"/>
            <w:vAlign w:val="bottom"/>
          </w:tcPr>
          <w:p>
            <w:pPr>
              <w:spacing w:after="0"/>
              <w:rPr>
                <w:sz w:val="1"/>
                <w:szCs w:val="1"/>
                <w:color w:val="auto"/>
              </w:rPr>
            </w:pPr>
          </w:p>
        </w:tc>
      </w:tr>
      <w:tr>
        <w:trPr>
          <w:trHeight w:val="230"/>
        </w:trPr>
        <w:tc>
          <w:tcPr>
            <w:tcW w:w="7260" w:type="dxa"/>
            <w:vAlign w:val="bottom"/>
          </w:tcPr>
          <w:p>
            <w:pPr>
              <w:spacing w:after="0"/>
              <w:rPr>
                <w:sz w:val="20"/>
                <w:szCs w:val="20"/>
                <w:color w:val="auto"/>
              </w:rPr>
            </w:pPr>
            <w:r>
              <w:rPr>
                <w:rFonts w:ascii="Arial" w:cs="Arial" w:eastAsia="Arial" w:hAnsi="Arial"/>
                <w:sz w:val="18"/>
                <w:szCs w:val="18"/>
                <w:color w:val="auto"/>
              </w:rPr>
              <w:t>Net cash provided by operating activities</w:t>
            </w:r>
          </w:p>
        </w:tc>
        <w:tc>
          <w:tcPr>
            <w:tcW w:w="1680" w:type="dxa"/>
            <w:vAlign w:val="bottom"/>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21,941</w:t>
            </w:r>
          </w:p>
        </w:tc>
        <w:tc>
          <w:tcPr>
            <w:tcW w:w="2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0" w:type="dxa"/>
            <w:vAlign w:val="bottom"/>
            <w:tcBorders>
              <w:top w:val="single" w:sz="8" w:color="auto"/>
              <w:bottom w:val="single" w:sz="8" w:color="auto"/>
            </w:tcBorders>
          </w:tcPr>
          <w:p>
            <w:pPr>
              <w:spacing w:after="0"/>
              <w:rPr>
                <w:sz w:val="20"/>
                <w:szCs w:val="20"/>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13,749</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72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flows used in investing activities:</w:t>
            </w:r>
          </w:p>
        </w:tc>
        <w:tc>
          <w:tcPr>
            <w:tcW w:w="1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260" w:type="dxa"/>
            <w:vAlign w:val="bottom"/>
          </w:tcPr>
          <w:p>
            <w:pPr>
              <w:ind w:left="360"/>
              <w:spacing w:after="0"/>
              <w:rPr>
                <w:sz w:val="20"/>
                <w:szCs w:val="20"/>
                <w:color w:val="auto"/>
              </w:rPr>
            </w:pPr>
            <w:r>
              <w:rPr>
                <w:rFonts w:ascii="Arial" w:cs="Arial" w:eastAsia="Arial" w:hAnsi="Arial"/>
                <w:sz w:val="18"/>
                <w:szCs w:val="18"/>
                <w:color w:val="auto"/>
              </w:rPr>
              <w:t>Purchases of property, equipment and other assets</w:t>
            </w:r>
          </w:p>
        </w:tc>
        <w:tc>
          <w:tcPr>
            <w:tcW w:w="1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gridSpan w:val="2"/>
          </w:tcPr>
          <w:p>
            <w:pPr>
              <w:jc w:val="right"/>
              <w:ind w:right="180"/>
              <w:spacing w:after="0"/>
              <w:rPr>
                <w:sz w:val="20"/>
                <w:szCs w:val="20"/>
                <w:color w:val="auto"/>
              </w:rPr>
            </w:pPr>
            <w:r>
              <w:rPr>
                <w:rFonts w:ascii="Arial" w:cs="Arial" w:eastAsia="Arial" w:hAnsi="Arial"/>
                <w:sz w:val="18"/>
                <w:szCs w:val="18"/>
                <w:color w:val="auto"/>
              </w:rPr>
              <w:t>(5,222)</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gridSpan w:val="2"/>
          </w:tcPr>
          <w:p>
            <w:pPr>
              <w:jc w:val="right"/>
              <w:ind w:right="60"/>
              <w:spacing w:after="0"/>
              <w:rPr>
                <w:sz w:val="20"/>
                <w:szCs w:val="20"/>
                <w:color w:val="auto"/>
              </w:rPr>
            </w:pPr>
            <w:r>
              <w:rPr>
                <w:rFonts w:ascii="Arial" w:cs="Arial" w:eastAsia="Arial" w:hAnsi="Arial"/>
                <w:sz w:val="18"/>
                <w:szCs w:val="18"/>
                <w:color w:val="auto"/>
              </w:rPr>
              <w:t>(895)</w:t>
            </w:r>
          </w:p>
        </w:tc>
        <w:tc>
          <w:tcPr>
            <w:tcW w:w="0" w:type="dxa"/>
            <w:vAlign w:val="bottom"/>
          </w:tcPr>
          <w:p>
            <w:pPr>
              <w:spacing w:after="0"/>
              <w:rPr>
                <w:sz w:val="1"/>
                <w:szCs w:val="1"/>
                <w:color w:val="auto"/>
              </w:rPr>
            </w:pPr>
          </w:p>
        </w:tc>
      </w:tr>
      <w:tr>
        <w:trPr>
          <w:trHeight w:val="27"/>
        </w:trPr>
        <w:tc>
          <w:tcPr>
            <w:tcW w:w="7260" w:type="dxa"/>
            <w:vAlign w:val="bottom"/>
          </w:tcPr>
          <w:p>
            <w:pPr>
              <w:spacing w:after="0"/>
              <w:rPr>
                <w:sz w:val="2"/>
                <w:szCs w:val="2"/>
                <w:color w:val="auto"/>
              </w:rPr>
            </w:pPr>
          </w:p>
        </w:tc>
        <w:tc>
          <w:tcPr>
            <w:tcW w:w="16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7260" w:type="dxa"/>
            <w:vAlign w:val="bottom"/>
            <w:shd w:val="clear" w:color="auto" w:fill="CCEEFF"/>
          </w:tcPr>
          <w:p>
            <w:pPr>
              <w:spacing w:after="0"/>
              <w:rPr>
                <w:sz w:val="20"/>
                <w:szCs w:val="20"/>
                <w:color w:val="auto"/>
              </w:rPr>
            </w:pPr>
            <w:r>
              <w:rPr>
                <w:rFonts w:ascii="Arial" w:cs="Arial" w:eastAsia="Arial" w:hAnsi="Arial"/>
                <w:sz w:val="18"/>
                <w:szCs w:val="18"/>
                <w:color w:val="auto"/>
              </w:rPr>
              <w:t>Net cash used in investing activities</w:t>
            </w:r>
          </w:p>
        </w:tc>
        <w:tc>
          <w:tcPr>
            <w:tcW w:w="1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(5,222)</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(895)</w:t>
            </w:r>
          </w:p>
        </w:tc>
        <w:tc>
          <w:tcPr>
            <w:tcW w:w="0" w:type="dxa"/>
            <w:vAlign w:val="bottom"/>
          </w:tcPr>
          <w:p>
            <w:pPr>
              <w:spacing w:after="0"/>
              <w:rPr>
                <w:sz w:val="1"/>
                <w:szCs w:val="1"/>
                <w:color w:val="auto"/>
              </w:rPr>
            </w:pPr>
          </w:p>
        </w:tc>
      </w:tr>
      <w:tr>
        <w:trPr>
          <w:trHeight w:val="223"/>
        </w:trPr>
        <w:tc>
          <w:tcPr>
            <w:tcW w:w="7260" w:type="dxa"/>
            <w:vAlign w:val="bottom"/>
          </w:tcPr>
          <w:p>
            <w:pPr>
              <w:spacing w:after="0"/>
              <w:rPr>
                <w:sz w:val="20"/>
                <w:szCs w:val="20"/>
                <w:color w:val="auto"/>
              </w:rPr>
            </w:pPr>
            <w:r>
              <w:rPr>
                <w:rFonts w:ascii="Arial" w:cs="Arial" w:eastAsia="Arial" w:hAnsi="Arial"/>
                <w:sz w:val="18"/>
                <w:szCs w:val="18"/>
                <w:b w:val="1"/>
                <w:bCs w:val="1"/>
                <w:color w:val="auto"/>
              </w:rPr>
              <w:t>Cash flows (used in) provided by financing activities:</w:t>
            </w:r>
          </w:p>
        </w:tc>
        <w:tc>
          <w:tcPr>
            <w:tcW w:w="168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62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72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Proceeds from Revolving Line of Credit</w:t>
            </w:r>
          </w:p>
        </w:tc>
        <w:tc>
          <w:tcPr>
            <w:tcW w:w="1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25,000</w:t>
            </w:r>
          </w:p>
        </w:tc>
        <w:tc>
          <w:tcPr>
            <w:tcW w:w="0" w:type="dxa"/>
            <w:vAlign w:val="bottom"/>
          </w:tcPr>
          <w:p>
            <w:pPr>
              <w:spacing w:after="0"/>
              <w:rPr>
                <w:sz w:val="1"/>
                <w:szCs w:val="1"/>
                <w:color w:val="auto"/>
              </w:rPr>
            </w:pPr>
          </w:p>
        </w:tc>
      </w:tr>
      <w:tr>
        <w:trPr>
          <w:trHeight w:val="216"/>
        </w:trPr>
        <w:tc>
          <w:tcPr>
            <w:tcW w:w="7260" w:type="dxa"/>
            <w:vAlign w:val="bottom"/>
          </w:tcPr>
          <w:p>
            <w:pPr>
              <w:ind w:left="360"/>
              <w:spacing w:after="0"/>
              <w:rPr>
                <w:sz w:val="20"/>
                <w:szCs w:val="20"/>
                <w:color w:val="auto"/>
              </w:rPr>
            </w:pPr>
            <w:r>
              <w:rPr>
                <w:rFonts w:ascii="Arial" w:cs="Arial" w:eastAsia="Arial" w:hAnsi="Arial"/>
                <w:sz w:val="18"/>
                <w:szCs w:val="18"/>
                <w:color w:val="auto"/>
              </w:rPr>
              <w:t>Repayments on Term Loan and Delayed Draw Term Loan</w:t>
            </w:r>
          </w:p>
        </w:tc>
        <w:tc>
          <w:tcPr>
            <w:tcW w:w="1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gridSpan w:val="2"/>
          </w:tcPr>
          <w:p>
            <w:pPr>
              <w:jc w:val="right"/>
              <w:ind w:right="180"/>
              <w:spacing w:after="0"/>
              <w:rPr>
                <w:sz w:val="20"/>
                <w:szCs w:val="20"/>
                <w:color w:val="auto"/>
              </w:rPr>
            </w:pPr>
            <w:r>
              <w:rPr>
                <w:rFonts w:ascii="Arial" w:cs="Arial" w:eastAsia="Arial" w:hAnsi="Arial"/>
                <w:sz w:val="18"/>
                <w:szCs w:val="18"/>
                <w:color w:val="auto"/>
              </w:rPr>
              <w:t>(2,340)</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gridSpan w:val="2"/>
          </w:tcPr>
          <w:p>
            <w:pPr>
              <w:jc w:val="right"/>
              <w:ind w:right="60"/>
              <w:spacing w:after="0"/>
              <w:rPr>
                <w:sz w:val="20"/>
                <w:szCs w:val="20"/>
                <w:color w:val="auto"/>
              </w:rPr>
            </w:pPr>
            <w:r>
              <w:rPr>
                <w:rFonts w:ascii="Arial" w:cs="Arial" w:eastAsia="Arial" w:hAnsi="Arial"/>
                <w:sz w:val="18"/>
                <w:szCs w:val="18"/>
                <w:color w:val="auto"/>
              </w:rPr>
              <w:t>(2,250)</w:t>
            </w:r>
          </w:p>
        </w:tc>
        <w:tc>
          <w:tcPr>
            <w:tcW w:w="0" w:type="dxa"/>
            <w:vAlign w:val="bottom"/>
          </w:tcPr>
          <w:p>
            <w:pPr>
              <w:spacing w:after="0"/>
              <w:rPr>
                <w:sz w:val="1"/>
                <w:szCs w:val="1"/>
                <w:color w:val="auto"/>
              </w:rPr>
            </w:pPr>
          </w:p>
        </w:tc>
      </w:tr>
      <w:tr>
        <w:trPr>
          <w:trHeight w:val="216"/>
        </w:trPr>
        <w:tc>
          <w:tcPr>
            <w:tcW w:w="72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Payment of contingent consideration</w:t>
            </w:r>
          </w:p>
        </w:tc>
        <w:tc>
          <w:tcPr>
            <w:tcW w:w="1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(1,500)</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7260" w:type="dxa"/>
            <w:vAlign w:val="bottom"/>
          </w:tcPr>
          <w:p>
            <w:pPr>
              <w:ind w:left="360"/>
              <w:spacing w:after="0"/>
              <w:rPr>
                <w:sz w:val="20"/>
                <w:szCs w:val="20"/>
                <w:color w:val="auto"/>
              </w:rPr>
            </w:pPr>
            <w:r>
              <w:rPr>
                <w:rFonts w:ascii="Arial" w:cs="Arial" w:eastAsia="Arial" w:hAnsi="Arial"/>
                <w:sz w:val="18"/>
                <w:szCs w:val="18"/>
                <w:color w:val="auto"/>
              </w:rPr>
              <w:t>Payments of deferred IPO costs</w:t>
            </w:r>
          </w:p>
        </w:tc>
        <w:tc>
          <w:tcPr>
            <w:tcW w:w="1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gridSpan w:val="2"/>
          </w:tcPr>
          <w:p>
            <w:pPr>
              <w:jc w:val="right"/>
              <w:ind w:right="180"/>
              <w:spacing w:after="0"/>
              <w:rPr>
                <w:sz w:val="20"/>
                <w:szCs w:val="20"/>
                <w:color w:val="auto"/>
              </w:rPr>
            </w:pPr>
            <w:r>
              <w:rPr>
                <w:rFonts w:ascii="Arial" w:cs="Arial" w:eastAsia="Arial" w:hAnsi="Arial"/>
                <w:sz w:val="18"/>
                <w:szCs w:val="18"/>
                <w:color w:val="auto"/>
              </w:rPr>
              <w:t>(1,394)</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72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Distribution to members</w:t>
            </w:r>
          </w:p>
        </w:tc>
        <w:tc>
          <w:tcPr>
            <w:tcW w:w="1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(3,328)</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(48)</w:t>
            </w:r>
          </w:p>
        </w:tc>
        <w:tc>
          <w:tcPr>
            <w:tcW w:w="0" w:type="dxa"/>
            <w:vAlign w:val="bottom"/>
          </w:tcPr>
          <w:p>
            <w:pPr>
              <w:spacing w:after="0"/>
              <w:rPr>
                <w:sz w:val="1"/>
                <w:szCs w:val="1"/>
                <w:color w:val="auto"/>
              </w:rPr>
            </w:pPr>
          </w:p>
        </w:tc>
      </w:tr>
      <w:tr>
        <w:trPr>
          <w:trHeight w:val="216"/>
        </w:trPr>
        <w:tc>
          <w:tcPr>
            <w:tcW w:w="7260" w:type="dxa"/>
            <w:vAlign w:val="bottom"/>
          </w:tcPr>
          <w:p>
            <w:pPr>
              <w:ind w:left="360"/>
              <w:spacing w:after="0"/>
              <w:rPr>
                <w:sz w:val="20"/>
                <w:szCs w:val="20"/>
                <w:color w:val="auto"/>
              </w:rPr>
            </w:pPr>
            <w:r>
              <w:rPr>
                <w:rFonts w:ascii="Arial" w:cs="Arial" w:eastAsia="Arial" w:hAnsi="Arial"/>
                <w:sz w:val="18"/>
                <w:szCs w:val="18"/>
                <w:color w:val="auto"/>
              </w:rPr>
              <w:t>Members’ contributions</w:t>
            </w:r>
          </w:p>
        </w:tc>
        <w:tc>
          <w:tcPr>
            <w:tcW w:w="1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gridSpan w:val="2"/>
          </w:tcPr>
          <w:p>
            <w:pPr>
              <w:jc w:val="right"/>
              <w:ind w:right="240"/>
              <w:spacing w:after="0"/>
              <w:rPr>
                <w:sz w:val="20"/>
                <w:szCs w:val="20"/>
                <w:color w:val="auto"/>
              </w:rPr>
            </w:pPr>
            <w:r>
              <w:rPr>
                <w:rFonts w:ascii="Arial" w:cs="Arial" w:eastAsia="Arial" w:hAnsi="Arial"/>
                <w:sz w:val="18"/>
                <w:szCs w:val="18"/>
                <w:color w:val="auto"/>
              </w:rPr>
              <w:t>5,500</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7260" w:type="dxa"/>
            <w:vAlign w:val="bottom"/>
          </w:tcPr>
          <w:p>
            <w:pPr>
              <w:spacing w:after="0"/>
              <w:rPr>
                <w:sz w:val="2"/>
                <w:szCs w:val="2"/>
                <w:color w:val="auto"/>
              </w:rPr>
            </w:pPr>
          </w:p>
        </w:tc>
        <w:tc>
          <w:tcPr>
            <w:tcW w:w="16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7260" w:type="dxa"/>
            <w:vAlign w:val="bottom"/>
            <w:shd w:val="clear" w:color="auto" w:fill="CCEEFF"/>
          </w:tcPr>
          <w:p>
            <w:pPr>
              <w:spacing w:after="0"/>
              <w:rPr>
                <w:sz w:val="20"/>
                <w:szCs w:val="20"/>
                <w:color w:val="auto"/>
              </w:rPr>
            </w:pPr>
            <w:r>
              <w:rPr>
                <w:rFonts w:ascii="Arial" w:cs="Arial" w:eastAsia="Arial" w:hAnsi="Arial"/>
                <w:sz w:val="18"/>
                <w:szCs w:val="18"/>
                <w:color w:val="auto"/>
              </w:rPr>
              <w:t>Net cash (used in) provided by financing activities</w:t>
            </w:r>
          </w:p>
        </w:tc>
        <w:tc>
          <w:tcPr>
            <w:tcW w:w="1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(3,062)</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22,702</w:t>
            </w:r>
          </w:p>
        </w:tc>
        <w:tc>
          <w:tcPr>
            <w:tcW w:w="0" w:type="dxa"/>
            <w:vAlign w:val="bottom"/>
          </w:tcPr>
          <w:p>
            <w:pPr>
              <w:spacing w:after="0"/>
              <w:rPr>
                <w:sz w:val="1"/>
                <w:szCs w:val="1"/>
                <w:color w:val="auto"/>
              </w:rPr>
            </w:pPr>
          </w:p>
        </w:tc>
      </w:tr>
      <w:tr>
        <w:trPr>
          <w:trHeight w:val="223"/>
        </w:trPr>
        <w:tc>
          <w:tcPr>
            <w:tcW w:w="7260" w:type="dxa"/>
            <w:vAlign w:val="bottom"/>
          </w:tcPr>
          <w:p>
            <w:pPr>
              <w:spacing w:after="0"/>
              <w:rPr>
                <w:sz w:val="20"/>
                <w:szCs w:val="20"/>
                <w:color w:val="auto"/>
              </w:rPr>
            </w:pPr>
            <w:r>
              <w:rPr>
                <w:rFonts w:ascii="Arial" w:cs="Arial" w:eastAsia="Arial" w:hAnsi="Arial"/>
                <w:sz w:val="18"/>
                <w:szCs w:val="18"/>
                <w:color w:val="auto"/>
              </w:rPr>
              <w:t>Net increase in cash and cash equivalents</w:t>
            </w:r>
          </w:p>
        </w:tc>
        <w:tc>
          <w:tcPr>
            <w:tcW w:w="168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13,657</w:t>
            </w: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35,556</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72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Effect of exchange rate changes on cash and cash equivalents</w:t>
            </w:r>
          </w:p>
        </w:tc>
        <w:tc>
          <w:tcPr>
            <w:tcW w:w="1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7</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260" w:type="dxa"/>
            <w:vAlign w:val="bottom"/>
          </w:tcPr>
          <w:p>
            <w:pPr>
              <w:ind w:left="360"/>
              <w:spacing w:after="0"/>
              <w:rPr>
                <w:sz w:val="20"/>
                <w:szCs w:val="20"/>
                <w:color w:val="auto"/>
              </w:rPr>
            </w:pPr>
            <w:r>
              <w:rPr>
                <w:rFonts w:ascii="Arial" w:cs="Arial" w:eastAsia="Arial" w:hAnsi="Arial"/>
                <w:sz w:val="18"/>
                <w:szCs w:val="18"/>
                <w:color w:val="auto"/>
              </w:rPr>
              <w:t>Cash and cash equivalents, beginning of period</w:t>
            </w:r>
          </w:p>
        </w:tc>
        <w:tc>
          <w:tcPr>
            <w:tcW w:w="1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gridSpan w:val="2"/>
          </w:tcPr>
          <w:p>
            <w:pPr>
              <w:jc w:val="right"/>
              <w:ind w:right="240"/>
              <w:spacing w:after="0"/>
              <w:rPr>
                <w:sz w:val="20"/>
                <w:szCs w:val="20"/>
                <w:color w:val="auto"/>
              </w:rPr>
            </w:pPr>
            <w:r>
              <w:rPr>
                <w:rFonts w:ascii="Arial" w:cs="Arial" w:eastAsia="Arial" w:hAnsi="Arial"/>
                <w:sz w:val="18"/>
                <w:szCs w:val="18"/>
                <w:color w:val="auto"/>
              </w:rPr>
              <w:t>24,774</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gridSpan w:val="2"/>
          </w:tcPr>
          <w:p>
            <w:pPr>
              <w:jc w:val="right"/>
              <w:ind w:right="120"/>
              <w:spacing w:after="0"/>
              <w:rPr>
                <w:sz w:val="20"/>
                <w:szCs w:val="20"/>
                <w:color w:val="auto"/>
              </w:rPr>
            </w:pPr>
            <w:r>
              <w:rPr>
                <w:rFonts w:ascii="Arial" w:cs="Arial" w:eastAsia="Arial" w:hAnsi="Arial"/>
                <w:sz w:val="18"/>
                <w:szCs w:val="18"/>
                <w:color w:val="auto"/>
              </w:rPr>
              <w:t>8,618</w:t>
            </w:r>
          </w:p>
        </w:tc>
        <w:tc>
          <w:tcPr>
            <w:tcW w:w="0" w:type="dxa"/>
            <w:vAlign w:val="bottom"/>
          </w:tcPr>
          <w:p>
            <w:pPr>
              <w:spacing w:after="0"/>
              <w:rPr>
                <w:sz w:val="1"/>
                <w:szCs w:val="1"/>
                <w:color w:val="auto"/>
              </w:rPr>
            </w:pPr>
          </w:p>
        </w:tc>
      </w:tr>
      <w:tr>
        <w:trPr>
          <w:trHeight w:val="27"/>
        </w:trPr>
        <w:tc>
          <w:tcPr>
            <w:tcW w:w="7260" w:type="dxa"/>
            <w:vAlign w:val="bottom"/>
          </w:tcPr>
          <w:p>
            <w:pPr>
              <w:spacing w:after="0"/>
              <w:rPr>
                <w:sz w:val="2"/>
                <w:szCs w:val="2"/>
                <w:color w:val="auto"/>
              </w:rPr>
            </w:pPr>
          </w:p>
        </w:tc>
        <w:tc>
          <w:tcPr>
            <w:tcW w:w="16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72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Cash and cash equivalents, end of period</w:t>
            </w:r>
          </w:p>
        </w:tc>
        <w:tc>
          <w:tcPr>
            <w:tcW w:w="168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38,438</w:t>
            </w:r>
          </w:p>
        </w:tc>
        <w:tc>
          <w:tcPr>
            <w:tcW w:w="3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44,174</w:t>
            </w:r>
          </w:p>
        </w:tc>
        <w:tc>
          <w:tcPr>
            <w:tcW w:w="0" w:type="dxa"/>
            <w:vAlign w:val="bottom"/>
          </w:tcPr>
          <w:p>
            <w:pPr>
              <w:spacing w:after="0"/>
              <w:rPr>
                <w:sz w:val="1"/>
                <w:szCs w:val="1"/>
                <w:color w:val="auto"/>
              </w:rPr>
            </w:pPr>
          </w:p>
        </w:tc>
      </w:tr>
      <w:tr>
        <w:trPr>
          <w:trHeight w:val="20"/>
        </w:trPr>
        <w:tc>
          <w:tcPr>
            <w:tcW w:w="7260" w:type="dxa"/>
            <w:vAlign w:val="bottom"/>
            <w:vMerge w:val="restart"/>
          </w:tcPr>
          <w:p>
            <w:pPr>
              <w:spacing w:after="0"/>
              <w:rPr>
                <w:sz w:val="20"/>
                <w:szCs w:val="20"/>
                <w:color w:val="auto"/>
              </w:rPr>
            </w:pPr>
            <w:r>
              <w:rPr>
                <w:rFonts w:ascii="Arial" w:cs="Arial" w:eastAsia="Arial" w:hAnsi="Arial"/>
                <w:sz w:val="18"/>
                <w:szCs w:val="18"/>
                <w:b w:val="1"/>
                <w:bCs w:val="1"/>
                <w:color w:val="auto"/>
              </w:rPr>
              <w:t>Supplemental disclosures for cash flow information:</w:t>
            </w:r>
          </w:p>
        </w:tc>
        <w:tc>
          <w:tcPr>
            <w:tcW w:w="16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260" w:type="dxa"/>
            <w:vAlign w:val="bottom"/>
            <w:vMerge w:val="continue"/>
          </w:tcPr>
          <w:p>
            <w:pPr>
              <w:spacing w:after="0"/>
              <w:rPr>
                <w:sz w:val="18"/>
                <w:szCs w:val="18"/>
                <w:color w:val="auto"/>
              </w:rPr>
            </w:pPr>
          </w:p>
        </w:tc>
        <w:tc>
          <w:tcPr>
            <w:tcW w:w="1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2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Cash paid during the period for:</w:t>
            </w:r>
          </w:p>
        </w:tc>
        <w:tc>
          <w:tcPr>
            <w:tcW w:w="1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260" w:type="dxa"/>
            <w:vAlign w:val="bottom"/>
          </w:tcPr>
          <w:p>
            <w:pPr>
              <w:ind w:left="720"/>
              <w:spacing w:after="0"/>
              <w:rPr>
                <w:sz w:val="20"/>
                <w:szCs w:val="20"/>
                <w:color w:val="auto"/>
              </w:rPr>
            </w:pPr>
            <w:r>
              <w:rPr>
                <w:rFonts w:ascii="Arial" w:cs="Arial" w:eastAsia="Arial" w:hAnsi="Arial"/>
                <w:sz w:val="18"/>
                <w:szCs w:val="18"/>
                <w:color w:val="auto"/>
              </w:rPr>
              <w:t>Interest</w:t>
            </w:r>
          </w:p>
        </w:tc>
        <w:tc>
          <w:tcPr>
            <w:tcW w:w="18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240"/>
              <w:spacing w:after="0"/>
              <w:rPr>
                <w:sz w:val="20"/>
                <w:szCs w:val="20"/>
                <w:color w:val="auto"/>
              </w:rPr>
            </w:pPr>
            <w:r>
              <w:rPr>
                <w:rFonts w:ascii="Arial" w:cs="Arial" w:eastAsia="Arial" w:hAnsi="Arial"/>
                <w:sz w:val="18"/>
                <w:szCs w:val="18"/>
                <w:color w:val="auto"/>
              </w:rPr>
              <w:t>15,972</w:t>
            </w:r>
          </w:p>
        </w:tc>
        <w:tc>
          <w:tcPr>
            <w:tcW w:w="34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120"/>
              <w:spacing w:after="0"/>
              <w:rPr>
                <w:sz w:val="20"/>
                <w:szCs w:val="20"/>
                <w:color w:val="auto"/>
              </w:rPr>
            </w:pPr>
            <w:r>
              <w:rPr>
                <w:rFonts w:ascii="Arial" w:cs="Arial" w:eastAsia="Arial" w:hAnsi="Arial"/>
                <w:sz w:val="18"/>
                <w:szCs w:val="18"/>
                <w:color w:val="auto"/>
              </w:rPr>
              <w:t>13,886</w:t>
            </w:r>
          </w:p>
        </w:tc>
        <w:tc>
          <w:tcPr>
            <w:tcW w:w="0" w:type="dxa"/>
            <w:vAlign w:val="bottom"/>
          </w:tcPr>
          <w:p>
            <w:pPr>
              <w:spacing w:after="0"/>
              <w:rPr>
                <w:sz w:val="1"/>
                <w:szCs w:val="1"/>
                <w:color w:val="auto"/>
              </w:rPr>
            </w:pPr>
          </w:p>
        </w:tc>
      </w:tr>
      <w:tr>
        <w:trPr>
          <w:trHeight w:val="216"/>
        </w:trPr>
        <w:tc>
          <w:tcPr>
            <w:tcW w:w="7260" w:type="dxa"/>
            <w:vAlign w:val="bottom"/>
            <w:shd w:val="clear" w:color="auto" w:fill="CCEEFF"/>
          </w:tcPr>
          <w:p>
            <w:pPr>
              <w:ind w:left="720"/>
              <w:spacing w:after="0"/>
              <w:rPr>
                <w:sz w:val="20"/>
                <w:szCs w:val="20"/>
                <w:color w:val="auto"/>
              </w:rPr>
            </w:pPr>
            <w:r>
              <w:rPr>
                <w:rFonts w:ascii="Arial" w:cs="Arial" w:eastAsia="Arial" w:hAnsi="Arial"/>
                <w:sz w:val="18"/>
                <w:szCs w:val="18"/>
                <w:color w:val="auto"/>
              </w:rPr>
              <w:t>Income taxes</w:t>
            </w:r>
          </w:p>
        </w:tc>
        <w:tc>
          <w:tcPr>
            <w:tcW w:w="1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13</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726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left="3580"/>
        <w:spacing w:after="0"/>
        <w:rPr>
          <w:sz w:val="20"/>
          <w:szCs w:val="20"/>
          <w:color w:val="auto"/>
        </w:rPr>
      </w:pPr>
      <w:r>
        <w:rPr>
          <w:rFonts w:ascii="Arial" w:cs="Arial" w:eastAsia="Arial" w:hAnsi="Arial"/>
          <w:sz w:val="18"/>
          <w:szCs w:val="18"/>
          <w:color w:val="auto"/>
        </w:rPr>
        <w:t>See notes to condensed consolidated financial statements</w:t>
      </w:r>
    </w:p>
    <w:p>
      <w:pPr>
        <w:spacing w:after="0" w:line="158"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F-52</w:t>
      </w:r>
    </w:p>
    <w:p>
      <w:pPr>
        <w:sectPr>
          <w:pgSz w:w="11900" w:h="16838" w:orient="portrait"/>
          <w:cols w:equalWidth="0" w:num="1">
            <w:col w:w="11140"/>
          </w:cols>
          <w:pgMar w:left="320" w:top="459" w:right="439" w:bottom="1440" w:gutter="0" w:footer="0" w:header="0"/>
        </w:sectPr>
      </w:pPr>
    </w:p>
    <w:bookmarkStart w:id="258" w:name="page259"/>
    <w:bookmarkEnd w:id="25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44">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Confidential Treatment Requested by Definitive Healthcare Corp.</w:t>
      </w:r>
    </w:p>
    <w:p>
      <w:pPr>
        <w:spacing w:after="0" w:line="27"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Pursuant to 17 C.F.R. Section 200.83</w:t>
      </w:r>
    </w:p>
    <w:p>
      <w:pPr>
        <w:spacing w:after="0" w:line="139"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AIDH TOPCO, LLC</w:t>
      </w:r>
    </w:p>
    <w:p>
      <w:pPr>
        <w:spacing w:after="0" w:line="22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27" w:lineRule="exact"/>
        <w:rPr>
          <w:sz w:val="20"/>
          <w:szCs w:val="20"/>
          <w:color w:val="auto"/>
        </w:rPr>
      </w:pPr>
    </w:p>
    <w:p>
      <w:pPr>
        <w:jc w:val="center"/>
        <w:ind w:right="-99"/>
        <w:spacing w:after="0"/>
        <w:rPr>
          <w:sz w:val="20"/>
          <w:szCs w:val="20"/>
          <w:color w:val="auto"/>
        </w:rPr>
      </w:pPr>
      <w:r>
        <w:rPr>
          <w:rFonts w:ascii="Arial" w:cs="Arial" w:eastAsia="Arial" w:hAnsi="Arial"/>
          <w:sz w:val="18"/>
          <w:szCs w:val="18"/>
          <w:i w:val="1"/>
          <w:iCs w:val="1"/>
          <w:color w:val="auto"/>
        </w:rPr>
        <w:t>(amounts in thousands)</w:t>
      </w:r>
    </w:p>
    <w:p>
      <w:pPr>
        <w:spacing w:after="0" w:line="9" w:lineRule="exact"/>
        <w:rPr>
          <w:sz w:val="20"/>
          <w:szCs w:val="20"/>
          <w:color w:val="auto"/>
        </w:rPr>
      </w:pPr>
    </w:p>
    <w:p>
      <w:pPr>
        <w:jc w:val="center"/>
        <w:ind w:right="-99"/>
        <w:spacing w:after="0"/>
        <w:rPr>
          <w:sz w:val="20"/>
          <w:szCs w:val="20"/>
          <w:color w:val="auto"/>
        </w:rPr>
      </w:pPr>
      <w:r>
        <w:rPr>
          <w:rFonts w:ascii="Arial" w:cs="Arial" w:eastAsia="Arial" w:hAnsi="Arial"/>
          <w:sz w:val="18"/>
          <w:szCs w:val="18"/>
          <w:i w:val="1"/>
          <w:iCs w:val="1"/>
          <w:color w:val="auto"/>
        </w:rPr>
        <w:t>(Unaudited)</w:t>
      </w:r>
    </w:p>
    <w:p>
      <w:pPr>
        <w:spacing w:after="0" w:line="229"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87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140" w:type="dxa"/>
            <w:vAlign w:val="bottom"/>
            <w:gridSpan w:val="6"/>
          </w:tcPr>
          <w:p>
            <w:pPr>
              <w:ind w:left="120"/>
              <w:spacing w:after="0"/>
              <w:rPr>
                <w:sz w:val="20"/>
                <w:szCs w:val="20"/>
                <w:color w:val="auto"/>
              </w:rPr>
            </w:pPr>
            <w:r>
              <w:rPr>
                <w:rFonts w:ascii="Arial" w:cs="Arial" w:eastAsia="Arial" w:hAnsi="Arial"/>
                <w:sz w:val="14"/>
                <w:szCs w:val="14"/>
                <w:b w:val="1"/>
                <w:bCs w:val="1"/>
                <w:color w:val="auto"/>
              </w:rPr>
              <w:t>Six Months Ended June 30,</w:t>
            </w:r>
          </w:p>
        </w:tc>
      </w:tr>
      <w:tr>
        <w:trPr>
          <w:trHeight w:val="142"/>
        </w:trPr>
        <w:tc>
          <w:tcPr>
            <w:tcW w:w="8720" w:type="dxa"/>
            <w:vAlign w:val="bottom"/>
            <w:tcBorders>
              <w:bottom w:val="single" w:sz="8" w:color="CCEEFF"/>
            </w:tcBorders>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600" w:type="dxa"/>
            <w:vAlign w:val="bottom"/>
            <w:tcBorders>
              <w:top w:val="single" w:sz="8" w:color="auto"/>
              <w:bottom w:val="single" w:sz="8" w:color="auto"/>
            </w:tcBorders>
          </w:tcPr>
          <w:p>
            <w:pPr>
              <w:jc w:val="right"/>
              <w:ind w:right="159"/>
              <w:spacing w:after="0" w:line="142" w:lineRule="exact"/>
              <w:rPr>
                <w:sz w:val="20"/>
                <w:szCs w:val="20"/>
                <w:color w:val="auto"/>
              </w:rPr>
            </w:pPr>
            <w:r>
              <w:rPr>
                <w:rFonts w:ascii="Arial" w:cs="Arial" w:eastAsia="Arial" w:hAnsi="Arial"/>
                <w:sz w:val="14"/>
                <w:szCs w:val="14"/>
                <w:b w:val="1"/>
                <w:bCs w:val="1"/>
                <w:color w:val="auto"/>
              </w:rPr>
              <w:t>2021</w:t>
            </w:r>
          </w:p>
        </w:tc>
        <w:tc>
          <w:tcPr>
            <w:tcW w:w="380" w:type="dxa"/>
            <w:vAlign w:val="bottom"/>
            <w:tcBorders>
              <w:top w:val="single" w:sz="8" w:color="auto"/>
              <w:bottom w:val="single" w:sz="8" w:color="CCEEFF"/>
            </w:tcBorders>
          </w:tcPr>
          <w:p>
            <w:pPr>
              <w:spacing w:after="0"/>
              <w:rPr>
                <w:sz w:val="12"/>
                <w:szCs w:val="12"/>
                <w:color w:val="auto"/>
              </w:rPr>
            </w:pPr>
          </w:p>
        </w:tc>
        <w:tc>
          <w:tcPr>
            <w:tcW w:w="320" w:type="dxa"/>
            <w:vAlign w:val="bottom"/>
            <w:tcBorders>
              <w:top w:val="single" w:sz="8" w:color="auto"/>
              <w:bottom w:val="single" w:sz="8" w:color="CCEEFF"/>
            </w:tcBorders>
          </w:tcPr>
          <w:p>
            <w:pPr>
              <w:spacing w:after="0"/>
              <w:rPr>
                <w:sz w:val="12"/>
                <w:szCs w:val="12"/>
                <w:color w:val="auto"/>
              </w:rPr>
            </w:pPr>
          </w:p>
        </w:tc>
        <w:tc>
          <w:tcPr>
            <w:tcW w:w="180" w:type="dxa"/>
            <w:vAlign w:val="bottom"/>
            <w:tcBorders>
              <w:top w:val="single" w:sz="8" w:color="auto"/>
              <w:bottom w:val="single" w:sz="8" w:color="auto"/>
            </w:tcBorders>
          </w:tcPr>
          <w:p>
            <w:pPr>
              <w:spacing w:after="0"/>
              <w:rPr>
                <w:sz w:val="12"/>
                <w:szCs w:val="12"/>
                <w:color w:val="auto"/>
              </w:rPr>
            </w:pPr>
          </w:p>
        </w:tc>
        <w:tc>
          <w:tcPr>
            <w:tcW w:w="600" w:type="dxa"/>
            <w:vAlign w:val="bottom"/>
            <w:tcBorders>
              <w:top w:val="single" w:sz="8" w:color="auto"/>
              <w:bottom w:val="single" w:sz="8" w:color="auto"/>
            </w:tcBorders>
          </w:tcPr>
          <w:p>
            <w:pPr>
              <w:jc w:val="right"/>
              <w:ind w:right="156"/>
              <w:spacing w:after="0" w:line="142" w:lineRule="exact"/>
              <w:rPr>
                <w:sz w:val="20"/>
                <w:szCs w:val="20"/>
                <w:color w:val="auto"/>
              </w:rPr>
            </w:pPr>
            <w:r>
              <w:rPr>
                <w:rFonts w:ascii="Arial" w:cs="Arial" w:eastAsia="Arial" w:hAnsi="Arial"/>
                <w:sz w:val="14"/>
                <w:szCs w:val="14"/>
                <w:b w:val="1"/>
                <w:bCs w:val="1"/>
                <w:color w:val="auto"/>
              </w:rPr>
              <w:t>2020</w:t>
            </w:r>
          </w:p>
        </w:tc>
        <w:tc>
          <w:tcPr>
            <w:tcW w:w="60" w:type="dxa"/>
            <w:vAlign w:val="bottom"/>
            <w:tcBorders>
              <w:bottom w:val="single" w:sz="8" w:color="CCEEFF"/>
            </w:tcBorders>
          </w:tcPr>
          <w:p>
            <w:pPr>
              <w:spacing w:after="0"/>
              <w:rPr>
                <w:sz w:val="12"/>
                <w:szCs w:val="12"/>
                <w:color w:val="auto"/>
              </w:rPr>
            </w:pPr>
          </w:p>
        </w:tc>
      </w:tr>
      <w:tr>
        <w:trPr>
          <w:trHeight w:val="196"/>
        </w:trPr>
        <w:tc>
          <w:tcPr>
            <w:tcW w:w="872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Supplemental noncash disclosures of investing activities:</w:t>
            </w:r>
          </w:p>
        </w:tc>
        <w:tc>
          <w:tcPr>
            <w:tcW w:w="16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r>
      <w:tr>
        <w:trPr>
          <w:trHeight w:val="216"/>
        </w:trPr>
        <w:tc>
          <w:tcPr>
            <w:tcW w:w="8720" w:type="dxa"/>
            <w:vAlign w:val="bottom"/>
          </w:tcPr>
          <w:p>
            <w:pPr>
              <w:ind w:left="360"/>
              <w:spacing w:after="0"/>
              <w:rPr>
                <w:sz w:val="20"/>
                <w:szCs w:val="20"/>
                <w:color w:val="auto"/>
              </w:rPr>
            </w:pPr>
            <w:r>
              <w:rPr>
                <w:rFonts w:ascii="Arial" w:cs="Arial" w:eastAsia="Arial" w:hAnsi="Arial"/>
                <w:sz w:val="18"/>
                <w:szCs w:val="18"/>
                <w:color w:val="auto"/>
              </w:rPr>
              <w:t>Purchases of data within accounts payable</w:t>
            </w:r>
          </w:p>
        </w:tc>
        <w:tc>
          <w:tcPr>
            <w:tcW w:w="160" w:type="dxa"/>
            <w:vAlign w:val="bottom"/>
          </w:tcPr>
          <w:p>
            <w:pPr>
              <w:jc w:val="right"/>
              <w:ind w:right="7"/>
              <w:spacing w:after="0"/>
              <w:rPr>
                <w:sz w:val="20"/>
                <w:szCs w:val="20"/>
                <w:color w:val="auto"/>
              </w:rPr>
            </w:pPr>
            <w:r>
              <w:rPr>
                <w:rFonts w:ascii="Arial" w:cs="Arial" w:eastAsia="Arial" w:hAnsi="Arial"/>
                <w:sz w:val="15"/>
                <w:szCs w:val="15"/>
                <w:color w:val="auto"/>
                <w:w w:val="71"/>
              </w:rPr>
              <w:t>$</w:t>
            </w:r>
          </w:p>
        </w:tc>
        <w:tc>
          <w:tcPr>
            <w:tcW w:w="980" w:type="dxa"/>
            <w:vAlign w:val="bottom"/>
            <w:gridSpan w:val="2"/>
          </w:tcPr>
          <w:p>
            <w:pPr>
              <w:jc w:val="right"/>
              <w:ind w:right="320"/>
              <w:spacing w:after="0"/>
              <w:rPr>
                <w:sz w:val="20"/>
                <w:szCs w:val="20"/>
                <w:color w:val="auto"/>
              </w:rPr>
            </w:pPr>
            <w:r>
              <w:rPr>
                <w:rFonts w:ascii="Arial" w:cs="Arial" w:eastAsia="Arial" w:hAnsi="Arial"/>
                <w:sz w:val="18"/>
                <w:szCs w:val="18"/>
                <w:color w:val="auto"/>
              </w:rPr>
              <w:t>(3,389)</w:t>
            </w:r>
          </w:p>
        </w:tc>
        <w:tc>
          <w:tcPr>
            <w:tcW w:w="50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660" w:type="dxa"/>
            <w:vAlign w:val="bottom"/>
            <w:gridSpan w:val="2"/>
          </w:tcPr>
          <w:p>
            <w:pPr>
              <w:ind w:left="320"/>
              <w:spacing w:after="0"/>
              <w:rPr>
                <w:sz w:val="20"/>
                <w:szCs w:val="20"/>
                <w:color w:val="auto"/>
              </w:rPr>
            </w:pPr>
            <w:r>
              <w:rPr>
                <w:rFonts w:ascii="Arial" w:cs="Arial" w:eastAsia="Arial" w:hAnsi="Arial"/>
                <w:sz w:val="18"/>
                <w:szCs w:val="18"/>
                <w:color w:val="auto"/>
              </w:rPr>
              <w:t>—</w:t>
            </w:r>
          </w:p>
        </w:tc>
      </w:tr>
      <w:tr>
        <w:trPr>
          <w:trHeight w:val="20"/>
        </w:trPr>
        <w:tc>
          <w:tcPr>
            <w:tcW w:w="87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10"/>
        </w:trPr>
        <w:tc>
          <w:tcPr>
            <w:tcW w:w="87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Supplemental noncash disclosures of financing activities:</w:t>
            </w: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16"/>
        </w:trPr>
        <w:tc>
          <w:tcPr>
            <w:tcW w:w="8720" w:type="dxa"/>
            <w:vAlign w:val="bottom"/>
          </w:tcPr>
          <w:p>
            <w:pPr>
              <w:ind w:left="360"/>
              <w:spacing w:after="0"/>
              <w:rPr>
                <w:sz w:val="20"/>
                <w:szCs w:val="20"/>
                <w:color w:val="auto"/>
              </w:rPr>
            </w:pPr>
            <w:r>
              <w:rPr>
                <w:rFonts w:ascii="Arial" w:cs="Arial" w:eastAsia="Arial" w:hAnsi="Arial"/>
                <w:sz w:val="18"/>
                <w:szCs w:val="18"/>
                <w:color w:val="auto"/>
              </w:rPr>
              <w:t>Accrued expenditures of deferred IPO costs</w:t>
            </w:r>
          </w:p>
        </w:tc>
        <w:tc>
          <w:tcPr>
            <w:tcW w:w="160" w:type="dxa"/>
            <w:vAlign w:val="bottom"/>
          </w:tcPr>
          <w:p>
            <w:pPr>
              <w:jc w:val="right"/>
              <w:ind w:right="7"/>
              <w:spacing w:after="0"/>
              <w:rPr>
                <w:sz w:val="20"/>
                <w:szCs w:val="20"/>
                <w:color w:val="auto"/>
              </w:rPr>
            </w:pPr>
            <w:r>
              <w:rPr>
                <w:rFonts w:ascii="Arial" w:cs="Arial" w:eastAsia="Arial" w:hAnsi="Arial"/>
                <w:sz w:val="15"/>
                <w:szCs w:val="15"/>
                <w:color w:val="auto"/>
                <w:w w:val="71"/>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2,426</w:t>
            </w:r>
          </w:p>
        </w:tc>
        <w:tc>
          <w:tcPr>
            <w:tcW w:w="380" w:type="dxa"/>
            <w:vAlign w:val="bottom"/>
          </w:tcPr>
          <w:p>
            <w:pPr>
              <w:spacing w:after="0"/>
              <w:rPr>
                <w:sz w:val="18"/>
                <w:szCs w:val="18"/>
                <w:color w:val="auto"/>
              </w:rPr>
            </w:pPr>
          </w:p>
        </w:tc>
        <w:tc>
          <w:tcPr>
            <w:tcW w:w="50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660" w:type="dxa"/>
            <w:vAlign w:val="bottom"/>
            <w:gridSpan w:val="2"/>
          </w:tcPr>
          <w:p>
            <w:pPr>
              <w:ind w:left="320"/>
              <w:spacing w:after="0"/>
              <w:rPr>
                <w:sz w:val="20"/>
                <w:szCs w:val="20"/>
                <w:color w:val="auto"/>
              </w:rPr>
            </w:pPr>
            <w:r>
              <w:rPr>
                <w:rFonts w:ascii="Arial" w:cs="Arial" w:eastAsia="Arial" w:hAnsi="Arial"/>
                <w:sz w:val="18"/>
                <w:szCs w:val="18"/>
                <w:color w:val="auto"/>
              </w:rPr>
              <w:t>—</w:t>
            </w:r>
          </w:p>
        </w:tc>
      </w:tr>
      <w:tr>
        <w:trPr>
          <w:trHeight w:val="20"/>
        </w:trPr>
        <w:tc>
          <w:tcPr>
            <w:tcW w:w="87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15" w:lineRule="exact"/>
        <w:rPr>
          <w:sz w:val="20"/>
          <w:szCs w:val="20"/>
          <w:color w:val="auto"/>
        </w:rPr>
      </w:pPr>
    </w:p>
    <w:p>
      <w:pPr>
        <w:ind w:left="3580"/>
        <w:spacing w:after="0"/>
        <w:rPr>
          <w:sz w:val="20"/>
          <w:szCs w:val="20"/>
          <w:color w:val="auto"/>
        </w:rPr>
      </w:pPr>
      <w:r>
        <w:rPr>
          <w:rFonts w:ascii="Arial" w:cs="Arial" w:eastAsia="Arial" w:hAnsi="Arial"/>
          <w:sz w:val="18"/>
          <w:szCs w:val="18"/>
          <w:color w:val="auto"/>
        </w:rPr>
        <w:t>See notes to condensed consolidated financial statements</w:t>
      </w:r>
    </w:p>
    <w:p>
      <w:pPr>
        <w:spacing w:after="0" w:line="158"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F-53</w:t>
      </w:r>
    </w:p>
    <w:p>
      <w:pPr>
        <w:sectPr>
          <w:pgSz w:w="11900" w:h="16838" w:orient="portrait"/>
          <w:cols w:equalWidth="0" w:num="1">
            <w:col w:w="11140"/>
          </w:cols>
          <w:pgMar w:left="320" w:top="459" w:right="439" w:bottom="1440" w:gutter="0" w:footer="0" w:header="0"/>
        </w:sectPr>
      </w:pPr>
    </w:p>
    <w:bookmarkStart w:id="259" w:name="page260"/>
    <w:bookmarkEnd w:id="25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45">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Confidential Treatment Requested by Definitive Healthcare Corp.</w:t>
      </w:r>
    </w:p>
    <w:p>
      <w:pPr>
        <w:spacing w:after="0" w:line="27"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Pursuant to 17 C.F.R. Section 200.83</w:t>
      </w:r>
    </w:p>
    <w:p>
      <w:pPr>
        <w:spacing w:after="0" w:line="139"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AIDH TOPCO, LLC</w:t>
      </w:r>
    </w:p>
    <w:p>
      <w:pPr>
        <w:spacing w:after="0" w:line="225"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NOTES TO THE CONDENSED CONSOLIDATED FINANCIAL STATEMENTS</w:t>
      </w:r>
    </w:p>
    <w:p>
      <w:pPr>
        <w:spacing w:after="0" w:line="252" w:lineRule="exact"/>
        <w:rPr>
          <w:sz w:val="20"/>
          <w:szCs w:val="20"/>
          <w:color w:val="auto"/>
        </w:rPr>
      </w:pPr>
    </w:p>
    <w:p>
      <w:pPr>
        <w:ind w:left="540" w:hanging="424"/>
        <w:spacing w:after="0"/>
        <w:tabs>
          <w:tab w:leader="none" w:pos="540" w:val="left"/>
        </w:tabs>
        <w:numPr>
          <w:ilvl w:val="0"/>
          <w:numId w:val="203"/>
        </w:numPr>
        <w:rPr>
          <w:rFonts w:ascii="Arial" w:cs="Arial" w:eastAsia="Arial" w:hAnsi="Arial"/>
          <w:sz w:val="18"/>
          <w:szCs w:val="18"/>
          <w:b w:val="1"/>
          <w:bCs w:val="1"/>
          <w:color w:val="auto"/>
        </w:rPr>
      </w:pPr>
      <w:r>
        <w:rPr>
          <w:rFonts w:ascii="Arial" w:cs="Arial" w:eastAsia="Arial" w:hAnsi="Arial"/>
          <w:sz w:val="18"/>
          <w:szCs w:val="18"/>
          <w:b w:val="1"/>
          <w:bCs w:val="1"/>
          <w:color w:val="auto"/>
        </w:rPr>
        <w:t>Description of Business</w:t>
      </w:r>
    </w:p>
    <w:p>
      <w:pPr>
        <w:spacing w:after="0" w:line="121" w:lineRule="exact"/>
        <w:rPr>
          <w:sz w:val="20"/>
          <w:szCs w:val="20"/>
          <w:color w:val="auto"/>
        </w:rPr>
      </w:pPr>
    </w:p>
    <w:p>
      <w:pPr>
        <w:ind w:left="120" w:right="160" w:firstLine="440"/>
        <w:spacing w:after="0" w:line="257" w:lineRule="auto"/>
        <w:rPr>
          <w:sz w:val="20"/>
          <w:szCs w:val="20"/>
          <w:color w:val="auto"/>
        </w:rPr>
      </w:pPr>
      <w:r>
        <w:rPr>
          <w:rFonts w:ascii="Arial" w:cs="Arial" w:eastAsia="Arial" w:hAnsi="Arial"/>
          <w:sz w:val="18"/>
          <w:szCs w:val="18"/>
          <w:color w:val="auto"/>
        </w:rPr>
        <w:t>AIDH TopCo, LLC (together with its subsidiaries, “AIDH TopCo” or the “Company”), is a Delaware limited liability company that was formed by investment funds affiliated with Advent International Corporation (“Advent”, the “Sponsor”) for the purpose of acquiring Definitive Healthcare Holdings, LLC (“Definitive Holdco”) and its subsidiary Definitive Healthcare LLC (“Definitive”). On July 16, 2019, AIDH Buyer, LLC (“AIDH Buyer”), a wholly owned subsidiary of the Company, acquired 100% of the issued and outstanding units of Definitive Holdco for $1.7 billion (the “Definitive Holdco Acquisition”).</w:t>
      </w:r>
    </w:p>
    <w:p>
      <w:pPr>
        <w:spacing w:after="0" w:line="188" w:lineRule="exact"/>
        <w:rPr>
          <w:sz w:val="20"/>
          <w:szCs w:val="20"/>
          <w:color w:val="auto"/>
        </w:rPr>
      </w:pPr>
    </w:p>
    <w:p>
      <w:pPr>
        <w:ind w:left="120" w:right="620" w:firstLine="440"/>
        <w:spacing w:after="0" w:line="308" w:lineRule="auto"/>
        <w:rPr>
          <w:sz w:val="20"/>
          <w:szCs w:val="20"/>
          <w:color w:val="auto"/>
        </w:rPr>
      </w:pPr>
      <w:r>
        <w:rPr>
          <w:rFonts w:ascii="Arial" w:cs="Arial" w:eastAsia="Arial" w:hAnsi="Arial"/>
          <w:sz w:val="17"/>
          <w:szCs w:val="17"/>
          <w:color w:val="auto"/>
        </w:rPr>
        <w:t>The Company provides comprehensive and up-to-date hospital and healthcare-related information and insight across the entire healthcare continuum via a multi-tenant database platform which combines proprietary and public sources to deliver insights.</w:t>
      </w:r>
    </w:p>
    <w:p>
      <w:pPr>
        <w:spacing w:after="0" w:line="146" w:lineRule="exact"/>
        <w:rPr>
          <w:sz w:val="20"/>
          <w:szCs w:val="20"/>
          <w:color w:val="auto"/>
        </w:rPr>
      </w:pPr>
    </w:p>
    <w:p>
      <w:pPr>
        <w:ind w:left="120" w:right="360" w:firstLine="440"/>
        <w:spacing w:after="0" w:line="277" w:lineRule="auto"/>
        <w:rPr>
          <w:sz w:val="20"/>
          <w:szCs w:val="20"/>
          <w:color w:val="auto"/>
        </w:rPr>
      </w:pPr>
      <w:r>
        <w:rPr>
          <w:rFonts w:ascii="Arial" w:cs="Arial" w:eastAsia="Arial" w:hAnsi="Arial"/>
          <w:sz w:val="18"/>
          <w:szCs w:val="18"/>
          <w:color w:val="auto"/>
        </w:rPr>
        <w:t>The Company’s headquarters are located in Framingham, MA, with operations in three offices throughout the United States and one office in Sweden.</w:t>
      </w:r>
    </w:p>
    <w:p>
      <w:pPr>
        <w:spacing w:after="0" w:line="170" w:lineRule="exact"/>
        <w:rPr>
          <w:sz w:val="20"/>
          <w:szCs w:val="20"/>
          <w:color w:val="auto"/>
        </w:rPr>
      </w:pPr>
    </w:p>
    <w:p>
      <w:pPr>
        <w:ind w:left="120" w:right="160" w:firstLine="440"/>
        <w:spacing w:after="0" w:line="277" w:lineRule="auto"/>
        <w:rPr>
          <w:sz w:val="20"/>
          <w:szCs w:val="20"/>
          <w:color w:val="auto"/>
        </w:rPr>
      </w:pPr>
      <w:r>
        <w:rPr>
          <w:rFonts w:ascii="Arial" w:cs="Arial" w:eastAsia="Arial" w:hAnsi="Arial"/>
          <w:sz w:val="18"/>
          <w:szCs w:val="18"/>
          <w:color w:val="auto"/>
        </w:rPr>
        <w:t>On January 16, 2019, Definitive acquired substantially all of the assets and assumed substantially all of the liabilities of HIMSS Analytics, LLC (“HIMSS”).</w:t>
      </w:r>
    </w:p>
    <w:p>
      <w:pPr>
        <w:spacing w:after="0" w:line="170" w:lineRule="exact"/>
        <w:rPr>
          <w:sz w:val="20"/>
          <w:szCs w:val="20"/>
          <w:color w:val="auto"/>
        </w:rPr>
      </w:pPr>
    </w:p>
    <w:p>
      <w:pPr>
        <w:ind w:left="560" w:right="3340"/>
        <w:spacing w:after="0" w:line="277" w:lineRule="auto"/>
        <w:rPr>
          <w:sz w:val="20"/>
          <w:szCs w:val="20"/>
          <w:color w:val="auto"/>
        </w:rPr>
      </w:pPr>
      <w:r>
        <w:rPr>
          <w:rFonts w:ascii="Arial" w:cs="Arial" w:eastAsia="Arial" w:hAnsi="Arial"/>
          <w:sz w:val="18"/>
          <w:szCs w:val="18"/>
          <w:color w:val="auto"/>
        </w:rPr>
        <w:t>On December 2, 2019, the Company acquired all of the outstanding common and preferred stock of Healthcare Sales Enablement, Inc. (“HSE”).</w:t>
      </w:r>
    </w:p>
    <w:p>
      <w:pPr>
        <w:spacing w:after="0" w:line="170" w:lineRule="exact"/>
        <w:rPr>
          <w:sz w:val="20"/>
          <w:szCs w:val="20"/>
          <w:color w:val="auto"/>
        </w:rPr>
      </w:pPr>
    </w:p>
    <w:p>
      <w:pPr>
        <w:ind w:left="120" w:right="200" w:firstLine="440"/>
        <w:spacing w:after="0" w:line="277" w:lineRule="auto"/>
        <w:rPr>
          <w:sz w:val="20"/>
          <w:szCs w:val="20"/>
          <w:color w:val="auto"/>
        </w:rPr>
      </w:pPr>
      <w:r>
        <w:rPr>
          <w:rFonts w:ascii="Arial" w:cs="Arial" w:eastAsia="Arial" w:hAnsi="Arial"/>
          <w:sz w:val="18"/>
          <w:szCs w:val="18"/>
          <w:color w:val="auto"/>
        </w:rPr>
        <w:t xml:space="preserve">On October 27, 2020, the Company completed the purchase of all of the outstanding shares of Monocl, a cloud-based platform with millions of expert profiles. Refer to Note 3. </w:t>
      </w:r>
      <w:r>
        <w:rPr>
          <w:rFonts w:ascii="Arial" w:cs="Arial" w:eastAsia="Arial" w:hAnsi="Arial"/>
          <w:sz w:val="18"/>
          <w:szCs w:val="18"/>
          <w:i w:val="1"/>
          <w:iCs w:val="1"/>
          <w:color w:val="auto"/>
        </w:rPr>
        <w:t>Business Combinations</w:t>
      </w:r>
      <w:r>
        <w:rPr>
          <w:rFonts w:ascii="Arial" w:cs="Arial" w:eastAsia="Arial" w:hAnsi="Arial"/>
          <w:sz w:val="18"/>
          <w:szCs w:val="18"/>
          <w:color w:val="auto"/>
        </w:rPr>
        <w:t>, for additional information.</w:t>
      </w:r>
    </w:p>
    <w:p>
      <w:pPr>
        <w:spacing w:after="0" w:line="315" w:lineRule="exact"/>
        <w:rPr>
          <w:sz w:val="20"/>
          <w:szCs w:val="20"/>
          <w:color w:val="auto"/>
        </w:rPr>
      </w:pPr>
    </w:p>
    <w:p>
      <w:pPr>
        <w:ind w:left="560" w:right="7160" w:hanging="444"/>
        <w:spacing w:after="0" w:line="378" w:lineRule="auto"/>
        <w:tabs>
          <w:tab w:leader="none" w:pos="552" w:val="left"/>
        </w:tabs>
        <w:numPr>
          <w:ilvl w:val="0"/>
          <w:numId w:val="204"/>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Summary of Significant Accounting Policies </w:t>
      </w:r>
      <w:r>
        <w:rPr>
          <w:rFonts w:ascii="Arial" w:cs="Arial" w:eastAsia="Arial" w:hAnsi="Arial"/>
          <w:sz w:val="18"/>
          <w:szCs w:val="18"/>
          <w:b w:val="1"/>
          <w:bCs w:val="1"/>
          <w:i w:val="1"/>
          <w:iCs w:val="1"/>
          <w:color w:val="auto"/>
        </w:rPr>
        <w:t>Basis of Presentation</w:t>
      </w:r>
    </w:p>
    <w:p>
      <w:pPr>
        <w:ind w:left="120" w:firstLine="440"/>
        <w:spacing w:after="0" w:line="291" w:lineRule="auto"/>
        <w:rPr>
          <w:sz w:val="20"/>
          <w:szCs w:val="20"/>
          <w:color w:val="auto"/>
        </w:rPr>
      </w:pPr>
      <w:r>
        <w:rPr>
          <w:rFonts w:ascii="Arial" w:cs="Arial" w:eastAsia="Arial" w:hAnsi="Arial"/>
          <w:sz w:val="16"/>
          <w:szCs w:val="16"/>
          <w:color w:val="auto"/>
        </w:rPr>
        <w:t>The accompanying unaudited condensed consolidated financial statements have been prepared in accordance with accounting principles generally accepted in the United States (“GAAP”) and in conformity with rules applicable to quarterly financial information. The Financial Accounting Standards Board (“FASB”) establishes these principles to ensure financial condition, results of operations, and cash flows are consistently reported. Any reference in these notes to applicable accounting guidance is meant to refer to the authoritative nongovernmental GAAP as found in the FASB Accounting Standards Codification (“ASC”). The condensed consolidated financial statements as of June 30, 2021 and for the six months ended June 30, 2021 and June 30, 2020 are unaudited. All adjustments, consisting of normal recurring adjustments, except as otherwise noted, considered necessary for a fair presentation of the unaudited interim condensed consolidated financial statements for these interim periods have been included.</w:t>
      </w:r>
    </w:p>
    <w:p>
      <w:pPr>
        <w:spacing w:after="0" w:line="274"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Principles of Consolidation</w:t>
      </w:r>
    </w:p>
    <w:p>
      <w:pPr>
        <w:spacing w:after="0" w:line="117" w:lineRule="exact"/>
        <w:rPr>
          <w:sz w:val="20"/>
          <w:szCs w:val="20"/>
          <w:color w:val="auto"/>
        </w:rPr>
      </w:pPr>
    </w:p>
    <w:p>
      <w:pPr>
        <w:ind w:left="120" w:right="560" w:firstLine="440"/>
        <w:spacing w:after="0" w:line="277" w:lineRule="auto"/>
        <w:rPr>
          <w:sz w:val="20"/>
          <w:szCs w:val="20"/>
          <w:color w:val="auto"/>
        </w:rPr>
      </w:pPr>
      <w:r>
        <w:rPr>
          <w:rFonts w:ascii="Arial" w:cs="Arial" w:eastAsia="Arial" w:hAnsi="Arial"/>
          <w:sz w:val="18"/>
          <w:szCs w:val="18"/>
          <w:color w:val="auto"/>
        </w:rPr>
        <w:t>The consolidated financial statements include the accounts of the Company and its consolidated subsidiaries. All significant intercompany accounts and transactions have been eliminated in consolidation.</w:t>
      </w:r>
    </w:p>
    <w:p>
      <w:pPr>
        <w:spacing w:after="0" w:line="278"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Use of Estimates in the Preparation of Financial Statements</w:t>
      </w:r>
    </w:p>
    <w:p>
      <w:pPr>
        <w:spacing w:after="0" w:line="117" w:lineRule="exact"/>
        <w:rPr>
          <w:sz w:val="20"/>
          <w:szCs w:val="20"/>
          <w:color w:val="auto"/>
        </w:rPr>
      </w:pPr>
    </w:p>
    <w:p>
      <w:pPr>
        <w:ind w:left="120" w:right="640" w:firstLine="440"/>
        <w:spacing w:after="0" w:line="277" w:lineRule="auto"/>
        <w:rPr>
          <w:sz w:val="20"/>
          <w:szCs w:val="20"/>
          <w:color w:val="auto"/>
        </w:rPr>
      </w:pPr>
      <w:r>
        <w:rPr>
          <w:rFonts w:ascii="Arial" w:cs="Arial" w:eastAsia="Arial" w:hAnsi="Arial"/>
          <w:sz w:val="18"/>
          <w:szCs w:val="18"/>
          <w:color w:val="auto"/>
        </w:rPr>
        <w:t>The preparation of consolidated financial statements in conformity with GAAP requires management to make estimates, judgements, and assumptions that affect the reported amounts of assets and liabilities and</w:t>
      </w:r>
    </w:p>
    <w:p>
      <w:pPr>
        <w:spacing w:after="0" w:line="103" w:lineRule="exact"/>
        <w:rPr>
          <w:sz w:val="20"/>
          <w:szCs w:val="20"/>
          <w:color w:val="auto"/>
        </w:rPr>
      </w:pPr>
    </w:p>
    <w:p>
      <w:pPr>
        <w:jc w:val="center"/>
        <w:ind w:right="-399"/>
        <w:spacing w:after="0"/>
        <w:rPr>
          <w:sz w:val="20"/>
          <w:szCs w:val="20"/>
          <w:color w:val="auto"/>
        </w:rPr>
      </w:pPr>
      <w:r>
        <w:rPr>
          <w:rFonts w:ascii="Arial" w:cs="Arial" w:eastAsia="Arial" w:hAnsi="Arial"/>
          <w:sz w:val="18"/>
          <w:szCs w:val="18"/>
          <w:color w:val="auto"/>
        </w:rPr>
        <w:t>F-54</w:t>
      </w:r>
    </w:p>
    <w:p>
      <w:pPr>
        <w:sectPr>
          <w:pgSz w:w="11900" w:h="16838" w:orient="portrait"/>
          <w:cols w:equalWidth="0" w:num="1">
            <w:col w:w="11080"/>
          </w:cols>
          <w:pgMar w:left="320" w:top="459" w:right="499" w:bottom="1440" w:gutter="0" w:footer="0" w:header="0"/>
        </w:sectPr>
      </w:pPr>
    </w:p>
    <w:bookmarkStart w:id="260" w:name="page261"/>
    <w:bookmarkEnd w:id="26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46">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Confidential Treatment Requested by Definitive Healthcare Corp.</w:t>
      </w:r>
    </w:p>
    <w:p>
      <w:pPr>
        <w:spacing w:after="0" w:line="27"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Pursuant to 17 C.F.R. Section 200.83</w:t>
      </w:r>
    </w:p>
    <w:p>
      <w:pPr>
        <w:spacing w:after="0" w:line="143" w:lineRule="exact"/>
        <w:rPr>
          <w:sz w:val="20"/>
          <w:szCs w:val="20"/>
          <w:color w:val="auto"/>
        </w:rPr>
      </w:pPr>
    </w:p>
    <w:p>
      <w:pPr>
        <w:ind w:left="120" w:right="20"/>
        <w:spacing w:after="0" w:line="259" w:lineRule="auto"/>
        <w:rPr>
          <w:sz w:val="20"/>
          <w:szCs w:val="20"/>
          <w:color w:val="auto"/>
        </w:rPr>
      </w:pPr>
      <w:r>
        <w:rPr>
          <w:rFonts w:ascii="Arial" w:cs="Arial" w:eastAsia="Arial" w:hAnsi="Arial"/>
          <w:sz w:val="18"/>
          <w:szCs w:val="18"/>
          <w:color w:val="auto"/>
        </w:rPr>
        <w:t>disclosure of contingent assets and liabilities at the date of the consolidated financial statements, as well as the reported amounts of revenues and expenses during the reporting period. These estimates relate, but are not limited to, revenue recognition, allowance for doubtful accounts, contingencies, valuations and useful lives of intangible assets acquired in business combinations, equity-based compensation, and income taxes. Actual results could differ from those estimates.</w:t>
      </w:r>
    </w:p>
    <w:p>
      <w:pPr>
        <w:spacing w:after="0" w:line="295"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117" w:lineRule="exact"/>
        <w:rPr>
          <w:sz w:val="20"/>
          <w:szCs w:val="20"/>
          <w:color w:val="auto"/>
        </w:rPr>
      </w:pPr>
    </w:p>
    <w:p>
      <w:pPr>
        <w:ind w:left="120" w:firstLine="440"/>
        <w:spacing w:after="0" w:line="311" w:lineRule="auto"/>
        <w:rPr>
          <w:sz w:val="20"/>
          <w:szCs w:val="20"/>
          <w:color w:val="auto"/>
        </w:rPr>
      </w:pPr>
      <w:r>
        <w:rPr>
          <w:rFonts w:ascii="Arial" w:cs="Arial" w:eastAsia="Arial" w:hAnsi="Arial"/>
          <w:sz w:val="16"/>
          <w:szCs w:val="16"/>
          <w:color w:val="auto"/>
        </w:rPr>
        <w:t>The Company derives revenue primarily from subscription license fees charged for access to the Company’s database platform, and professional services. The customer arrangements include a promise to allow customers to access subscription license to the database platform which is hosted by the Company over the contract period, without allowing the customer to take possession of the subscription license or transfer hosting to a third party.</w:t>
      </w:r>
    </w:p>
    <w:p>
      <w:pPr>
        <w:spacing w:after="0" w:line="149" w:lineRule="exact"/>
        <w:rPr>
          <w:sz w:val="20"/>
          <w:szCs w:val="20"/>
          <w:color w:val="auto"/>
        </w:rPr>
      </w:pPr>
    </w:p>
    <w:p>
      <w:pPr>
        <w:ind w:left="120" w:right="40" w:firstLine="440"/>
        <w:spacing w:after="0" w:line="263" w:lineRule="auto"/>
        <w:rPr>
          <w:sz w:val="20"/>
          <w:szCs w:val="20"/>
          <w:color w:val="auto"/>
        </w:rPr>
      </w:pPr>
      <w:r>
        <w:rPr>
          <w:rFonts w:ascii="Arial" w:cs="Arial" w:eastAsia="Arial" w:hAnsi="Arial"/>
          <w:sz w:val="18"/>
          <w:szCs w:val="18"/>
          <w:color w:val="auto"/>
        </w:rPr>
        <w:t>The Company recognizes revenue in accordance with ASC 606–</w:t>
      </w:r>
      <w:r>
        <w:rPr>
          <w:rFonts w:ascii="Arial" w:cs="Arial" w:eastAsia="Arial" w:hAnsi="Arial"/>
          <w:sz w:val="18"/>
          <w:szCs w:val="18"/>
          <w:i w:val="1"/>
          <w:iCs w:val="1"/>
          <w:color w:val="auto"/>
        </w:rPr>
        <w:t>Revenue from Contracts with Customers</w:t>
      </w:r>
      <w:r>
        <w:rPr>
          <w:rFonts w:ascii="Arial" w:cs="Arial" w:eastAsia="Arial" w:hAnsi="Arial"/>
          <w:sz w:val="18"/>
          <w:szCs w:val="18"/>
          <w:color w:val="auto"/>
        </w:rPr>
        <w:t>, which provides a five-step model for recognizing revenue from contracts with customers. Revenue is recognized upon transfer of control of promised services to customers in an amount that reflects the consideration the Company expects to receive in exchange for those services.</w:t>
      </w:r>
    </w:p>
    <w:p>
      <w:pPr>
        <w:spacing w:after="0" w:line="184" w:lineRule="exact"/>
        <w:rPr>
          <w:sz w:val="20"/>
          <w:szCs w:val="20"/>
          <w:color w:val="auto"/>
        </w:rPr>
      </w:pPr>
    </w:p>
    <w:p>
      <w:pPr>
        <w:jc w:val="both"/>
        <w:ind w:left="120" w:firstLine="440"/>
        <w:spacing w:after="0" w:line="263" w:lineRule="auto"/>
        <w:rPr>
          <w:sz w:val="20"/>
          <w:szCs w:val="20"/>
          <w:color w:val="auto"/>
        </w:rPr>
      </w:pPr>
      <w:r>
        <w:rPr>
          <w:rFonts w:ascii="Arial" w:cs="Arial" w:eastAsia="Arial" w:hAnsi="Arial"/>
          <w:sz w:val="18"/>
          <w:szCs w:val="18"/>
          <w:color w:val="auto"/>
        </w:rPr>
        <w:t>Revenue related to hosted subscription license arrangements, which often include non-distinct professional services, is recognized ratably over the contract term as the customer simultaneously receives and consumes the benefits provided by the Company’s performance. These subscription contracts typically have a term of one to three years and are non-cancellable.</w:t>
      </w:r>
    </w:p>
    <w:p>
      <w:pPr>
        <w:spacing w:after="0" w:line="184" w:lineRule="exact"/>
        <w:rPr>
          <w:sz w:val="20"/>
          <w:szCs w:val="20"/>
          <w:color w:val="auto"/>
        </w:rPr>
      </w:pPr>
    </w:p>
    <w:p>
      <w:pPr>
        <w:jc w:val="both"/>
        <w:ind w:left="120" w:right="200" w:firstLine="440"/>
        <w:spacing w:after="0" w:line="259" w:lineRule="auto"/>
        <w:rPr>
          <w:sz w:val="20"/>
          <w:szCs w:val="20"/>
          <w:color w:val="auto"/>
        </w:rPr>
      </w:pPr>
      <w:r>
        <w:rPr>
          <w:rFonts w:ascii="Arial" w:cs="Arial" w:eastAsia="Arial" w:hAnsi="Arial"/>
          <w:sz w:val="18"/>
          <w:szCs w:val="18"/>
          <w:color w:val="auto"/>
        </w:rPr>
        <w:t>The Company also enters into a limited number of contracts that can include various combinations of professional services, which are generally capable of being distinct and can be accounted for as separate performance obligations. Revenue related to these professional services is insignificant and is recognized at a point in time, when the performance obligations under the terms of the contract are satisfied and control has been transferred to the customer.</w:t>
      </w:r>
    </w:p>
    <w:p>
      <w:pPr>
        <w:spacing w:after="0" w:line="187" w:lineRule="exact"/>
        <w:rPr>
          <w:sz w:val="20"/>
          <w:szCs w:val="20"/>
          <w:color w:val="auto"/>
        </w:rPr>
      </w:pPr>
    </w:p>
    <w:p>
      <w:pPr>
        <w:ind w:left="120" w:firstLine="440"/>
        <w:spacing w:after="0" w:line="259" w:lineRule="auto"/>
        <w:rPr>
          <w:sz w:val="20"/>
          <w:szCs w:val="20"/>
          <w:color w:val="auto"/>
        </w:rPr>
      </w:pPr>
      <w:r>
        <w:rPr>
          <w:rFonts w:ascii="Arial" w:cs="Arial" w:eastAsia="Arial" w:hAnsi="Arial"/>
          <w:sz w:val="18"/>
          <w:szCs w:val="18"/>
          <w:color w:val="auto"/>
        </w:rPr>
        <w:t>When a contract contains multiple performance obligations, the contract transaction price is allocated on a relative standalone selling price (“SSP”) basis to each performance obligation. The Company typically determines SSP based on observable selling prices of its products and services. In instances where SSP is not directly observable, SSP is determined using information that may include market conditions and other observable inputs, or by using the residual approach.</w:t>
      </w:r>
    </w:p>
    <w:p>
      <w:pPr>
        <w:spacing w:after="0" w:line="187" w:lineRule="exact"/>
        <w:rPr>
          <w:sz w:val="20"/>
          <w:szCs w:val="20"/>
          <w:color w:val="auto"/>
        </w:rPr>
      </w:pPr>
    </w:p>
    <w:p>
      <w:pPr>
        <w:ind w:left="120" w:right="20" w:firstLine="440"/>
        <w:spacing w:after="0" w:line="253" w:lineRule="auto"/>
        <w:rPr>
          <w:sz w:val="20"/>
          <w:szCs w:val="20"/>
          <w:color w:val="auto"/>
        </w:rPr>
      </w:pPr>
      <w:r>
        <w:rPr>
          <w:rFonts w:ascii="Arial" w:cs="Arial" w:eastAsia="Arial" w:hAnsi="Arial"/>
          <w:sz w:val="18"/>
          <w:szCs w:val="18"/>
          <w:color w:val="auto"/>
        </w:rPr>
        <w:t>The Company accounts for an arrangement when it has approval and commitment from both parties, the rights are identified, the contract has commercial substance, and collectability of consideration is probable. The Company generally obtains written purchase contracts from its customers for a specified service at a specified price, with a specified term, which constitutes an arrangement. Revenue is recognized at the amount expected to be collected, net of any taxes collected from customers, which are subsequently remitted to governmental authorities. The timing of revenue recognition may not align with the right to invoice the customer, but the Company has determined that in such cases, a significant financing component generally does not exist. The Company has elected the practical expedient that permits an entity not to recognize a significant financing component if the time between the transfer of a good or service and payment is one year or less. Payment terms on invoiced amounts are typically 30 days. The Company does not offer rights of return for its products and services in the normal course of business, and contracts generally do not include customer acceptance clauses.</w:t>
      </w:r>
    </w:p>
    <w:p>
      <w:pPr>
        <w:spacing w:after="0" w:line="196" w:lineRule="exact"/>
        <w:rPr>
          <w:sz w:val="20"/>
          <w:szCs w:val="20"/>
          <w:color w:val="auto"/>
        </w:rPr>
      </w:pPr>
    </w:p>
    <w:p>
      <w:pPr>
        <w:ind w:left="120" w:right="80" w:firstLine="440"/>
        <w:spacing w:after="0" w:line="259" w:lineRule="auto"/>
        <w:rPr>
          <w:sz w:val="20"/>
          <w:szCs w:val="20"/>
          <w:color w:val="auto"/>
        </w:rPr>
      </w:pPr>
      <w:r>
        <w:rPr>
          <w:rFonts w:ascii="Arial" w:cs="Arial" w:eastAsia="Arial" w:hAnsi="Arial"/>
          <w:sz w:val="18"/>
          <w:szCs w:val="18"/>
          <w:color w:val="auto"/>
        </w:rPr>
        <w:t>The Company arrangements typically do not contain variable consideration. However, certain contracts with customers may include service level agreements that entitle the customer to receive service credits, and in certain cases, service refunds, when defined service levels are not met. These arrangements represent a form of variable consideration, which is considered in the calculation of the transaction price. The Company estimates the amount</w:t>
      </w:r>
    </w:p>
    <w:p>
      <w:pPr>
        <w:spacing w:after="0" w:line="119" w:lineRule="exact"/>
        <w:rPr>
          <w:sz w:val="20"/>
          <w:szCs w:val="20"/>
          <w:color w:val="auto"/>
        </w:rPr>
      </w:pPr>
    </w:p>
    <w:p>
      <w:pPr>
        <w:jc w:val="center"/>
        <w:ind w:right="-379"/>
        <w:spacing w:after="0"/>
        <w:rPr>
          <w:sz w:val="20"/>
          <w:szCs w:val="20"/>
          <w:color w:val="auto"/>
        </w:rPr>
      </w:pPr>
      <w:r>
        <w:rPr>
          <w:rFonts w:ascii="Arial" w:cs="Arial" w:eastAsia="Arial" w:hAnsi="Arial"/>
          <w:sz w:val="18"/>
          <w:szCs w:val="18"/>
          <w:color w:val="auto"/>
        </w:rPr>
        <w:t>F-55</w:t>
      </w:r>
    </w:p>
    <w:p>
      <w:pPr>
        <w:sectPr>
          <w:pgSz w:w="11900" w:h="16838" w:orient="portrait"/>
          <w:cols w:equalWidth="0" w:num="1">
            <w:col w:w="11100"/>
          </w:cols>
          <w:pgMar w:left="320" w:top="459" w:right="479" w:bottom="1440" w:gutter="0" w:footer="0" w:header="0"/>
        </w:sectPr>
      </w:pPr>
    </w:p>
    <w:bookmarkStart w:id="261" w:name="page262"/>
    <w:bookmarkEnd w:id="26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47">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Confidential Treatment Requested by Definitive Healthcare Corp.</w:t>
      </w:r>
    </w:p>
    <w:p>
      <w:pPr>
        <w:spacing w:after="0" w:line="27"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Pursuant to 17 C.F.R. Section 200.83</w:t>
      </w:r>
    </w:p>
    <w:p>
      <w:pPr>
        <w:spacing w:after="0" w:line="143" w:lineRule="exact"/>
        <w:rPr>
          <w:sz w:val="20"/>
          <w:szCs w:val="20"/>
          <w:color w:val="auto"/>
        </w:rPr>
      </w:pPr>
    </w:p>
    <w:p>
      <w:pPr>
        <w:ind w:left="120" w:right="620"/>
        <w:spacing w:after="0" w:line="277" w:lineRule="auto"/>
        <w:rPr>
          <w:sz w:val="20"/>
          <w:szCs w:val="20"/>
          <w:color w:val="auto"/>
        </w:rPr>
      </w:pPr>
      <w:r>
        <w:rPr>
          <w:rFonts w:ascii="Arial" w:cs="Arial" w:eastAsia="Arial" w:hAnsi="Arial"/>
          <w:sz w:val="18"/>
          <w:szCs w:val="18"/>
          <w:color w:val="auto"/>
        </w:rPr>
        <w:t>of variable considerations at the expected value based on its assessment of legal enforceability, anticipated performance and a review of specific transactions, historical experience and market and economic conditions.</w:t>
      </w:r>
    </w:p>
    <w:p>
      <w:pPr>
        <w:spacing w:after="0" w:line="170" w:lineRule="exact"/>
        <w:rPr>
          <w:sz w:val="20"/>
          <w:szCs w:val="20"/>
          <w:color w:val="auto"/>
        </w:rPr>
      </w:pPr>
    </w:p>
    <w:p>
      <w:pPr>
        <w:ind w:left="120" w:right="120" w:firstLine="440"/>
        <w:spacing w:after="0" w:line="277" w:lineRule="auto"/>
        <w:rPr>
          <w:sz w:val="20"/>
          <w:szCs w:val="20"/>
          <w:color w:val="auto"/>
        </w:rPr>
      </w:pPr>
      <w:r>
        <w:rPr>
          <w:rFonts w:ascii="Arial" w:cs="Arial" w:eastAsia="Arial" w:hAnsi="Arial"/>
          <w:sz w:val="18"/>
          <w:szCs w:val="18"/>
          <w:color w:val="auto"/>
        </w:rPr>
        <w:t>The Company historically has not experienced any significant incidents that affected the defined levels of reliability and performance as required by the contracts.</w:t>
      </w:r>
    </w:p>
    <w:p>
      <w:pPr>
        <w:spacing w:after="0" w:line="278"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Fair Value Measurements</w:t>
      </w:r>
    </w:p>
    <w:p>
      <w:pPr>
        <w:spacing w:after="0" w:line="117" w:lineRule="exact"/>
        <w:rPr>
          <w:sz w:val="20"/>
          <w:szCs w:val="20"/>
          <w:color w:val="auto"/>
        </w:rPr>
      </w:pPr>
    </w:p>
    <w:p>
      <w:pPr>
        <w:ind w:left="120" w:right="80" w:firstLine="440"/>
        <w:spacing w:after="0" w:line="257" w:lineRule="auto"/>
        <w:rPr>
          <w:sz w:val="20"/>
          <w:szCs w:val="20"/>
          <w:color w:val="auto"/>
        </w:rPr>
      </w:pPr>
      <w:r>
        <w:rPr>
          <w:rFonts w:ascii="Arial" w:cs="Arial" w:eastAsia="Arial" w:hAnsi="Arial"/>
          <w:sz w:val="18"/>
          <w:szCs w:val="18"/>
          <w:color w:val="auto"/>
        </w:rPr>
        <w:t>The Company measures assets and liabilities at fair value based on an expected exit price, which represents the amount that would be received on the sale of an asset or paid to transfer a liability in an orderly transaction between market participants. As such, fair value may be based on assumptions that market participants would use in pricing an asset or liability. The authoritative guidance on fair value measurements establishes a consistent framework for measuring fair value on either a recurring or nonrecurring basis whereby inputs, used in valuation techniques, are assigned a hierarchical level as follows:</w:t>
      </w:r>
    </w:p>
    <w:p>
      <w:pPr>
        <w:spacing w:after="0" w:line="188" w:lineRule="exact"/>
        <w:rPr>
          <w:sz w:val="20"/>
          <w:szCs w:val="20"/>
          <w:color w:val="auto"/>
        </w:rPr>
      </w:pPr>
    </w:p>
    <w:p>
      <w:pPr>
        <w:ind w:left="560"/>
        <w:spacing w:after="0"/>
        <w:rPr>
          <w:sz w:val="20"/>
          <w:szCs w:val="20"/>
          <w:color w:val="auto"/>
        </w:rPr>
      </w:pPr>
      <w:r>
        <w:rPr>
          <w:rFonts w:ascii="Arial" w:cs="Arial" w:eastAsia="Arial" w:hAnsi="Arial"/>
          <w:sz w:val="18"/>
          <w:szCs w:val="18"/>
          <w:color w:val="auto"/>
        </w:rPr>
        <w:t>Level 1 - Observable inputs that reflect unadjusted quoted prices in active markets for identical assets or liabilities</w:t>
      </w:r>
    </w:p>
    <w:p>
      <w:pPr>
        <w:spacing w:after="0" w:line="225" w:lineRule="exact"/>
        <w:rPr>
          <w:sz w:val="20"/>
          <w:szCs w:val="20"/>
          <w:color w:val="auto"/>
        </w:rPr>
      </w:pPr>
    </w:p>
    <w:p>
      <w:pPr>
        <w:ind w:left="560"/>
        <w:spacing w:after="0"/>
        <w:rPr>
          <w:sz w:val="20"/>
          <w:szCs w:val="20"/>
          <w:color w:val="auto"/>
        </w:rPr>
      </w:pPr>
      <w:r>
        <w:rPr>
          <w:rFonts w:ascii="Arial" w:cs="Arial" w:eastAsia="Arial" w:hAnsi="Arial"/>
          <w:sz w:val="18"/>
          <w:szCs w:val="18"/>
          <w:color w:val="auto"/>
        </w:rPr>
        <w:t>Level 2 - Other inputs that are directly or indirectly observable in the marketplace</w:t>
      </w:r>
    </w:p>
    <w:p>
      <w:pPr>
        <w:spacing w:after="0" w:line="225" w:lineRule="exact"/>
        <w:rPr>
          <w:sz w:val="20"/>
          <w:szCs w:val="20"/>
          <w:color w:val="auto"/>
        </w:rPr>
      </w:pPr>
    </w:p>
    <w:p>
      <w:pPr>
        <w:ind w:left="560"/>
        <w:spacing w:after="0"/>
        <w:rPr>
          <w:sz w:val="20"/>
          <w:szCs w:val="20"/>
          <w:color w:val="auto"/>
        </w:rPr>
      </w:pPr>
      <w:r>
        <w:rPr>
          <w:rFonts w:ascii="Arial" w:cs="Arial" w:eastAsia="Arial" w:hAnsi="Arial"/>
          <w:sz w:val="17"/>
          <w:szCs w:val="17"/>
          <w:color w:val="auto"/>
        </w:rPr>
        <w:t>Level 3 - Unobservable inputs that are supported by little or no market activity, including the Company’s own assumptions in determining fair</w:t>
      </w:r>
    </w:p>
    <w:p>
      <w:pPr>
        <w:spacing w:after="0" w:line="35" w:lineRule="exact"/>
        <w:rPr>
          <w:sz w:val="20"/>
          <w:szCs w:val="20"/>
          <w:color w:val="auto"/>
        </w:rPr>
      </w:pPr>
    </w:p>
    <w:p>
      <w:pPr>
        <w:ind w:left="120"/>
        <w:spacing w:after="0"/>
        <w:rPr>
          <w:sz w:val="20"/>
          <w:szCs w:val="20"/>
          <w:color w:val="auto"/>
        </w:rPr>
      </w:pPr>
      <w:r>
        <w:rPr>
          <w:rFonts w:ascii="Arial" w:cs="Arial" w:eastAsia="Arial" w:hAnsi="Arial"/>
          <w:sz w:val="18"/>
          <w:szCs w:val="18"/>
          <w:color w:val="auto"/>
        </w:rPr>
        <w:t>value.</w:t>
      </w:r>
    </w:p>
    <w:p>
      <w:pPr>
        <w:spacing w:after="0" w:line="319"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Cash and Cash Equivalents</w:t>
      </w:r>
    </w:p>
    <w:p>
      <w:pPr>
        <w:spacing w:after="0" w:line="117" w:lineRule="exact"/>
        <w:rPr>
          <w:sz w:val="20"/>
          <w:szCs w:val="20"/>
          <w:color w:val="auto"/>
        </w:rPr>
      </w:pPr>
    </w:p>
    <w:p>
      <w:pPr>
        <w:ind w:left="560"/>
        <w:spacing w:after="0"/>
        <w:rPr>
          <w:sz w:val="20"/>
          <w:szCs w:val="20"/>
          <w:color w:val="auto"/>
        </w:rPr>
      </w:pPr>
      <w:r>
        <w:rPr>
          <w:rFonts w:ascii="Arial" w:cs="Arial" w:eastAsia="Arial" w:hAnsi="Arial"/>
          <w:sz w:val="16"/>
          <w:szCs w:val="16"/>
          <w:color w:val="auto"/>
        </w:rPr>
        <w:t>The Company considers all short-term, highly liquid investments with an original maturity of three months or less to be cash and cash equivalents.</w:t>
      </w:r>
    </w:p>
    <w:p>
      <w:pPr>
        <w:spacing w:after="0" w:line="356"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Concentration of Credit Risk and Significant Customers</w:t>
      </w:r>
    </w:p>
    <w:p>
      <w:pPr>
        <w:spacing w:after="0" w:line="117" w:lineRule="exact"/>
        <w:rPr>
          <w:sz w:val="20"/>
          <w:szCs w:val="20"/>
          <w:color w:val="auto"/>
        </w:rPr>
      </w:pPr>
    </w:p>
    <w:p>
      <w:pPr>
        <w:ind w:left="120" w:right="40" w:firstLine="440"/>
        <w:spacing w:after="0" w:line="255" w:lineRule="auto"/>
        <w:rPr>
          <w:sz w:val="20"/>
          <w:szCs w:val="20"/>
          <w:color w:val="auto"/>
        </w:rPr>
      </w:pPr>
      <w:r>
        <w:rPr>
          <w:rFonts w:ascii="Arial" w:cs="Arial" w:eastAsia="Arial" w:hAnsi="Arial"/>
          <w:sz w:val="18"/>
          <w:szCs w:val="18"/>
          <w:color w:val="auto"/>
        </w:rPr>
        <w:t>Financial instruments that potentially subject the Company to concentrations of credit risk consist principally of cash and cash equivalents and accounts receivable. The Company holds cash at major financial institutions that often exceed Federal Deposit Insurance Corporation (“FDIC”) insured limits. The Company manages its credit risk associated with cash concentrations by concentrating its cash deposits in high quality financial institutions and by periodically evaluating the credit quality of the primary financial institutions holding such deposits. The carrying value of cash approximates fair value. Historically, the Company has not experienced any losses due to such cash concentrations. The Company does not have any off-balance-sheet credit exposure related to its customers.</w:t>
      </w:r>
    </w:p>
    <w:p>
      <w:pPr>
        <w:spacing w:after="0" w:line="192" w:lineRule="exact"/>
        <w:rPr>
          <w:sz w:val="20"/>
          <w:szCs w:val="20"/>
          <w:color w:val="auto"/>
        </w:rPr>
      </w:pPr>
    </w:p>
    <w:p>
      <w:pPr>
        <w:ind w:left="120" w:right="20" w:firstLine="440"/>
        <w:spacing w:after="0" w:line="263" w:lineRule="auto"/>
        <w:rPr>
          <w:sz w:val="20"/>
          <w:szCs w:val="20"/>
          <w:color w:val="auto"/>
        </w:rPr>
      </w:pPr>
      <w:r>
        <w:rPr>
          <w:rFonts w:ascii="Arial" w:cs="Arial" w:eastAsia="Arial" w:hAnsi="Arial"/>
          <w:sz w:val="18"/>
          <w:szCs w:val="18"/>
          <w:color w:val="auto"/>
        </w:rPr>
        <w:t>Concentrations of credit risk with respect to trade account receivables are limited due to the large number of customers comprising the Company’s customer base. No single customer accounted for more than 10% of total net sales in the six months ended June 30, 2021 or 2020, or total accounts receivable as of June 30, 2021, or December 31, 2020.</w:t>
      </w:r>
    </w:p>
    <w:p>
      <w:pPr>
        <w:spacing w:after="0" w:line="292"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Accounts Receivable, Net and Contract Assets</w:t>
      </w:r>
    </w:p>
    <w:p>
      <w:pPr>
        <w:spacing w:after="0" w:line="117" w:lineRule="exact"/>
        <w:rPr>
          <w:sz w:val="20"/>
          <w:szCs w:val="20"/>
          <w:color w:val="auto"/>
        </w:rPr>
      </w:pPr>
    </w:p>
    <w:p>
      <w:pPr>
        <w:ind w:left="120" w:right="360" w:firstLine="440"/>
        <w:spacing w:after="0" w:line="296" w:lineRule="auto"/>
        <w:rPr>
          <w:sz w:val="20"/>
          <w:szCs w:val="20"/>
          <w:color w:val="auto"/>
        </w:rPr>
      </w:pPr>
      <w:r>
        <w:rPr>
          <w:rFonts w:ascii="Arial" w:cs="Arial" w:eastAsia="Arial" w:hAnsi="Arial"/>
          <w:sz w:val="16"/>
          <w:szCs w:val="16"/>
          <w:color w:val="auto"/>
        </w:rPr>
        <w:t>Accounts receivable are stated at the amount management expects to collect from outstanding balances. Allowances for doubtful accounts are provided for those outstanding balances considered to be uncollectible based upon historical collection experience, changes in customer payment profiles, the aging of receivable balances, and management’s overall evaluation of the outstanding balances at year end. Balances that are still outstanding after management has made reasonable collection efforts are written off through a charge to the allowance for doubtful accounts. At June 30, 2021 and December 31, 2020, the allowance for doubtful accounts was $0.7 million and $0.9 million, respectively.</w:t>
      </w:r>
    </w:p>
    <w:p>
      <w:pPr>
        <w:spacing w:after="0" w:line="94" w:lineRule="exact"/>
        <w:rPr>
          <w:sz w:val="20"/>
          <w:szCs w:val="20"/>
          <w:color w:val="auto"/>
        </w:rPr>
      </w:pPr>
    </w:p>
    <w:p>
      <w:pPr>
        <w:jc w:val="center"/>
        <w:ind w:right="-359"/>
        <w:spacing w:after="0"/>
        <w:rPr>
          <w:sz w:val="20"/>
          <w:szCs w:val="20"/>
          <w:color w:val="auto"/>
        </w:rPr>
      </w:pPr>
      <w:r>
        <w:rPr>
          <w:rFonts w:ascii="Arial" w:cs="Arial" w:eastAsia="Arial" w:hAnsi="Arial"/>
          <w:sz w:val="18"/>
          <w:szCs w:val="18"/>
          <w:color w:val="auto"/>
        </w:rPr>
        <w:t>F-56</w:t>
      </w:r>
    </w:p>
    <w:p>
      <w:pPr>
        <w:sectPr>
          <w:pgSz w:w="11900" w:h="16838" w:orient="portrait"/>
          <w:cols w:equalWidth="0" w:num="1">
            <w:col w:w="11120"/>
          </w:cols>
          <w:pgMar w:left="320" w:top="459" w:right="459" w:bottom="1440" w:gutter="0" w:footer="0" w:header="0"/>
        </w:sectPr>
      </w:pPr>
    </w:p>
    <w:bookmarkStart w:id="262" w:name="page263"/>
    <w:bookmarkEnd w:id="26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348">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Confidential Treatment Requested by Definitive Healthcare Corp.</w:t>
      </w:r>
    </w:p>
    <w:p>
      <w:pPr>
        <w:spacing w:after="0" w:line="27"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Pursuant to 17 C.F.R. Section 200.83</w:t>
      </w:r>
    </w:p>
    <w:p>
      <w:pPr>
        <w:spacing w:after="0" w:line="143" w:lineRule="exact"/>
        <w:rPr>
          <w:sz w:val="20"/>
          <w:szCs w:val="20"/>
          <w:color w:val="auto"/>
        </w:rPr>
      </w:pPr>
    </w:p>
    <w:p>
      <w:pPr>
        <w:ind w:left="120" w:right="200" w:firstLine="440"/>
        <w:spacing w:after="0" w:line="279" w:lineRule="auto"/>
        <w:rPr>
          <w:sz w:val="20"/>
          <w:szCs w:val="20"/>
          <w:color w:val="auto"/>
        </w:rPr>
      </w:pPr>
      <w:r>
        <w:rPr>
          <w:rFonts w:ascii="Arial" w:cs="Arial" w:eastAsia="Arial" w:hAnsi="Arial"/>
          <w:sz w:val="17"/>
          <w:szCs w:val="17"/>
          <w:color w:val="auto"/>
        </w:rPr>
        <w:t>Contract assets represent contractual rights to consideration in the future and are generated when contractual billing schedules differ from the timing of revenue recognition. The Company records accounts receivable when it has the unconditional right to issue an invoice and receive payment regardless of whether revenue has been recognized. If revenue is recognized in advance of the right to invoice, a contract asset (unbilled receivable) is recorded, which is included in accounts receivable, net in the consolidated balance sheet.</w:t>
      </w:r>
    </w:p>
    <w:p>
      <w:pPr>
        <w:spacing w:after="0" w:line="279"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Deferred Contract Costs</w:t>
      </w:r>
    </w:p>
    <w:p>
      <w:pPr>
        <w:spacing w:after="0" w:line="117" w:lineRule="exact"/>
        <w:rPr>
          <w:sz w:val="20"/>
          <w:szCs w:val="20"/>
          <w:color w:val="auto"/>
        </w:rPr>
      </w:pPr>
    </w:p>
    <w:p>
      <w:pPr>
        <w:ind w:left="120" w:right="40" w:firstLine="440"/>
        <w:spacing w:after="0" w:line="259" w:lineRule="auto"/>
        <w:rPr>
          <w:sz w:val="20"/>
          <w:szCs w:val="20"/>
          <w:color w:val="auto"/>
        </w:rPr>
      </w:pPr>
      <w:r>
        <w:rPr>
          <w:rFonts w:ascii="Arial" w:cs="Arial" w:eastAsia="Arial" w:hAnsi="Arial"/>
          <w:sz w:val="18"/>
          <w:szCs w:val="18"/>
          <w:color w:val="auto"/>
        </w:rPr>
        <w:t>Certain sales commissions earned by the Company’s employees are considered incremental and recoverable costs of obtaining a contract with a customer. These sales commissions for initial and renewal contracts are capitalized and are included in current portion of deferred contract costs and deferred contract costs, net of current portion. Capitalized amounts also include the associated payroll taxes and other fringe benefits associated with the payments to the Company’s employees.</w:t>
      </w:r>
    </w:p>
    <w:p>
      <w:pPr>
        <w:spacing w:after="0" w:line="187" w:lineRule="exact"/>
        <w:rPr>
          <w:sz w:val="20"/>
          <w:szCs w:val="20"/>
          <w:color w:val="auto"/>
        </w:rPr>
      </w:pPr>
    </w:p>
    <w:p>
      <w:pPr>
        <w:ind w:left="120" w:firstLine="440"/>
        <w:spacing w:after="0" w:line="301" w:lineRule="auto"/>
        <w:rPr>
          <w:sz w:val="20"/>
          <w:szCs w:val="20"/>
          <w:color w:val="auto"/>
        </w:rPr>
      </w:pPr>
      <w:r>
        <w:rPr>
          <w:rFonts w:ascii="Arial" w:cs="Arial" w:eastAsia="Arial" w:hAnsi="Arial"/>
          <w:sz w:val="16"/>
          <w:szCs w:val="16"/>
          <w:color w:val="auto"/>
        </w:rPr>
        <w:t>Costs capitalized related to new revenue contracts are amortized on a straight-line basis over four years, which reflects the average period of benefit, including expected contract renewals. When determining the period of benefit, the Company primarily considered its initial estimated customer life, the technological life of the subscription license, as well as an estimated customer relationship period. Costs capitalized related to renewal contracts are amortized on a straight basis over 2 years, which reflects the average renewal period. Renewal contracts with a term of one year or less are expensed.</w:t>
      </w:r>
    </w:p>
    <w:p>
      <w:pPr>
        <w:spacing w:after="0" w:line="157" w:lineRule="exact"/>
        <w:rPr>
          <w:sz w:val="20"/>
          <w:szCs w:val="20"/>
          <w:color w:val="auto"/>
        </w:rPr>
      </w:pPr>
    </w:p>
    <w:p>
      <w:pPr>
        <w:ind w:left="120" w:right="40" w:firstLine="440"/>
        <w:spacing w:after="0" w:line="272" w:lineRule="auto"/>
        <w:rPr>
          <w:sz w:val="20"/>
          <w:szCs w:val="20"/>
          <w:color w:val="auto"/>
        </w:rPr>
      </w:pPr>
      <w:r>
        <w:rPr>
          <w:rFonts w:ascii="Arial" w:cs="Arial" w:eastAsia="Arial" w:hAnsi="Arial"/>
          <w:sz w:val="17"/>
          <w:szCs w:val="17"/>
          <w:color w:val="auto"/>
        </w:rPr>
        <w:t>The capitalized amounts are recoverable through future revenue streams under all non-cancellable customer contracts. Amortization of capitalized costs to obtain revenue contracts is included in sales and marketing expense in the accompanying consolidated statements of operations. Costs capitalized to obtain a revenue contract, net on the Company’s consolidated balance sheets totaled $13.0 million and $8.9 million at June 30, 2021 and December 31, 2020, respectively and are included in current portion of deferred contract costs ($4.5 million and $2.9 million, as of June 30, 2021 and December 31, 2020, respectively) and deferred contract costs, net of current portion ($8.5 million and $6.0 million, as of June 30, 2021 and December 31, 2020, respectively) in the accompanying condensed consolidated balance sheets. There were no impairments of costs to obtain revenue contracts in the six months ended June 2021, and 2020.</w:t>
      </w:r>
    </w:p>
    <w:p>
      <w:pPr>
        <w:spacing w:after="0" w:line="285"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Property and Equipment, Net</w:t>
      </w:r>
    </w:p>
    <w:p>
      <w:pPr>
        <w:spacing w:after="0" w:line="117" w:lineRule="exact"/>
        <w:rPr>
          <w:sz w:val="20"/>
          <w:szCs w:val="20"/>
          <w:color w:val="auto"/>
        </w:rPr>
      </w:pPr>
    </w:p>
    <w:p>
      <w:pPr>
        <w:ind w:left="120" w:right="300" w:firstLine="440"/>
        <w:spacing w:after="0" w:line="277" w:lineRule="auto"/>
        <w:rPr>
          <w:sz w:val="20"/>
          <w:szCs w:val="20"/>
          <w:color w:val="auto"/>
        </w:rPr>
      </w:pPr>
      <w:r>
        <w:rPr>
          <w:rFonts w:ascii="Arial" w:cs="Arial" w:eastAsia="Arial" w:hAnsi="Arial"/>
          <w:sz w:val="18"/>
          <w:szCs w:val="18"/>
          <w:color w:val="auto"/>
        </w:rPr>
        <w:t>Property and equipment are stated at cost, net of accumulated depreciation and amortization. The assets are depreciated on a straight-line basis over the estimated useful lives as follows:</w:t>
      </w:r>
    </w:p>
    <w:p>
      <w:pPr>
        <w:sectPr>
          <w:pgSz w:w="11900" w:h="16838" w:orient="portrait"/>
          <w:cols w:equalWidth="0" w:num="1">
            <w:col w:w="11120"/>
          </w:cols>
          <w:pgMar w:left="320" w:top="459" w:right="459" w:bottom="1440" w:gutter="0" w:footer="0" w:header="0"/>
        </w:sectPr>
      </w:pPr>
    </w:p>
    <w:p>
      <w:pPr>
        <w:spacing w:after="0" w:line="197" w:lineRule="exact"/>
        <w:rPr>
          <w:sz w:val="20"/>
          <w:szCs w:val="20"/>
          <w:color w:val="auto"/>
        </w:rPr>
      </w:pPr>
    </w:p>
    <w:p>
      <w:pPr>
        <w:ind w:left="1000"/>
        <w:spacing w:after="0"/>
        <w:rPr>
          <w:sz w:val="20"/>
          <w:szCs w:val="20"/>
          <w:color w:val="auto"/>
        </w:rPr>
      </w:pPr>
      <w:r>
        <w:rPr>
          <w:rFonts w:ascii="Arial" w:cs="Arial" w:eastAsia="Arial" w:hAnsi="Arial"/>
          <w:sz w:val="16"/>
          <w:szCs w:val="16"/>
          <w:color w:val="auto"/>
        </w:rPr>
        <w:t>Furniture and equipment</w:t>
      </w:r>
    </w:p>
    <w:p>
      <w:pPr>
        <w:spacing w:after="0" w:line="46" w:lineRule="exact"/>
        <w:rPr>
          <w:sz w:val="20"/>
          <w:szCs w:val="20"/>
          <w:color w:val="auto"/>
        </w:rPr>
      </w:pPr>
    </w:p>
    <w:p>
      <w:pPr>
        <w:ind w:left="1000"/>
        <w:spacing w:after="0"/>
        <w:rPr>
          <w:sz w:val="20"/>
          <w:szCs w:val="20"/>
          <w:color w:val="auto"/>
        </w:rPr>
      </w:pPr>
      <w:r>
        <w:rPr>
          <w:rFonts w:ascii="Arial" w:cs="Arial" w:eastAsia="Arial" w:hAnsi="Arial"/>
          <w:sz w:val="16"/>
          <w:szCs w:val="16"/>
          <w:color w:val="auto"/>
        </w:rPr>
        <w:t>Computers and software</w:t>
      </w:r>
    </w:p>
    <w:p>
      <w:pPr>
        <w:spacing w:after="0" w:line="32" w:lineRule="exact"/>
        <w:rPr>
          <w:sz w:val="20"/>
          <w:szCs w:val="20"/>
          <w:color w:val="auto"/>
        </w:rPr>
      </w:pPr>
    </w:p>
    <w:p>
      <w:pPr>
        <w:ind w:left="1000"/>
        <w:spacing w:after="0"/>
        <w:rPr>
          <w:sz w:val="20"/>
          <w:szCs w:val="20"/>
          <w:color w:val="auto"/>
        </w:rPr>
      </w:pPr>
      <w:r>
        <w:rPr>
          <w:rFonts w:ascii="Arial" w:cs="Arial" w:eastAsia="Arial" w:hAnsi="Arial"/>
          <w:sz w:val="16"/>
          <w:szCs w:val="16"/>
          <w:color w:val="auto"/>
        </w:rPr>
        <w:t>Leasehold improvements</w:t>
      </w:r>
    </w:p>
    <w:p>
      <w:pPr>
        <w:spacing w:after="0" w:line="20" w:lineRule="exact"/>
        <w:rPr>
          <w:sz w:val="20"/>
          <w:szCs w:val="20"/>
          <w:color w:val="auto"/>
        </w:rPr>
      </w:pPr>
      <w:r>
        <w:rPr>
          <w:sz w:val="20"/>
          <w:szCs w:val="20"/>
          <w:color w:val="auto"/>
        </w:rPr>
        <w:br w:type="column"/>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color w:val="auto"/>
        </w:rPr>
        <w:t>5 years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3 to 5 years</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Lesser of the asset life or lease term</w:t>
      </w:r>
    </w:p>
    <w:p>
      <w:pPr>
        <w:spacing w:after="0" w:line="200" w:lineRule="exact"/>
        <w:rPr>
          <w:sz w:val="20"/>
          <w:szCs w:val="20"/>
          <w:color w:val="auto"/>
        </w:rPr>
      </w:pPr>
    </w:p>
    <w:p>
      <w:pPr>
        <w:sectPr>
          <w:pgSz w:w="11900" w:h="16838" w:orient="portrait"/>
          <w:cols w:equalWidth="0" w:num="2">
            <w:col w:w="5280" w:space="720"/>
            <w:col w:w="5120"/>
          </w:cols>
          <w:pgMar w:left="320" w:top="459" w:right="459" w:bottom="1440" w:gutter="0" w:footer="0" w:header="0"/>
          <w:type w:val="continuous"/>
        </w:sectPr>
      </w:pPr>
    </w:p>
    <w:p>
      <w:pPr>
        <w:spacing w:after="0" w:line="34" w:lineRule="exact"/>
        <w:rPr>
          <w:sz w:val="20"/>
          <w:szCs w:val="20"/>
          <w:color w:val="auto"/>
        </w:rPr>
      </w:pPr>
    </w:p>
    <w:p>
      <w:pPr>
        <w:jc w:val="both"/>
        <w:ind w:left="120" w:right="220" w:firstLine="440"/>
        <w:spacing w:after="0" w:line="263" w:lineRule="auto"/>
        <w:rPr>
          <w:sz w:val="20"/>
          <w:szCs w:val="20"/>
          <w:color w:val="auto"/>
        </w:rPr>
      </w:pPr>
      <w:r>
        <w:rPr>
          <w:rFonts w:ascii="Arial" w:cs="Arial" w:eastAsia="Arial" w:hAnsi="Arial"/>
          <w:sz w:val="18"/>
          <w:szCs w:val="18"/>
          <w:color w:val="auto"/>
        </w:rPr>
        <w:t>Upon retirement or sale, the cost of assets disposed, and the related accumulated depreciation are removed from the accounts and any resulting gain or loss is recognized as gain or loss on disposal of assets in the consolidated statements of operations. Major replacements and improvements are capitalized, while general repairs and maintenance are charged to expense as incurred.</w:t>
      </w:r>
    </w:p>
    <w:p>
      <w:pPr>
        <w:spacing w:after="0" w:line="292"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Advertising and Promotional Expenses</w:t>
      </w:r>
    </w:p>
    <w:p>
      <w:pPr>
        <w:spacing w:after="0" w:line="117" w:lineRule="exact"/>
        <w:rPr>
          <w:sz w:val="20"/>
          <w:szCs w:val="20"/>
          <w:color w:val="auto"/>
        </w:rPr>
      </w:pPr>
    </w:p>
    <w:p>
      <w:pPr>
        <w:ind w:left="120" w:right="120" w:firstLine="440"/>
        <w:spacing w:after="0" w:line="263" w:lineRule="auto"/>
        <w:rPr>
          <w:sz w:val="20"/>
          <w:szCs w:val="20"/>
          <w:color w:val="auto"/>
        </w:rPr>
      </w:pPr>
      <w:r>
        <w:rPr>
          <w:rFonts w:ascii="Arial" w:cs="Arial" w:eastAsia="Arial" w:hAnsi="Arial"/>
          <w:sz w:val="18"/>
          <w:szCs w:val="18"/>
          <w:color w:val="auto"/>
        </w:rPr>
        <w:t>The Company expenses advertising costs as incurred in accordance with ASC 720—</w:t>
      </w:r>
      <w:r>
        <w:rPr>
          <w:rFonts w:ascii="Arial" w:cs="Arial" w:eastAsia="Arial" w:hAnsi="Arial"/>
          <w:sz w:val="18"/>
          <w:szCs w:val="18"/>
          <w:i w:val="1"/>
          <w:iCs w:val="1"/>
          <w:color w:val="auto"/>
        </w:rPr>
        <w:t>Other Expenses – Advertising Cost</w:t>
      </w:r>
      <w:r>
        <w:rPr>
          <w:rFonts w:ascii="Arial" w:cs="Arial" w:eastAsia="Arial" w:hAnsi="Arial"/>
          <w:sz w:val="18"/>
          <w:szCs w:val="18"/>
          <w:color w:val="auto"/>
        </w:rPr>
        <w:t>. Advertising expenses of $0.4 million and $0.3 million for the six months ended June 30, 2021 and 2020, respectively, are included in sales and marketing on the consolidated statements of operations.</w:t>
      </w:r>
    </w:p>
    <w:p>
      <w:pPr>
        <w:spacing w:after="0" w:line="116" w:lineRule="exact"/>
        <w:rPr>
          <w:sz w:val="20"/>
          <w:szCs w:val="20"/>
          <w:color w:val="auto"/>
        </w:rPr>
      </w:pPr>
    </w:p>
    <w:p>
      <w:pPr>
        <w:jc w:val="center"/>
        <w:ind w:right="-359"/>
        <w:spacing w:after="0"/>
        <w:rPr>
          <w:sz w:val="20"/>
          <w:szCs w:val="20"/>
          <w:color w:val="auto"/>
        </w:rPr>
      </w:pPr>
      <w:r>
        <w:rPr>
          <w:rFonts w:ascii="Arial" w:cs="Arial" w:eastAsia="Arial" w:hAnsi="Arial"/>
          <w:sz w:val="18"/>
          <w:szCs w:val="18"/>
          <w:color w:val="auto"/>
        </w:rPr>
        <w:t>F-57</w:t>
      </w:r>
    </w:p>
    <w:p>
      <w:pPr>
        <w:sectPr>
          <w:pgSz w:w="11900" w:h="16838" w:orient="portrait"/>
          <w:cols w:equalWidth="0" w:num="1">
            <w:col w:w="11120"/>
          </w:cols>
          <w:pgMar w:left="320" w:top="459" w:right="459" w:bottom="1440" w:gutter="0" w:footer="0" w:header="0"/>
          <w:type w:val="continuous"/>
        </w:sectPr>
      </w:pPr>
    </w:p>
    <w:bookmarkStart w:id="263" w:name="page264"/>
    <w:bookmarkEnd w:id="26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349">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Confidential Treatment Requested by Definitive Healthcare Corp.</w:t>
      </w:r>
    </w:p>
    <w:p>
      <w:pPr>
        <w:spacing w:after="0" w:line="27"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Pursuant to 17 C.F.R. Section 200.83</w:t>
      </w:r>
    </w:p>
    <w:p>
      <w:pPr>
        <w:spacing w:after="0" w:line="143"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Software Development Costs</w:t>
      </w:r>
    </w:p>
    <w:p>
      <w:pPr>
        <w:spacing w:after="0" w:line="117" w:lineRule="exact"/>
        <w:rPr>
          <w:sz w:val="20"/>
          <w:szCs w:val="20"/>
          <w:color w:val="auto"/>
        </w:rPr>
      </w:pPr>
    </w:p>
    <w:p>
      <w:pPr>
        <w:jc w:val="both"/>
        <w:ind w:left="120" w:right="120" w:firstLine="440"/>
        <w:spacing w:after="0" w:line="296" w:lineRule="auto"/>
        <w:rPr>
          <w:sz w:val="20"/>
          <w:szCs w:val="20"/>
          <w:color w:val="auto"/>
        </w:rPr>
      </w:pPr>
      <w:r>
        <w:rPr>
          <w:rFonts w:ascii="Arial" w:cs="Arial" w:eastAsia="Arial" w:hAnsi="Arial"/>
          <w:sz w:val="16"/>
          <w:szCs w:val="16"/>
          <w:color w:val="auto"/>
        </w:rPr>
        <w:t xml:space="preserve">The Company accounts for its software development costs in accordance with the guidance set forth in ASC 350-40, </w:t>
      </w:r>
      <w:r>
        <w:rPr>
          <w:rFonts w:ascii="Arial" w:cs="Arial" w:eastAsia="Arial" w:hAnsi="Arial"/>
          <w:sz w:val="16"/>
          <w:szCs w:val="16"/>
          <w:i w:val="1"/>
          <w:iCs w:val="1"/>
          <w:color w:val="auto"/>
        </w:rPr>
        <w:t>Intangibles – Goodwill and</w:t>
      </w:r>
      <w:r>
        <w:rPr>
          <w:rFonts w:ascii="Arial" w:cs="Arial" w:eastAsia="Arial" w:hAnsi="Arial"/>
          <w:sz w:val="16"/>
          <w:szCs w:val="16"/>
          <w:color w:val="auto"/>
        </w:rPr>
        <w:t xml:space="preserve"> </w:t>
      </w:r>
      <w:r>
        <w:rPr>
          <w:rFonts w:ascii="Arial" w:cs="Arial" w:eastAsia="Arial" w:hAnsi="Arial"/>
          <w:sz w:val="16"/>
          <w:szCs w:val="16"/>
          <w:i w:val="1"/>
          <w:iCs w:val="1"/>
          <w:color w:val="auto"/>
        </w:rPr>
        <w:t>Other – Internal Use Software</w:t>
      </w:r>
      <w:r>
        <w:rPr>
          <w:rFonts w:ascii="Arial" w:cs="Arial" w:eastAsia="Arial" w:hAnsi="Arial"/>
          <w:sz w:val="16"/>
          <w:szCs w:val="16"/>
          <w:color w:val="auto"/>
        </w:rPr>
        <w:t>. The Company capitalizes costs to develop software for internal use incurred during the application development stage.</w:t>
      </w:r>
      <w:r>
        <w:rPr>
          <w:rFonts w:ascii="Arial" w:cs="Arial" w:eastAsia="Arial" w:hAnsi="Arial"/>
          <w:sz w:val="16"/>
          <w:szCs w:val="16"/>
          <w:i w:val="1"/>
          <w:iCs w:val="1"/>
          <w:color w:val="auto"/>
        </w:rPr>
        <w:t xml:space="preserve"> </w:t>
      </w:r>
      <w:r>
        <w:rPr>
          <w:rFonts w:ascii="Arial" w:cs="Arial" w:eastAsia="Arial" w:hAnsi="Arial"/>
          <w:sz w:val="16"/>
          <w:szCs w:val="16"/>
          <w:color w:val="auto"/>
        </w:rPr>
        <w:t>Costs related to preliminary project activities and post implementation activities are expensed as incurred. Capitalized costs of $0.5 million for the six months ended June 30, 2021 are included in property and equipment, net. No capitalized costs were included in property and equipment, net during the six months ended June 30, 2020. Software development costs are amortized over a period of 5 years once in service.</w:t>
      </w:r>
    </w:p>
    <w:p>
      <w:pPr>
        <w:spacing w:after="0" w:line="269"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Business Combinations</w:t>
      </w:r>
    </w:p>
    <w:p>
      <w:pPr>
        <w:spacing w:after="0" w:line="117" w:lineRule="exact"/>
        <w:rPr>
          <w:sz w:val="20"/>
          <w:szCs w:val="20"/>
          <w:color w:val="auto"/>
        </w:rPr>
      </w:pPr>
    </w:p>
    <w:p>
      <w:pPr>
        <w:ind w:left="120" w:right="80" w:firstLine="440"/>
        <w:spacing w:after="0" w:line="289" w:lineRule="auto"/>
        <w:rPr>
          <w:sz w:val="20"/>
          <w:szCs w:val="20"/>
          <w:color w:val="auto"/>
        </w:rPr>
      </w:pPr>
      <w:r>
        <w:rPr>
          <w:rFonts w:ascii="Arial" w:cs="Arial" w:eastAsia="Arial" w:hAnsi="Arial"/>
          <w:sz w:val="16"/>
          <w:szCs w:val="16"/>
          <w:color w:val="auto"/>
        </w:rPr>
        <w:t xml:space="preserve">The Company accounts for business combinations using the acquisition method in accordance with ASC 805, </w:t>
      </w:r>
      <w:r>
        <w:rPr>
          <w:rFonts w:ascii="Arial" w:cs="Arial" w:eastAsia="Arial" w:hAnsi="Arial"/>
          <w:sz w:val="16"/>
          <w:szCs w:val="16"/>
          <w:i w:val="1"/>
          <w:iCs w:val="1"/>
          <w:color w:val="auto"/>
        </w:rPr>
        <w:t>Business Combinations</w:t>
      </w:r>
      <w:r>
        <w:rPr>
          <w:rFonts w:ascii="Arial" w:cs="Arial" w:eastAsia="Arial" w:hAnsi="Arial"/>
          <w:sz w:val="16"/>
          <w:szCs w:val="16"/>
          <w:color w:val="auto"/>
        </w:rPr>
        <w:t>. Each acquired company’s operating results are included in the Company’s consolidated financial statements starting on the date of acquisition. The Company allocates purchase consideration to the tangible and identifiable intangible assets acquired, and liabilities assumed based on their estimated fair values. The purchase price is determined based on the fair value of the assets transferred, liabilities assumed, and equity interests issued, after considering any transactions that are separate from the business combination. The excess of fair value of purchase consideration over the fair values of the identifiable assets and liabilities is recorded as goodwill. Tangible and identifiable intangible assets acquired and liabilities assumed as of the date of acquisition are recorded at the acquisition date fair value. Such valuations require management to make significant estimates and assumptions, especially with respect to intangible assets and contingent liabilities. Significant estimates in valuing certain intangible assets include, but are not limited to, future expected cash flows from acquired customer bases, acquired technology and acquired trade names, useful lives, royalty rates, and discount rates.</w:t>
      </w:r>
    </w:p>
    <w:p>
      <w:pPr>
        <w:spacing w:after="0" w:line="166" w:lineRule="exact"/>
        <w:rPr>
          <w:sz w:val="20"/>
          <w:szCs w:val="20"/>
          <w:color w:val="auto"/>
        </w:rPr>
      </w:pPr>
    </w:p>
    <w:p>
      <w:pPr>
        <w:ind w:left="120" w:right="200" w:firstLine="440"/>
        <w:spacing w:after="0" w:line="257" w:lineRule="auto"/>
        <w:rPr>
          <w:sz w:val="20"/>
          <w:szCs w:val="20"/>
          <w:color w:val="auto"/>
        </w:rPr>
      </w:pPr>
      <w:r>
        <w:rPr>
          <w:rFonts w:ascii="Arial" w:cs="Arial" w:eastAsia="Arial" w:hAnsi="Arial"/>
          <w:sz w:val="18"/>
          <w:szCs w:val="18"/>
          <w:color w:val="auto"/>
        </w:rPr>
        <w:t>The estimates are inherently uncertain and subject to revision as additional information is obtained during the measurement period for an acquisition, which may last up to one year from the acquisition date. During the measurement period, the Company may record adjustments to the fair value of tangible and intangible assets acquired and liabilities assumed, with a corresponding offset to goodwill. After the conclusion of the measurement period or the final determination of the fair value of assets acquired or liabilities assumed, whichever comes first, any subsequent adjustments are recorded to earnings.</w:t>
      </w:r>
    </w:p>
    <w:p>
      <w:pPr>
        <w:spacing w:after="0" w:line="188" w:lineRule="exact"/>
        <w:rPr>
          <w:sz w:val="20"/>
          <w:szCs w:val="20"/>
          <w:color w:val="auto"/>
        </w:rPr>
      </w:pPr>
    </w:p>
    <w:p>
      <w:pPr>
        <w:ind w:left="120" w:firstLine="440"/>
        <w:spacing w:after="0" w:line="301" w:lineRule="auto"/>
        <w:rPr>
          <w:sz w:val="20"/>
          <w:szCs w:val="20"/>
          <w:color w:val="auto"/>
        </w:rPr>
      </w:pPr>
      <w:r>
        <w:rPr>
          <w:rFonts w:ascii="Arial" w:cs="Arial" w:eastAsia="Arial" w:hAnsi="Arial"/>
          <w:sz w:val="16"/>
          <w:szCs w:val="16"/>
          <w:color w:val="auto"/>
        </w:rPr>
        <w:t>In addition, uncertain tax positions and tax-related valuation allowances assumed in connection with a business combination are initially estimated as of the acquisition date. The Company reevaluates these items based upon the facts and circumstances that existed as of the acquisition date, with any revisions to the Company’s preliminary estimates being recorded to goodwill, provided that the timing is within the measurement period. Subsequent to the measurement period, changes to uncertain tax positions and tax related valuation allowances will be recorded to earnings.</w:t>
      </w:r>
    </w:p>
    <w:p>
      <w:pPr>
        <w:spacing w:after="0" w:line="157" w:lineRule="exact"/>
        <w:rPr>
          <w:sz w:val="20"/>
          <w:szCs w:val="20"/>
          <w:color w:val="auto"/>
        </w:rPr>
      </w:pPr>
    </w:p>
    <w:p>
      <w:pPr>
        <w:ind w:left="120" w:right="200" w:firstLine="440"/>
        <w:spacing w:after="0" w:line="263" w:lineRule="auto"/>
        <w:rPr>
          <w:sz w:val="20"/>
          <w:szCs w:val="20"/>
          <w:color w:val="auto"/>
        </w:rPr>
      </w:pPr>
      <w:r>
        <w:rPr>
          <w:rFonts w:ascii="Arial" w:cs="Arial" w:eastAsia="Arial" w:hAnsi="Arial"/>
          <w:sz w:val="18"/>
          <w:szCs w:val="18"/>
          <w:color w:val="auto"/>
        </w:rPr>
        <w:t>For any given acquisition, the Company may identify certain pre-acquisition contingencies. The Company estimates the fair value of such contingencies, which are included as part of the assets acquired or liabilities assumed, as appropriate. Differences from these estimates are recorded in the consolidated statement of operations in the period in which they are identified.</w:t>
      </w:r>
    </w:p>
    <w:p>
      <w:pPr>
        <w:spacing w:after="0" w:line="292"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Goodwill and Intangible Assets</w:t>
      </w:r>
    </w:p>
    <w:p>
      <w:pPr>
        <w:spacing w:after="0" w:line="117" w:lineRule="exact"/>
        <w:rPr>
          <w:sz w:val="20"/>
          <w:szCs w:val="20"/>
          <w:color w:val="auto"/>
        </w:rPr>
      </w:pPr>
    </w:p>
    <w:p>
      <w:pPr>
        <w:jc w:val="both"/>
        <w:ind w:left="120" w:firstLine="440"/>
        <w:spacing w:after="0" w:line="263" w:lineRule="auto"/>
        <w:rPr>
          <w:sz w:val="20"/>
          <w:szCs w:val="20"/>
          <w:color w:val="auto"/>
        </w:rPr>
      </w:pPr>
      <w:r>
        <w:rPr>
          <w:rFonts w:ascii="Arial" w:cs="Arial" w:eastAsia="Arial" w:hAnsi="Arial"/>
          <w:sz w:val="18"/>
          <w:szCs w:val="18"/>
          <w:color w:val="auto"/>
        </w:rPr>
        <w:t>Goodwill is calculated as the excess of the purchase consideration paid in the acquisition of a business over the fair value of the identifiable assets acquired and liabilities assumed. Goodwill is not amortized and is tested for impairment at the reporting unit level, at least annually, and more frequently if events or circumstances occur that would indicate a potential decline in fair value.</w:t>
      </w:r>
    </w:p>
    <w:p>
      <w:pPr>
        <w:spacing w:after="0" w:line="116" w:lineRule="exact"/>
        <w:rPr>
          <w:sz w:val="20"/>
          <w:szCs w:val="20"/>
          <w:color w:val="auto"/>
        </w:rPr>
      </w:pPr>
    </w:p>
    <w:p>
      <w:pPr>
        <w:jc w:val="center"/>
        <w:ind w:right="-359"/>
        <w:spacing w:after="0"/>
        <w:rPr>
          <w:sz w:val="20"/>
          <w:szCs w:val="20"/>
          <w:color w:val="auto"/>
        </w:rPr>
      </w:pPr>
      <w:r>
        <w:rPr>
          <w:rFonts w:ascii="Arial" w:cs="Arial" w:eastAsia="Arial" w:hAnsi="Arial"/>
          <w:sz w:val="18"/>
          <w:szCs w:val="18"/>
          <w:color w:val="auto"/>
        </w:rPr>
        <w:t>F-58</w:t>
      </w:r>
    </w:p>
    <w:p>
      <w:pPr>
        <w:sectPr>
          <w:pgSz w:w="11900" w:h="16838" w:orient="portrait"/>
          <w:cols w:equalWidth="0" w:num="1">
            <w:col w:w="11120"/>
          </w:cols>
          <w:pgMar w:left="320" w:top="459" w:right="459" w:bottom="1440" w:gutter="0" w:footer="0" w:header="0"/>
        </w:sectPr>
      </w:pPr>
    </w:p>
    <w:bookmarkStart w:id="264" w:name="page265"/>
    <w:bookmarkEnd w:id="26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350">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Confidential Treatment Requested by Definitive Healthcare Corp.</w:t>
      </w:r>
    </w:p>
    <w:p>
      <w:pPr>
        <w:spacing w:after="0" w:line="27"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Pursuant to 17 C.F.R. Section 200.83</w:t>
      </w:r>
    </w:p>
    <w:p>
      <w:pPr>
        <w:spacing w:after="0" w:line="143" w:lineRule="exact"/>
        <w:rPr>
          <w:sz w:val="20"/>
          <w:szCs w:val="20"/>
          <w:color w:val="auto"/>
        </w:rPr>
      </w:pPr>
    </w:p>
    <w:p>
      <w:pPr>
        <w:ind w:left="120" w:firstLine="440"/>
        <w:spacing w:after="0" w:line="290" w:lineRule="auto"/>
        <w:rPr>
          <w:sz w:val="20"/>
          <w:szCs w:val="20"/>
          <w:color w:val="auto"/>
        </w:rPr>
      </w:pPr>
      <w:r>
        <w:rPr>
          <w:rFonts w:ascii="Arial" w:cs="Arial" w:eastAsia="Arial" w:hAnsi="Arial"/>
          <w:sz w:val="16"/>
          <w:szCs w:val="16"/>
          <w:color w:val="auto"/>
        </w:rPr>
        <w:t>A reporting unit is an operating segment or a component of an operating segment. The Company first assesses qualitative factors to evaluate whether it is more likely than not that the fair value of a reporting unit is less than the carrying amount, or it may elect to bypass such assessment. If it is determined that it is more likely than not that the fair value of the reporting unit is less than its carrying value, or if the Company elects to bypass the qualitative assessment, management will perform a quantitative test by determining the fair value of the reporting unit. The estimated fair value of the reporting unit is based on a projected discounted cash flow model that includes significant assumptions and estimates, including the discount rate, growth rate, and future financial performance. Valuations of similarly situated public companies are also evaluated when assessing the fair value of the reporting unit. If the carrying value of the reporting unit exceeds the fair value, then a goodwill impairment loss is recognized for the difference. The Company performs its annual impairment assessment in the first month of the fourth quarter of each calendar year.</w:t>
      </w:r>
    </w:p>
    <w:p>
      <w:pPr>
        <w:spacing w:after="0" w:line="165" w:lineRule="exact"/>
        <w:rPr>
          <w:sz w:val="20"/>
          <w:szCs w:val="20"/>
          <w:color w:val="auto"/>
        </w:rPr>
      </w:pPr>
    </w:p>
    <w:p>
      <w:pPr>
        <w:ind w:left="120" w:right="160" w:firstLine="440"/>
        <w:spacing w:after="0" w:line="259" w:lineRule="auto"/>
        <w:rPr>
          <w:sz w:val="20"/>
          <w:szCs w:val="20"/>
          <w:color w:val="auto"/>
        </w:rPr>
      </w:pPr>
      <w:r>
        <w:rPr>
          <w:rFonts w:ascii="Arial" w:cs="Arial" w:eastAsia="Arial" w:hAnsi="Arial"/>
          <w:sz w:val="18"/>
          <w:szCs w:val="18"/>
          <w:color w:val="auto"/>
        </w:rPr>
        <w:t>Definite-lived intangible assets are amortized over their estimated useful lives, which represent the period over which the Company expects to realize economic value from the acquired asset(s), using the economic consumption method if anticipated future revenues can be reasonably estimated. The straight-line method is used when future revenues cannot be reasonably estimated. The following provides a summary of the estimated useful lives by category of asset.</w:t>
      </w:r>
    </w:p>
    <w:p>
      <w:pPr>
        <w:spacing w:after="0" w:line="214" w:lineRule="exact"/>
        <w:rPr>
          <w:sz w:val="20"/>
          <w:szCs w:val="20"/>
          <w:color w:val="auto"/>
        </w:rPr>
      </w:pPr>
    </w:p>
    <w:tbl>
      <w:tblPr>
        <w:tblLayout w:type="fixed"/>
        <w:tblInd w:w="560" w:type="dxa"/>
        <w:tblCellMar>
          <w:top w:w="0" w:type="dxa"/>
          <w:left w:w="0" w:type="dxa"/>
          <w:bottom w:w="0" w:type="dxa"/>
          <w:right w:w="0" w:type="dxa"/>
        </w:tblCellMar>
      </w:tblPr>
      <w:tr>
        <w:trPr>
          <w:trHeight w:val="216"/>
        </w:trPr>
        <w:tc>
          <w:tcPr>
            <w:tcW w:w="3600" w:type="dxa"/>
            <w:vAlign w:val="bottom"/>
          </w:tcPr>
          <w:p>
            <w:pPr>
              <w:spacing w:after="0"/>
              <w:rPr>
                <w:sz w:val="20"/>
                <w:szCs w:val="20"/>
                <w:color w:val="auto"/>
              </w:rPr>
            </w:pPr>
            <w:r>
              <w:rPr>
                <w:rFonts w:ascii="Arial" w:cs="Arial" w:eastAsia="Arial" w:hAnsi="Arial"/>
                <w:sz w:val="18"/>
                <w:szCs w:val="18"/>
                <w:color w:val="auto"/>
              </w:rPr>
              <w:t>Customer relationships</w:t>
            </w:r>
          </w:p>
        </w:tc>
        <w:tc>
          <w:tcPr>
            <w:tcW w:w="2080" w:type="dxa"/>
            <w:vAlign w:val="bottom"/>
          </w:tcPr>
          <w:p>
            <w:pPr>
              <w:jc w:val="right"/>
              <w:spacing w:after="0"/>
              <w:rPr>
                <w:sz w:val="20"/>
                <w:szCs w:val="20"/>
                <w:color w:val="auto"/>
              </w:rPr>
            </w:pPr>
            <w:r>
              <w:rPr>
                <w:rFonts w:ascii="Arial" w:cs="Arial" w:eastAsia="Arial" w:hAnsi="Arial"/>
                <w:sz w:val="18"/>
                <w:szCs w:val="18"/>
                <w:color w:val="auto"/>
              </w:rPr>
              <w:t>14</w:t>
            </w:r>
          </w:p>
        </w:tc>
        <w:tc>
          <w:tcPr>
            <w:tcW w:w="760" w:type="dxa"/>
            <w:vAlign w:val="bottom"/>
          </w:tcPr>
          <w:p>
            <w:pPr>
              <w:ind w:left="20"/>
              <w:spacing w:after="0"/>
              <w:rPr>
                <w:sz w:val="20"/>
                <w:szCs w:val="20"/>
                <w:color w:val="auto"/>
              </w:rPr>
            </w:pPr>
            <w:r>
              <w:rPr>
                <w:rFonts w:ascii="Arial" w:cs="Arial" w:eastAsia="Arial" w:hAnsi="Arial"/>
                <w:sz w:val="18"/>
                <w:szCs w:val="18"/>
                <w:color w:val="auto"/>
                <w:w w:val="85"/>
              </w:rPr>
              <w:t>– 15 years</w:t>
            </w:r>
          </w:p>
        </w:tc>
      </w:tr>
      <w:tr>
        <w:trPr>
          <w:trHeight w:val="216"/>
        </w:trPr>
        <w:tc>
          <w:tcPr>
            <w:tcW w:w="3600" w:type="dxa"/>
            <w:vAlign w:val="bottom"/>
          </w:tcPr>
          <w:p>
            <w:pPr>
              <w:spacing w:after="0"/>
              <w:rPr>
                <w:sz w:val="20"/>
                <w:szCs w:val="20"/>
                <w:color w:val="auto"/>
              </w:rPr>
            </w:pPr>
            <w:r>
              <w:rPr>
                <w:rFonts w:ascii="Arial" w:cs="Arial" w:eastAsia="Arial" w:hAnsi="Arial"/>
                <w:sz w:val="18"/>
                <w:szCs w:val="18"/>
                <w:color w:val="auto"/>
              </w:rPr>
              <w:t>Technology</w:t>
            </w:r>
          </w:p>
        </w:tc>
        <w:tc>
          <w:tcPr>
            <w:tcW w:w="2080" w:type="dxa"/>
            <w:vAlign w:val="bottom"/>
          </w:tcPr>
          <w:p>
            <w:pPr>
              <w:jc w:val="right"/>
              <w:spacing w:after="0"/>
              <w:rPr>
                <w:sz w:val="20"/>
                <w:szCs w:val="20"/>
                <w:color w:val="auto"/>
              </w:rPr>
            </w:pPr>
            <w:r>
              <w:rPr>
                <w:rFonts w:ascii="Arial" w:cs="Arial" w:eastAsia="Arial" w:hAnsi="Arial"/>
                <w:sz w:val="18"/>
                <w:szCs w:val="18"/>
                <w:color w:val="auto"/>
              </w:rPr>
              <w:t>7</w:t>
            </w:r>
          </w:p>
        </w:tc>
        <w:tc>
          <w:tcPr>
            <w:tcW w:w="760" w:type="dxa"/>
            <w:vAlign w:val="bottom"/>
          </w:tcPr>
          <w:p>
            <w:pPr>
              <w:ind w:left="20"/>
              <w:spacing w:after="0"/>
              <w:rPr>
                <w:sz w:val="20"/>
                <w:szCs w:val="20"/>
                <w:color w:val="auto"/>
              </w:rPr>
            </w:pPr>
            <w:r>
              <w:rPr>
                <w:rFonts w:ascii="Arial" w:cs="Arial" w:eastAsia="Arial" w:hAnsi="Arial"/>
                <w:sz w:val="18"/>
                <w:szCs w:val="18"/>
                <w:color w:val="auto"/>
                <w:w w:val="97"/>
              </w:rPr>
              <w:t>– 8 years</w:t>
            </w:r>
          </w:p>
        </w:tc>
      </w:tr>
      <w:tr>
        <w:trPr>
          <w:trHeight w:val="216"/>
        </w:trPr>
        <w:tc>
          <w:tcPr>
            <w:tcW w:w="3600" w:type="dxa"/>
            <w:vAlign w:val="bottom"/>
          </w:tcPr>
          <w:p>
            <w:pPr>
              <w:spacing w:after="0"/>
              <w:rPr>
                <w:sz w:val="20"/>
                <w:szCs w:val="20"/>
                <w:color w:val="auto"/>
              </w:rPr>
            </w:pPr>
            <w:r>
              <w:rPr>
                <w:rFonts w:ascii="Arial" w:cs="Arial" w:eastAsia="Arial" w:hAnsi="Arial"/>
                <w:sz w:val="18"/>
                <w:szCs w:val="18"/>
                <w:color w:val="auto"/>
              </w:rPr>
              <w:t>Tradenames / trademark</w:t>
            </w:r>
          </w:p>
        </w:tc>
        <w:tc>
          <w:tcPr>
            <w:tcW w:w="2080" w:type="dxa"/>
            <w:vAlign w:val="bottom"/>
          </w:tcPr>
          <w:p>
            <w:pPr>
              <w:jc w:val="right"/>
              <w:spacing w:after="0"/>
              <w:rPr>
                <w:sz w:val="20"/>
                <w:szCs w:val="20"/>
                <w:color w:val="auto"/>
              </w:rPr>
            </w:pPr>
            <w:r>
              <w:rPr>
                <w:rFonts w:ascii="Arial" w:cs="Arial" w:eastAsia="Arial" w:hAnsi="Arial"/>
                <w:sz w:val="18"/>
                <w:szCs w:val="18"/>
                <w:color w:val="auto"/>
              </w:rPr>
              <w:t>17</w:t>
            </w:r>
          </w:p>
        </w:tc>
        <w:tc>
          <w:tcPr>
            <w:tcW w:w="760" w:type="dxa"/>
            <w:vAlign w:val="bottom"/>
          </w:tcPr>
          <w:p>
            <w:pPr>
              <w:ind w:left="20"/>
              <w:spacing w:after="0"/>
              <w:rPr>
                <w:sz w:val="20"/>
                <w:szCs w:val="20"/>
                <w:color w:val="auto"/>
              </w:rPr>
            </w:pPr>
            <w:r>
              <w:rPr>
                <w:rFonts w:ascii="Arial" w:cs="Arial" w:eastAsia="Arial" w:hAnsi="Arial"/>
                <w:sz w:val="18"/>
                <w:szCs w:val="18"/>
                <w:color w:val="auto"/>
                <w:w w:val="85"/>
              </w:rPr>
              <w:t>– 19 years</w:t>
            </w:r>
          </w:p>
        </w:tc>
      </w:tr>
      <w:tr>
        <w:trPr>
          <w:trHeight w:val="230"/>
        </w:trPr>
        <w:tc>
          <w:tcPr>
            <w:tcW w:w="3600" w:type="dxa"/>
            <w:vAlign w:val="bottom"/>
          </w:tcPr>
          <w:p>
            <w:pPr>
              <w:spacing w:after="0"/>
              <w:rPr>
                <w:sz w:val="20"/>
                <w:szCs w:val="20"/>
                <w:color w:val="auto"/>
              </w:rPr>
            </w:pPr>
            <w:r>
              <w:rPr>
                <w:rFonts w:ascii="Arial" w:cs="Arial" w:eastAsia="Arial" w:hAnsi="Arial"/>
                <w:sz w:val="18"/>
                <w:szCs w:val="18"/>
                <w:color w:val="auto"/>
              </w:rPr>
              <w:t>Data</w:t>
            </w:r>
          </w:p>
        </w:tc>
        <w:tc>
          <w:tcPr>
            <w:tcW w:w="2080" w:type="dxa"/>
            <w:vAlign w:val="bottom"/>
          </w:tcPr>
          <w:p>
            <w:pPr>
              <w:jc w:val="right"/>
              <w:spacing w:after="0"/>
              <w:rPr>
                <w:sz w:val="20"/>
                <w:szCs w:val="20"/>
                <w:color w:val="auto"/>
              </w:rPr>
            </w:pPr>
            <w:r>
              <w:rPr>
                <w:rFonts w:ascii="Arial" w:cs="Arial" w:eastAsia="Arial" w:hAnsi="Arial"/>
                <w:sz w:val="18"/>
                <w:szCs w:val="18"/>
                <w:color w:val="auto"/>
              </w:rPr>
              <w:t>1</w:t>
            </w:r>
          </w:p>
        </w:tc>
        <w:tc>
          <w:tcPr>
            <w:tcW w:w="760" w:type="dxa"/>
            <w:vAlign w:val="bottom"/>
          </w:tcPr>
          <w:p>
            <w:pPr>
              <w:ind w:left="20"/>
              <w:spacing w:after="0"/>
              <w:rPr>
                <w:sz w:val="20"/>
                <w:szCs w:val="20"/>
                <w:color w:val="auto"/>
              </w:rPr>
            </w:pPr>
            <w:r>
              <w:rPr>
                <w:rFonts w:ascii="Arial" w:cs="Arial" w:eastAsia="Arial" w:hAnsi="Arial"/>
                <w:sz w:val="18"/>
                <w:szCs w:val="18"/>
                <w:color w:val="auto"/>
                <w:w w:val="97"/>
              </w:rPr>
              <w:t>– 4 years</w:t>
            </w:r>
          </w:p>
        </w:tc>
      </w:tr>
    </w:tbl>
    <w:p>
      <w:pPr>
        <w:spacing w:after="0" w:line="310"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Impairment of Long-Lived Assets</w:t>
      </w:r>
    </w:p>
    <w:p>
      <w:pPr>
        <w:spacing w:after="0" w:line="117" w:lineRule="exact"/>
        <w:rPr>
          <w:sz w:val="20"/>
          <w:szCs w:val="20"/>
          <w:color w:val="auto"/>
        </w:rPr>
      </w:pPr>
    </w:p>
    <w:p>
      <w:pPr>
        <w:ind w:left="120" w:right="120" w:firstLine="440"/>
        <w:spacing w:after="0" w:line="301" w:lineRule="auto"/>
        <w:rPr>
          <w:sz w:val="20"/>
          <w:szCs w:val="20"/>
          <w:color w:val="auto"/>
        </w:rPr>
      </w:pPr>
      <w:r>
        <w:rPr>
          <w:rFonts w:ascii="Arial" w:cs="Arial" w:eastAsia="Arial" w:hAnsi="Arial"/>
          <w:sz w:val="16"/>
          <w:szCs w:val="16"/>
          <w:color w:val="auto"/>
        </w:rPr>
        <w:t>The Company reviews the carrying value of property and equipment and other long-lived assets, including definite-lived intangible assets and property and equipment, for impairment whenever events and circumstances indicate that the carrying value of an asset may not be recoverable. If estimated undiscounted future cash flows expected to result from its use and eventual disposition are not expected to be adequate to recover the asset’s carrying value, an impairment charge is recorded for the excess of the asset’s carrying value over its estimated fair value.</w:t>
      </w:r>
    </w:p>
    <w:p>
      <w:pPr>
        <w:spacing w:after="0" w:line="265"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Deferred Revenue</w:t>
      </w:r>
    </w:p>
    <w:p>
      <w:pPr>
        <w:spacing w:after="0" w:line="117" w:lineRule="exact"/>
        <w:rPr>
          <w:sz w:val="20"/>
          <w:szCs w:val="20"/>
          <w:color w:val="auto"/>
        </w:rPr>
      </w:pPr>
    </w:p>
    <w:p>
      <w:pPr>
        <w:jc w:val="both"/>
        <w:ind w:left="120" w:right="80" w:firstLine="440"/>
        <w:spacing w:after="0" w:line="311" w:lineRule="auto"/>
        <w:rPr>
          <w:sz w:val="20"/>
          <w:szCs w:val="20"/>
          <w:color w:val="auto"/>
        </w:rPr>
      </w:pPr>
      <w:r>
        <w:rPr>
          <w:rFonts w:ascii="Arial" w:cs="Arial" w:eastAsia="Arial" w:hAnsi="Arial"/>
          <w:sz w:val="16"/>
          <w:szCs w:val="16"/>
          <w:color w:val="auto"/>
        </w:rPr>
        <w:t>Deferred revenue consists of customer payments and billings in advance of revenue being recognized from the subscription services. If revenue has not yet been recognized, a contract liability (deferred revenue) is recorded. Deferred revenue that is anticipated to be recognized within the next 12 months is recorded as current portion of deferred revenue and the remaining portion is included in deferred revenue on the consolidated balance sheets.</w:t>
      </w:r>
    </w:p>
    <w:p>
      <w:pPr>
        <w:spacing w:after="0" w:line="257"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Debt Issuance Costs</w:t>
      </w:r>
    </w:p>
    <w:p>
      <w:pPr>
        <w:spacing w:after="0" w:line="117" w:lineRule="exact"/>
        <w:rPr>
          <w:sz w:val="20"/>
          <w:szCs w:val="20"/>
          <w:color w:val="auto"/>
        </w:rPr>
      </w:pPr>
    </w:p>
    <w:p>
      <w:pPr>
        <w:ind w:left="120" w:right="20" w:firstLine="440"/>
        <w:spacing w:after="0" w:line="270" w:lineRule="auto"/>
        <w:rPr>
          <w:sz w:val="20"/>
          <w:szCs w:val="20"/>
          <w:color w:val="auto"/>
        </w:rPr>
      </w:pPr>
      <w:r>
        <w:rPr>
          <w:rFonts w:ascii="Arial" w:cs="Arial" w:eastAsia="Arial" w:hAnsi="Arial"/>
          <w:sz w:val="17"/>
          <w:szCs w:val="17"/>
          <w:color w:val="auto"/>
        </w:rPr>
        <w:t>Costs incurred in connection with the issuance of long-term debt are deferred and amortized as interest expense over the terms of the related debt using the effective interest method for term debt and on a straight-line basis for revolving debt. To the extent that the debt is outstanding, these amounts are reflected in the consolidated balance sheets as direct deductions from the long-term portions of debt, except for the costs related to the Company’s revolving credit facilities, which are presented as a non-current asset on the consolidated balance sheets within other assets. Upon a refinancing or amendment, previously capitalized debt issuance costs are expensed and included in loss on extinguishment of debt, if the Company determines that there has been a substantial modification of the related debt. If the Company determines that there has not been a substantial modification of the related debt, any previously capitalized debt issuance costs are amortized as interest expense over the term of the new debt instrument. As of June 30, 2021 and December 31, 2020, the Company had $9.9 million and $10.9 million, respectively, of unamortized deferred financing costs related to its non-revolving credit facilities.</w:t>
      </w:r>
    </w:p>
    <w:p>
      <w:pPr>
        <w:spacing w:after="0" w:line="113" w:lineRule="exact"/>
        <w:rPr>
          <w:sz w:val="20"/>
          <w:szCs w:val="20"/>
          <w:color w:val="auto"/>
        </w:rPr>
      </w:pPr>
    </w:p>
    <w:p>
      <w:pPr>
        <w:jc w:val="center"/>
        <w:ind w:right="-399"/>
        <w:spacing w:after="0"/>
        <w:rPr>
          <w:sz w:val="20"/>
          <w:szCs w:val="20"/>
          <w:color w:val="auto"/>
        </w:rPr>
      </w:pPr>
      <w:r>
        <w:rPr>
          <w:rFonts w:ascii="Arial" w:cs="Arial" w:eastAsia="Arial" w:hAnsi="Arial"/>
          <w:sz w:val="18"/>
          <w:szCs w:val="18"/>
          <w:color w:val="auto"/>
        </w:rPr>
        <w:t>F-59</w:t>
      </w:r>
    </w:p>
    <w:p>
      <w:pPr>
        <w:sectPr>
          <w:pgSz w:w="11900" w:h="16838" w:orient="portrait"/>
          <w:cols w:equalWidth="0" w:num="1">
            <w:col w:w="11080"/>
          </w:cols>
          <w:pgMar w:left="320" w:top="459" w:right="499" w:bottom="1440" w:gutter="0" w:footer="0" w:header="0"/>
        </w:sectPr>
      </w:pPr>
    </w:p>
    <w:bookmarkStart w:id="265" w:name="page266"/>
    <w:bookmarkEnd w:id="26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351">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Confidential Treatment Requested by Definitive Healthcare Corp.</w:t>
      </w:r>
    </w:p>
    <w:p>
      <w:pPr>
        <w:spacing w:after="0" w:line="27"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Pursuant to 17 C.F.R. Section 200.83</w:t>
      </w:r>
    </w:p>
    <w:p>
      <w:pPr>
        <w:spacing w:after="0" w:line="143"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Deferred Initial Public Offering Costs</w:t>
      </w:r>
    </w:p>
    <w:p>
      <w:pPr>
        <w:spacing w:after="0" w:line="117" w:lineRule="exact"/>
        <w:rPr>
          <w:sz w:val="20"/>
          <w:szCs w:val="20"/>
          <w:color w:val="auto"/>
        </w:rPr>
      </w:pPr>
    </w:p>
    <w:p>
      <w:pPr>
        <w:ind w:left="120" w:right="100" w:firstLine="440"/>
        <w:spacing w:after="0" w:line="255" w:lineRule="auto"/>
        <w:rPr>
          <w:sz w:val="20"/>
          <w:szCs w:val="20"/>
          <w:color w:val="auto"/>
        </w:rPr>
      </w:pPr>
      <w:r>
        <w:rPr>
          <w:rFonts w:ascii="Arial" w:cs="Arial" w:eastAsia="Arial" w:hAnsi="Arial"/>
          <w:sz w:val="18"/>
          <w:szCs w:val="18"/>
          <w:color w:val="auto"/>
        </w:rPr>
        <w:t>The Company capitalizes deferred initial public offering (“IPO”) costs, which primarily consist of direct, incremental legal, professional, accounting and other third-party fees relating to the Company’s initial public offering, within other assets in the accompanying condensed consolidated balance sheets. The deferred IPO costs will be offset against IPO proceeds upon the consummation of an offering. Should the planned IPO be abandoned, the deferred issuance costs will be expensed immediately as a charge to operating expenses in the condensed consolidated statements of operations and comprehensive loss. At June 30, 2021, deferred IPO costs amounted to $3.8 million. There were no deferred IPO costs as of December 31, 2020.</w:t>
      </w:r>
    </w:p>
    <w:p>
      <w:pPr>
        <w:spacing w:after="0" w:line="300"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Sales Tax</w:t>
      </w:r>
    </w:p>
    <w:p>
      <w:pPr>
        <w:spacing w:after="0" w:line="117" w:lineRule="exact"/>
        <w:rPr>
          <w:sz w:val="20"/>
          <w:szCs w:val="20"/>
          <w:color w:val="auto"/>
        </w:rPr>
      </w:pPr>
    </w:p>
    <w:p>
      <w:pPr>
        <w:ind w:left="120" w:right="160" w:firstLine="440"/>
        <w:spacing w:after="0" w:line="263" w:lineRule="auto"/>
        <w:rPr>
          <w:sz w:val="20"/>
          <w:szCs w:val="20"/>
          <w:color w:val="auto"/>
        </w:rPr>
      </w:pPr>
      <w:r>
        <w:rPr>
          <w:rFonts w:ascii="Arial" w:cs="Arial" w:eastAsia="Arial" w:hAnsi="Arial"/>
          <w:sz w:val="18"/>
          <w:szCs w:val="18"/>
          <w:color w:val="auto"/>
        </w:rPr>
        <w:t>The Company’s revenues may be subject to local sales taxes in certain states, if applicable. It is the Company’s policy to treat all such taxes on a “net” basis, which means the charges for sales taxes to the Company’s customers are not included in revenues and the remittance of such taxes is not presented as an expense.</w:t>
      </w:r>
    </w:p>
    <w:p>
      <w:pPr>
        <w:spacing w:after="0" w:line="292"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Income Taxes</w:t>
      </w:r>
    </w:p>
    <w:p>
      <w:pPr>
        <w:spacing w:after="0" w:line="117" w:lineRule="exact"/>
        <w:rPr>
          <w:sz w:val="20"/>
          <w:szCs w:val="20"/>
          <w:color w:val="auto"/>
        </w:rPr>
      </w:pPr>
    </w:p>
    <w:p>
      <w:pPr>
        <w:ind w:left="120" w:right="20" w:firstLine="440"/>
        <w:spacing w:after="0" w:line="275" w:lineRule="auto"/>
        <w:rPr>
          <w:sz w:val="20"/>
          <w:szCs w:val="20"/>
          <w:color w:val="auto"/>
        </w:rPr>
      </w:pPr>
      <w:r>
        <w:rPr>
          <w:rFonts w:ascii="Arial" w:cs="Arial" w:eastAsia="Arial" w:hAnsi="Arial"/>
          <w:sz w:val="17"/>
          <w:szCs w:val="17"/>
          <w:color w:val="auto"/>
        </w:rPr>
        <w:t>AIDH TopCo, LLC is taxed as a partnership. Definitive Healthcare Holdings, LLC is a wholly owned subsidiary of AIDH TopCo, LLC and is treated as a disregarded entity for income tax purposes. Accordingly, for federal and state income tax purposes, income, losses, and other tax attributes not generated by the HSE or Monocl subsidiaries pass through to the AIDH TopCo, LLC members’ income tax returns. The Company may be subject to certain taxes on behalf of its members in certain states. Definitive Healthcare Holdings was not subject to any federal income taxes for the six months ended June 30, 2021 or 2020, nor was it subject to state income taxes in certain jurisdictions for the said periods.</w:t>
      </w:r>
    </w:p>
    <w:p>
      <w:pPr>
        <w:spacing w:after="0" w:line="176" w:lineRule="exact"/>
        <w:rPr>
          <w:sz w:val="20"/>
          <w:szCs w:val="20"/>
          <w:color w:val="auto"/>
        </w:rPr>
      </w:pPr>
    </w:p>
    <w:p>
      <w:pPr>
        <w:ind w:left="120" w:firstLine="440"/>
        <w:spacing w:after="0" w:line="272" w:lineRule="auto"/>
        <w:rPr>
          <w:sz w:val="20"/>
          <w:szCs w:val="20"/>
          <w:color w:val="auto"/>
        </w:rPr>
      </w:pPr>
      <w:r>
        <w:rPr>
          <w:rFonts w:ascii="Arial" w:cs="Arial" w:eastAsia="Arial" w:hAnsi="Arial"/>
          <w:sz w:val="17"/>
          <w:szCs w:val="17"/>
          <w:color w:val="auto"/>
        </w:rPr>
        <w:t>HSE and the Monocl US subsidiaries are taxed as corporations. Accordingly, these entities account for income taxes by recognizing tax assets and liabilities for the cumulative effect of all the temporary differences between financial statement carrying amounts and the tax basis of assets and liabilities. The foreign tax provision pertains to foreign income taxes due at the Swedish Monocl subsidiaries. Deferred taxes for the HSE, Monocl US and Swedish subsidiaries are determined using enacted federal, state, or foreign income tax rates in effect in the year in which the differences are expected to reverse. Valuation allowances are provided if based upon the weight of available evidence, it is more likely than not that some or all of the deferred tax assets will not be realized. The Company has provided for these taxes. The aggregate of such taxes is not material and is included in general and administrative in the accompanied statements of operations.</w:t>
      </w:r>
    </w:p>
    <w:p>
      <w:pPr>
        <w:spacing w:after="0" w:line="177" w:lineRule="exact"/>
        <w:rPr>
          <w:sz w:val="20"/>
          <w:szCs w:val="20"/>
          <w:color w:val="auto"/>
        </w:rPr>
      </w:pPr>
    </w:p>
    <w:p>
      <w:pPr>
        <w:ind w:left="120" w:right="20" w:firstLine="440"/>
        <w:spacing w:after="0" w:line="279" w:lineRule="auto"/>
        <w:rPr>
          <w:sz w:val="20"/>
          <w:szCs w:val="20"/>
          <w:color w:val="auto"/>
        </w:rPr>
      </w:pPr>
      <w:r>
        <w:rPr>
          <w:rFonts w:ascii="Arial" w:cs="Arial" w:eastAsia="Arial" w:hAnsi="Arial"/>
          <w:sz w:val="17"/>
          <w:szCs w:val="17"/>
          <w:color w:val="auto"/>
        </w:rPr>
        <w:t>Under the provisions of ASC 740</w:t>
      </w:r>
      <w:r>
        <w:rPr>
          <w:rFonts w:ascii="Arial" w:cs="Arial" w:eastAsia="Arial" w:hAnsi="Arial"/>
          <w:sz w:val="17"/>
          <w:szCs w:val="17"/>
          <w:i w:val="1"/>
          <w:iCs w:val="1"/>
          <w:color w:val="auto"/>
        </w:rPr>
        <w:t>, Income Taxes</w:t>
      </w:r>
      <w:r>
        <w:rPr>
          <w:rFonts w:ascii="Arial" w:cs="Arial" w:eastAsia="Arial" w:hAnsi="Arial"/>
          <w:sz w:val="17"/>
          <w:szCs w:val="17"/>
          <w:color w:val="auto"/>
        </w:rPr>
        <w:t>, as it relates to accounting for uncertainties in tax positions, the Company recognizes the tax benefit of tax positions to the extent that the benefit will more likely than not be realized. The determination as to whether the tax benefit will more likely than not be realized is based upon the technical merits of the tax position as well as consideration of the available facts and circumstances. For the six-month periods ended June 30, 2021 and 2020, the Company did not have any uncertain tax positions.</w:t>
      </w:r>
    </w:p>
    <w:p>
      <w:pPr>
        <w:spacing w:after="0" w:line="279"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Net Loss Per Unit</w:t>
      </w:r>
    </w:p>
    <w:p>
      <w:pPr>
        <w:spacing w:after="0" w:line="117" w:lineRule="exact"/>
        <w:rPr>
          <w:sz w:val="20"/>
          <w:szCs w:val="20"/>
          <w:color w:val="auto"/>
        </w:rPr>
      </w:pPr>
    </w:p>
    <w:p>
      <w:pPr>
        <w:ind w:left="120" w:right="40" w:firstLine="440"/>
        <w:spacing w:after="0" w:line="257" w:lineRule="auto"/>
        <w:rPr>
          <w:sz w:val="20"/>
          <w:szCs w:val="20"/>
          <w:color w:val="auto"/>
        </w:rPr>
      </w:pPr>
      <w:r>
        <w:rPr>
          <w:rFonts w:ascii="Arial" w:cs="Arial" w:eastAsia="Arial" w:hAnsi="Arial"/>
          <w:sz w:val="18"/>
          <w:szCs w:val="18"/>
          <w:color w:val="auto"/>
        </w:rPr>
        <w:t>Net income or loss per unit is computed in conformity with the two-class method required for participating securities. The two-class method of computing earnings per share is required for entities that have participating securities. The two-class method is an earnings allocation formula that determines earnings per share for participating securities according to dividends declared (or accumulated) and participation rights in undistributed earnings. The participating securities do not include a contractual obligation to share in losses of the Company and are not included in the calculation of net loss per share in the periods in which a net loss is recorded.</w:t>
      </w:r>
    </w:p>
    <w:p>
      <w:pPr>
        <w:spacing w:after="0" w:line="188" w:lineRule="exact"/>
        <w:rPr>
          <w:sz w:val="20"/>
          <w:szCs w:val="20"/>
          <w:color w:val="auto"/>
        </w:rPr>
      </w:pPr>
    </w:p>
    <w:p>
      <w:pPr>
        <w:ind w:left="120" w:right="640" w:firstLine="440"/>
        <w:spacing w:after="0" w:line="277" w:lineRule="auto"/>
        <w:rPr>
          <w:sz w:val="20"/>
          <w:szCs w:val="20"/>
          <w:color w:val="auto"/>
        </w:rPr>
      </w:pPr>
      <w:r>
        <w:rPr>
          <w:rFonts w:ascii="Arial" w:cs="Arial" w:eastAsia="Arial" w:hAnsi="Arial"/>
          <w:sz w:val="18"/>
          <w:szCs w:val="18"/>
          <w:color w:val="auto"/>
        </w:rPr>
        <w:t>Basic net income or loss per unit is computed by dividing the net income or loss by the weighted-average number of common units of the Company outstanding during the period. Diluted net income or loss per unit is</w:t>
      </w:r>
    </w:p>
    <w:p>
      <w:pPr>
        <w:spacing w:after="0" w:line="103" w:lineRule="exact"/>
        <w:rPr>
          <w:sz w:val="20"/>
          <w:szCs w:val="20"/>
          <w:color w:val="auto"/>
        </w:rPr>
      </w:pPr>
    </w:p>
    <w:p>
      <w:pPr>
        <w:jc w:val="center"/>
        <w:ind w:right="-359"/>
        <w:spacing w:after="0"/>
        <w:rPr>
          <w:sz w:val="20"/>
          <w:szCs w:val="20"/>
          <w:color w:val="auto"/>
        </w:rPr>
      </w:pPr>
      <w:r>
        <w:rPr>
          <w:rFonts w:ascii="Arial" w:cs="Arial" w:eastAsia="Arial" w:hAnsi="Arial"/>
          <w:sz w:val="18"/>
          <w:szCs w:val="18"/>
          <w:color w:val="auto"/>
        </w:rPr>
        <w:t>F-60</w:t>
      </w:r>
    </w:p>
    <w:p>
      <w:pPr>
        <w:sectPr>
          <w:pgSz w:w="11900" w:h="16838" w:orient="portrait"/>
          <w:cols w:equalWidth="0" w:num="1">
            <w:col w:w="11100"/>
          </w:cols>
          <w:pgMar w:left="320" w:top="459" w:right="479" w:bottom="1440" w:gutter="0" w:footer="0" w:header="0"/>
        </w:sectPr>
      </w:pPr>
    </w:p>
    <w:bookmarkStart w:id="266" w:name="page267"/>
    <w:bookmarkEnd w:id="26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352">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Confidential Treatment Requested by Definitive Healthcare Corp.</w:t>
      </w:r>
    </w:p>
    <w:p>
      <w:pPr>
        <w:spacing w:after="0" w:line="27"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Pursuant to 17 C.F.R. Section 200.83</w:t>
      </w:r>
    </w:p>
    <w:p>
      <w:pPr>
        <w:spacing w:after="0" w:line="143" w:lineRule="exact"/>
        <w:rPr>
          <w:sz w:val="20"/>
          <w:szCs w:val="20"/>
          <w:color w:val="auto"/>
        </w:rPr>
      </w:pPr>
    </w:p>
    <w:p>
      <w:pPr>
        <w:ind w:left="120"/>
        <w:spacing w:after="0" w:line="259" w:lineRule="auto"/>
        <w:rPr>
          <w:sz w:val="20"/>
          <w:szCs w:val="20"/>
          <w:color w:val="auto"/>
        </w:rPr>
      </w:pPr>
      <w:r>
        <w:rPr>
          <w:rFonts w:ascii="Arial" w:cs="Arial" w:eastAsia="Arial" w:hAnsi="Arial"/>
          <w:sz w:val="18"/>
          <w:szCs w:val="18"/>
          <w:color w:val="auto"/>
        </w:rPr>
        <w:t>computed by giving effect to all potential units of common units, including outstanding incentive units, to the extent dilutive. The Company uses the treasury stock method to calculate potentially dilutive shares, as if they were converted into common stock at the beginning of the period. Basic and diluted net income or loss per unit was the same for each period presented as the inclusion of all potential units of common units outstanding would have been anti-dilutive.</w:t>
      </w:r>
    </w:p>
    <w:p>
      <w:pPr>
        <w:spacing w:after="0" w:line="187" w:lineRule="exact"/>
        <w:rPr>
          <w:sz w:val="20"/>
          <w:szCs w:val="20"/>
          <w:color w:val="auto"/>
        </w:rPr>
      </w:pPr>
    </w:p>
    <w:p>
      <w:pPr>
        <w:ind w:left="560"/>
        <w:spacing w:after="0"/>
        <w:rPr>
          <w:sz w:val="20"/>
          <w:szCs w:val="20"/>
          <w:color w:val="auto"/>
        </w:rPr>
      </w:pPr>
      <w:r>
        <w:rPr>
          <w:rFonts w:ascii="Arial" w:cs="Arial" w:eastAsia="Arial" w:hAnsi="Arial"/>
          <w:sz w:val="18"/>
          <w:szCs w:val="18"/>
          <w:color w:val="auto"/>
        </w:rPr>
        <w:t xml:space="preserve">See Note 16. </w:t>
      </w:r>
      <w:r>
        <w:rPr>
          <w:rFonts w:ascii="Arial" w:cs="Arial" w:eastAsia="Arial" w:hAnsi="Arial"/>
          <w:sz w:val="18"/>
          <w:szCs w:val="18"/>
          <w:i w:val="1"/>
          <w:iCs w:val="1"/>
          <w:color w:val="auto"/>
        </w:rPr>
        <w:t>Net Loss Per Unit</w:t>
      </w:r>
      <w:r>
        <w:rPr>
          <w:rFonts w:ascii="Arial" w:cs="Arial" w:eastAsia="Arial" w:hAnsi="Arial"/>
          <w:sz w:val="18"/>
          <w:szCs w:val="18"/>
          <w:color w:val="auto"/>
        </w:rPr>
        <w:t xml:space="preserve"> for additional information on dilutive securities.</w:t>
      </w:r>
    </w:p>
    <w:p>
      <w:pPr>
        <w:spacing w:after="0" w:line="333"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Equity-Based Compensation</w:t>
      </w:r>
    </w:p>
    <w:p>
      <w:pPr>
        <w:spacing w:after="0" w:line="117" w:lineRule="exact"/>
        <w:rPr>
          <w:sz w:val="20"/>
          <w:szCs w:val="20"/>
          <w:color w:val="auto"/>
        </w:rPr>
      </w:pPr>
    </w:p>
    <w:p>
      <w:pPr>
        <w:ind w:left="120" w:right="80" w:firstLine="440"/>
        <w:spacing w:after="0" w:line="311" w:lineRule="auto"/>
        <w:rPr>
          <w:sz w:val="20"/>
          <w:szCs w:val="20"/>
          <w:color w:val="auto"/>
        </w:rPr>
      </w:pPr>
      <w:r>
        <w:rPr>
          <w:rFonts w:ascii="Arial" w:cs="Arial" w:eastAsia="Arial" w:hAnsi="Arial"/>
          <w:sz w:val="16"/>
          <w:szCs w:val="16"/>
          <w:color w:val="auto"/>
        </w:rPr>
        <w:t>The Company periodically grants equity units to employees, consultants, directors, managers, or others providing service. These units are considered profits interests, which in general, entitle the holder of the unit to a pro rata share of the increase in fair value of the unit over the base value, which is determined at the award date, and are deemed to be equity instruments. Certain units have time-based and performance-based vesting criteria.</w:t>
      </w:r>
    </w:p>
    <w:p>
      <w:pPr>
        <w:spacing w:after="0" w:line="149" w:lineRule="exact"/>
        <w:rPr>
          <w:sz w:val="20"/>
          <w:szCs w:val="20"/>
          <w:color w:val="auto"/>
        </w:rPr>
      </w:pPr>
    </w:p>
    <w:p>
      <w:pPr>
        <w:ind w:left="120" w:right="60" w:firstLine="440"/>
        <w:spacing w:after="0" w:line="275" w:lineRule="auto"/>
        <w:rPr>
          <w:sz w:val="20"/>
          <w:szCs w:val="20"/>
          <w:color w:val="auto"/>
        </w:rPr>
      </w:pPr>
      <w:r>
        <w:rPr>
          <w:rFonts w:ascii="Arial" w:cs="Arial" w:eastAsia="Arial" w:hAnsi="Arial"/>
          <w:sz w:val="17"/>
          <w:szCs w:val="17"/>
          <w:color w:val="auto"/>
        </w:rPr>
        <w:t>The Company accounts for these profit interest units in accordance with ASC 718—</w:t>
      </w:r>
      <w:r>
        <w:rPr>
          <w:rFonts w:ascii="Arial" w:cs="Arial" w:eastAsia="Arial" w:hAnsi="Arial"/>
          <w:sz w:val="17"/>
          <w:szCs w:val="17"/>
          <w:i w:val="1"/>
          <w:iCs w:val="1"/>
          <w:color w:val="auto"/>
        </w:rPr>
        <w:t>Compensation – Stock Compensation.</w:t>
      </w:r>
      <w:r>
        <w:rPr>
          <w:rFonts w:ascii="Arial" w:cs="Arial" w:eastAsia="Arial" w:hAnsi="Arial"/>
          <w:sz w:val="17"/>
          <w:szCs w:val="17"/>
          <w:color w:val="auto"/>
        </w:rPr>
        <w:t xml:space="preserve"> Equity-based compensation is recognized on a straight-line basis over the requisite service period of the award, which is generally the vesting period of the respective award, based on their grant-date fair value. For the units which have a performance condition, the Company recognizes compensation expense based on its assessment of the probability that the performance condition(s) will be achieved. The related compensation expense is recognized when the probability of the event is likely and performance criteria are met. Forfeitures are recognized as they occur.</w:t>
      </w:r>
    </w:p>
    <w:p>
      <w:pPr>
        <w:spacing w:after="0" w:line="176" w:lineRule="exact"/>
        <w:rPr>
          <w:sz w:val="20"/>
          <w:szCs w:val="20"/>
          <w:color w:val="auto"/>
        </w:rPr>
      </w:pPr>
    </w:p>
    <w:p>
      <w:pPr>
        <w:ind w:left="120" w:right="180" w:firstLine="440"/>
        <w:spacing w:after="0" w:line="277" w:lineRule="auto"/>
        <w:rPr>
          <w:sz w:val="20"/>
          <w:szCs w:val="20"/>
          <w:color w:val="auto"/>
        </w:rPr>
      </w:pPr>
      <w:r>
        <w:rPr>
          <w:rFonts w:ascii="Arial" w:cs="Arial" w:eastAsia="Arial" w:hAnsi="Arial"/>
          <w:sz w:val="18"/>
          <w:szCs w:val="18"/>
          <w:color w:val="auto"/>
        </w:rPr>
        <w:t>The Company classifies equity-based compensation expense in its consolidated statements of operations in the same manner in which the award recipient’s salary and related costs are classified.</w:t>
      </w:r>
    </w:p>
    <w:p>
      <w:pPr>
        <w:spacing w:after="0" w:line="278"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Adoption of Recently Issued Financial Accounting Standards</w:t>
      </w:r>
    </w:p>
    <w:p>
      <w:pPr>
        <w:spacing w:after="0" w:line="117" w:lineRule="exact"/>
        <w:rPr>
          <w:sz w:val="20"/>
          <w:szCs w:val="20"/>
          <w:color w:val="auto"/>
        </w:rPr>
      </w:pPr>
    </w:p>
    <w:p>
      <w:pPr>
        <w:ind w:left="120" w:firstLine="440"/>
        <w:spacing w:after="0" w:line="255" w:lineRule="auto"/>
        <w:rPr>
          <w:sz w:val="20"/>
          <w:szCs w:val="20"/>
          <w:color w:val="auto"/>
        </w:rPr>
      </w:pPr>
      <w:r>
        <w:rPr>
          <w:rFonts w:ascii="Arial" w:cs="Arial" w:eastAsia="Arial" w:hAnsi="Arial"/>
          <w:sz w:val="18"/>
          <w:szCs w:val="18"/>
          <w:color w:val="auto"/>
        </w:rPr>
        <w:t>In August 2018, the FASB issued ASU No. 2018-15—</w:t>
      </w:r>
      <w:r>
        <w:rPr>
          <w:rFonts w:ascii="Arial" w:cs="Arial" w:eastAsia="Arial" w:hAnsi="Arial"/>
          <w:sz w:val="18"/>
          <w:szCs w:val="18"/>
          <w:i w:val="1"/>
          <w:iCs w:val="1"/>
          <w:color w:val="auto"/>
        </w:rPr>
        <w:t>Intangibles — Goodwill and Other — Internal-Use Software (Subtopic 350-40), Customer’s</w:t>
      </w:r>
      <w:r>
        <w:rPr>
          <w:rFonts w:ascii="Arial" w:cs="Arial" w:eastAsia="Arial" w:hAnsi="Arial"/>
          <w:sz w:val="18"/>
          <w:szCs w:val="18"/>
          <w:color w:val="auto"/>
        </w:rPr>
        <w:t xml:space="preserve"> </w:t>
      </w:r>
      <w:r>
        <w:rPr>
          <w:rFonts w:ascii="Arial" w:cs="Arial" w:eastAsia="Arial" w:hAnsi="Arial"/>
          <w:sz w:val="18"/>
          <w:szCs w:val="18"/>
          <w:i w:val="1"/>
          <w:iCs w:val="1"/>
          <w:color w:val="auto"/>
        </w:rPr>
        <w:t>Accounting for Implementation Costs Incurred in a Cloud Computing Arrangement That Is a Service Contract</w:t>
      </w:r>
      <w:r>
        <w:rPr>
          <w:rFonts w:ascii="Arial" w:cs="Arial" w:eastAsia="Arial" w:hAnsi="Arial"/>
          <w:sz w:val="18"/>
          <w:szCs w:val="18"/>
          <w:color w:val="auto"/>
        </w:rPr>
        <w:t>. This standard aligns the requirements for</w:t>
      </w:r>
      <w:r>
        <w:rPr>
          <w:rFonts w:ascii="Arial" w:cs="Arial" w:eastAsia="Arial" w:hAnsi="Arial"/>
          <w:sz w:val="18"/>
          <w:szCs w:val="18"/>
          <w:i w:val="1"/>
          <w:iCs w:val="1"/>
          <w:color w:val="auto"/>
        </w:rPr>
        <w:t xml:space="preserve"> </w:t>
      </w:r>
      <w:r>
        <w:rPr>
          <w:rFonts w:ascii="Arial" w:cs="Arial" w:eastAsia="Arial" w:hAnsi="Arial"/>
          <w:sz w:val="18"/>
          <w:szCs w:val="18"/>
          <w:color w:val="auto"/>
        </w:rPr>
        <w:t>capitalizing implementation costs incurred in a hosting arrangement that is a service contract with the requirements for capitalizing implementation costs incurred to develop or obtain internal-use software. The amendment is effective for fiscal years beginning after December 15, 2020 and early adoption is permitted. The Company adopted the update effective January 1, 2021. The adoption did not have a material impact on the consolidated financial statements.</w:t>
      </w:r>
    </w:p>
    <w:p>
      <w:pPr>
        <w:spacing w:after="0" w:line="300"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Recently-Issued Accounting Pronouncements Not Yet Adopted</w:t>
      </w:r>
    </w:p>
    <w:p>
      <w:pPr>
        <w:spacing w:after="0" w:line="117" w:lineRule="exact"/>
        <w:rPr>
          <w:sz w:val="20"/>
          <w:szCs w:val="20"/>
          <w:color w:val="auto"/>
        </w:rPr>
      </w:pPr>
    </w:p>
    <w:p>
      <w:pPr>
        <w:ind w:left="120" w:right="60" w:firstLine="440"/>
        <w:spacing w:after="0" w:line="257" w:lineRule="auto"/>
        <w:rPr>
          <w:sz w:val="20"/>
          <w:szCs w:val="20"/>
          <w:color w:val="auto"/>
        </w:rPr>
      </w:pPr>
      <w:r>
        <w:rPr>
          <w:rFonts w:ascii="Arial" w:cs="Arial" w:eastAsia="Arial" w:hAnsi="Arial"/>
          <w:sz w:val="18"/>
          <w:szCs w:val="18"/>
          <w:color w:val="auto"/>
        </w:rPr>
        <w:t>In June 2016, the FASB issued ASU No. 2016-13</w:t>
      </w:r>
      <w:r>
        <w:rPr>
          <w:rFonts w:ascii="Arial" w:cs="Arial" w:eastAsia="Arial" w:hAnsi="Arial"/>
          <w:sz w:val="18"/>
          <w:szCs w:val="18"/>
          <w:i w:val="1"/>
          <w:iCs w:val="1"/>
          <w:color w:val="auto"/>
        </w:rPr>
        <w:t>—Financial Instruments — Credit Losses (Topic 326) —Measurement of Credit Losses on</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Financial Instruments. </w:t>
      </w:r>
      <w:r>
        <w:rPr>
          <w:rFonts w:ascii="Arial" w:cs="Arial" w:eastAsia="Arial" w:hAnsi="Arial"/>
          <w:sz w:val="18"/>
          <w:szCs w:val="18"/>
          <w:color w:val="auto"/>
        </w:rPr>
        <w:t>This standard is intended to improve financial reporting by requiring earlier recognition of credit losses on financing receivables</w:t>
      </w:r>
      <w:r>
        <w:rPr>
          <w:rFonts w:ascii="Arial" w:cs="Arial" w:eastAsia="Arial" w:hAnsi="Arial"/>
          <w:sz w:val="18"/>
          <w:szCs w:val="18"/>
          <w:i w:val="1"/>
          <w:iCs w:val="1"/>
          <w:color w:val="auto"/>
        </w:rPr>
        <w:t xml:space="preserve"> </w:t>
      </w:r>
      <w:r>
        <w:rPr>
          <w:rFonts w:ascii="Arial" w:cs="Arial" w:eastAsia="Arial" w:hAnsi="Arial"/>
          <w:sz w:val="18"/>
          <w:szCs w:val="18"/>
          <w:color w:val="auto"/>
        </w:rPr>
        <w:t>and other financial assets in scope, such as trade receivables. The amendment is effective for fiscal years beginning after December 15, 2022. The Company will adopt the update effective January 1, 2023, and does not expect the adoption of the standard to have a material impact on its consolidated financial statements.</w:t>
      </w:r>
    </w:p>
    <w:p>
      <w:pPr>
        <w:spacing w:after="0" w:line="188" w:lineRule="exact"/>
        <w:rPr>
          <w:sz w:val="20"/>
          <w:szCs w:val="20"/>
          <w:color w:val="auto"/>
        </w:rPr>
      </w:pPr>
    </w:p>
    <w:p>
      <w:pPr>
        <w:ind w:left="120" w:right="180" w:firstLine="440"/>
        <w:spacing w:after="0" w:line="257" w:lineRule="auto"/>
        <w:rPr>
          <w:sz w:val="20"/>
          <w:szCs w:val="20"/>
          <w:color w:val="auto"/>
        </w:rPr>
      </w:pPr>
      <w:r>
        <w:rPr>
          <w:rFonts w:ascii="Arial" w:cs="Arial" w:eastAsia="Arial" w:hAnsi="Arial"/>
          <w:sz w:val="18"/>
          <w:szCs w:val="18"/>
          <w:color w:val="auto"/>
        </w:rPr>
        <w:t>In February 2016, the FASB issued ASU 2016-02—</w:t>
      </w:r>
      <w:r>
        <w:rPr>
          <w:rFonts w:ascii="Arial" w:cs="Arial" w:eastAsia="Arial" w:hAnsi="Arial"/>
          <w:sz w:val="18"/>
          <w:szCs w:val="18"/>
          <w:i w:val="1"/>
          <w:iCs w:val="1"/>
          <w:color w:val="auto"/>
        </w:rPr>
        <w:t>Leases</w:t>
      </w:r>
      <w:r>
        <w:rPr>
          <w:rFonts w:ascii="Arial" w:cs="Arial" w:eastAsia="Arial" w:hAnsi="Arial"/>
          <w:sz w:val="18"/>
          <w:szCs w:val="18"/>
          <w:color w:val="auto"/>
        </w:rPr>
        <w:t>. The new standard establishes a right-of-use (“ROU”) model that requires a lessee to record a ROU asset and a lease liability on the balance sheet for all leases with terms longer than twelve months. Leases will be classified as either finance or operating, with classification affecting the pattern of expense recognition in the income statement. The new standard is effective for private companies with annual reporting periods beginning after December 15, 2021. A modified retrospective transition approach is required for capital and operating leases existing at, or entered into after, the</w:t>
      </w:r>
    </w:p>
    <w:p>
      <w:pPr>
        <w:spacing w:after="0" w:line="120"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F-61</w:t>
      </w:r>
    </w:p>
    <w:p>
      <w:pPr>
        <w:sectPr>
          <w:pgSz w:w="11900" w:h="16838" w:orient="portrait"/>
          <w:cols w:equalWidth="0" w:num="1">
            <w:col w:w="11120"/>
          </w:cols>
          <w:pgMar w:left="320" w:top="459" w:right="459" w:bottom="1440" w:gutter="0" w:footer="0" w:header="0"/>
        </w:sectPr>
      </w:pPr>
    </w:p>
    <w:bookmarkStart w:id="267" w:name="page268"/>
    <w:bookmarkEnd w:id="26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353">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Confidential Treatment Requested by Definitive Healthcare Corp.</w:t>
      </w:r>
    </w:p>
    <w:p>
      <w:pPr>
        <w:spacing w:after="0" w:line="27"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Pursuant to 17 C.F.R. Section 200.83</w:t>
      </w:r>
    </w:p>
    <w:p>
      <w:pPr>
        <w:spacing w:after="0" w:line="143" w:lineRule="exact"/>
        <w:rPr>
          <w:sz w:val="20"/>
          <w:szCs w:val="20"/>
          <w:color w:val="auto"/>
        </w:rPr>
      </w:pPr>
    </w:p>
    <w:p>
      <w:pPr>
        <w:ind w:left="120" w:right="280"/>
        <w:spacing w:after="0" w:line="263" w:lineRule="auto"/>
        <w:rPr>
          <w:sz w:val="20"/>
          <w:szCs w:val="20"/>
          <w:color w:val="auto"/>
        </w:rPr>
      </w:pPr>
      <w:r>
        <w:rPr>
          <w:rFonts w:ascii="Arial" w:cs="Arial" w:eastAsia="Arial" w:hAnsi="Arial"/>
          <w:sz w:val="18"/>
          <w:szCs w:val="18"/>
          <w:color w:val="auto"/>
        </w:rPr>
        <w:t>beginning of the earliest comparative period presented in the financial statements, or by not adjusting the comparative periods and recording a cumulative effect adjustment as of the adoption date, with certain practical expedients available. The Company is currently evaluating the impact the adoption of this standard will have on its consolidated financial statements.</w:t>
      </w:r>
    </w:p>
    <w:p>
      <w:pPr>
        <w:spacing w:after="0" w:line="184" w:lineRule="exact"/>
        <w:rPr>
          <w:sz w:val="20"/>
          <w:szCs w:val="20"/>
          <w:color w:val="auto"/>
        </w:rPr>
      </w:pPr>
    </w:p>
    <w:p>
      <w:pPr>
        <w:ind w:left="120" w:right="100" w:firstLine="440"/>
        <w:spacing w:after="0" w:line="259" w:lineRule="auto"/>
        <w:rPr>
          <w:sz w:val="20"/>
          <w:szCs w:val="20"/>
          <w:color w:val="auto"/>
        </w:rPr>
      </w:pPr>
      <w:r>
        <w:rPr>
          <w:rFonts w:ascii="Arial" w:cs="Arial" w:eastAsia="Arial" w:hAnsi="Arial"/>
          <w:sz w:val="18"/>
          <w:szCs w:val="18"/>
          <w:color w:val="auto"/>
        </w:rPr>
        <w:t>In December 2019, the FASB issued ASU No. 2019-12—</w:t>
      </w:r>
      <w:r>
        <w:rPr>
          <w:rFonts w:ascii="Arial" w:cs="Arial" w:eastAsia="Arial" w:hAnsi="Arial"/>
          <w:sz w:val="18"/>
          <w:szCs w:val="18"/>
          <w:i w:val="1"/>
          <w:iCs w:val="1"/>
          <w:color w:val="auto"/>
        </w:rPr>
        <w:t>Income Taxes (Topic 740), Simplifying the Accounting for Income Taxes</w:t>
      </w:r>
      <w:r>
        <w:rPr>
          <w:rFonts w:ascii="Arial" w:cs="Arial" w:eastAsia="Arial" w:hAnsi="Arial"/>
          <w:sz w:val="18"/>
          <w:szCs w:val="18"/>
          <w:color w:val="auto"/>
        </w:rPr>
        <w:t xml:space="preserve"> This standard removes certain exceptions for investments, intra-period allocations and interim tax calculations and adds guidance to reduce complexity in accounting for income taxes. The amendment is effective for fiscal years beginning after December 15, 2021 and early adoption is permitted. The Company is currently evaluating the impact of this update on its consolidated financial statements.</w:t>
      </w:r>
    </w:p>
    <w:p>
      <w:pPr>
        <w:spacing w:after="0" w:line="187" w:lineRule="exact"/>
        <w:rPr>
          <w:sz w:val="20"/>
          <w:szCs w:val="20"/>
          <w:color w:val="auto"/>
        </w:rPr>
      </w:pPr>
    </w:p>
    <w:p>
      <w:pPr>
        <w:ind w:left="120" w:right="40" w:firstLine="440"/>
        <w:spacing w:after="0" w:line="270" w:lineRule="auto"/>
        <w:rPr>
          <w:sz w:val="20"/>
          <w:szCs w:val="20"/>
          <w:color w:val="auto"/>
        </w:rPr>
      </w:pPr>
      <w:r>
        <w:rPr>
          <w:rFonts w:ascii="Arial" w:cs="Arial" w:eastAsia="Arial" w:hAnsi="Arial"/>
          <w:sz w:val="17"/>
          <w:szCs w:val="17"/>
          <w:color w:val="auto"/>
        </w:rPr>
        <w:t>In March 2020, the FASB issued ASU No. 2020-04—</w:t>
      </w:r>
      <w:r>
        <w:rPr>
          <w:rFonts w:ascii="Arial" w:cs="Arial" w:eastAsia="Arial" w:hAnsi="Arial"/>
          <w:sz w:val="17"/>
          <w:szCs w:val="17"/>
          <w:i w:val="1"/>
          <w:iCs w:val="1"/>
          <w:color w:val="auto"/>
        </w:rPr>
        <w:t>Reference Rate Reform (Topic 848): Facilitation of the Effects of Reference Rate Reform on</w:t>
      </w:r>
      <w:r>
        <w:rPr>
          <w:rFonts w:ascii="Arial" w:cs="Arial" w:eastAsia="Arial" w:hAnsi="Arial"/>
          <w:sz w:val="17"/>
          <w:szCs w:val="17"/>
          <w:color w:val="auto"/>
        </w:rPr>
        <w:t xml:space="preserve"> </w:t>
      </w:r>
      <w:r>
        <w:rPr>
          <w:rFonts w:ascii="Arial" w:cs="Arial" w:eastAsia="Arial" w:hAnsi="Arial"/>
          <w:sz w:val="17"/>
          <w:szCs w:val="17"/>
          <w:i w:val="1"/>
          <w:iCs w:val="1"/>
          <w:color w:val="auto"/>
        </w:rPr>
        <w:t>Financial Reporting</w:t>
      </w:r>
      <w:r>
        <w:rPr>
          <w:rFonts w:ascii="Arial" w:cs="Arial" w:eastAsia="Arial" w:hAnsi="Arial"/>
          <w:sz w:val="17"/>
          <w:szCs w:val="17"/>
          <w:color w:val="auto"/>
        </w:rPr>
        <w:t>. The amendments of ASU No. 2020-04 are effective for companies as of March 12, 2020 through December 31, 2022. An entity</w:t>
      </w:r>
      <w:r>
        <w:rPr>
          <w:rFonts w:ascii="Arial" w:cs="Arial" w:eastAsia="Arial" w:hAnsi="Arial"/>
          <w:sz w:val="17"/>
          <w:szCs w:val="17"/>
          <w:i w:val="1"/>
          <w:iCs w:val="1"/>
          <w:color w:val="auto"/>
        </w:rPr>
        <w:t xml:space="preserve"> </w:t>
      </w:r>
      <w:r>
        <w:rPr>
          <w:rFonts w:ascii="Arial" w:cs="Arial" w:eastAsia="Arial" w:hAnsi="Arial"/>
          <w:sz w:val="17"/>
          <w:szCs w:val="17"/>
          <w:color w:val="auto"/>
        </w:rPr>
        <w:t>may elect to apply the amendments for contract modifications by Topic or Industry Subtopic as of any date from the beginning of an interim period that includes or is subsequent to March 12, 2020, or prospectively from a date within an interim period that includes or is subsequent to March 12, 2020, up to the date that the financial statements are available to be issued. The amendments in this update apply only to contracts, hedging relationships and other transactions that reference LIBOR or another reference rate expected to be discontinued because of reference rate reform and provide optional expedients and exceptions for applying U.S. GAAP to contracts, hedging relationships and other transactions affected by reference rate reform if certain criteria are met. The Company is evaluating the impact that the amendments of this standard would have on the Company’s consolidated financial position or results of operations upon adoption.</w:t>
      </w:r>
    </w:p>
    <w:p>
      <w:pPr>
        <w:spacing w:after="0" w:line="329" w:lineRule="exact"/>
        <w:rPr>
          <w:sz w:val="20"/>
          <w:szCs w:val="20"/>
          <w:color w:val="auto"/>
        </w:rPr>
      </w:pPr>
    </w:p>
    <w:p>
      <w:pPr>
        <w:ind w:left="540" w:hanging="424"/>
        <w:spacing w:after="0"/>
        <w:tabs>
          <w:tab w:leader="none" w:pos="540" w:val="left"/>
        </w:tabs>
        <w:numPr>
          <w:ilvl w:val="0"/>
          <w:numId w:val="205"/>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Business Combinations</w:t>
      </w:r>
    </w:p>
    <w:p>
      <w:pPr>
        <w:spacing w:after="0" w:line="117" w:lineRule="exact"/>
        <w:rPr>
          <w:sz w:val="20"/>
          <w:szCs w:val="20"/>
          <w:color w:val="auto"/>
        </w:rPr>
      </w:pPr>
    </w:p>
    <w:p>
      <w:pPr>
        <w:ind w:left="120" w:right="100" w:firstLine="440"/>
        <w:spacing w:after="0" w:line="273" w:lineRule="auto"/>
        <w:rPr>
          <w:sz w:val="20"/>
          <w:szCs w:val="20"/>
          <w:color w:val="auto"/>
        </w:rPr>
      </w:pPr>
      <w:r>
        <w:rPr>
          <w:rFonts w:ascii="Arial" w:cs="Arial" w:eastAsia="Arial" w:hAnsi="Arial"/>
          <w:sz w:val="17"/>
          <w:szCs w:val="17"/>
          <w:color w:val="auto"/>
        </w:rPr>
        <w:t>On October 27, 2020, the Company completed the purchase of all of the outstanding shares of Monocl Holding Company (“Monocl”), a cloud-based platform with millions of expert profiles, for a total estimated consideration of $46.3 million and up to $60 million, consisting of approximately $18.3 million of cash payable at closing, $25.4 million of rollover equity, and up to $15.0 million of contingent consideration. The contingent consideration, which relates to earn-out payments that may be paid out upon the achievement of certain performance targets has an estimated fair value of $2.6 million as of the acquisition date. The assets acquired and liabilities assumed were recorded at their estimated fair values and the results of operations were included in the Company’s consolidated results as of the acquisition date.</w:t>
      </w:r>
    </w:p>
    <w:p>
      <w:pPr>
        <w:spacing w:after="0" w:line="178" w:lineRule="exact"/>
        <w:rPr>
          <w:sz w:val="20"/>
          <w:szCs w:val="20"/>
          <w:color w:val="auto"/>
        </w:rPr>
      </w:pPr>
    </w:p>
    <w:tbl>
      <w:tblPr>
        <w:tblLayout w:type="fixed"/>
        <w:tblInd w:w="560" w:type="dxa"/>
        <w:tblCellMar>
          <w:top w:w="0" w:type="dxa"/>
          <w:left w:w="0" w:type="dxa"/>
          <w:bottom w:w="0" w:type="dxa"/>
          <w:right w:w="0" w:type="dxa"/>
        </w:tblCellMar>
      </w:tblPr>
      <w:tr>
        <w:trPr>
          <w:trHeight w:val="230"/>
        </w:trPr>
        <w:tc>
          <w:tcPr>
            <w:tcW w:w="8080" w:type="dxa"/>
            <w:vAlign w:val="bottom"/>
            <w:gridSpan w:val="2"/>
          </w:tcPr>
          <w:p>
            <w:pPr>
              <w:spacing w:after="0"/>
              <w:rPr>
                <w:sz w:val="20"/>
                <w:szCs w:val="20"/>
                <w:color w:val="auto"/>
              </w:rPr>
            </w:pPr>
            <w:r>
              <w:rPr>
                <w:rFonts w:ascii="Arial" w:cs="Arial" w:eastAsia="Arial" w:hAnsi="Arial"/>
                <w:sz w:val="18"/>
                <w:szCs w:val="18"/>
                <w:color w:val="auto"/>
              </w:rPr>
              <w:t>The consideration transferred for the transaction is summarized as follows (in thousands):</w:t>
            </w: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1320" w:type="dxa"/>
            <w:vAlign w:val="bottom"/>
            <w:vMerge w:val="restart"/>
          </w:tcPr>
          <w:p>
            <w:pPr>
              <w:spacing w:after="0"/>
              <w:rPr>
                <w:sz w:val="21"/>
                <w:szCs w:val="21"/>
                <w:color w:val="auto"/>
              </w:rPr>
            </w:pPr>
          </w:p>
        </w:tc>
        <w:tc>
          <w:tcPr>
            <w:tcW w:w="676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1320" w:type="dxa"/>
            <w:vAlign w:val="bottom"/>
            <w:vMerge w:val="continue"/>
          </w:tcPr>
          <w:p>
            <w:pPr>
              <w:spacing w:after="0"/>
              <w:rPr>
                <w:sz w:val="19"/>
                <w:szCs w:val="19"/>
                <w:color w:val="auto"/>
              </w:rPr>
            </w:pPr>
          </w:p>
        </w:tc>
        <w:tc>
          <w:tcPr>
            <w:tcW w:w="6760" w:type="dxa"/>
            <w:vAlign w:val="bottom"/>
            <w:shd w:val="clear" w:color="auto" w:fill="CCEEFF"/>
          </w:tcPr>
          <w:p>
            <w:pPr>
              <w:spacing w:after="0"/>
              <w:rPr>
                <w:sz w:val="20"/>
                <w:szCs w:val="20"/>
                <w:color w:val="auto"/>
              </w:rPr>
            </w:pPr>
            <w:r>
              <w:rPr>
                <w:rFonts w:ascii="Arial" w:cs="Arial" w:eastAsia="Arial" w:hAnsi="Arial"/>
                <w:sz w:val="18"/>
                <w:szCs w:val="18"/>
                <w:color w:val="auto"/>
              </w:rPr>
              <w:t>Cash consideration</w:t>
            </w:r>
          </w:p>
        </w:tc>
        <w:tc>
          <w:tcPr>
            <w:tcW w:w="680" w:type="dxa"/>
            <w:vAlign w:val="bottom"/>
            <w:gridSpan w:val="2"/>
            <w:shd w:val="clear" w:color="auto" w:fill="CCEEFF"/>
          </w:tcPr>
          <w:p>
            <w:pPr>
              <w:jc w:val="right"/>
              <w:ind w:right="20"/>
              <w:spacing w:after="0"/>
              <w:rPr>
                <w:sz w:val="20"/>
                <w:szCs w:val="20"/>
                <w:color w:val="auto"/>
              </w:rPr>
            </w:pPr>
            <w:r>
              <w:rPr>
                <w:rFonts w:ascii="Arial" w:cs="Arial" w:eastAsia="Arial" w:hAnsi="Arial"/>
                <w:sz w:val="20"/>
                <w:szCs w:val="20"/>
                <w:color w:val="auto"/>
                <w:w w:val="88"/>
              </w:rPr>
              <w:t>$18,307</w:t>
            </w:r>
          </w:p>
        </w:tc>
        <w:tc>
          <w:tcPr>
            <w:tcW w:w="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320" w:type="dxa"/>
            <w:vAlign w:val="bottom"/>
          </w:tcPr>
          <w:p>
            <w:pPr>
              <w:spacing w:after="0"/>
              <w:rPr>
                <w:sz w:val="19"/>
                <w:szCs w:val="19"/>
                <w:color w:val="auto"/>
              </w:rPr>
            </w:pPr>
          </w:p>
        </w:tc>
        <w:tc>
          <w:tcPr>
            <w:tcW w:w="6760" w:type="dxa"/>
            <w:vAlign w:val="bottom"/>
          </w:tcPr>
          <w:p>
            <w:pPr>
              <w:spacing w:after="0"/>
              <w:rPr>
                <w:sz w:val="20"/>
                <w:szCs w:val="20"/>
                <w:color w:val="auto"/>
              </w:rPr>
            </w:pPr>
            <w:r>
              <w:rPr>
                <w:rFonts w:ascii="Arial" w:cs="Arial" w:eastAsia="Arial" w:hAnsi="Arial"/>
                <w:sz w:val="18"/>
                <w:szCs w:val="18"/>
                <w:color w:val="auto"/>
              </w:rPr>
              <w:t>Equity issuance</w:t>
            </w:r>
          </w:p>
        </w:tc>
        <w:tc>
          <w:tcPr>
            <w:tcW w:w="680" w:type="dxa"/>
            <w:vAlign w:val="bottom"/>
            <w:gridSpan w:val="2"/>
          </w:tcPr>
          <w:p>
            <w:pPr>
              <w:jc w:val="right"/>
              <w:ind w:right="20"/>
              <w:spacing w:after="0"/>
              <w:rPr>
                <w:sz w:val="20"/>
                <w:szCs w:val="20"/>
                <w:color w:val="auto"/>
              </w:rPr>
            </w:pPr>
            <w:r>
              <w:rPr>
                <w:rFonts w:ascii="Arial" w:cs="Arial" w:eastAsia="Arial" w:hAnsi="Arial"/>
                <w:sz w:val="20"/>
                <w:szCs w:val="20"/>
                <w:color w:val="auto"/>
              </w:rPr>
              <w:t>25,439</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320" w:type="dxa"/>
            <w:vAlign w:val="bottom"/>
          </w:tcPr>
          <w:p>
            <w:pPr>
              <w:spacing w:after="0"/>
              <w:rPr>
                <w:sz w:val="19"/>
                <w:szCs w:val="19"/>
                <w:color w:val="auto"/>
              </w:rPr>
            </w:pPr>
          </w:p>
        </w:tc>
        <w:tc>
          <w:tcPr>
            <w:tcW w:w="6760" w:type="dxa"/>
            <w:vAlign w:val="bottom"/>
            <w:shd w:val="clear" w:color="auto" w:fill="CCEEFF"/>
          </w:tcPr>
          <w:p>
            <w:pPr>
              <w:spacing w:after="0"/>
              <w:rPr>
                <w:sz w:val="20"/>
                <w:szCs w:val="20"/>
                <w:color w:val="auto"/>
              </w:rPr>
            </w:pPr>
            <w:r>
              <w:rPr>
                <w:rFonts w:ascii="Arial" w:cs="Arial" w:eastAsia="Arial" w:hAnsi="Arial"/>
                <w:sz w:val="18"/>
                <w:szCs w:val="18"/>
                <w:color w:val="auto"/>
              </w:rPr>
              <w:t>Contingent consideration</w:t>
            </w:r>
          </w:p>
        </w:tc>
        <w:tc>
          <w:tcPr>
            <w:tcW w:w="680" w:type="dxa"/>
            <w:vAlign w:val="bottom"/>
            <w:gridSpan w:val="2"/>
            <w:shd w:val="clear" w:color="auto" w:fill="CCEEFF"/>
          </w:tcPr>
          <w:p>
            <w:pPr>
              <w:jc w:val="right"/>
              <w:ind w:right="20"/>
              <w:spacing w:after="0"/>
              <w:rPr>
                <w:sz w:val="20"/>
                <w:szCs w:val="20"/>
                <w:color w:val="auto"/>
              </w:rPr>
            </w:pPr>
            <w:r>
              <w:rPr>
                <w:rFonts w:ascii="Arial" w:cs="Arial" w:eastAsia="Arial" w:hAnsi="Arial"/>
                <w:sz w:val="20"/>
                <w:szCs w:val="20"/>
                <w:color w:val="auto"/>
              </w:rPr>
              <w:t>2,600</w:t>
            </w:r>
          </w:p>
        </w:tc>
        <w:tc>
          <w:tcPr>
            <w:tcW w:w="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320" w:type="dxa"/>
            <w:vAlign w:val="bottom"/>
          </w:tcPr>
          <w:p>
            <w:pPr>
              <w:spacing w:after="0"/>
              <w:rPr>
                <w:sz w:val="19"/>
                <w:szCs w:val="19"/>
                <w:color w:val="auto"/>
              </w:rPr>
            </w:pPr>
          </w:p>
        </w:tc>
        <w:tc>
          <w:tcPr>
            <w:tcW w:w="6760" w:type="dxa"/>
            <w:vAlign w:val="bottom"/>
          </w:tcPr>
          <w:p>
            <w:pPr>
              <w:ind w:left="360"/>
              <w:spacing w:after="0"/>
              <w:rPr>
                <w:sz w:val="20"/>
                <w:szCs w:val="20"/>
                <w:color w:val="auto"/>
              </w:rPr>
            </w:pPr>
            <w:r>
              <w:rPr>
                <w:rFonts w:ascii="Arial" w:cs="Arial" w:eastAsia="Arial" w:hAnsi="Arial"/>
                <w:sz w:val="18"/>
                <w:szCs w:val="18"/>
                <w:color w:val="auto"/>
              </w:rPr>
              <w:t>Purchase price</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1"/>
              </w:rPr>
              <w:t>$ 46,346</w:t>
            </w:r>
          </w:p>
        </w:tc>
        <w:tc>
          <w:tcPr>
            <w:tcW w:w="20" w:type="dxa"/>
            <w:vAlign w:val="bottom"/>
            <w:tcBorders>
              <w:bottom w:val="single" w:sz="8" w:color="auto"/>
            </w:tcBorders>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320" w:type="dxa"/>
            <w:vAlign w:val="bottom"/>
          </w:tcPr>
          <w:p>
            <w:pPr>
              <w:spacing w:after="0" w:line="20" w:lineRule="exact"/>
              <w:rPr>
                <w:sz w:val="1"/>
                <w:szCs w:val="1"/>
                <w:color w:val="auto"/>
              </w:rPr>
            </w:pPr>
          </w:p>
        </w:tc>
        <w:tc>
          <w:tcPr>
            <w:tcW w:w="676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left="560"/>
        <w:spacing w:after="0"/>
        <w:rPr>
          <w:sz w:val="20"/>
          <w:szCs w:val="20"/>
          <w:color w:val="auto"/>
        </w:rPr>
      </w:pPr>
      <w:r>
        <w:rPr>
          <w:rFonts w:ascii="Arial" w:cs="Arial" w:eastAsia="Arial" w:hAnsi="Arial"/>
          <w:sz w:val="18"/>
          <w:szCs w:val="18"/>
          <w:color w:val="auto"/>
        </w:rPr>
        <w:t>Cash consideration for the acquisition was primarily provided through borrowings under the Company’s credit facility.</w:t>
      </w:r>
    </w:p>
    <w:p>
      <w:pPr>
        <w:spacing w:after="0" w:line="225" w:lineRule="exact"/>
        <w:rPr>
          <w:sz w:val="20"/>
          <w:szCs w:val="20"/>
          <w:color w:val="auto"/>
        </w:rPr>
      </w:pPr>
    </w:p>
    <w:p>
      <w:pPr>
        <w:ind w:left="120" w:right="40" w:firstLine="440"/>
        <w:spacing w:after="0" w:line="291" w:lineRule="auto"/>
        <w:rPr>
          <w:sz w:val="20"/>
          <w:szCs w:val="20"/>
          <w:color w:val="auto"/>
        </w:rPr>
      </w:pPr>
      <w:r>
        <w:rPr>
          <w:rFonts w:ascii="Arial" w:cs="Arial" w:eastAsia="Arial" w:hAnsi="Arial"/>
          <w:sz w:val="16"/>
          <w:szCs w:val="16"/>
          <w:color w:val="auto"/>
        </w:rPr>
        <w:t>The performance targets for the contingent consideration are based on the Annual Recurring Revenue (“ARR”), measured as annually contractual recurring revenue for each of the twelve-month periods ending December 31, 2020 and December 31, 2021. Potential payouts range from $0 to</w:t>
      </w:r>
    </w:p>
    <w:p>
      <w:pPr>
        <w:ind w:left="120"/>
        <w:spacing w:after="0" w:line="260" w:lineRule="auto"/>
        <w:rPr>
          <w:sz w:val="20"/>
          <w:szCs w:val="20"/>
          <w:color w:val="auto"/>
        </w:rPr>
      </w:pPr>
      <w:r>
        <w:rPr>
          <w:rFonts w:ascii="Arial" w:cs="Arial" w:eastAsia="Arial" w:hAnsi="Arial"/>
          <w:sz w:val="18"/>
          <w:szCs w:val="18"/>
          <w:color w:val="auto"/>
        </w:rPr>
        <w:t>$5.0 million and $0 to $10.0 million based on ARR of below $8.5 million to over $9.5 million and below $12.0 million to over $16.0 million for each of the twelve-month periods ending December 31, 2020 and 2021, respectively.</w:t>
      </w:r>
    </w:p>
    <w:p>
      <w:pPr>
        <w:spacing w:after="0" w:line="118" w:lineRule="exact"/>
        <w:rPr>
          <w:sz w:val="20"/>
          <w:szCs w:val="20"/>
          <w:color w:val="auto"/>
        </w:rPr>
      </w:pPr>
    </w:p>
    <w:p>
      <w:pPr>
        <w:jc w:val="center"/>
        <w:ind w:right="-379"/>
        <w:spacing w:after="0"/>
        <w:rPr>
          <w:sz w:val="20"/>
          <w:szCs w:val="20"/>
          <w:color w:val="auto"/>
        </w:rPr>
      </w:pPr>
      <w:r>
        <w:rPr>
          <w:rFonts w:ascii="Arial" w:cs="Arial" w:eastAsia="Arial" w:hAnsi="Arial"/>
          <w:sz w:val="18"/>
          <w:szCs w:val="18"/>
          <w:color w:val="auto"/>
        </w:rPr>
        <w:t>F-62</w:t>
      </w:r>
    </w:p>
    <w:p>
      <w:pPr>
        <w:sectPr>
          <w:pgSz w:w="11900" w:h="16838" w:orient="portrait"/>
          <w:cols w:equalWidth="0" w:num="1">
            <w:col w:w="11100"/>
          </w:cols>
          <w:pgMar w:left="320" w:top="459" w:right="479" w:bottom="1440" w:gutter="0" w:footer="0" w:header="0"/>
        </w:sectPr>
      </w:pPr>
    </w:p>
    <w:bookmarkStart w:id="268" w:name="page269"/>
    <w:bookmarkEnd w:id="26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354">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Confidential Treatment Requested by Definitive Healthcare Corp.</w:t>
      </w:r>
    </w:p>
    <w:p>
      <w:pPr>
        <w:spacing w:after="0" w:line="27"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Pursuant to 17 C.F.R. Section 200.83</w:t>
      </w:r>
    </w:p>
    <w:p>
      <w:pPr>
        <w:spacing w:after="0" w:line="143" w:lineRule="exact"/>
        <w:rPr>
          <w:sz w:val="20"/>
          <w:szCs w:val="20"/>
          <w:color w:val="auto"/>
        </w:rPr>
      </w:pPr>
    </w:p>
    <w:p>
      <w:pPr>
        <w:ind w:left="120" w:firstLine="440"/>
        <w:spacing w:after="0" w:line="263" w:lineRule="auto"/>
        <w:rPr>
          <w:sz w:val="20"/>
          <w:szCs w:val="20"/>
          <w:color w:val="auto"/>
        </w:rPr>
      </w:pPr>
      <w:r>
        <w:rPr>
          <w:rFonts w:ascii="Arial" w:cs="Arial" w:eastAsia="Arial" w:hAnsi="Arial"/>
          <w:sz w:val="18"/>
          <w:szCs w:val="18"/>
          <w:color w:val="auto"/>
        </w:rPr>
        <w:t xml:space="preserve">The Company estimated the fair value of the contingent consideration to be $7.1 million and $5.2 million at June 30, 2021 and December 31, 2020 based on the achievement of Annual 2020 ARR targets and the probability of achieving the 2021 targets. Refer to Note 9. </w:t>
      </w:r>
      <w:r>
        <w:rPr>
          <w:rFonts w:ascii="Arial" w:cs="Arial" w:eastAsia="Arial" w:hAnsi="Arial"/>
          <w:sz w:val="18"/>
          <w:szCs w:val="18"/>
          <w:i w:val="1"/>
          <w:iCs w:val="1"/>
          <w:color w:val="auto"/>
        </w:rPr>
        <w:t>Fair Value Measurements</w:t>
      </w:r>
      <w:r>
        <w:rPr>
          <w:rFonts w:ascii="Arial" w:cs="Arial" w:eastAsia="Arial" w:hAnsi="Arial"/>
          <w:sz w:val="18"/>
          <w:szCs w:val="18"/>
          <w:color w:val="auto"/>
        </w:rPr>
        <w:t xml:space="preserve"> for more detail.</w:t>
      </w:r>
    </w:p>
    <w:p>
      <w:pPr>
        <w:spacing w:after="0" w:line="184" w:lineRule="exact"/>
        <w:rPr>
          <w:sz w:val="20"/>
          <w:szCs w:val="20"/>
          <w:color w:val="auto"/>
        </w:rPr>
      </w:pPr>
    </w:p>
    <w:p>
      <w:pPr>
        <w:ind w:left="120" w:firstLine="440"/>
        <w:spacing w:after="0" w:line="277" w:lineRule="auto"/>
        <w:rPr>
          <w:sz w:val="20"/>
          <w:szCs w:val="20"/>
          <w:color w:val="auto"/>
        </w:rPr>
      </w:pPr>
      <w:r>
        <w:rPr>
          <w:rFonts w:ascii="Arial" w:cs="Arial" w:eastAsia="Arial" w:hAnsi="Arial"/>
          <w:sz w:val="18"/>
          <w:szCs w:val="18"/>
          <w:color w:val="auto"/>
        </w:rPr>
        <w:t>The purchase accounting for the Monocl acquisition was finalized as of December 31, 2020. The final allocation of the acquisition-date fair values of assets and liabilities pertaining to this business combination as of December 31, 2020, was as follows (in thousands):</w:t>
      </w:r>
    </w:p>
    <w:p>
      <w:pPr>
        <w:spacing w:after="0" w:line="193" w:lineRule="exact"/>
        <w:rPr>
          <w:sz w:val="20"/>
          <w:szCs w:val="20"/>
          <w:color w:val="auto"/>
        </w:rPr>
      </w:pPr>
    </w:p>
    <w:tbl>
      <w:tblPr>
        <w:tblLayout w:type="fixed"/>
        <w:tblInd w:w="1880" w:type="dxa"/>
        <w:tblCellMar>
          <w:top w:w="0" w:type="dxa"/>
          <w:left w:w="0" w:type="dxa"/>
          <w:bottom w:w="0" w:type="dxa"/>
          <w:right w:w="0" w:type="dxa"/>
        </w:tblCellMar>
      </w:tblPr>
      <w:tr>
        <w:trPr>
          <w:trHeight w:val="167"/>
        </w:trPr>
        <w:tc>
          <w:tcPr>
            <w:tcW w:w="6360" w:type="dxa"/>
            <w:vAlign w:val="bottom"/>
          </w:tcPr>
          <w:p>
            <w:pPr>
              <w:spacing w:after="0"/>
              <w:rPr>
                <w:sz w:val="14"/>
                <w:szCs w:val="14"/>
                <w:color w:val="auto"/>
              </w:rPr>
            </w:pPr>
          </w:p>
        </w:tc>
        <w:tc>
          <w:tcPr>
            <w:tcW w:w="1120" w:type="dxa"/>
            <w:vAlign w:val="bottom"/>
            <w:gridSpan w:val="4"/>
          </w:tcPr>
          <w:p>
            <w:pPr>
              <w:spacing w:after="0"/>
              <w:rPr>
                <w:sz w:val="20"/>
                <w:szCs w:val="20"/>
                <w:color w:val="auto"/>
              </w:rPr>
            </w:pPr>
            <w:r>
              <w:rPr>
                <w:rFonts w:ascii="Arial" w:cs="Arial" w:eastAsia="Arial" w:hAnsi="Arial"/>
                <w:sz w:val="14"/>
                <w:szCs w:val="14"/>
                <w:color w:val="auto"/>
              </w:rPr>
              <w:t>October 27, 2020</w:t>
            </w:r>
          </w:p>
        </w:tc>
      </w:tr>
      <w:tr>
        <w:trPr>
          <w:trHeight w:val="209"/>
        </w:trPr>
        <w:tc>
          <w:tcPr>
            <w:tcW w:w="63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Cash</w:t>
            </w:r>
          </w:p>
        </w:tc>
        <w:tc>
          <w:tcPr>
            <w:tcW w:w="3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2,774</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r>
      <w:tr>
        <w:trPr>
          <w:trHeight w:val="216"/>
        </w:trPr>
        <w:tc>
          <w:tcPr>
            <w:tcW w:w="6360" w:type="dxa"/>
            <w:vAlign w:val="bottom"/>
          </w:tcPr>
          <w:p>
            <w:pPr>
              <w:spacing w:after="0"/>
              <w:rPr>
                <w:sz w:val="20"/>
                <w:szCs w:val="20"/>
                <w:color w:val="auto"/>
              </w:rPr>
            </w:pPr>
            <w:r>
              <w:rPr>
                <w:rFonts w:ascii="Arial" w:cs="Arial" w:eastAsia="Arial" w:hAnsi="Arial"/>
                <w:sz w:val="18"/>
                <w:szCs w:val="18"/>
                <w:color w:val="auto"/>
              </w:rPr>
              <w:t>Accounts receivable</w:t>
            </w:r>
          </w:p>
        </w:tc>
        <w:tc>
          <w:tcPr>
            <w:tcW w:w="300" w:type="dxa"/>
            <w:vAlign w:val="bottom"/>
          </w:tcPr>
          <w:p>
            <w:pPr>
              <w:spacing w:after="0"/>
              <w:rPr>
                <w:sz w:val="18"/>
                <w:szCs w:val="18"/>
                <w:color w:val="auto"/>
              </w:rPr>
            </w:pPr>
          </w:p>
        </w:tc>
        <w:tc>
          <w:tcPr>
            <w:tcW w:w="740" w:type="dxa"/>
            <w:vAlign w:val="bottom"/>
            <w:gridSpan w:val="2"/>
          </w:tcPr>
          <w:p>
            <w:pPr>
              <w:jc w:val="right"/>
              <w:ind w:right="20"/>
              <w:spacing w:after="0"/>
              <w:rPr>
                <w:sz w:val="20"/>
                <w:szCs w:val="20"/>
                <w:color w:val="auto"/>
              </w:rPr>
            </w:pPr>
            <w:r>
              <w:rPr>
                <w:rFonts w:ascii="Arial" w:cs="Arial" w:eastAsia="Arial" w:hAnsi="Arial"/>
                <w:sz w:val="18"/>
                <w:szCs w:val="18"/>
                <w:color w:val="auto"/>
              </w:rPr>
              <w:t>788</w:t>
            </w:r>
          </w:p>
        </w:tc>
        <w:tc>
          <w:tcPr>
            <w:tcW w:w="80" w:type="dxa"/>
            <w:vAlign w:val="bottom"/>
          </w:tcPr>
          <w:p>
            <w:pPr>
              <w:spacing w:after="0"/>
              <w:rPr>
                <w:sz w:val="18"/>
                <w:szCs w:val="18"/>
                <w:color w:val="auto"/>
              </w:rPr>
            </w:pPr>
          </w:p>
        </w:tc>
      </w:tr>
      <w:tr>
        <w:trPr>
          <w:trHeight w:val="216"/>
        </w:trPr>
        <w:tc>
          <w:tcPr>
            <w:tcW w:w="6360" w:type="dxa"/>
            <w:vAlign w:val="bottom"/>
            <w:shd w:val="clear" w:color="auto" w:fill="CCEEFF"/>
          </w:tcPr>
          <w:p>
            <w:pPr>
              <w:spacing w:after="0"/>
              <w:rPr>
                <w:sz w:val="20"/>
                <w:szCs w:val="20"/>
                <w:color w:val="auto"/>
              </w:rPr>
            </w:pPr>
            <w:r>
              <w:rPr>
                <w:rFonts w:ascii="Arial" w:cs="Arial" w:eastAsia="Arial" w:hAnsi="Arial"/>
                <w:sz w:val="18"/>
                <w:szCs w:val="18"/>
                <w:color w:val="auto"/>
              </w:rPr>
              <w:t>Prepaid expenses and other current assets</w:t>
            </w:r>
          </w:p>
        </w:tc>
        <w:tc>
          <w:tcPr>
            <w:tcW w:w="3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614</w:t>
            </w:r>
          </w:p>
        </w:tc>
        <w:tc>
          <w:tcPr>
            <w:tcW w:w="80" w:type="dxa"/>
            <w:vAlign w:val="bottom"/>
            <w:shd w:val="clear" w:color="auto" w:fill="CCEEFF"/>
          </w:tcPr>
          <w:p>
            <w:pPr>
              <w:spacing w:after="0"/>
              <w:rPr>
                <w:sz w:val="18"/>
                <w:szCs w:val="18"/>
                <w:color w:val="auto"/>
              </w:rPr>
            </w:pPr>
          </w:p>
        </w:tc>
      </w:tr>
      <w:tr>
        <w:trPr>
          <w:trHeight w:val="216"/>
        </w:trPr>
        <w:tc>
          <w:tcPr>
            <w:tcW w:w="6360" w:type="dxa"/>
            <w:vAlign w:val="bottom"/>
          </w:tcPr>
          <w:p>
            <w:pPr>
              <w:spacing w:after="0"/>
              <w:rPr>
                <w:sz w:val="20"/>
                <w:szCs w:val="20"/>
                <w:color w:val="auto"/>
              </w:rPr>
            </w:pPr>
            <w:r>
              <w:rPr>
                <w:rFonts w:ascii="Arial" w:cs="Arial" w:eastAsia="Arial" w:hAnsi="Arial"/>
                <w:sz w:val="18"/>
                <w:szCs w:val="18"/>
                <w:color w:val="auto"/>
              </w:rPr>
              <w:t>Property and equipment</w:t>
            </w:r>
          </w:p>
        </w:tc>
        <w:tc>
          <w:tcPr>
            <w:tcW w:w="300" w:type="dxa"/>
            <w:vAlign w:val="bottom"/>
          </w:tcPr>
          <w:p>
            <w:pPr>
              <w:spacing w:after="0"/>
              <w:rPr>
                <w:sz w:val="18"/>
                <w:szCs w:val="18"/>
                <w:color w:val="auto"/>
              </w:rPr>
            </w:pPr>
          </w:p>
        </w:tc>
        <w:tc>
          <w:tcPr>
            <w:tcW w:w="740" w:type="dxa"/>
            <w:vAlign w:val="bottom"/>
            <w:gridSpan w:val="2"/>
          </w:tcPr>
          <w:p>
            <w:pPr>
              <w:jc w:val="right"/>
              <w:ind w:right="20"/>
              <w:spacing w:after="0"/>
              <w:rPr>
                <w:sz w:val="20"/>
                <w:szCs w:val="20"/>
                <w:color w:val="auto"/>
              </w:rPr>
            </w:pPr>
            <w:r>
              <w:rPr>
                <w:rFonts w:ascii="Arial" w:cs="Arial" w:eastAsia="Arial" w:hAnsi="Arial"/>
                <w:sz w:val="18"/>
                <w:szCs w:val="18"/>
                <w:color w:val="auto"/>
              </w:rPr>
              <w:t>20</w:t>
            </w:r>
          </w:p>
        </w:tc>
        <w:tc>
          <w:tcPr>
            <w:tcW w:w="80" w:type="dxa"/>
            <w:vAlign w:val="bottom"/>
          </w:tcPr>
          <w:p>
            <w:pPr>
              <w:spacing w:after="0"/>
              <w:rPr>
                <w:sz w:val="18"/>
                <w:szCs w:val="18"/>
                <w:color w:val="auto"/>
              </w:rPr>
            </w:pPr>
          </w:p>
        </w:tc>
      </w:tr>
      <w:tr>
        <w:trPr>
          <w:trHeight w:val="216"/>
        </w:trPr>
        <w:tc>
          <w:tcPr>
            <w:tcW w:w="6360" w:type="dxa"/>
            <w:vAlign w:val="bottom"/>
            <w:shd w:val="clear" w:color="auto" w:fill="CCEEFF"/>
          </w:tcPr>
          <w:p>
            <w:pPr>
              <w:spacing w:after="0"/>
              <w:rPr>
                <w:sz w:val="20"/>
                <w:szCs w:val="20"/>
                <w:color w:val="auto"/>
              </w:rPr>
            </w:pPr>
            <w:r>
              <w:rPr>
                <w:rFonts w:ascii="Arial" w:cs="Arial" w:eastAsia="Arial" w:hAnsi="Arial"/>
                <w:sz w:val="18"/>
                <w:szCs w:val="18"/>
                <w:color w:val="auto"/>
              </w:rPr>
              <w:t>Intangible assets</w:t>
            </w:r>
          </w:p>
        </w:tc>
        <w:tc>
          <w:tcPr>
            <w:tcW w:w="3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18,900</w:t>
            </w:r>
          </w:p>
        </w:tc>
        <w:tc>
          <w:tcPr>
            <w:tcW w:w="80" w:type="dxa"/>
            <w:vAlign w:val="bottom"/>
            <w:shd w:val="clear" w:color="auto" w:fill="CCEEFF"/>
          </w:tcPr>
          <w:p>
            <w:pPr>
              <w:spacing w:after="0"/>
              <w:rPr>
                <w:sz w:val="18"/>
                <w:szCs w:val="18"/>
                <w:color w:val="auto"/>
              </w:rPr>
            </w:pPr>
          </w:p>
        </w:tc>
      </w:tr>
      <w:tr>
        <w:trPr>
          <w:trHeight w:val="216"/>
        </w:trPr>
        <w:tc>
          <w:tcPr>
            <w:tcW w:w="6360" w:type="dxa"/>
            <w:vAlign w:val="bottom"/>
          </w:tcPr>
          <w:p>
            <w:pPr>
              <w:spacing w:after="0"/>
              <w:rPr>
                <w:sz w:val="20"/>
                <w:szCs w:val="20"/>
                <w:color w:val="auto"/>
              </w:rPr>
            </w:pPr>
            <w:r>
              <w:rPr>
                <w:rFonts w:ascii="Arial" w:cs="Arial" w:eastAsia="Arial" w:hAnsi="Arial"/>
                <w:sz w:val="18"/>
                <w:szCs w:val="18"/>
                <w:color w:val="auto"/>
              </w:rPr>
              <w:t>Accounts payable and accrued expenses</w:t>
            </w:r>
          </w:p>
        </w:tc>
        <w:tc>
          <w:tcPr>
            <w:tcW w:w="300" w:type="dxa"/>
            <w:vAlign w:val="bottom"/>
          </w:tcPr>
          <w:p>
            <w:pPr>
              <w:spacing w:after="0"/>
              <w:rPr>
                <w:sz w:val="18"/>
                <w:szCs w:val="18"/>
                <w:color w:val="auto"/>
              </w:rPr>
            </w:pPr>
          </w:p>
        </w:tc>
        <w:tc>
          <w:tcPr>
            <w:tcW w:w="820" w:type="dxa"/>
            <w:vAlign w:val="bottom"/>
            <w:gridSpan w:val="3"/>
          </w:tcPr>
          <w:p>
            <w:pPr>
              <w:jc w:val="right"/>
              <w:ind w:right="40"/>
              <w:spacing w:after="0"/>
              <w:rPr>
                <w:sz w:val="20"/>
                <w:szCs w:val="20"/>
                <w:color w:val="auto"/>
              </w:rPr>
            </w:pPr>
            <w:r>
              <w:rPr>
                <w:rFonts w:ascii="Arial" w:cs="Arial" w:eastAsia="Arial" w:hAnsi="Arial"/>
                <w:sz w:val="18"/>
                <w:szCs w:val="18"/>
                <w:color w:val="auto"/>
              </w:rPr>
              <w:t>(2,137)</w:t>
            </w:r>
          </w:p>
        </w:tc>
      </w:tr>
      <w:tr>
        <w:trPr>
          <w:trHeight w:val="216"/>
        </w:trPr>
        <w:tc>
          <w:tcPr>
            <w:tcW w:w="6360" w:type="dxa"/>
            <w:vAlign w:val="bottom"/>
            <w:shd w:val="clear" w:color="auto" w:fill="CCEEFF"/>
          </w:tcPr>
          <w:p>
            <w:pPr>
              <w:spacing w:after="0"/>
              <w:rPr>
                <w:sz w:val="20"/>
                <w:szCs w:val="20"/>
                <w:color w:val="auto"/>
              </w:rPr>
            </w:pPr>
            <w:r>
              <w:rPr>
                <w:rFonts w:ascii="Arial" w:cs="Arial" w:eastAsia="Arial" w:hAnsi="Arial"/>
                <w:sz w:val="18"/>
                <w:szCs w:val="18"/>
                <w:color w:val="auto"/>
              </w:rPr>
              <w:t>Deferred revenue</w:t>
            </w:r>
          </w:p>
        </w:tc>
        <w:tc>
          <w:tcPr>
            <w:tcW w:w="300" w:type="dxa"/>
            <w:vAlign w:val="bottom"/>
            <w:shd w:val="clear" w:color="auto" w:fill="CCEEFF"/>
          </w:tcPr>
          <w:p>
            <w:pPr>
              <w:spacing w:after="0"/>
              <w:rPr>
                <w:sz w:val="18"/>
                <w:szCs w:val="18"/>
                <w:color w:val="auto"/>
              </w:rPr>
            </w:pPr>
          </w:p>
        </w:tc>
        <w:tc>
          <w:tcPr>
            <w:tcW w:w="82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(2,884)</w:t>
            </w:r>
          </w:p>
        </w:tc>
      </w:tr>
      <w:tr>
        <w:trPr>
          <w:trHeight w:val="223"/>
        </w:trPr>
        <w:tc>
          <w:tcPr>
            <w:tcW w:w="6360" w:type="dxa"/>
            <w:vAlign w:val="bottom"/>
          </w:tcPr>
          <w:p>
            <w:pPr>
              <w:spacing w:after="0"/>
              <w:rPr>
                <w:sz w:val="20"/>
                <w:szCs w:val="20"/>
                <w:color w:val="auto"/>
              </w:rPr>
            </w:pPr>
            <w:r>
              <w:rPr>
                <w:rFonts w:ascii="Arial" w:cs="Arial" w:eastAsia="Arial" w:hAnsi="Arial"/>
                <w:sz w:val="18"/>
                <w:szCs w:val="18"/>
                <w:color w:val="auto"/>
              </w:rPr>
              <w:t>Total assets acquired and liabilities assumed</w:t>
            </w:r>
          </w:p>
        </w:tc>
        <w:tc>
          <w:tcPr>
            <w:tcW w:w="30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18,075</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r>
      <w:tr>
        <w:trPr>
          <w:trHeight w:val="216"/>
        </w:trPr>
        <w:tc>
          <w:tcPr>
            <w:tcW w:w="6360" w:type="dxa"/>
            <w:vAlign w:val="bottom"/>
            <w:shd w:val="clear" w:color="auto" w:fill="CCEEFF"/>
          </w:tcPr>
          <w:p>
            <w:pPr>
              <w:spacing w:after="0"/>
              <w:rPr>
                <w:sz w:val="20"/>
                <w:szCs w:val="20"/>
                <w:color w:val="auto"/>
              </w:rPr>
            </w:pPr>
            <w:r>
              <w:rPr>
                <w:rFonts w:ascii="Arial" w:cs="Arial" w:eastAsia="Arial" w:hAnsi="Arial"/>
                <w:sz w:val="18"/>
                <w:szCs w:val="18"/>
                <w:color w:val="auto"/>
              </w:rPr>
              <w:t>Goodwill</w:t>
            </w:r>
          </w:p>
        </w:tc>
        <w:tc>
          <w:tcPr>
            <w:tcW w:w="3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28,271</w:t>
            </w:r>
          </w:p>
        </w:tc>
        <w:tc>
          <w:tcPr>
            <w:tcW w:w="80" w:type="dxa"/>
            <w:vAlign w:val="bottom"/>
            <w:shd w:val="clear" w:color="auto" w:fill="CCEEFF"/>
          </w:tcPr>
          <w:p>
            <w:pPr>
              <w:spacing w:after="0"/>
              <w:rPr>
                <w:sz w:val="18"/>
                <w:szCs w:val="18"/>
                <w:color w:val="auto"/>
              </w:rPr>
            </w:pPr>
          </w:p>
        </w:tc>
      </w:tr>
      <w:tr>
        <w:trPr>
          <w:trHeight w:val="223"/>
        </w:trPr>
        <w:tc>
          <w:tcPr>
            <w:tcW w:w="6360" w:type="dxa"/>
            <w:vAlign w:val="bottom"/>
          </w:tcPr>
          <w:p>
            <w:pPr>
              <w:ind w:left="360"/>
              <w:spacing w:after="0"/>
              <w:rPr>
                <w:sz w:val="20"/>
                <w:szCs w:val="20"/>
                <w:color w:val="auto"/>
              </w:rPr>
            </w:pPr>
            <w:r>
              <w:rPr>
                <w:rFonts w:ascii="Arial" w:cs="Arial" w:eastAsia="Arial" w:hAnsi="Arial"/>
                <w:sz w:val="18"/>
                <w:szCs w:val="18"/>
                <w:color w:val="auto"/>
              </w:rPr>
              <w:t>Purchase price</w:t>
            </w:r>
          </w:p>
        </w:tc>
        <w:tc>
          <w:tcPr>
            <w:tcW w:w="3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46,346</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r>
      <w:tr>
        <w:trPr>
          <w:trHeight w:val="20"/>
        </w:trPr>
        <w:tc>
          <w:tcPr>
            <w:tcW w:w="63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15" w:lineRule="exact"/>
        <w:rPr>
          <w:sz w:val="20"/>
          <w:szCs w:val="20"/>
          <w:color w:val="auto"/>
        </w:rPr>
      </w:pPr>
    </w:p>
    <w:p>
      <w:pPr>
        <w:ind w:left="120" w:right="60" w:firstLine="440"/>
        <w:spacing w:after="0" w:line="255" w:lineRule="auto"/>
        <w:rPr>
          <w:sz w:val="20"/>
          <w:szCs w:val="20"/>
          <w:color w:val="auto"/>
        </w:rPr>
      </w:pPr>
      <w:r>
        <w:rPr>
          <w:rFonts w:ascii="Arial" w:cs="Arial" w:eastAsia="Arial" w:hAnsi="Arial"/>
          <w:sz w:val="18"/>
          <w:szCs w:val="18"/>
          <w:color w:val="auto"/>
        </w:rPr>
        <w:t xml:space="preserve">As a result of the Monocl acquisition, the Company recorded goodwill, customer relationships, data, technology, and trademark of $28.3 million, $11.9 million, $3.0 million, $2.6 million and $1.4 million, respectively, as of the acquisition date. The goodwill recognized includes the fair value of the assembled workforce, which is not recognized as an intangible asset separable from goodwill, and any expected synergies gained through the acquisition. The Company determined that the goodwill resulting from the acquisition is not deductible for tax purposes. In connection with the acquisition, the Company also recorded deferred revenue of $2.9 million and a contingent consideration liability of $2.6 million. See Note 9. </w:t>
      </w:r>
      <w:r>
        <w:rPr>
          <w:rFonts w:ascii="Arial" w:cs="Arial" w:eastAsia="Arial" w:hAnsi="Arial"/>
          <w:sz w:val="18"/>
          <w:szCs w:val="18"/>
          <w:i w:val="1"/>
          <w:iCs w:val="1"/>
          <w:color w:val="auto"/>
        </w:rPr>
        <w:t>Fair Value</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Measurements </w:t>
      </w:r>
      <w:r>
        <w:rPr>
          <w:rFonts w:ascii="Arial" w:cs="Arial" w:eastAsia="Arial" w:hAnsi="Arial"/>
          <w:sz w:val="18"/>
          <w:szCs w:val="18"/>
          <w:color w:val="auto"/>
        </w:rPr>
        <w:t>for more detail on determination of fair value.</w:t>
      </w:r>
    </w:p>
    <w:p>
      <w:pPr>
        <w:spacing w:after="0" w:line="192" w:lineRule="exact"/>
        <w:rPr>
          <w:sz w:val="20"/>
          <w:szCs w:val="20"/>
          <w:color w:val="auto"/>
        </w:rPr>
      </w:pPr>
    </w:p>
    <w:p>
      <w:pPr>
        <w:ind w:left="120" w:firstLine="440"/>
        <w:spacing w:after="0" w:line="257" w:lineRule="auto"/>
        <w:rPr>
          <w:sz w:val="20"/>
          <w:szCs w:val="20"/>
          <w:color w:val="auto"/>
        </w:rPr>
      </w:pPr>
      <w:r>
        <w:rPr>
          <w:rFonts w:ascii="Arial" w:cs="Arial" w:eastAsia="Arial" w:hAnsi="Arial"/>
          <w:sz w:val="18"/>
          <w:szCs w:val="18"/>
          <w:color w:val="auto"/>
        </w:rPr>
        <w:t>Customer relationships represent the estimated fair value of the underlying relationships with the acquired entity’s business customers. The Company valued customer relationships using the income approach, specifically the excess earnings method. Significant assumptions include forecast of revenues, cost of revenues, estimated attrition rates, and discount rates reflecting the different risk profiles of the asset depending upon the acquisition. The value assigned to customer relationships is $11.9 million and is amortized using the annual pattern of cash flows (economic value method) over the estimated 14-year life of this asset.</w:t>
      </w:r>
    </w:p>
    <w:p>
      <w:pPr>
        <w:spacing w:after="0" w:line="188" w:lineRule="exact"/>
        <w:rPr>
          <w:sz w:val="20"/>
          <w:szCs w:val="20"/>
          <w:color w:val="auto"/>
        </w:rPr>
      </w:pPr>
    </w:p>
    <w:p>
      <w:pPr>
        <w:jc w:val="both"/>
        <w:ind w:left="120" w:right="60" w:firstLine="440"/>
        <w:spacing w:after="0" w:line="263" w:lineRule="auto"/>
        <w:rPr>
          <w:sz w:val="20"/>
          <w:szCs w:val="20"/>
          <w:color w:val="auto"/>
        </w:rPr>
      </w:pPr>
      <w:r>
        <w:rPr>
          <w:rFonts w:ascii="Arial" w:cs="Arial" w:eastAsia="Arial" w:hAnsi="Arial"/>
          <w:sz w:val="18"/>
          <w:szCs w:val="18"/>
          <w:color w:val="auto"/>
        </w:rPr>
        <w:t>Data includes proprietary data on medical and scientific expert personnel. The Company used the cost approach, specifically the replacement cost method to value the data. The Fair value of the data was estimated to be $3.0 million and is amortized using the straight-line method over the estimated remaining useful life of 3 years.</w:t>
      </w:r>
    </w:p>
    <w:p>
      <w:pPr>
        <w:spacing w:after="0" w:line="184" w:lineRule="exact"/>
        <w:rPr>
          <w:sz w:val="20"/>
          <w:szCs w:val="20"/>
          <w:color w:val="auto"/>
        </w:rPr>
      </w:pPr>
    </w:p>
    <w:p>
      <w:pPr>
        <w:ind w:left="120" w:right="20" w:firstLine="440"/>
        <w:spacing w:after="0" w:line="275" w:lineRule="auto"/>
        <w:rPr>
          <w:sz w:val="20"/>
          <w:szCs w:val="20"/>
          <w:color w:val="auto"/>
        </w:rPr>
      </w:pPr>
      <w:r>
        <w:rPr>
          <w:rFonts w:ascii="Arial" w:cs="Arial" w:eastAsia="Arial" w:hAnsi="Arial"/>
          <w:sz w:val="17"/>
          <w:szCs w:val="17"/>
          <w:color w:val="auto"/>
        </w:rPr>
        <w:t>The technology recognized includes Monocl’s existing technology and provides users with a cloud-based platform with millions of expert profiles generated using machine learning and tailored algorithms through an online platform. This technology provides the automated collection of content sources, data processing and augmentation, and ultimately the generation of contextually relevant and continuously updated expert profiles. The Company used the income approach, specifically the relief-from-royalty method, to determine the value of technology, which was valued at $2.6 million and is amortized using the straight-line method over the estimated remaining useful life of 8 years.</w:t>
      </w:r>
    </w:p>
    <w:p>
      <w:pPr>
        <w:spacing w:after="0" w:line="109"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F-63</w:t>
      </w:r>
    </w:p>
    <w:p>
      <w:pPr>
        <w:sectPr>
          <w:pgSz w:w="11900" w:h="16838" w:orient="portrait"/>
          <w:cols w:equalWidth="0" w:num="1">
            <w:col w:w="11120"/>
          </w:cols>
          <w:pgMar w:left="320" w:top="459" w:right="459" w:bottom="1440" w:gutter="0" w:footer="0" w:header="0"/>
        </w:sectPr>
      </w:pPr>
    </w:p>
    <w:bookmarkStart w:id="269" w:name="page270"/>
    <w:bookmarkEnd w:id="26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355">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Confidential Treatment Requested by Definitive Healthcare Corp.</w:t>
      </w:r>
    </w:p>
    <w:p>
      <w:pPr>
        <w:spacing w:after="0" w:line="27"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Pursuant to 17 C.F.R. Section 200.83</w:t>
      </w:r>
    </w:p>
    <w:p>
      <w:pPr>
        <w:spacing w:after="0" w:line="143" w:lineRule="exact"/>
        <w:rPr>
          <w:sz w:val="20"/>
          <w:szCs w:val="20"/>
          <w:color w:val="auto"/>
        </w:rPr>
      </w:pPr>
    </w:p>
    <w:p>
      <w:pPr>
        <w:ind w:left="120" w:right="160" w:firstLine="440"/>
        <w:spacing w:after="0" w:line="259" w:lineRule="auto"/>
        <w:rPr>
          <w:sz w:val="20"/>
          <w:szCs w:val="20"/>
          <w:color w:val="auto"/>
        </w:rPr>
      </w:pPr>
      <w:r>
        <w:rPr>
          <w:rFonts w:ascii="Arial" w:cs="Arial" w:eastAsia="Arial" w:hAnsi="Arial"/>
          <w:sz w:val="18"/>
          <w:szCs w:val="18"/>
          <w:color w:val="auto"/>
        </w:rPr>
        <w:t>The trademark represents the estimated fair value of the registered trademarks, logo and domain names associated with the Monocl corporate brand. The Company estimated the fair value of the trademark using a relief from royalty method. Significant assumptions include forecast of royalty rate, company revenues, tax rate, and discount rate. The trademark was valued at $1.4 million and is amortized using the straight-line method over the estimated remaining useful life of 19 years.</w:t>
      </w:r>
    </w:p>
    <w:p>
      <w:pPr>
        <w:spacing w:after="0" w:line="187" w:lineRule="exact"/>
        <w:rPr>
          <w:sz w:val="20"/>
          <w:szCs w:val="20"/>
          <w:color w:val="auto"/>
        </w:rPr>
      </w:pPr>
    </w:p>
    <w:p>
      <w:pPr>
        <w:ind w:left="120" w:right="260" w:firstLine="440"/>
        <w:spacing w:after="0" w:line="277" w:lineRule="auto"/>
        <w:rPr>
          <w:sz w:val="20"/>
          <w:szCs w:val="20"/>
          <w:color w:val="auto"/>
        </w:rPr>
      </w:pPr>
      <w:r>
        <w:rPr>
          <w:rFonts w:ascii="Arial" w:cs="Arial" w:eastAsia="Arial" w:hAnsi="Arial"/>
          <w:sz w:val="18"/>
          <w:szCs w:val="18"/>
          <w:color w:val="auto"/>
        </w:rPr>
        <w:t>The weighted average amortization period for the customer relationships, tradenames, technology, and data is 15 years, 17 years, 8 years and 3 years, respectively. See Note 7 for the estimated total intangible amortization expense during the next five years.</w:t>
      </w:r>
    </w:p>
    <w:p>
      <w:pPr>
        <w:spacing w:after="0" w:line="170" w:lineRule="exact"/>
        <w:rPr>
          <w:sz w:val="20"/>
          <w:szCs w:val="20"/>
          <w:color w:val="auto"/>
        </w:rPr>
      </w:pPr>
    </w:p>
    <w:p>
      <w:pPr>
        <w:ind w:left="120" w:right="400" w:firstLine="440"/>
        <w:spacing w:after="0" w:line="277" w:lineRule="auto"/>
        <w:rPr>
          <w:sz w:val="20"/>
          <w:szCs w:val="20"/>
          <w:color w:val="auto"/>
        </w:rPr>
      </w:pPr>
      <w:r>
        <w:rPr>
          <w:rFonts w:ascii="Arial" w:cs="Arial" w:eastAsia="Arial" w:hAnsi="Arial"/>
          <w:sz w:val="18"/>
          <w:szCs w:val="18"/>
          <w:color w:val="auto"/>
        </w:rPr>
        <w:t>In connection with the acquisition, the Company recognized acquisition related costs of $0.4 million which were recorded within transaction expenses in the accompanying consolidated statements of operations.</w:t>
      </w:r>
    </w:p>
    <w:p>
      <w:pPr>
        <w:spacing w:after="0" w:line="170" w:lineRule="exact"/>
        <w:rPr>
          <w:sz w:val="20"/>
          <w:szCs w:val="20"/>
          <w:color w:val="auto"/>
        </w:rPr>
      </w:pPr>
    </w:p>
    <w:p>
      <w:pPr>
        <w:ind w:left="560"/>
        <w:spacing w:after="0"/>
        <w:rPr>
          <w:sz w:val="20"/>
          <w:szCs w:val="20"/>
          <w:color w:val="auto"/>
        </w:rPr>
      </w:pPr>
      <w:r>
        <w:rPr>
          <w:rFonts w:ascii="Arial" w:cs="Arial" w:eastAsia="Arial" w:hAnsi="Arial"/>
          <w:sz w:val="18"/>
          <w:szCs w:val="18"/>
          <w:color w:val="auto"/>
        </w:rPr>
        <w:t>Unaudited Pro Forma Supplementary Data (in thousands):</w:t>
      </w:r>
    </w:p>
    <w:p>
      <w:pPr>
        <w:spacing w:after="0" w:line="231" w:lineRule="exact"/>
        <w:rPr>
          <w:sz w:val="20"/>
          <w:szCs w:val="20"/>
          <w:color w:val="auto"/>
        </w:rPr>
      </w:pPr>
    </w:p>
    <w:tbl>
      <w:tblPr>
        <w:tblLayout w:type="fixed"/>
        <w:tblInd w:w="1440" w:type="dxa"/>
        <w:tblCellMar>
          <w:top w:w="0" w:type="dxa"/>
          <w:left w:w="0" w:type="dxa"/>
          <w:bottom w:w="0" w:type="dxa"/>
          <w:right w:w="0" w:type="dxa"/>
        </w:tblCellMar>
      </w:tblPr>
      <w:tr>
        <w:trPr>
          <w:trHeight w:val="161"/>
        </w:trPr>
        <w:tc>
          <w:tcPr>
            <w:tcW w:w="7120" w:type="dxa"/>
            <w:vAlign w:val="bottom"/>
          </w:tcPr>
          <w:p>
            <w:pPr>
              <w:spacing w:after="0"/>
              <w:rPr>
                <w:sz w:val="14"/>
                <w:szCs w:val="14"/>
                <w:color w:val="auto"/>
              </w:rPr>
            </w:pPr>
          </w:p>
        </w:tc>
        <w:tc>
          <w:tcPr>
            <w:tcW w:w="1240" w:type="dxa"/>
            <w:vAlign w:val="bottom"/>
            <w:gridSpan w:val="3"/>
          </w:tcPr>
          <w:p>
            <w:pPr>
              <w:spacing w:after="0"/>
              <w:rPr>
                <w:sz w:val="20"/>
                <w:szCs w:val="20"/>
                <w:color w:val="auto"/>
              </w:rPr>
            </w:pPr>
            <w:r>
              <w:rPr>
                <w:rFonts w:ascii="Arial" w:cs="Arial" w:eastAsia="Arial" w:hAnsi="Arial"/>
                <w:sz w:val="14"/>
                <w:szCs w:val="14"/>
                <w:b w:val="1"/>
                <w:bCs w:val="1"/>
                <w:color w:val="auto"/>
              </w:rPr>
              <w:t>Six Months Ended</w:t>
            </w:r>
          </w:p>
        </w:tc>
      </w:tr>
      <w:tr>
        <w:trPr>
          <w:trHeight w:val="171"/>
        </w:trPr>
        <w:tc>
          <w:tcPr>
            <w:tcW w:w="7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2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w w:val="92"/>
              </w:rPr>
              <w:t>June 30, 2020</w:t>
            </w:r>
          </w:p>
        </w:tc>
      </w:tr>
      <w:tr>
        <w:trPr>
          <w:trHeight w:val="209"/>
        </w:trPr>
        <w:tc>
          <w:tcPr>
            <w:tcW w:w="71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Revenue</w:t>
            </w:r>
          </w:p>
        </w:tc>
        <w:tc>
          <w:tcPr>
            <w:tcW w:w="1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56,846</w:t>
            </w:r>
          </w:p>
        </w:tc>
        <w:tc>
          <w:tcPr>
            <w:tcW w:w="100" w:type="dxa"/>
            <w:vAlign w:val="bottom"/>
            <w:tcBorders>
              <w:top w:val="single" w:sz="8" w:color="CCEEFF"/>
            </w:tcBorders>
            <w:shd w:val="clear" w:color="auto" w:fill="CCEEFF"/>
          </w:tcPr>
          <w:p>
            <w:pPr>
              <w:spacing w:after="0"/>
              <w:rPr>
                <w:sz w:val="18"/>
                <w:szCs w:val="18"/>
                <w:color w:val="auto"/>
              </w:rPr>
            </w:pPr>
          </w:p>
        </w:tc>
      </w:tr>
      <w:tr>
        <w:trPr>
          <w:trHeight w:val="230"/>
        </w:trPr>
        <w:tc>
          <w:tcPr>
            <w:tcW w:w="7120" w:type="dxa"/>
            <w:vAlign w:val="bottom"/>
          </w:tcPr>
          <w:p>
            <w:pPr>
              <w:spacing w:after="0"/>
              <w:rPr>
                <w:sz w:val="20"/>
                <w:szCs w:val="20"/>
                <w:color w:val="auto"/>
              </w:rPr>
            </w:pPr>
            <w:r>
              <w:rPr>
                <w:rFonts w:ascii="Arial" w:cs="Arial" w:eastAsia="Arial" w:hAnsi="Arial"/>
                <w:sz w:val="18"/>
                <w:szCs w:val="18"/>
                <w:color w:val="auto"/>
              </w:rPr>
              <w:t>Net loss</w:t>
            </w:r>
          </w:p>
        </w:tc>
        <w:tc>
          <w:tcPr>
            <w:tcW w:w="120" w:type="dxa"/>
            <w:vAlign w:val="bottom"/>
          </w:tcPr>
          <w:p>
            <w:pPr>
              <w:spacing w:after="0"/>
              <w:rPr>
                <w:sz w:val="20"/>
                <w:szCs w:val="20"/>
                <w:color w:val="auto"/>
              </w:rPr>
            </w:pPr>
          </w:p>
        </w:tc>
        <w:tc>
          <w:tcPr>
            <w:tcW w:w="1120" w:type="dxa"/>
            <w:vAlign w:val="bottom"/>
            <w:gridSpan w:val="2"/>
          </w:tcPr>
          <w:p>
            <w:pPr>
              <w:jc w:val="right"/>
              <w:ind w:right="40"/>
              <w:spacing w:after="0"/>
              <w:rPr>
                <w:sz w:val="20"/>
                <w:szCs w:val="20"/>
                <w:color w:val="auto"/>
              </w:rPr>
            </w:pPr>
            <w:r>
              <w:rPr>
                <w:rFonts w:ascii="Arial" w:cs="Arial" w:eastAsia="Arial" w:hAnsi="Arial"/>
                <w:sz w:val="18"/>
                <w:szCs w:val="18"/>
                <w:color w:val="auto"/>
              </w:rPr>
              <w:t>(28,700)</w:t>
            </w:r>
          </w:p>
        </w:tc>
      </w:tr>
    </w:tbl>
    <w:p>
      <w:pPr>
        <w:spacing w:after="0" w:line="187" w:lineRule="exact"/>
        <w:rPr>
          <w:sz w:val="20"/>
          <w:szCs w:val="20"/>
          <w:color w:val="auto"/>
        </w:rPr>
      </w:pPr>
    </w:p>
    <w:p>
      <w:pPr>
        <w:ind w:left="120" w:firstLine="440"/>
        <w:spacing w:after="0" w:line="272" w:lineRule="auto"/>
        <w:rPr>
          <w:sz w:val="20"/>
          <w:szCs w:val="20"/>
          <w:color w:val="auto"/>
        </w:rPr>
      </w:pPr>
      <w:r>
        <w:rPr>
          <w:rFonts w:ascii="Arial" w:cs="Arial" w:eastAsia="Arial" w:hAnsi="Arial"/>
          <w:sz w:val="17"/>
          <w:szCs w:val="17"/>
          <w:color w:val="auto"/>
        </w:rPr>
        <w:t>The unaudited pro forma supplementary data presented in the table above shows the effect of the Monocl and Definitive Holdco acquisitions, as if the transactions had occurred at the beginning of fiscal year 2020. The pro forma net loss includes adjustments to amortization expense for the valuation of other intangible assets of $0.5 million and interest expense related to incremental borrowings used to finance the transaction of $0.6 million for the six months ended June 30, 2020. Acquisition expenses of $0.2 million were excluded from the pro forma net loss for the year ended December 31, 2020 and included in the pro forma net loss for the six months ended June 30, 2020. The unaudited pro forma supplementary data is provided for informational purposes only and should not be construed to be indicative of the Company’s results of operations had the acquisition been consummated on the date assumed or of the Company’s results of operations for any future date.</w:t>
      </w:r>
    </w:p>
    <w:p>
      <w:pPr>
        <w:spacing w:after="0" w:line="326" w:lineRule="exact"/>
        <w:rPr>
          <w:sz w:val="20"/>
          <w:szCs w:val="20"/>
          <w:color w:val="auto"/>
        </w:rPr>
      </w:pPr>
    </w:p>
    <w:p>
      <w:pPr>
        <w:ind w:left="540" w:hanging="424"/>
        <w:spacing w:after="0"/>
        <w:tabs>
          <w:tab w:leader="none" w:pos="540" w:val="left"/>
        </w:tabs>
        <w:numPr>
          <w:ilvl w:val="0"/>
          <w:numId w:val="206"/>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Revenue</w:t>
      </w:r>
    </w:p>
    <w:p>
      <w:pPr>
        <w:spacing w:after="0" w:line="117" w:lineRule="exact"/>
        <w:rPr>
          <w:sz w:val="20"/>
          <w:szCs w:val="20"/>
          <w:color w:val="auto"/>
        </w:rPr>
      </w:pPr>
    </w:p>
    <w:p>
      <w:pPr>
        <w:ind w:left="120" w:right="100" w:firstLine="440"/>
        <w:spacing w:after="0" w:line="277" w:lineRule="auto"/>
        <w:rPr>
          <w:sz w:val="20"/>
          <w:szCs w:val="20"/>
          <w:color w:val="auto"/>
        </w:rPr>
      </w:pPr>
      <w:r>
        <w:rPr>
          <w:rFonts w:ascii="Arial" w:cs="Arial" w:eastAsia="Arial" w:hAnsi="Arial"/>
          <w:sz w:val="18"/>
          <w:szCs w:val="18"/>
          <w:color w:val="auto"/>
        </w:rPr>
        <w:t>The Company disaggregates revenue from its arrangements with customers by type of service as it believes these categories best depicts how the nature, amount, timing, and uncertainty of revenue and cash flows are affected by economic factors.</w:t>
      </w:r>
    </w:p>
    <w:p>
      <w:pPr>
        <w:spacing w:after="0" w:line="170" w:lineRule="exact"/>
        <w:rPr>
          <w:sz w:val="20"/>
          <w:szCs w:val="20"/>
          <w:color w:val="auto"/>
        </w:rPr>
      </w:pPr>
    </w:p>
    <w:p>
      <w:pPr>
        <w:ind w:left="120" w:firstLine="440"/>
        <w:spacing w:after="0" w:line="277" w:lineRule="auto"/>
        <w:rPr>
          <w:sz w:val="20"/>
          <w:szCs w:val="20"/>
          <w:color w:val="auto"/>
        </w:rPr>
      </w:pPr>
      <w:r>
        <w:rPr>
          <w:rFonts w:ascii="Arial" w:cs="Arial" w:eastAsia="Arial" w:hAnsi="Arial"/>
          <w:sz w:val="18"/>
          <w:szCs w:val="18"/>
          <w:color w:val="auto"/>
        </w:rPr>
        <w:t>The following table represents a disaggregation of revenue from arrangements with customers for the six months periods ended June 30, 2021 and 2020 (in thousands).</w:t>
      </w:r>
    </w:p>
    <w:p>
      <w:pPr>
        <w:spacing w:after="0" w:line="189" w:lineRule="exact"/>
        <w:rPr>
          <w:sz w:val="20"/>
          <w:szCs w:val="20"/>
          <w:color w:val="auto"/>
        </w:rPr>
      </w:pPr>
    </w:p>
    <w:tbl>
      <w:tblPr>
        <w:tblLayout w:type="fixed"/>
        <w:tblInd w:w="1440" w:type="dxa"/>
        <w:tblCellMar>
          <w:top w:w="0" w:type="dxa"/>
          <w:left w:w="0" w:type="dxa"/>
          <w:bottom w:w="0" w:type="dxa"/>
          <w:right w:w="0" w:type="dxa"/>
        </w:tblCellMar>
      </w:tblPr>
      <w:tr>
        <w:trPr>
          <w:trHeight w:val="171"/>
        </w:trPr>
        <w:tc>
          <w:tcPr>
            <w:tcW w:w="2880" w:type="dxa"/>
            <w:vAlign w:val="bottom"/>
          </w:tcPr>
          <w:p>
            <w:pPr>
              <w:spacing w:after="0"/>
              <w:rPr>
                <w:sz w:val="14"/>
                <w:szCs w:val="14"/>
                <w:color w:val="auto"/>
              </w:rPr>
            </w:pPr>
          </w:p>
        </w:tc>
        <w:tc>
          <w:tcPr>
            <w:tcW w:w="32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40" w:type="dxa"/>
            <w:vAlign w:val="bottom"/>
            <w:gridSpan w:val="5"/>
          </w:tcPr>
          <w:p>
            <w:pPr>
              <w:ind w:left="80"/>
              <w:spacing w:after="0"/>
              <w:rPr>
                <w:sz w:val="20"/>
                <w:szCs w:val="20"/>
                <w:color w:val="auto"/>
              </w:rPr>
            </w:pPr>
            <w:r>
              <w:rPr>
                <w:rFonts w:ascii="Arial" w:cs="Arial" w:eastAsia="Arial" w:hAnsi="Arial"/>
                <w:sz w:val="14"/>
                <w:szCs w:val="14"/>
                <w:b w:val="1"/>
                <w:bCs w:val="1"/>
                <w:color w:val="auto"/>
              </w:rPr>
              <w:t>Six Months Ended June 30,</w:t>
            </w:r>
          </w:p>
        </w:tc>
      </w:tr>
      <w:tr>
        <w:trPr>
          <w:trHeight w:val="142"/>
        </w:trPr>
        <w:tc>
          <w:tcPr>
            <w:tcW w:w="2880" w:type="dxa"/>
            <w:vAlign w:val="bottom"/>
            <w:tcBorders>
              <w:bottom w:val="single" w:sz="8" w:color="CCEEFF"/>
            </w:tcBorders>
          </w:tcPr>
          <w:p>
            <w:pPr>
              <w:spacing w:after="0"/>
              <w:rPr>
                <w:sz w:val="12"/>
                <w:szCs w:val="12"/>
                <w:color w:val="auto"/>
              </w:rPr>
            </w:pPr>
          </w:p>
        </w:tc>
        <w:tc>
          <w:tcPr>
            <w:tcW w:w="3280" w:type="dxa"/>
            <w:vAlign w:val="bottom"/>
            <w:tcBorders>
              <w:bottom w:val="single" w:sz="8" w:color="CCEEFF"/>
            </w:tcBorders>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600" w:type="dxa"/>
            <w:vAlign w:val="bottom"/>
            <w:tcBorders>
              <w:top w:val="single" w:sz="8" w:color="auto"/>
              <w:bottom w:val="single" w:sz="8" w:color="auto"/>
            </w:tcBorders>
          </w:tcPr>
          <w:p>
            <w:pPr>
              <w:ind w:left="60"/>
              <w:spacing w:after="0" w:line="142" w:lineRule="exact"/>
              <w:rPr>
                <w:sz w:val="20"/>
                <w:szCs w:val="20"/>
                <w:color w:val="auto"/>
              </w:rPr>
            </w:pPr>
            <w:r>
              <w:rPr>
                <w:rFonts w:ascii="Arial" w:cs="Arial" w:eastAsia="Arial" w:hAnsi="Arial"/>
                <w:sz w:val="14"/>
                <w:szCs w:val="14"/>
                <w:b w:val="1"/>
                <w:bCs w:val="1"/>
                <w:color w:val="auto"/>
              </w:rPr>
              <w:t>2021</w:t>
            </w:r>
          </w:p>
        </w:tc>
        <w:tc>
          <w:tcPr>
            <w:tcW w:w="620" w:type="dxa"/>
            <w:vAlign w:val="bottom"/>
            <w:tcBorders>
              <w:top w:val="single" w:sz="8" w:color="auto"/>
              <w:bottom w:val="single" w:sz="8" w:color="CCEEFF"/>
            </w:tcBorders>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620" w:type="dxa"/>
            <w:vAlign w:val="bottom"/>
            <w:tcBorders>
              <w:top w:val="single" w:sz="8" w:color="auto"/>
              <w:bottom w:val="single" w:sz="8" w:color="auto"/>
            </w:tcBorders>
          </w:tcPr>
          <w:p>
            <w:pPr>
              <w:jc w:val="right"/>
              <w:ind w:right="175"/>
              <w:spacing w:after="0" w:line="142" w:lineRule="exact"/>
              <w:rPr>
                <w:sz w:val="20"/>
                <w:szCs w:val="20"/>
                <w:color w:val="auto"/>
              </w:rPr>
            </w:pPr>
            <w:r>
              <w:rPr>
                <w:rFonts w:ascii="Arial" w:cs="Arial" w:eastAsia="Arial" w:hAnsi="Arial"/>
                <w:sz w:val="14"/>
                <w:szCs w:val="14"/>
                <w:b w:val="1"/>
                <w:bCs w:val="1"/>
                <w:color w:val="auto"/>
              </w:rPr>
              <w:t>2020</w:t>
            </w:r>
          </w:p>
        </w:tc>
        <w:tc>
          <w:tcPr>
            <w:tcW w:w="40" w:type="dxa"/>
            <w:vAlign w:val="bottom"/>
            <w:tcBorders>
              <w:bottom w:val="single" w:sz="8" w:color="CCEEFF"/>
            </w:tcBorders>
          </w:tcPr>
          <w:p>
            <w:pPr>
              <w:spacing w:after="0"/>
              <w:rPr>
                <w:sz w:val="12"/>
                <w:szCs w:val="12"/>
                <w:color w:val="auto"/>
              </w:rPr>
            </w:pPr>
          </w:p>
        </w:tc>
      </w:tr>
      <w:tr>
        <w:trPr>
          <w:trHeight w:val="209"/>
        </w:trPr>
        <w:tc>
          <w:tcPr>
            <w:tcW w:w="2880" w:type="dxa"/>
            <w:vAlign w:val="bottom"/>
            <w:shd w:val="clear" w:color="auto" w:fill="CCEEFF"/>
          </w:tcPr>
          <w:p>
            <w:pPr>
              <w:spacing w:after="0"/>
              <w:rPr>
                <w:sz w:val="20"/>
                <w:szCs w:val="20"/>
                <w:color w:val="auto"/>
              </w:rPr>
            </w:pPr>
            <w:r>
              <w:rPr>
                <w:rFonts w:ascii="Arial" w:cs="Arial" w:eastAsia="Arial" w:hAnsi="Arial"/>
                <w:sz w:val="18"/>
                <w:szCs w:val="18"/>
                <w:color w:val="auto"/>
              </w:rPr>
              <w:t>Platform subscriptions</w:t>
            </w:r>
          </w:p>
        </w:tc>
        <w:tc>
          <w:tcPr>
            <w:tcW w:w="3280" w:type="dxa"/>
            <w:vAlign w:val="bottom"/>
            <w:shd w:val="clear" w:color="auto" w:fill="CCEEFF"/>
          </w:tcPr>
          <w:p>
            <w:pPr>
              <w:spacing w:after="0"/>
              <w:rPr>
                <w:sz w:val="18"/>
                <w:szCs w:val="18"/>
                <w:color w:val="auto"/>
              </w:rPr>
            </w:pPr>
          </w:p>
        </w:tc>
        <w:tc>
          <w:tcPr>
            <w:tcW w:w="160" w:type="dxa"/>
            <w:vAlign w:val="bottom"/>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75,765</w:t>
            </w:r>
          </w:p>
        </w:tc>
        <w:tc>
          <w:tcPr>
            <w:tcW w:w="620" w:type="dxa"/>
            <w:vAlign w:val="bottom"/>
            <w:shd w:val="clear" w:color="auto" w:fill="CCEEFF"/>
          </w:tcPr>
          <w:p>
            <w:pPr>
              <w:spacing w:after="0"/>
              <w:rPr>
                <w:sz w:val="18"/>
                <w:szCs w:val="18"/>
                <w:color w:val="auto"/>
              </w:rPr>
            </w:pPr>
          </w:p>
        </w:tc>
        <w:tc>
          <w:tcPr>
            <w:tcW w:w="160" w:type="dxa"/>
            <w:vAlign w:val="bottom"/>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54,083</w:t>
            </w:r>
          </w:p>
        </w:tc>
        <w:tc>
          <w:tcPr>
            <w:tcW w:w="40" w:type="dxa"/>
            <w:vAlign w:val="bottom"/>
            <w:shd w:val="clear" w:color="auto" w:fill="CCEEFF"/>
          </w:tcPr>
          <w:p>
            <w:pPr>
              <w:spacing w:after="0"/>
              <w:rPr>
                <w:sz w:val="18"/>
                <w:szCs w:val="18"/>
                <w:color w:val="auto"/>
              </w:rPr>
            </w:pPr>
          </w:p>
        </w:tc>
      </w:tr>
      <w:tr>
        <w:trPr>
          <w:trHeight w:val="223"/>
        </w:trPr>
        <w:tc>
          <w:tcPr>
            <w:tcW w:w="2880" w:type="dxa"/>
            <w:vAlign w:val="bottom"/>
          </w:tcPr>
          <w:p>
            <w:pPr>
              <w:spacing w:after="0"/>
              <w:rPr>
                <w:sz w:val="20"/>
                <w:szCs w:val="20"/>
                <w:color w:val="auto"/>
              </w:rPr>
            </w:pPr>
            <w:r>
              <w:rPr>
                <w:rFonts w:ascii="Arial" w:cs="Arial" w:eastAsia="Arial" w:hAnsi="Arial"/>
                <w:sz w:val="18"/>
                <w:szCs w:val="18"/>
                <w:color w:val="auto"/>
              </w:rPr>
              <w:t>Professional services</w:t>
            </w:r>
          </w:p>
        </w:tc>
        <w:tc>
          <w:tcPr>
            <w:tcW w:w="328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992</w:t>
            </w:r>
          </w:p>
        </w:tc>
        <w:tc>
          <w:tcPr>
            <w:tcW w:w="62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503</w:t>
            </w:r>
          </w:p>
        </w:tc>
        <w:tc>
          <w:tcPr>
            <w:tcW w:w="40" w:type="dxa"/>
            <w:vAlign w:val="bottom"/>
          </w:tcPr>
          <w:p>
            <w:pPr>
              <w:spacing w:after="0"/>
              <w:rPr>
                <w:sz w:val="19"/>
                <w:szCs w:val="19"/>
                <w:color w:val="auto"/>
              </w:rPr>
            </w:pPr>
          </w:p>
        </w:tc>
      </w:tr>
      <w:tr>
        <w:trPr>
          <w:trHeight w:val="216"/>
        </w:trPr>
        <w:tc>
          <w:tcPr>
            <w:tcW w:w="2880" w:type="dxa"/>
            <w:vAlign w:val="bottom"/>
            <w:shd w:val="clear" w:color="auto" w:fill="CCEEFF"/>
          </w:tcPr>
          <w:p>
            <w:pPr>
              <w:spacing w:after="0"/>
              <w:rPr>
                <w:sz w:val="20"/>
                <w:szCs w:val="20"/>
                <w:color w:val="auto"/>
              </w:rPr>
            </w:pPr>
            <w:r>
              <w:rPr>
                <w:rFonts w:ascii="Arial" w:cs="Arial" w:eastAsia="Arial" w:hAnsi="Arial"/>
                <w:sz w:val="18"/>
                <w:szCs w:val="18"/>
                <w:color w:val="auto"/>
              </w:rPr>
              <w:t>Total revenue</w:t>
            </w:r>
          </w:p>
        </w:tc>
        <w:tc>
          <w:tcPr>
            <w:tcW w:w="3440" w:type="dxa"/>
            <w:vAlign w:val="bottom"/>
            <w:gridSpan w:val="2"/>
            <w:shd w:val="clear" w:color="auto" w:fill="CCEEFF"/>
          </w:tcPr>
          <w:p>
            <w:pPr>
              <w:jc w:val="right"/>
              <w:ind w:right="7"/>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76,757</w:t>
            </w:r>
          </w:p>
        </w:tc>
        <w:tc>
          <w:tcPr>
            <w:tcW w:w="160" w:type="dxa"/>
            <w:vAlign w:val="bottom"/>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54,586</w:t>
            </w:r>
          </w:p>
        </w:tc>
      </w:tr>
      <w:tr>
        <w:trPr>
          <w:trHeight w:val="20"/>
        </w:trPr>
        <w:tc>
          <w:tcPr>
            <w:tcW w:w="2880" w:type="dxa"/>
            <w:vAlign w:val="bottom"/>
          </w:tcPr>
          <w:p>
            <w:pPr>
              <w:spacing w:after="0" w:line="20" w:lineRule="exact"/>
              <w:rPr>
                <w:sz w:val="1"/>
                <w:szCs w:val="1"/>
                <w:color w:val="auto"/>
              </w:rPr>
            </w:pPr>
          </w:p>
        </w:tc>
        <w:tc>
          <w:tcPr>
            <w:tcW w:w="32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359"/>
        </w:trPr>
        <w:tc>
          <w:tcPr>
            <w:tcW w:w="2880" w:type="dxa"/>
            <w:vAlign w:val="bottom"/>
          </w:tcPr>
          <w:p>
            <w:pPr>
              <w:spacing w:after="0"/>
              <w:rPr>
                <w:sz w:val="24"/>
                <w:szCs w:val="24"/>
                <w:color w:val="auto"/>
              </w:rPr>
            </w:pPr>
          </w:p>
        </w:tc>
        <w:tc>
          <w:tcPr>
            <w:tcW w:w="3440" w:type="dxa"/>
            <w:vAlign w:val="bottom"/>
            <w:gridSpan w:val="2"/>
          </w:tcPr>
          <w:p>
            <w:pPr>
              <w:jc w:val="right"/>
              <w:ind w:right="1787"/>
              <w:spacing w:after="0"/>
              <w:rPr>
                <w:sz w:val="20"/>
                <w:szCs w:val="20"/>
                <w:color w:val="auto"/>
              </w:rPr>
            </w:pPr>
            <w:r>
              <w:rPr>
                <w:rFonts w:ascii="Arial" w:cs="Arial" w:eastAsia="Arial" w:hAnsi="Arial"/>
                <w:sz w:val="18"/>
                <w:szCs w:val="18"/>
                <w:color w:val="auto"/>
              </w:rPr>
              <w:t>F-64</w:t>
            </w:r>
          </w:p>
        </w:tc>
        <w:tc>
          <w:tcPr>
            <w:tcW w:w="6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40" w:type="dxa"/>
            <w:vAlign w:val="bottom"/>
          </w:tcPr>
          <w:p>
            <w:pPr>
              <w:spacing w:after="0"/>
              <w:rPr>
                <w:sz w:val="24"/>
                <w:szCs w:val="24"/>
                <w:color w:val="auto"/>
              </w:rPr>
            </w:pPr>
          </w:p>
        </w:tc>
      </w:tr>
    </w:tbl>
    <w:p>
      <w:pPr>
        <w:sectPr>
          <w:pgSz w:w="11900" w:h="16838" w:orient="portrait"/>
          <w:cols w:equalWidth="0" w:num="1">
            <w:col w:w="11080"/>
          </w:cols>
          <w:pgMar w:left="320" w:top="459" w:right="499" w:bottom="1440" w:gutter="0" w:footer="0" w:header="0"/>
        </w:sectPr>
      </w:pPr>
    </w:p>
    <w:bookmarkStart w:id="270" w:name="page271"/>
    <w:bookmarkEnd w:id="27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pic:cNvPicPr>
                      <a:picLocks noChangeAspect="1" noChangeArrowheads="1"/>
                    </pic:cNvPicPr>
                  </pic:nvPicPr>
                  <pic:blipFill>
                    <a:blip r:embed="rId356">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Confidential Treatment Requested by Definitive Healthcare Corp.</w:t>
      </w:r>
    </w:p>
    <w:p>
      <w:pPr>
        <w:spacing w:after="0" w:line="27"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Pursuant to 17 C.F.R. Section 200.83</w:t>
      </w:r>
    </w:p>
    <w:p>
      <w:pPr>
        <w:spacing w:after="0" w:line="143" w:lineRule="exact"/>
        <w:rPr>
          <w:sz w:val="20"/>
          <w:szCs w:val="20"/>
          <w:color w:val="auto"/>
        </w:rPr>
      </w:pPr>
    </w:p>
    <w:p>
      <w:pPr>
        <w:ind w:left="120" w:right="80" w:firstLine="440"/>
        <w:spacing w:after="0" w:line="277" w:lineRule="auto"/>
        <w:rPr>
          <w:sz w:val="20"/>
          <w:szCs w:val="20"/>
          <w:color w:val="auto"/>
        </w:rPr>
      </w:pPr>
      <w:r>
        <w:rPr>
          <w:rFonts w:ascii="Arial" w:cs="Arial" w:eastAsia="Arial" w:hAnsi="Arial"/>
          <w:sz w:val="18"/>
          <w:szCs w:val="18"/>
          <w:color w:val="auto"/>
        </w:rPr>
        <w:t>The opening and closing balances of the Company’s receivables, deferred contract costs and contract liabilities from contracts with customers are as follows at the dates presented (in thousands):</w:t>
      </w:r>
    </w:p>
    <w:p>
      <w:pPr>
        <w:spacing w:after="0" w:line="189" w:lineRule="exact"/>
        <w:rPr>
          <w:sz w:val="20"/>
          <w:szCs w:val="20"/>
          <w:color w:val="auto"/>
        </w:rPr>
      </w:pPr>
    </w:p>
    <w:tbl>
      <w:tblPr>
        <w:tblLayout w:type="fixed"/>
        <w:tblInd w:w="1440" w:type="dxa"/>
        <w:tblCellMar>
          <w:top w:w="0" w:type="dxa"/>
          <w:left w:w="0" w:type="dxa"/>
          <w:bottom w:w="0" w:type="dxa"/>
          <w:right w:w="0" w:type="dxa"/>
        </w:tblCellMar>
      </w:tblPr>
      <w:tr>
        <w:trPr>
          <w:trHeight w:val="171"/>
        </w:trPr>
        <w:tc>
          <w:tcPr>
            <w:tcW w:w="5380" w:type="dxa"/>
            <w:vAlign w:val="bottom"/>
          </w:tcPr>
          <w:p>
            <w:pPr>
              <w:spacing w:after="0"/>
              <w:rPr>
                <w:sz w:val="14"/>
                <w:szCs w:val="14"/>
                <w:color w:val="auto"/>
              </w:rPr>
            </w:pPr>
          </w:p>
        </w:tc>
        <w:tc>
          <w:tcPr>
            <w:tcW w:w="1780" w:type="dxa"/>
            <w:vAlign w:val="bottom"/>
            <w:gridSpan w:val="3"/>
          </w:tcPr>
          <w:p>
            <w:pPr>
              <w:spacing w:after="0"/>
              <w:rPr>
                <w:sz w:val="20"/>
                <w:szCs w:val="20"/>
                <w:color w:val="auto"/>
              </w:rPr>
            </w:pPr>
            <w:r>
              <w:rPr>
                <w:rFonts w:ascii="Arial" w:cs="Arial" w:eastAsia="Arial" w:hAnsi="Arial"/>
                <w:sz w:val="14"/>
                <w:szCs w:val="14"/>
                <w:b w:val="1"/>
                <w:bCs w:val="1"/>
                <w:color w:val="auto"/>
              </w:rPr>
              <w:t>June 30, 2021</w:t>
            </w:r>
          </w:p>
        </w:tc>
        <w:tc>
          <w:tcPr>
            <w:tcW w:w="1200" w:type="dxa"/>
            <w:vAlign w:val="bottom"/>
            <w:gridSpan w:val="3"/>
          </w:tcPr>
          <w:p>
            <w:pPr>
              <w:spacing w:after="0"/>
              <w:rPr>
                <w:sz w:val="20"/>
                <w:szCs w:val="20"/>
                <w:color w:val="auto"/>
              </w:rPr>
            </w:pPr>
            <w:r>
              <w:rPr>
                <w:rFonts w:ascii="Arial" w:cs="Arial" w:eastAsia="Arial" w:hAnsi="Arial"/>
                <w:sz w:val="14"/>
                <w:szCs w:val="14"/>
                <w:b w:val="1"/>
                <w:bCs w:val="1"/>
                <w:color w:val="auto"/>
                <w:w w:val="93"/>
              </w:rPr>
              <w:t>December 31, 2020</w:t>
            </w:r>
          </w:p>
        </w:tc>
      </w:tr>
      <w:tr>
        <w:trPr>
          <w:trHeight w:val="210"/>
        </w:trPr>
        <w:tc>
          <w:tcPr>
            <w:tcW w:w="53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Accounts receivable, net</w:t>
            </w:r>
          </w:p>
        </w:tc>
        <w:tc>
          <w:tcPr>
            <w:tcW w:w="2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22,818</w:t>
            </w:r>
          </w:p>
        </w:tc>
        <w:tc>
          <w:tcPr>
            <w:tcW w:w="96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33,108</w:t>
            </w:r>
          </w:p>
        </w:tc>
        <w:tc>
          <w:tcPr>
            <w:tcW w:w="40" w:type="dxa"/>
            <w:vAlign w:val="bottom"/>
            <w:tcBorders>
              <w:top w:val="single" w:sz="8" w:color="CCEEFF"/>
            </w:tcBorders>
            <w:shd w:val="clear" w:color="auto" w:fill="CCEEFF"/>
          </w:tcPr>
          <w:p>
            <w:pPr>
              <w:spacing w:after="0"/>
              <w:rPr>
                <w:sz w:val="18"/>
                <w:szCs w:val="18"/>
                <w:color w:val="auto"/>
              </w:rPr>
            </w:pPr>
          </w:p>
        </w:tc>
      </w:tr>
      <w:tr>
        <w:trPr>
          <w:trHeight w:val="216"/>
        </w:trPr>
        <w:tc>
          <w:tcPr>
            <w:tcW w:w="5380" w:type="dxa"/>
            <w:vAlign w:val="bottom"/>
          </w:tcPr>
          <w:p>
            <w:pPr>
              <w:spacing w:after="0"/>
              <w:rPr>
                <w:sz w:val="20"/>
                <w:szCs w:val="20"/>
                <w:color w:val="auto"/>
              </w:rPr>
            </w:pPr>
            <w:r>
              <w:rPr>
                <w:rFonts w:ascii="Arial" w:cs="Arial" w:eastAsia="Arial" w:hAnsi="Arial"/>
                <w:sz w:val="18"/>
                <w:szCs w:val="18"/>
                <w:color w:val="auto"/>
              </w:rPr>
              <w:t>Deferred contract costs</w:t>
            </w:r>
          </w:p>
        </w:tc>
        <w:tc>
          <w:tcPr>
            <w:tcW w:w="200" w:type="dxa"/>
            <w:vAlign w:val="bottom"/>
          </w:tcPr>
          <w:p>
            <w:pPr>
              <w:spacing w:after="0"/>
              <w:rPr>
                <w:sz w:val="18"/>
                <w:szCs w:val="18"/>
                <w:color w:val="auto"/>
              </w:rPr>
            </w:pPr>
          </w:p>
        </w:tc>
        <w:tc>
          <w:tcPr>
            <w:tcW w:w="1580" w:type="dxa"/>
            <w:vAlign w:val="bottom"/>
            <w:gridSpan w:val="2"/>
          </w:tcPr>
          <w:p>
            <w:pPr>
              <w:jc w:val="right"/>
              <w:ind w:right="960"/>
              <w:spacing w:after="0"/>
              <w:rPr>
                <w:sz w:val="20"/>
                <w:szCs w:val="20"/>
                <w:color w:val="auto"/>
              </w:rPr>
            </w:pPr>
            <w:r>
              <w:rPr>
                <w:rFonts w:ascii="Arial" w:cs="Arial" w:eastAsia="Arial" w:hAnsi="Arial"/>
                <w:sz w:val="18"/>
                <w:szCs w:val="18"/>
                <w:color w:val="auto"/>
              </w:rPr>
              <w:t>4,549</w:t>
            </w:r>
          </w:p>
        </w:tc>
        <w:tc>
          <w:tcPr>
            <w:tcW w:w="380" w:type="dxa"/>
            <w:vAlign w:val="bottom"/>
          </w:tcPr>
          <w:p>
            <w:pPr>
              <w:spacing w:after="0"/>
              <w:rPr>
                <w:sz w:val="18"/>
                <w:szCs w:val="18"/>
                <w:color w:val="auto"/>
              </w:rPr>
            </w:pPr>
          </w:p>
        </w:tc>
        <w:tc>
          <w:tcPr>
            <w:tcW w:w="820" w:type="dxa"/>
            <w:vAlign w:val="bottom"/>
            <w:gridSpan w:val="2"/>
          </w:tcPr>
          <w:p>
            <w:pPr>
              <w:jc w:val="right"/>
              <w:ind w:right="40"/>
              <w:spacing w:after="0"/>
              <w:rPr>
                <w:sz w:val="20"/>
                <w:szCs w:val="20"/>
                <w:color w:val="auto"/>
              </w:rPr>
            </w:pPr>
            <w:r>
              <w:rPr>
                <w:rFonts w:ascii="Arial" w:cs="Arial" w:eastAsia="Arial" w:hAnsi="Arial"/>
                <w:sz w:val="18"/>
                <w:szCs w:val="18"/>
                <w:color w:val="auto"/>
              </w:rPr>
              <w:t>2,947</w:t>
            </w:r>
          </w:p>
        </w:tc>
      </w:tr>
      <w:tr>
        <w:trPr>
          <w:trHeight w:val="216"/>
        </w:trPr>
        <w:tc>
          <w:tcPr>
            <w:tcW w:w="5380" w:type="dxa"/>
            <w:vAlign w:val="bottom"/>
            <w:shd w:val="clear" w:color="auto" w:fill="CCEEFF"/>
          </w:tcPr>
          <w:p>
            <w:pPr>
              <w:spacing w:after="0"/>
              <w:rPr>
                <w:sz w:val="20"/>
                <w:szCs w:val="20"/>
                <w:color w:val="auto"/>
              </w:rPr>
            </w:pPr>
            <w:r>
              <w:rPr>
                <w:rFonts w:ascii="Arial" w:cs="Arial" w:eastAsia="Arial" w:hAnsi="Arial"/>
                <w:sz w:val="18"/>
                <w:szCs w:val="18"/>
                <w:color w:val="auto"/>
              </w:rPr>
              <w:t>Long-term deferred contract costs</w:t>
            </w:r>
          </w:p>
        </w:tc>
        <w:tc>
          <w:tcPr>
            <w:tcW w:w="20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960"/>
              <w:spacing w:after="0"/>
              <w:rPr>
                <w:sz w:val="20"/>
                <w:szCs w:val="20"/>
                <w:color w:val="auto"/>
              </w:rPr>
            </w:pPr>
            <w:r>
              <w:rPr>
                <w:rFonts w:ascii="Arial" w:cs="Arial" w:eastAsia="Arial" w:hAnsi="Arial"/>
                <w:sz w:val="18"/>
                <w:szCs w:val="18"/>
                <w:color w:val="auto"/>
              </w:rPr>
              <w:t>8,490</w:t>
            </w:r>
          </w:p>
        </w:tc>
        <w:tc>
          <w:tcPr>
            <w:tcW w:w="3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5,952</w:t>
            </w:r>
          </w:p>
        </w:tc>
      </w:tr>
      <w:tr>
        <w:trPr>
          <w:trHeight w:val="230"/>
        </w:trPr>
        <w:tc>
          <w:tcPr>
            <w:tcW w:w="5380" w:type="dxa"/>
            <w:vAlign w:val="bottom"/>
          </w:tcPr>
          <w:p>
            <w:pPr>
              <w:spacing w:after="0"/>
              <w:rPr>
                <w:sz w:val="20"/>
                <w:szCs w:val="20"/>
                <w:color w:val="auto"/>
              </w:rPr>
            </w:pPr>
            <w:r>
              <w:rPr>
                <w:rFonts w:ascii="Arial" w:cs="Arial" w:eastAsia="Arial" w:hAnsi="Arial"/>
                <w:sz w:val="18"/>
                <w:szCs w:val="18"/>
                <w:color w:val="auto"/>
              </w:rPr>
              <w:t>Deferred revenue</w:t>
            </w:r>
          </w:p>
        </w:tc>
        <w:tc>
          <w:tcPr>
            <w:tcW w:w="200" w:type="dxa"/>
            <w:vAlign w:val="bottom"/>
          </w:tcPr>
          <w:p>
            <w:pPr>
              <w:spacing w:after="0"/>
              <w:rPr>
                <w:sz w:val="20"/>
                <w:szCs w:val="20"/>
                <w:color w:val="auto"/>
              </w:rPr>
            </w:pPr>
          </w:p>
        </w:tc>
        <w:tc>
          <w:tcPr>
            <w:tcW w:w="1580" w:type="dxa"/>
            <w:vAlign w:val="bottom"/>
            <w:gridSpan w:val="2"/>
          </w:tcPr>
          <w:p>
            <w:pPr>
              <w:jc w:val="right"/>
              <w:ind w:right="960"/>
              <w:spacing w:after="0"/>
              <w:rPr>
                <w:sz w:val="20"/>
                <w:szCs w:val="20"/>
                <w:color w:val="auto"/>
              </w:rPr>
            </w:pPr>
            <w:r>
              <w:rPr>
                <w:rFonts w:ascii="Arial" w:cs="Arial" w:eastAsia="Arial" w:hAnsi="Arial"/>
                <w:sz w:val="18"/>
                <w:szCs w:val="18"/>
                <w:color w:val="auto"/>
              </w:rPr>
              <w:t>69,121</w:t>
            </w:r>
          </w:p>
        </w:tc>
        <w:tc>
          <w:tcPr>
            <w:tcW w:w="380" w:type="dxa"/>
            <w:vAlign w:val="bottom"/>
          </w:tcPr>
          <w:p>
            <w:pPr>
              <w:spacing w:after="0"/>
              <w:rPr>
                <w:sz w:val="20"/>
                <w:szCs w:val="20"/>
                <w:color w:val="auto"/>
              </w:rPr>
            </w:pPr>
          </w:p>
        </w:tc>
        <w:tc>
          <w:tcPr>
            <w:tcW w:w="820" w:type="dxa"/>
            <w:vAlign w:val="bottom"/>
            <w:gridSpan w:val="2"/>
          </w:tcPr>
          <w:p>
            <w:pPr>
              <w:jc w:val="right"/>
              <w:ind w:right="40"/>
              <w:spacing w:after="0"/>
              <w:rPr>
                <w:sz w:val="20"/>
                <w:szCs w:val="20"/>
                <w:color w:val="auto"/>
              </w:rPr>
            </w:pPr>
            <w:r>
              <w:rPr>
                <w:rFonts w:ascii="Arial" w:cs="Arial" w:eastAsia="Arial" w:hAnsi="Arial"/>
                <w:sz w:val="18"/>
                <w:szCs w:val="18"/>
                <w:color w:val="auto"/>
              </w:rPr>
              <w:t>61,200</w:t>
            </w:r>
          </w:p>
        </w:tc>
      </w:tr>
    </w:tbl>
    <w:p>
      <w:pPr>
        <w:spacing w:after="0" w:line="295"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Deferred Contract Costs</w:t>
      </w:r>
    </w:p>
    <w:p>
      <w:pPr>
        <w:spacing w:after="0" w:line="117" w:lineRule="exact"/>
        <w:rPr>
          <w:sz w:val="20"/>
          <w:szCs w:val="20"/>
          <w:color w:val="auto"/>
        </w:rPr>
      </w:pPr>
    </w:p>
    <w:p>
      <w:pPr>
        <w:ind w:left="560"/>
        <w:spacing w:after="0"/>
        <w:rPr>
          <w:sz w:val="20"/>
          <w:szCs w:val="20"/>
          <w:color w:val="auto"/>
        </w:rPr>
      </w:pPr>
      <w:r>
        <w:rPr>
          <w:rFonts w:ascii="Arial" w:cs="Arial" w:eastAsia="Arial" w:hAnsi="Arial"/>
          <w:sz w:val="18"/>
          <w:szCs w:val="18"/>
          <w:color w:val="auto"/>
        </w:rPr>
        <w:t>A summary of the activity impacting the deferred contract costs is presented below (in thousands):</w:t>
      </w:r>
    </w:p>
    <w:p>
      <w:pPr>
        <w:spacing w:after="0" w:line="231" w:lineRule="exact"/>
        <w:rPr>
          <w:sz w:val="20"/>
          <w:szCs w:val="20"/>
          <w:color w:val="auto"/>
        </w:rPr>
      </w:pPr>
    </w:p>
    <w:tbl>
      <w:tblPr>
        <w:tblLayout w:type="fixed"/>
        <w:tblInd w:w="1440" w:type="dxa"/>
        <w:tblCellMar>
          <w:top w:w="0" w:type="dxa"/>
          <w:left w:w="0" w:type="dxa"/>
          <w:bottom w:w="0" w:type="dxa"/>
          <w:right w:w="0" w:type="dxa"/>
        </w:tblCellMar>
      </w:tblPr>
      <w:tr>
        <w:trPr>
          <w:trHeight w:val="161"/>
        </w:trPr>
        <w:tc>
          <w:tcPr>
            <w:tcW w:w="48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240" w:type="dxa"/>
            <w:vAlign w:val="bottom"/>
            <w:gridSpan w:val="4"/>
          </w:tcPr>
          <w:p>
            <w:pPr>
              <w:spacing w:after="0"/>
              <w:rPr>
                <w:sz w:val="20"/>
                <w:szCs w:val="20"/>
                <w:color w:val="auto"/>
              </w:rPr>
            </w:pPr>
            <w:r>
              <w:rPr>
                <w:rFonts w:ascii="Arial" w:cs="Arial" w:eastAsia="Arial" w:hAnsi="Arial"/>
                <w:sz w:val="14"/>
                <w:szCs w:val="14"/>
                <w:b w:val="1"/>
                <w:bCs w:val="1"/>
                <w:color w:val="auto"/>
              </w:rPr>
              <w:t>Six Months Ended</w:t>
            </w:r>
          </w:p>
        </w:tc>
        <w:tc>
          <w:tcPr>
            <w:tcW w:w="200" w:type="dxa"/>
            <w:vAlign w:val="bottom"/>
          </w:tcPr>
          <w:p>
            <w:pPr>
              <w:spacing w:after="0"/>
              <w:rPr>
                <w:sz w:val="14"/>
                <w:szCs w:val="14"/>
                <w:color w:val="auto"/>
              </w:rPr>
            </w:pPr>
          </w:p>
        </w:tc>
        <w:tc>
          <w:tcPr>
            <w:tcW w:w="1060" w:type="dxa"/>
            <w:vAlign w:val="bottom"/>
            <w:gridSpan w:val="2"/>
          </w:tcPr>
          <w:p>
            <w:pPr>
              <w:jc w:val="right"/>
              <w:ind w:right="380"/>
              <w:spacing w:after="0"/>
              <w:rPr>
                <w:sz w:val="20"/>
                <w:szCs w:val="20"/>
                <w:color w:val="auto"/>
              </w:rPr>
            </w:pPr>
            <w:r>
              <w:rPr>
                <w:rFonts w:ascii="Arial" w:cs="Arial" w:eastAsia="Arial" w:hAnsi="Arial"/>
                <w:sz w:val="14"/>
                <w:szCs w:val="14"/>
                <w:b w:val="1"/>
                <w:bCs w:val="1"/>
                <w:color w:val="auto"/>
              </w:rPr>
              <w:t>Year End</w:t>
            </w:r>
          </w:p>
        </w:tc>
      </w:tr>
      <w:tr>
        <w:trPr>
          <w:trHeight w:val="171"/>
        </w:trPr>
        <w:tc>
          <w:tcPr>
            <w:tcW w:w="48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140" w:type="dxa"/>
            <w:vAlign w:val="bottom"/>
            <w:gridSpan w:val="3"/>
          </w:tcPr>
          <w:p>
            <w:pPr>
              <w:jc w:val="right"/>
              <w:ind w:right="1260"/>
              <w:spacing w:after="0"/>
              <w:rPr>
                <w:sz w:val="20"/>
                <w:szCs w:val="20"/>
                <w:color w:val="auto"/>
              </w:rPr>
            </w:pPr>
            <w:r>
              <w:rPr>
                <w:rFonts w:ascii="Arial" w:cs="Arial" w:eastAsia="Arial" w:hAnsi="Arial"/>
                <w:sz w:val="14"/>
                <w:szCs w:val="14"/>
                <w:b w:val="1"/>
                <w:bCs w:val="1"/>
                <w:color w:val="auto"/>
                <w:w w:val="94"/>
              </w:rPr>
              <w:t>June 30, 2021</w:t>
            </w:r>
          </w:p>
        </w:tc>
        <w:tc>
          <w:tcPr>
            <w:tcW w:w="1260" w:type="dxa"/>
            <w:vAlign w:val="bottom"/>
            <w:gridSpan w:val="3"/>
          </w:tcPr>
          <w:p>
            <w:pPr>
              <w:spacing w:after="0"/>
              <w:rPr>
                <w:sz w:val="20"/>
                <w:szCs w:val="20"/>
                <w:color w:val="auto"/>
              </w:rPr>
            </w:pPr>
            <w:r>
              <w:rPr>
                <w:rFonts w:ascii="Arial" w:cs="Arial" w:eastAsia="Arial" w:hAnsi="Arial"/>
                <w:sz w:val="14"/>
                <w:szCs w:val="14"/>
                <w:b w:val="1"/>
                <w:bCs w:val="1"/>
                <w:color w:val="auto"/>
                <w:w w:val="98"/>
              </w:rPr>
              <w:t>December 31, 2020</w:t>
            </w:r>
          </w:p>
        </w:tc>
      </w:tr>
      <w:tr>
        <w:trPr>
          <w:trHeight w:val="209"/>
        </w:trPr>
        <w:tc>
          <w:tcPr>
            <w:tcW w:w="48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Balance at beginning of period</w:t>
            </w:r>
          </w:p>
        </w:tc>
        <w:tc>
          <w:tcPr>
            <w:tcW w:w="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8,899</w:t>
            </w:r>
          </w:p>
        </w:tc>
        <w:tc>
          <w:tcPr>
            <w:tcW w:w="20" w:type="dxa"/>
            <w:vAlign w:val="bottom"/>
            <w:tcBorders>
              <w:top w:val="single" w:sz="8" w:color="CCEEFF"/>
            </w:tcBorders>
            <w:shd w:val="clear" w:color="auto" w:fill="CCEEFF"/>
          </w:tcPr>
          <w:p>
            <w:pPr>
              <w:spacing w:after="0"/>
              <w:rPr>
                <w:sz w:val="18"/>
                <w:szCs w:val="18"/>
                <w:color w:val="auto"/>
              </w:rPr>
            </w:pPr>
          </w:p>
        </w:tc>
        <w:tc>
          <w:tcPr>
            <w:tcW w:w="108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2,885</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4840" w:type="dxa"/>
            <w:vAlign w:val="bottom"/>
          </w:tcPr>
          <w:p>
            <w:pPr>
              <w:ind w:left="360"/>
              <w:spacing w:after="0"/>
              <w:rPr>
                <w:sz w:val="20"/>
                <w:szCs w:val="20"/>
                <w:color w:val="auto"/>
              </w:rPr>
            </w:pPr>
            <w:r>
              <w:rPr>
                <w:rFonts w:ascii="Arial" w:cs="Arial" w:eastAsia="Arial" w:hAnsi="Arial"/>
                <w:sz w:val="18"/>
                <w:szCs w:val="18"/>
                <w:color w:val="auto"/>
              </w:rPr>
              <w:t>Additional amounts deferred</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jc w:val="right"/>
              <w:ind w:right="20"/>
              <w:spacing w:after="0"/>
              <w:rPr>
                <w:sz w:val="20"/>
                <w:szCs w:val="20"/>
                <w:color w:val="auto"/>
              </w:rPr>
            </w:pPr>
            <w:r>
              <w:rPr>
                <w:rFonts w:ascii="Arial" w:cs="Arial" w:eastAsia="Arial" w:hAnsi="Arial"/>
                <w:sz w:val="18"/>
                <w:szCs w:val="18"/>
                <w:color w:val="auto"/>
              </w:rPr>
              <w:t>6,042</w:t>
            </w:r>
          </w:p>
        </w:tc>
        <w:tc>
          <w:tcPr>
            <w:tcW w:w="10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7,684</w:t>
            </w:r>
          </w:p>
        </w:tc>
      </w:tr>
      <w:tr>
        <w:trPr>
          <w:trHeight w:val="216"/>
        </w:trPr>
        <w:tc>
          <w:tcPr>
            <w:tcW w:w="48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Costs amortized</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140" w:type="dxa"/>
            <w:vAlign w:val="bottom"/>
            <w:gridSpan w:val="3"/>
            <w:shd w:val="clear" w:color="auto" w:fill="CCEEFF"/>
          </w:tcPr>
          <w:p>
            <w:pPr>
              <w:jc w:val="right"/>
              <w:ind w:right="1040"/>
              <w:spacing w:after="0"/>
              <w:rPr>
                <w:sz w:val="20"/>
                <w:szCs w:val="20"/>
                <w:color w:val="auto"/>
              </w:rPr>
            </w:pPr>
            <w:r>
              <w:rPr>
                <w:rFonts w:ascii="Arial" w:cs="Arial" w:eastAsia="Arial" w:hAnsi="Arial"/>
                <w:sz w:val="18"/>
                <w:szCs w:val="18"/>
                <w:color w:val="auto"/>
              </w:rPr>
              <w:t>(1,902)</w:t>
            </w:r>
          </w:p>
        </w:tc>
        <w:tc>
          <w:tcPr>
            <w:tcW w:w="2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(1,670)</w:t>
            </w:r>
          </w:p>
        </w:tc>
      </w:tr>
      <w:tr>
        <w:trPr>
          <w:trHeight w:val="223"/>
        </w:trPr>
        <w:tc>
          <w:tcPr>
            <w:tcW w:w="4840" w:type="dxa"/>
            <w:vAlign w:val="bottom"/>
          </w:tcPr>
          <w:p>
            <w:pPr>
              <w:spacing w:after="0"/>
              <w:rPr>
                <w:sz w:val="20"/>
                <w:szCs w:val="20"/>
                <w:color w:val="auto"/>
              </w:rPr>
            </w:pPr>
            <w:r>
              <w:rPr>
                <w:rFonts w:ascii="Arial" w:cs="Arial" w:eastAsia="Arial" w:hAnsi="Arial"/>
                <w:sz w:val="18"/>
                <w:szCs w:val="18"/>
                <w:color w:val="auto"/>
              </w:rPr>
              <w:t>Balance at end of period</w:t>
            </w:r>
          </w:p>
        </w:tc>
        <w:tc>
          <w:tcPr>
            <w:tcW w:w="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13,039</w:t>
            </w:r>
          </w:p>
        </w:tc>
        <w:tc>
          <w:tcPr>
            <w:tcW w:w="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8,899</w:t>
            </w:r>
          </w:p>
        </w:tc>
        <w:tc>
          <w:tcPr>
            <w:tcW w:w="100" w:type="dxa"/>
            <w:vAlign w:val="bottom"/>
          </w:tcPr>
          <w:p>
            <w:pPr>
              <w:spacing w:after="0"/>
              <w:rPr>
                <w:sz w:val="19"/>
                <w:szCs w:val="19"/>
                <w:color w:val="auto"/>
              </w:rPr>
            </w:pPr>
          </w:p>
        </w:tc>
      </w:tr>
      <w:tr>
        <w:trPr>
          <w:trHeight w:val="216"/>
        </w:trPr>
        <w:tc>
          <w:tcPr>
            <w:tcW w:w="4840" w:type="dxa"/>
            <w:vAlign w:val="bottom"/>
            <w:shd w:val="clear" w:color="auto" w:fill="CCEEFF"/>
          </w:tcPr>
          <w:p>
            <w:pPr>
              <w:spacing w:after="0"/>
              <w:rPr>
                <w:sz w:val="20"/>
                <w:szCs w:val="20"/>
                <w:color w:val="auto"/>
              </w:rPr>
            </w:pPr>
            <w:r>
              <w:rPr>
                <w:rFonts w:ascii="Arial" w:cs="Arial" w:eastAsia="Arial" w:hAnsi="Arial"/>
                <w:sz w:val="18"/>
                <w:szCs w:val="18"/>
                <w:color w:val="auto"/>
              </w:rPr>
              <w:t>Classified as:</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4840" w:type="dxa"/>
            <w:vAlign w:val="bottom"/>
          </w:tcPr>
          <w:p>
            <w:pPr>
              <w:ind w:left="360"/>
              <w:spacing w:after="0"/>
              <w:rPr>
                <w:sz w:val="20"/>
                <w:szCs w:val="20"/>
                <w:color w:val="auto"/>
              </w:rPr>
            </w:pPr>
            <w:r>
              <w:rPr>
                <w:rFonts w:ascii="Arial" w:cs="Arial" w:eastAsia="Arial" w:hAnsi="Arial"/>
                <w:sz w:val="18"/>
                <w:szCs w:val="18"/>
                <w:color w:val="auto"/>
              </w:rPr>
              <w:t>Current</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jc w:val="right"/>
              <w:ind w:right="20"/>
              <w:spacing w:after="0"/>
              <w:rPr>
                <w:sz w:val="20"/>
                <w:szCs w:val="20"/>
                <w:color w:val="auto"/>
              </w:rPr>
            </w:pPr>
            <w:r>
              <w:rPr>
                <w:rFonts w:ascii="Arial" w:cs="Arial" w:eastAsia="Arial" w:hAnsi="Arial"/>
                <w:sz w:val="18"/>
                <w:szCs w:val="18"/>
                <w:color w:val="auto"/>
              </w:rPr>
              <w:t>4,549</w:t>
            </w:r>
          </w:p>
        </w:tc>
        <w:tc>
          <w:tcPr>
            <w:tcW w:w="10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2,947</w:t>
            </w:r>
          </w:p>
        </w:tc>
      </w:tr>
      <w:tr>
        <w:trPr>
          <w:trHeight w:val="216"/>
        </w:trPr>
        <w:tc>
          <w:tcPr>
            <w:tcW w:w="48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Non-current</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8,490</w:t>
            </w:r>
          </w:p>
        </w:tc>
        <w:tc>
          <w:tcPr>
            <w:tcW w:w="10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5,952</w:t>
            </w:r>
          </w:p>
        </w:tc>
      </w:tr>
      <w:tr>
        <w:trPr>
          <w:trHeight w:val="223"/>
        </w:trPr>
        <w:tc>
          <w:tcPr>
            <w:tcW w:w="4840" w:type="dxa"/>
            <w:vAlign w:val="bottom"/>
          </w:tcPr>
          <w:p>
            <w:pPr>
              <w:spacing w:after="0"/>
              <w:rPr>
                <w:sz w:val="20"/>
                <w:szCs w:val="20"/>
                <w:color w:val="auto"/>
              </w:rPr>
            </w:pPr>
            <w:r>
              <w:rPr>
                <w:rFonts w:ascii="Arial" w:cs="Arial" w:eastAsia="Arial" w:hAnsi="Arial"/>
                <w:sz w:val="18"/>
                <w:szCs w:val="18"/>
                <w:color w:val="auto"/>
              </w:rPr>
              <w:t>Total deferred contract costs (deferred commissions)</w:t>
            </w:r>
          </w:p>
        </w:tc>
        <w:tc>
          <w:tcPr>
            <w:tcW w:w="20" w:type="dxa"/>
            <w:vAlign w:val="bottom"/>
            <w:tcBorders>
              <w:bottom w:val="single" w:sz="8" w:color="auto"/>
            </w:tcBorders>
          </w:tcPr>
          <w:p>
            <w:pPr>
              <w:spacing w:after="0"/>
              <w:rPr>
                <w:sz w:val="19"/>
                <w:szCs w:val="19"/>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13,039</w:t>
            </w:r>
          </w:p>
        </w:tc>
        <w:tc>
          <w:tcPr>
            <w:tcW w:w="20" w:type="dxa"/>
            <w:vAlign w:val="bottom"/>
            <w:tcBorders>
              <w:bottom w:val="single" w:sz="8" w:color="auto"/>
            </w:tcBorders>
          </w:tcPr>
          <w:p>
            <w:pPr>
              <w:spacing w:after="0"/>
              <w:rPr>
                <w:sz w:val="19"/>
                <w:szCs w:val="19"/>
                <w:color w:val="auto"/>
              </w:rPr>
            </w:pPr>
          </w:p>
        </w:tc>
        <w:tc>
          <w:tcPr>
            <w:tcW w:w="1080" w:type="dxa"/>
            <w:vAlign w:val="bottom"/>
          </w:tcPr>
          <w:p>
            <w:pPr>
              <w:spacing w:after="0"/>
              <w:rPr>
                <w:sz w:val="19"/>
                <w:szCs w:val="19"/>
                <w:color w:val="auto"/>
              </w:rPr>
            </w:pPr>
          </w:p>
        </w:tc>
        <w:tc>
          <w:tcPr>
            <w:tcW w:w="2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8,899</w:t>
            </w:r>
          </w:p>
        </w:tc>
        <w:tc>
          <w:tcPr>
            <w:tcW w:w="100" w:type="dxa"/>
            <w:vAlign w:val="bottom"/>
          </w:tcPr>
          <w:p>
            <w:pPr>
              <w:spacing w:after="0"/>
              <w:rPr>
                <w:sz w:val="19"/>
                <w:szCs w:val="19"/>
                <w:color w:val="auto"/>
              </w:rPr>
            </w:pPr>
          </w:p>
        </w:tc>
      </w:tr>
      <w:tr>
        <w:trPr>
          <w:trHeight w:val="20"/>
        </w:trPr>
        <w:tc>
          <w:tcPr>
            <w:tcW w:w="48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323"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Contract Liabilities</w:t>
      </w:r>
    </w:p>
    <w:p>
      <w:pPr>
        <w:spacing w:after="0" w:line="117" w:lineRule="exact"/>
        <w:rPr>
          <w:sz w:val="20"/>
          <w:szCs w:val="20"/>
          <w:color w:val="auto"/>
        </w:rPr>
      </w:pPr>
    </w:p>
    <w:p>
      <w:pPr>
        <w:ind w:left="120" w:right="120" w:firstLine="440"/>
        <w:spacing w:after="0" w:line="277" w:lineRule="auto"/>
        <w:rPr>
          <w:sz w:val="20"/>
          <w:szCs w:val="20"/>
          <w:color w:val="auto"/>
        </w:rPr>
      </w:pPr>
      <w:r>
        <w:rPr>
          <w:rFonts w:ascii="Arial" w:cs="Arial" w:eastAsia="Arial" w:hAnsi="Arial"/>
          <w:sz w:val="18"/>
          <w:szCs w:val="18"/>
          <w:color w:val="auto"/>
        </w:rPr>
        <w:t>A summary of the activity impacting deferred revenue balances during the six months ended June 30, 2021, and year Ended December 31, 2020, is presented below (in thousands):</w:t>
      </w:r>
    </w:p>
    <w:p>
      <w:pPr>
        <w:spacing w:after="0" w:line="176" w:lineRule="exact"/>
        <w:rPr>
          <w:sz w:val="20"/>
          <w:szCs w:val="20"/>
          <w:color w:val="auto"/>
        </w:rPr>
      </w:pPr>
    </w:p>
    <w:tbl>
      <w:tblPr>
        <w:tblLayout w:type="fixed"/>
        <w:tblInd w:w="1440" w:type="dxa"/>
        <w:tblCellMar>
          <w:top w:w="0" w:type="dxa"/>
          <w:left w:w="0" w:type="dxa"/>
          <w:bottom w:w="0" w:type="dxa"/>
          <w:right w:w="0" w:type="dxa"/>
        </w:tblCellMar>
      </w:tblPr>
      <w:tr>
        <w:trPr>
          <w:trHeight w:val="161"/>
        </w:trPr>
        <w:tc>
          <w:tcPr>
            <w:tcW w:w="49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180" w:type="dxa"/>
            <w:vAlign w:val="bottom"/>
            <w:gridSpan w:val="4"/>
          </w:tcPr>
          <w:p>
            <w:pPr>
              <w:spacing w:after="0"/>
              <w:rPr>
                <w:sz w:val="20"/>
                <w:szCs w:val="20"/>
                <w:color w:val="auto"/>
              </w:rPr>
            </w:pPr>
            <w:r>
              <w:rPr>
                <w:rFonts w:ascii="Arial" w:cs="Arial" w:eastAsia="Arial" w:hAnsi="Arial"/>
                <w:sz w:val="14"/>
                <w:szCs w:val="14"/>
                <w:b w:val="1"/>
                <w:bCs w:val="1"/>
                <w:color w:val="auto"/>
              </w:rPr>
              <w:t>Six Months Ended</w:t>
            </w:r>
          </w:p>
        </w:tc>
        <w:tc>
          <w:tcPr>
            <w:tcW w:w="160" w:type="dxa"/>
            <w:vAlign w:val="bottom"/>
          </w:tcPr>
          <w:p>
            <w:pPr>
              <w:spacing w:after="0"/>
              <w:rPr>
                <w:sz w:val="14"/>
                <w:szCs w:val="14"/>
                <w:color w:val="auto"/>
              </w:rPr>
            </w:pPr>
          </w:p>
        </w:tc>
        <w:tc>
          <w:tcPr>
            <w:tcW w:w="1100" w:type="dxa"/>
            <w:vAlign w:val="bottom"/>
            <w:gridSpan w:val="2"/>
          </w:tcPr>
          <w:p>
            <w:pPr>
              <w:jc w:val="right"/>
              <w:ind w:right="320"/>
              <w:spacing w:after="0"/>
              <w:rPr>
                <w:sz w:val="20"/>
                <w:szCs w:val="20"/>
                <w:color w:val="auto"/>
              </w:rPr>
            </w:pPr>
            <w:r>
              <w:rPr>
                <w:rFonts w:ascii="Arial" w:cs="Arial" w:eastAsia="Arial" w:hAnsi="Arial"/>
                <w:sz w:val="14"/>
                <w:szCs w:val="14"/>
                <w:b w:val="1"/>
                <w:bCs w:val="1"/>
                <w:color w:val="auto"/>
                <w:w w:val="98"/>
              </w:rPr>
              <w:t>Year Ended</w:t>
            </w:r>
          </w:p>
        </w:tc>
      </w:tr>
      <w:tr>
        <w:trPr>
          <w:trHeight w:val="171"/>
        </w:trPr>
        <w:tc>
          <w:tcPr>
            <w:tcW w:w="49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80" w:type="dxa"/>
            <w:vAlign w:val="bottom"/>
            <w:gridSpan w:val="3"/>
          </w:tcPr>
          <w:p>
            <w:pPr>
              <w:ind w:left="40"/>
              <w:spacing w:after="0"/>
              <w:rPr>
                <w:sz w:val="20"/>
                <w:szCs w:val="20"/>
                <w:color w:val="auto"/>
              </w:rPr>
            </w:pPr>
            <w:r>
              <w:rPr>
                <w:rFonts w:ascii="Arial" w:cs="Arial" w:eastAsia="Arial" w:hAnsi="Arial"/>
                <w:sz w:val="14"/>
                <w:szCs w:val="14"/>
                <w:b w:val="1"/>
                <w:bCs w:val="1"/>
                <w:color w:val="auto"/>
              </w:rPr>
              <w:t>June 30, 2021</w:t>
            </w:r>
          </w:p>
        </w:tc>
        <w:tc>
          <w:tcPr>
            <w:tcW w:w="1260" w:type="dxa"/>
            <w:vAlign w:val="bottom"/>
            <w:gridSpan w:val="3"/>
          </w:tcPr>
          <w:p>
            <w:pPr>
              <w:spacing w:after="0"/>
              <w:rPr>
                <w:sz w:val="20"/>
                <w:szCs w:val="20"/>
                <w:color w:val="auto"/>
              </w:rPr>
            </w:pPr>
            <w:r>
              <w:rPr>
                <w:rFonts w:ascii="Arial" w:cs="Arial" w:eastAsia="Arial" w:hAnsi="Arial"/>
                <w:sz w:val="14"/>
                <w:szCs w:val="14"/>
                <w:b w:val="1"/>
                <w:bCs w:val="1"/>
                <w:color w:val="auto"/>
                <w:w w:val="98"/>
              </w:rPr>
              <w:t>December 31, 2020</w:t>
            </w:r>
          </w:p>
        </w:tc>
      </w:tr>
      <w:tr>
        <w:trPr>
          <w:trHeight w:val="209"/>
        </w:trPr>
        <w:tc>
          <w:tcPr>
            <w:tcW w:w="49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Balance at beginning of period</w:t>
            </w:r>
          </w:p>
        </w:tc>
        <w:tc>
          <w:tcPr>
            <w:tcW w:w="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tcBorders>
            <w:shd w:val="clear" w:color="auto" w:fill="CCEEFF"/>
          </w:tcPr>
          <w:p>
            <w:pPr>
              <w:jc w:val="center"/>
              <w:ind w:left="454"/>
              <w:spacing w:after="0"/>
              <w:rPr>
                <w:sz w:val="20"/>
                <w:szCs w:val="20"/>
                <w:color w:val="auto"/>
              </w:rPr>
            </w:pPr>
            <w:r>
              <w:rPr>
                <w:rFonts w:ascii="Arial" w:cs="Arial" w:eastAsia="Arial" w:hAnsi="Arial"/>
                <w:sz w:val="18"/>
                <w:szCs w:val="18"/>
                <w:color w:val="auto"/>
                <w:w w:val="87"/>
              </w:rPr>
              <w:t>61,200</w:t>
            </w:r>
          </w:p>
        </w:tc>
        <w:tc>
          <w:tcPr>
            <w:tcW w:w="20" w:type="dxa"/>
            <w:vAlign w:val="bottom"/>
            <w:tcBorders>
              <w:top w:val="single" w:sz="8" w:color="CCEEFF"/>
            </w:tcBorders>
            <w:shd w:val="clear" w:color="auto" w:fill="CCEEFF"/>
          </w:tcPr>
          <w:p>
            <w:pPr>
              <w:spacing w:after="0"/>
              <w:rPr>
                <w:sz w:val="18"/>
                <w:szCs w:val="18"/>
                <w:color w:val="auto"/>
              </w:rPr>
            </w:pPr>
          </w:p>
        </w:tc>
        <w:tc>
          <w:tcPr>
            <w:tcW w:w="10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46,125</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4900" w:type="dxa"/>
            <w:vAlign w:val="bottom"/>
          </w:tcPr>
          <w:p>
            <w:pPr>
              <w:spacing w:after="0"/>
              <w:rPr>
                <w:sz w:val="20"/>
                <w:szCs w:val="20"/>
                <w:color w:val="auto"/>
              </w:rPr>
            </w:pPr>
            <w:r>
              <w:rPr>
                <w:rFonts w:ascii="Arial" w:cs="Arial" w:eastAsia="Arial" w:hAnsi="Arial"/>
                <w:sz w:val="18"/>
                <w:szCs w:val="18"/>
                <w:color w:val="auto"/>
              </w:rPr>
              <w:t>Revenue recognized</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80" w:type="dxa"/>
            <w:vAlign w:val="bottom"/>
            <w:gridSpan w:val="3"/>
          </w:tcPr>
          <w:p>
            <w:pPr>
              <w:jc w:val="center"/>
              <w:ind w:right="520"/>
              <w:spacing w:after="0"/>
              <w:rPr>
                <w:sz w:val="20"/>
                <w:szCs w:val="20"/>
                <w:color w:val="auto"/>
              </w:rPr>
            </w:pPr>
            <w:r>
              <w:rPr>
                <w:rFonts w:ascii="Arial" w:cs="Arial" w:eastAsia="Arial" w:hAnsi="Arial"/>
                <w:sz w:val="18"/>
                <w:szCs w:val="18"/>
                <w:color w:val="auto"/>
                <w:w w:val="89"/>
              </w:rPr>
              <w:t>(76,757)</w:t>
            </w:r>
          </w:p>
        </w:tc>
        <w:tc>
          <w:tcPr>
            <w:tcW w:w="160" w:type="dxa"/>
            <w:vAlign w:val="bottom"/>
          </w:tcPr>
          <w:p>
            <w:pPr>
              <w:spacing w:after="0"/>
              <w:rPr>
                <w:sz w:val="18"/>
                <w:szCs w:val="18"/>
                <w:color w:val="auto"/>
              </w:rPr>
            </w:pPr>
          </w:p>
        </w:tc>
        <w:tc>
          <w:tcPr>
            <w:tcW w:w="1100" w:type="dxa"/>
            <w:vAlign w:val="bottom"/>
            <w:gridSpan w:val="2"/>
          </w:tcPr>
          <w:p>
            <w:pPr>
              <w:jc w:val="right"/>
              <w:ind w:right="40"/>
              <w:spacing w:after="0"/>
              <w:rPr>
                <w:sz w:val="20"/>
                <w:szCs w:val="20"/>
                <w:color w:val="auto"/>
              </w:rPr>
            </w:pPr>
            <w:r>
              <w:rPr>
                <w:rFonts w:ascii="Arial" w:cs="Arial" w:eastAsia="Arial" w:hAnsi="Arial"/>
                <w:sz w:val="18"/>
                <w:szCs w:val="18"/>
                <w:color w:val="auto"/>
              </w:rPr>
              <w:t>(118,317)</w:t>
            </w:r>
          </w:p>
        </w:tc>
      </w:tr>
      <w:tr>
        <w:trPr>
          <w:trHeight w:val="216"/>
        </w:trPr>
        <w:tc>
          <w:tcPr>
            <w:tcW w:w="4900" w:type="dxa"/>
            <w:vAlign w:val="bottom"/>
            <w:shd w:val="clear" w:color="auto" w:fill="CCEEFF"/>
          </w:tcPr>
          <w:p>
            <w:pPr>
              <w:spacing w:after="0"/>
              <w:rPr>
                <w:sz w:val="20"/>
                <w:szCs w:val="20"/>
                <w:color w:val="auto"/>
              </w:rPr>
            </w:pPr>
            <w:r>
              <w:rPr>
                <w:rFonts w:ascii="Arial" w:cs="Arial" w:eastAsia="Arial" w:hAnsi="Arial"/>
                <w:sz w:val="18"/>
                <w:szCs w:val="18"/>
                <w:color w:val="auto"/>
              </w:rPr>
              <w:t>Additional amounts deferred</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center"/>
              <w:ind w:left="434"/>
              <w:spacing w:after="0"/>
              <w:rPr>
                <w:sz w:val="20"/>
                <w:szCs w:val="20"/>
                <w:color w:val="auto"/>
              </w:rPr>
            </w:pPr>
            <w:r>
              <w:rPr>
                <w:rFonts w:ascii="Arial" w:cs="Arial" w:eastAsia="Arial" w:hAnsi="Arial"/>
                <w:sz w:val="18"/>
                <w:szCs w:val="18"/>
                <w:color w:val="auto"/>
                <w:w w:val="87"/>
              </w:rPr>
              <w:t>84,678</w:t>
            </w:r>
          </w:p>
        </w:tc>
        <w:tc>
          <w:tcPr>
            <w:tcW w:w="10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133,392</w:t>
            </w:r>
          </w:p>
        </w:tc>
      </w:tr>
      <w:tr>
        <w:trPr>
          <w:trHeight w:val="223"/>
        </w:trPr>
        <w:tc>
          <w:tcPr>
            <w:tcW w:w="4900" w:type="dxa"/>
            <w:vAlign w:val="bottom"/>
          </w:tcPr>
          <w:p>
            <w:pPr>
              <w:ind w:left="360"/>
              <w:spacing w:after="0"/>
              <w:rPr>
                <w:sz w:val="20"/>
                <w:szCs w:val="20"/>
                <w:color w:val="auto"/>
              </w:rPr>
            </w:pPr>
            <w:r>
              <w:rPr>
                <w:rFonts w:ascii="Arial" w:cs="Arial" w:eastAsia="Arial" w:hAnsi="Arial"/>
                <w:sz w:val="18"/>
                <w:szCs w:val="18"/>
                <w:color w:val="auto"/>
              </w:rPr>
              <w:t>Balance at end of period</w:t>
            </w:r>
          </w:p>
        </w:tc>
        <w:tc>
          <w:tcPr>
            <w:tcW w:w="20" w:type="dxa"/>
            <w:vAlign w:val="bottom"/>
            <w:tcBorders>
              <w:bottom w:val="single" w:sz="8" w:color="auto"/>
            </w:tcBorders>
          </w:tcPr>
          <w:p>
            <w:pPr>
              <w:spacing w:after="0"/>
              <w:rPr>
                <w:sz w:val="19"/>
                <w:szCs w:val="19"/>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bottom w:val="single" w:sz="8" w:color="auto"/>
            </w:tcBorders>
          </w:tcPr>
          <w:p>
            <w:pPr>
              <w:jc w:val="center"/>
              <w:ind w:left="454"/>
              <w:spacing w:after="0"/>
              <w:rPr>
                <w:sz w:val="20"/>
                <w:szCs w:val="20"/>
                <w:color w:val="auto"/>
              </w:rPr>
            </w:pPr>
            <w:r>
              <w:rPr>
                <w:rFonts w:ascii="Arial" w:cs="Arial" w:eastAsia="Arial" w:hAnsi="Arial"/>
                <w:sz w:val="18"/>
                <w:szCs w:val="18"/>
                <w:color w:val="auto"/>
                <w:w w:val="87"/>
              </w:rPr>
              <w:t>69,121</w:t>
            </w:r>
          </w:p>
        </w:tc>
        <w:tc>
          <w:tcPr>
            <w:tcW w:w="20" w:type="dxa"/>
            <w:vAlign w:val="bottom"/>
            <w:tcBorders>
              <w:bottom w:val="single" w:sz="8" w:color="auto"/>
            </w:tcBorders>
          </w:tcPr>
          <w:p>
            <w:pPr>
              <w:spacing w:after="0"/>
              <w:rPr>
                <w:sz w:val="19"/>
                <w:szCs w:val="19"/>
                <w:color w:val="auto"/>
              </w:rPr>
            </w:pPr>
          </w:p>
        </w:tc>
        <w:tc>
          <w:tcPr>
            <w:tcW w:w="1040" w:type="dxa"/>
            <w:vAlign w:val="bottom"/>
          </w:tcPr>
          <w:p>
            <w:pPr>
              <w:spacing w:after="0"/>
              <w:rPr>
                <w:sz w:val="19"/>
                <w:szCs w:val="19"/>
                <w:color w:val="auto"/>
              </w:rPr>
            </w:pPr>
          </w:p>
        </w:tc>
        <w:tc>
          <w:tcPr>
            <w:tcW w:w="16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61,200</w:t>
            </w:r>
          </w:p>
        </w:tc>
        <w:tc>
          <w:tcPr>
            <w:tcW w:w="100" w:type="dxa"/>
            <w:vAlign w:val="bottom"/>
          </w:tcPr>
          <w:p>
            <w:pPr>
              <w:spacing w:after="0"/>
              <w:rPr>
                <w:sz w:val="19"/>
                <w:szCs w:val="19"/>
                <w:color w:val="auto"/>
              </w:rPr>
            </w:pPr>
          </w:p>
        </w:tc>
      </w:tr>
      <w:tr>
        <w:trPr>
          <w:trHeight w:val="20"/>
        </w:trPr>
        <w:tc>
          <w:tcPr>
            <w:tcW w:w="49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323"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Remaining Performance Obligations</w:t>
      </w:r>
    </w:p>
    <w:p>
      <w:pPr>
        <w:spacing w:after="0" w:line="117" w:lineRule="exact"/>
        <w:rPr>
          <w:sz w:val="20"/>
          <w:szCs w:val="20"/>
          <w:color w:val="auto"/>
        </w:rPr>
      </w:pPr>
    </w:p>
    <w:p>
      <w:pPr>
        <w:ind w:left="120" w:firstLine="440"/>
        <w:spacing w:after="0" w:line="272" w:lineRule="auto"/>
        <w:rPr>
          <w:sz w:val="20"/>
          <w:szCs w:val="20"/>
          <w:color w:val="auto"/>
        </w:rPr>
      </w:pPr>
      <w:r>
        <w:rPr>
          <w:rFonts w:ascii="Arial" w:cs="Arial" w:eastAsia="Arial" w:hAnsi="Arial"/>
          <w:sz w:val="17"/>
          <w:szCs w:val="17"/>
          <w:color w:val="auto"/>
        </w:rPr>
        <w:t>ASC 606 introduced the concept of transaction price allocated to the remaining performance obligations of a contract, which is different than unbilled deferred revenue under ASC 605. Transaction price allocated to remaining performance obligations represents contracted revenue that has not yet been recognized, which includes unearned revenue and unbilled amounts that will be recognized as revenue in future periods. Transaction price allocated to remaining performance obligations is influenced by several factors, including seasonality, the timing of renewals, and disparate contract terms. Revenue allocated to remaining performance obligations represents contracted revenue that has not yet been recognized, which includes unearned revenue and backlog. The Company’s backlog represents installment billings for periods beyond the current billing cycle. The majority of the Company’s noncurrent remaining performance obligations will be recognized in the next 13 to 36 months.</w:t>
      </w:r>
    </w:p>
    <w:p>
      <w:pPr>
        <w:spacing w:after="0" w:line="110" w:lineRule="exact"/>
        <w:rPr>
          <w:sz w:val="20"/>
          <w:szCs w:val="20"/>
          <w:color w:val="auto"/>
        </w:rPr>
      </w:pPr>
    </w:p>
    <w:p>
      <w:pPr>
        <w:jc w:val="center"/>
        <w:ind w:right="-379"/>
        <w:spacing w:after="0"/>
        <w:rPr>
          <w:sz w:val="20"/>
          <w:szCs w:val="20"/>
          <w:color w:val="auto"/>
        </w:rPr>
      </w:pPr>
      <w:r>
        <w:rPr>
          <w:rFonts w:ascii="Arial" w:cs="Arial" w:eastAsia="Arial" w:hAnsi="Arial"/>
          <w:sz w:val="18"/>
          <w:szCs w:val="18"/>
          <w:color w:val="auto"/>
        </w:rPr>
        <w:t>F-65</w:t>
      </w:r>
    </w:p>
    <w:p>
      <w:pPr>
        <w:sectPr>
          <w:pgSz w:w="11900" w:h="16838" w:orient="portrait"/>
          <w:cols w:equalWidth="0" w:num="1">
            <w:col w:w="11100"/>
          </w:cols>
          <w:pgMar w:left="320" w:top="459" w:right="479" w:bottom="1440" w:gutter="0" w:footer="0" w:header="0"/>
        </w:sectPr>
      </w:pPr>
    </w:p>
    <w:bookmarkStart w:id="271" w:name="page272"/>
    <w:bookmarkEnd w:id="27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50" name="Picture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pic:cNvPicPr>
                      <a:picLocks noChangeAspect="1" noChangeArrowheads="1"/>
                    </pic:cNvPicPr>
                  </pic:nvPicPr>
                  <pic:blipFill>
                    <a:blip r:embed="rId357">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539"/>
        <w:spacing w:after="0"/>
        <w:rPr>
          <w:sz w:val="20"/>
          <w:szCs w:val="20"/>
          <w:color w:val="auto"/>
        </w:rPr>
      </w:pPr>
      <w:r>
        <w:rPr>
          <w:rFonts w:ascii="Arial" w:cs="Arial" w:eastAsia="Arial" w:hAnsi="Arial"/>
          <w:sz w:val="18"/>
          <w:szCs w:val="18"/>
          <w:b w:val="1"/>
          <w:bCs w:val="1"/>
          <w:color w:val="auto"/>
        </w:rPr>
        <w:t>Confidential Treatment Requested by Definitive Healthcare Corp.</w:t>
      </w:r>
    </w:p>
    <w:p>
      <w:pPr>
        <w:spacing w:after="0" w:line="27" w:lineRule="exact"/>
        <w:rPr>
          <w:sz w:val="20"/>
          <w:szCs w:val="20"/>
          <w:color w:val="auto"/>
        </w:rPr>
      </w:pPr>
    </w:p>
    <w:p>
      <w:pPr>
        <w:jc w:val="center"/>
        <w:ind w:right="-539"/>
        <w:spacing w:after="0"/>
        <w:rPr>
          <w:sz w:val="20"/>
          <w:szCs w:val="20"/>
          <w:color w:val="auto"/>
        </w:rPr>
      </w:pPr>
      <w:r>
        <w:rPr>
          <w:rFonts w:ascii="Arial" w:cs="Arial" w:eastAsia="Arial" w:hAnsi="Arial"/>
          <w:sz w:val="18"/>
          <w:szCs w:val="18"/>
          <w:b w:val="1"/>
          <w:bCs w:val="1"/>
          <w:color w:val="auto"/>
        </w:rPr>
        <w:t>Pursuant to 17 C.F.R. Section 200.83</w:t>
      </w:r>
    </w:p>
    <w:p>
      <w:pPr>
        <w:spacing w:after="0" w:line="143"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remaining performance obligations consisted of the following (in thousands):</w:t>
      </w:r>
    </w:p>
    <w:p>
      <w:pPr>
        <w:spacing w:after="0" w:line="244" w:lineRule="exact"/>
        <w:rPr>
          <w:sz w:val="20"/>
          <w:szCs w:val="20"/>
          <w:color w:val="auto"/>
        </w:rPr>
      </w:pPr>
    </w:p>
    <w:tbl>
      <w:tblPr>
        <w:tblLayout w:type="fixed"/>
        <w:tblInd w:w="1440" w:type="dxa"/>
        <w:tblCellMar>
          <w:top w:w="0" w:type="dxa"/>
          <w:left w:w="0" w:type="dxa"/>
          <w:bottom w:w="0" w:type="dxa"/>
          <w:right w:w="0" w:type="dxa"/>
        </w:tblCellMar>
      </w:tblPr>
      <w:tr>
        <w:trPr>
          <w:trHeight w:val="171"/>
        </w:trPr>
        <w:tc>
          <w:tcPr>
            <w:tcW w:w="5420" w:type="dxa"/>
            <w:vAlign w:val="bottom"/>
          </w:tcPr>
          <w:p>
            <w:pPr>
              <w:spacing w:after="0"/>
              <w:rPr>
                <w:sz w:val="14"/>
                <w:szCs w:val="14"/>
                <w:color w:val="auto"/>
              </w:rPr>
            </w:pPr>
          </w:p>
        </w:tc>
        <w:tc>
          <w:tcPr>
            <w:tcW w:w="1740" w:type="dxa"/>
            <w:vAlign w:val="bottom"/>
            <w:gridSpan w:val="3"/>
          </w:tcPr>
          <w:p>
            <w:pPr>
              <w:spacing w:after="0"/>
              <w:rPr>
                <w:sz w:val="20"/>
                <w:szCs w:val="20"/>
                <w:color w:val="auto"/>
              </w:rPr>
            </w:pPr>
            <w:r>
              <w:rPr>
                <w:rFonts w:ascii="Arial" w:cs="Arial" w:eastAsia="Arial" w:hAnsi="Arial"/>
                <w:sz w:val="14"/>
                <w:szCs w:val="14"/>
                <w:b w:val="1"/>
                <w:bCs w:val="1"/>
                <w:color w:val="auto"/>
              </w:rPr>
              <w:t>June 30, 2021</w:t>
            </w:r>
          </w:p>
        </w:tc>
        <w:tc>
          <w:tcPr>
            <w:tcW w:w="1200" w:type="dxa"/>
            <w:vAlign w:val="bottom"/>
            <w:gridSpan w:val="3"/>
          </w:tcPr>
          <w:p>
            <w:pPr>
              <w:spacing w:after="0"/>
              <w:rPr>
                <w:sz w:val="20"/>
                <w:szCs w:val="20"/>
                <w:color w:val="auto"/>
              </w:rPr>
            </w:pPr>
            <w:r>
              <w:rPr>
                <w:rFonts w:ascii="Arial" w:cs="Arial" w:eastAsia="Arial" w:hAnsi="Arial"/>
                <w:sz w:val="14"/>
                <w:szCs w:val="14"/>
                <w:b w:val="1"/>
                <w:bCs w:val="1"/>
                <w:color w:val="auto"/>
                <w:w w:val="93"/>
              </w:rPr>
              <w:t>December 31, 2020</w:t>
            </w:r>
          </w:p>
        </w:tc>
      </w:tr>
      <w:tr>
        <w:trPr>
          <w:trHeight w:val="209"/>
        </w:trPr>
        <w:tc>
          <w:tcPr>
            <w:tcW w:w="54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Current</w:t>
            </w:r>
          </w:p>
        </w:tc>
        <w:tc>
          <w:tcPr>
            <w:tcW w:w="1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123,756</w:t>
            </w:r>
          </w:p>
        </w:tc>
        <w:tc>
          <w:tcPr>
            <w:tcW w:w="90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114,284</w:t>
            </w:r>
          </w:p>
        </w:tc>
        <w:tc>
          <w:tcPr>
            <w:tcW w:w="40" w:type="dxa"/>
            <w:vAlign w:val="bottom"/>
            <w:tcBorders>
              <w:top w:val="single" w:sz="8" w:color="CCEEFF"/>
            </w:tcBorders>
            <w:shd w:val="clear" w:color="auto" w:fill="CCEEFF"/>
          </w:tcPr>
          <w:p>
            <w:pPr>
              <w:spacing w:after="0"/>
              <w:rPr>
                <w:sz w:val="18"/>
                <w:szCs w:val="18"/>
                <w:color w:val="auto"/>
              </w:rPr>
            </w:pPr>
          </w:p>
        </w:tc>
      </w:tr>
      <w:tr>
        <w:trPr>
          <w:trHeight w:val="216"/>
        </w:trPr>
        <w:tc>
          <w:tcPr>
            <w:tcW w:w="5420" w:type="dxa"/>
            <w:vAlign w:val="bottom"/>
          </w:tcPr>
          <w:p>
            <w:pPr>
              <w:spacing w:after="0"/>
              <w:rPr>
                <w:sz w:val="20"/>
                <w:szCs w:val="20"/>
                <w:color w:val="auto"/>
              </w:rPr>
            </w:pPr>
            <w:r>
              <w:rPr>
                <w:rFonts w:ascii="Arial" w:cs="Arial" w:eastAsia="Arial" w:hAnsi="Arial"/>
                <w:sz w:val="18"/>
                <w:szCs w:val="18"/>
                <w:color w:val="auto"/>
              </w:rPr>
              <w:t>Noncurrent</w:t>
            </w:r>
          </w:p>
        </w:tc>
        <w:tc>
          <w:tcPr>
            <w:tcW w:w="180" w:type="dxa"/>
            <w:vAlign w:val="bottom"/>
          </w:tcPr>
          <w:p>
            <w:pPr>
              <w:spacing w:after="0"/>
              <w:rPr>
                <w:sz w:val="18"/>
                <w:szCs w:val="18"/>
                <w:color w:val="auto"/>
              </w:rPr>
            </w:pPr>
          </w:p>
        </w:tc>
        <w:tc>
          <w:tcPr>
            <w:tcW w:w="1560" w:type="dxa"/>
            <w:vAlign w:val="bottom"/>
            <w:gridSpan w:val="2"/>
          </w:tcPr>
          <w:p>
            <w:pPr>
              <w:jc w:val="right"/>
              <w:ind w:right="900"/>
              <w:spacing w:after="0"/>
              <w:rPr>
                <w:sz w:val="20"/>
                <w:szCs w:val="20"/>
                <w:color w:val="auto"/>
              </w:rPr>
            </w:pPr>
            <w:r>
              <w:rPr>
                <w:rFonts w:ascii="Arial" w:cs="Arial" w:eastAsia="Arial" w:hAnsi="Arial"/>
                <w:sz w:val="18"/>
                <w:szCs w:val="18"/>
                <w:color w:val="auto"/>
              </w:rPr>
              <w:t>71,468</w:t>
            </w:r>
          </w:p>
        </w:tc>
        <w:tc>
          <w:tcPr>
            <w:tcW w:w="320" w:type="dxa"/>
            <w:vAlign w:val="bottom"/>
          </w:tcPr>
          <w:p>
            <w:pPr>
              <w:spacing w:after="0"/>
              <w:rPr>
                <w:sz w:val="18"/>
                <w:szCs w:val="18"/>
                <w:color w:val="auto"/>
              </w:rPr>
            </w:pPr>
          </w:p>
        </w:tc>
        <w:tc>
          <w:tcPr>
            <w:tcW w:w="880" w:type="dxa"/>
            <w:vAlign w:val="bottom"/>
            <w:gridSpan w:val="2"/>
          </w:tcPr>
          <w:p>
            <w:pPr>
              <w:jc w:val="right"/>
              <w:ind w:right="40"/>
              <w:spacing w:after="0"/>
              <w:rPr>
                <w:sz w:val="20"/>
                <w:szCs w:val="20"/>
                <w:color w:val="auto"/>
              </w:rPr>
            </w:pPr>
            <w:r>
              <w:rPr>
                <w:rFonts w:ascii="Arial" w:cs="Arial" w:eastAsia="Arial" w:hAnsi="Arial"/>
                <w:sz w:val="18"/>
                <w:szCs w:val="18"/>
                <w:color w:val="auto"/>
              </w:rPr>
              <w:t>58,250</w:t>
            </w:r>
          </w:p>
        </w:tc>
      </w:tr>
      <w:tr>
        <w:trPr>
          <w:trHeight w:val="27"/>
        </w:trPr>
        <w:tc>
          <w:tcPr>
            <w:tcW w:w="542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900" w:type="dxa"/>
            <w:vAlign w:val="bottom"/>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r>
      <w:tr>
        <w:trPr>
          <w:trHeight w:val="216"/>
        </w:trPr>
        <w:tc>
          <w:tcPr>
            <w:tcW w:w="542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560" w:type="dxa"/>
            <w:vAlign w:val="bottom"/>
            <w:gridSpan w:val="2"/>
            <w:shd w:val="clear" w:color="auto" w:fill="CCEEFF"/>
          </w:tcPr>
          <w:p>
            <w:pPr>
              <w:jc w:val="right"/>
              <w:ind w:right="900"/>
              <w:spacing w:after="0"/>
              <w:rPr>
                <w:sz w:val="20"/>
                <w:szCs w:val="20"/>
                <w:color w:val="auto"/>
              </w:rPr>
            </w:pPr>
            <w:r>
              <w:rPr>
                <w:rFonts w:ascii="Arial" w:cs="Arial" w:eastAsia="Arial" w:hAnsi="Arial"/>
                <w:sz w:val="18"/>
                <w:szCs w:val="18"/>
                <w:color w:val="auto"/>
                <w:w w:val="98"/>
              </w:rPr>
              <w:t>195,224</w:t>
            </w:r>
          </w:p>
        </w:tc>
        <w:tc>
          <w:tcPr>
            <w:tcW w:w="3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172,534</w:t>
            </w:r>
          </w:p>
        </w:tc>
      </w:tr>
      <w:tr>
        <w:trPr>
          <w:trHeight w:val="20"/>
        </w:trPr>
        <w:tc>
          <w:tcPr>
            <w:tcW w:w="54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364" w:lineRule="exact"/>
        <w:rPr>
          <w:sz w:val="20"/>
          <w:szCs w:val="20"/>
          <w:color w:val="auto"/>
        </w:rPr>
      </w:pPr>
    </w:p>
    <w:p>
      <w:pPr>
        <w:ind w:left="540" w:hanging="424"/>
        <w:spacing w:after="0"/>
        <w:tabs>
          <w:tab w:leader="none" w:pos="540" w:val="left"/>
        </w:tabs>
        <w:numPr>
          <w:ilvl w:val="0"/>
          <w:numId w:val="207"/>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Accounts Receivable</w:t>
      </w:r>
    </w:p>
    <w:p>
      <w:pPr>
        <w:spacing w:after="0" w:line="117" w:lineRule="exact"/>
        <w:rPr>
          <w:rFonts w:ascii="Arial" w:cs="Arial" w:eastAsia="Arial" w:hAnsi="Arial"/>
          <w:sz w:val="18"/>
          <w:szCs w:val="18"/>
          <w:b w:val="1"/>
          <w:bCs w:val="1"/>
          <w:color w:val="auto"/>
        </w:rPr>
      </w:pPr>
    </w:p>
    <w:p>
      <w:pPr>
        <w:ind w:left="560"/>
        <w:spacing w:after="0"/>
        <w:rPr>
          <w:rFonts w:ascii="Arial" w:cs="Arial" w:eastAsia="Arial" w:hAnsi="Arial"/>
          <w:sz w:val="18"/>
          <w:szCs w:val="18"/>
          <w:b w:val="1"/>
          <w:bCs w:val="1"/>
          <w:color w:val="auto"/>
        </w:rPr>
      </w:pPr>
      <w:r>
        <w:rPr>
          <w:rFonts w:ascii="Arial" w:cs="Arial" w:eastAsia="Arial" w:hAnsi="Arial"/>
          <w:sz w:val="18"/>
          <w:szCs w:val="18"/>
          <w:color w:val="auto"/>
        </w:rPr>
        <w:t>Accounts receivable consisted of the following (in thousands):</w:t>
      </w:r>
    </w:p>
    <w:p>
      <w:pPr>
        <w:spacing w:after="0" w:line="244"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2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45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800" w:type="dxa"/>
            <w:vAlign w:val="bottom"/>
            <w:gridSpan w:val="3"/>
          </w:tcPr>
          <w:p>
            <w:pPr>
              <w:jc w:val="right"/>
              <w:ind w:right="980"/>
              <w:spacing w:after="0"/>
              <w:rPr>
                <w:sz w:val="20"/>
                <w:szCs w:val="20"/>
                <w:color w:val="auto"/>
              </w:rPr>
            </w:pPr>
            <w:r>
              <w:rPr>
                <w:rFonts w:ascii="Arial" w:cs="Arial" w:eastAsia="Arial" w:hAnsi="Arial"/>
                <w:sz w:val="14"/>
                <w:szCs w:val="14"/>
                <w:b w:val="1"/>
                <w:bCs w:val="1"/>
                <w:color w:val="auto"/>
                <w:w w:val="87"/>
              </w:rPr>
              <w:t>June 30, 2021</w:t>
            </w:r>
          </w:p>
        </w:tc>
        <w:tc>
          <w:tcPr>
            <w:tcW w:w="1260" w:type="dxa"/>
            <w:vAlign w:val="bottom"/>
            <w:gridSpan w:val="3"/>
          </w:tcPr>
          <w:p>
            <w:pPr>
              <w:spacing w:after="0"/>
              <w:rPr>
                <w:sz w:val="20"/>
                <w:szCs w:val="20"/>
                <w:color w:val="auto"/>
              </w:rPr>
            </w:pPr>
            <w:r>
              <w:rPr>
                <w:rFonts w:ascii="Arial" w:cs="Arial" w:eastAsia="Arial" w:hAnsi="Arial"/>
                <w:sz w:val="14"/>
                <w:szCs w:val="14"/>
                <w:b w:val="1"/>
                <w:bCs w:val="1"/>
                <w:color w:val="auto"/>
                <w:w w:val="98"/>
              </w:rPr>
              <w:t>December 31, 2020</w:t>
            </w:r>
          </w:p>
        </w:tc>
        <w:tc>
          <w:tcPr>
            <w:tcW w:w="0" w:type="dxa"/>
            <w:vAlign w:val="bottom"/>
          </w:tcPr>
          <w:p>
            <w:pPr>
              <w:spacing w:after="0"/>
              <w:rPr>
                <w:sz w:val="1"/>
                <w:szCs w:val="1"/>
                <w:color w:val="auto"/>
              </w:rPr>
            </w:pPr>
          </w:p>
        </w:tc>
      </w:tr>
      <w:tr>
        <w:trPr>
          <w:trHeight w:val="209"/>
        </w:trPr>
        <w:tc>
          <w:tcPr>
            <w:tcW w:w="2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45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Accounts receivable</w:t>
            </w:r>
          </w:p>
        </w:tc>
        <w:tc>
          <w:tcPr>
            <w:tcW w:w="740" w:type="dxa"/>
            <w:vAlign w:val="bottom"/>
            <w:tcBorders>
              <w:top w:val="single" w:sz="8" w:color="CCEEFF"/>
              <w:right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60"/>
              <w:spacing w:after="0"/>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23,309</w:t>
            </w:r>
          </w:p>
        </w:tc>
        <w:tc>
          <w:tcPr>
            <w:tcW w:w="1020" w:type="dxa"/>
            <w:vAlign w:val="bottom"/>
            <w:tcBorders>
              <w:top w:val="single" w:sz="8" w:color="CCEEFF"/>
              <w:left w:val="single" w:sz="8" w:color="CCEEFF"/>
            </w:tcBorders>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33,635</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4560" w:type="dxa"/>
            <w:vAlign w:val="bottom"/>
          </w:tcPr>
          <w:p>
            <w:pPr>
              <w:spacing w:after="0"/>
              <w:rPr>
                <w:sz w:val="20"/>
                <w:szCs w:val="20"/>
                <w:color w:val="auto"/>
              </w:rPr>
            </w:pPr>
            <w:r>
              <w:rPr>
                <w:rFonts w:ascii="Arial" w:cs="Arial" w:eastAsia="Arial" w:hAnsi="Arial"/>
                <w:sz w:val="18"/>
                <w:szCs w:val="18"/>
                <w:color w:val="auto"/>
              </w:rPr>
              <w:t>Unbilled receivable</w:t>
            </w:r>
          </w:p>
        </w:tc>
        <w:tc>
          <w:tcPr>
            <w:tcW w:w="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0" w:type="dxa"/>
            <w:vAlign w:val="bottom"/>
            <w:gridSpan w:val="2"/>
          </w:tcPr>
          <w:p>
            <w:pPr>
              <w:jc w:val="right"/>
              <w:ind w:right="980"/>
              <w:spacing w:after="0"/>
              <w:rPr>
                <w:sz w:val="20"/>
                <w:szCs w:val="20"/>
                <w:color w:val="auto"/>
              </w:rPr>
            </w:pPr>
            <w:r>
              <w:rPr>
                <w:rFonts w:ascii="Arial" w:cs="Arial" w:eastAsia="Arial" w:hAnsi="Arial"/>
                <w:sz w:val="18"/>
                <w:szCs w:val="18"/>
                <w:color w:val="auto"/>
              </w:rPr>
              <w:t>236</w:t>
            </w:r>
          </w:p>
        </w:tc>
        <w:tc>
          <w:tcPr>
            <w:tcW w:w="38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329</w:t>
            </w:r>
          </w:p>
        </w:tc>
        <w:tc>
          <w:tcPr>
            <w:tcW w:w="0" w:type="dxa"/>
            <w:vAlign w:val="bottom"/>
          </w:tcPr>
          <w:p>
            <w:pPr>
              <w:spacing w:after="0"/>
              <w:rPr>
                <w:sz w:val="1"/>
                <w:szCs w:val="1"/>
                <w:color w:val="auto"/>
              </w:rPr>
            </w:pPr>
          </w:p>
        </w:tc>
      </w:tr>
      <w:tr>
        <w:trPr>
          <w:trHeight w:val="27"/>
        </w:trPr>
        <w:tc>
          <w:tcPr>
            <w:tcW w:w="2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4560" w:type="dxa"/>
            <w:vAlign w:val="bottom"/>
          </w:tcPr>
          <w:p>
            <w:pPr>
              <w:spacing w:after="0"/>
              <w:rPr>
                <w:sz w:val="2"/>
                <w:szCs w:val="2"/>
                <w:color w:val="auto"/>
              </w:rPr>
            </w:pPr>
          </w:p>
        </w:tc>
        <w:tc>
          <w:tcPr>
            <w:tcW w:w="74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020" w:type="dxa"/>
            <w:vAlign w:val="bottom"/>
            <w:tcBorders>
              <w:left w:val="single" w:sz="8" w:color="auto"/>
            </w:tcBorders>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45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600" w:type="dxa"/>
            <w:vAlign w:val="bottom"/>
            <w:gridSpan w:val="2"/>
            <w:shd w:val="clear" w:color="auto" w:fill="CCEEFF"/>
          </w:tcPr>
          <w:p>
            <w:pPr>
              <w:jc w:val="right"/>
              <w:ind w:right="980"/>
              <w:spacing w:after="0"/>
              <w:rPr>
                <w:sz w:val="20"/>
                <w:szCs w:val="20"/>
                <w:color w:val="auto"/>
              </w:rPr>
            </w:pPr>
            <w:r>
              <w:rPr>
                <w:rFonts w:ascii="Arial" w:cs="Arial" w:eastAsia="Arial" w:hAnsi="Arial"/>
                <w:sz w:val="18"/>
                <w:szCs w:val="18"/>
                <w:color w:val="auto"/>
              </w:rPr>
              <w:t>23,545</w:t>
            </w:r>
          </w:p>
        </w:tc>
        <w:tc>
          <w:tcPr>
            <w:tcW w:w="3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33,964</w:t>
            </w:r>
          </w:p>
        </w:tc>
        <w:tc>
          <w:tcPr>
            <w:tcW w:w="0" w:type="dxa"/>
            <w:vAlign w:val="bottom"/>
          </w:tcPr>
          <w:p>
            <w:pPr>
              <w:spacing w:after="0"/>
              <w:rPr>
                <w:sz w:val="1"/>
                <w:szCs w:val="1"/>
                <w:color w:val="auto"/>
              </w:rPr>
            </w:pPr>
          </w:p>
        </w:tc>
      </w:tr>
      <w:tr>
        <w:trPr>
          <w:trHeight w:val="216"/>
        </w:trPr>
        <w:tc>
          <w:tcPr>
            <w:tcW w:w="2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4560" w:type="dxa"/>
            <w:vAlign w:val="bottom"/>
          </w:tcPr>
          <w:p>
            <w:pPr>
              <w:ind w:left="360"/>
              <w:spacing w:after="0"/>
              <w:rPr>
                <w:sz w:val="20"/>
                <w:szCs w:val="20"/>
                <w:color w:val="auto"/>
              </w:rPr>
            </w:pPr>
            <w:r>
              <w:rPr>
                <w:rFonts w:ascii="Arial" w:cs="Arial" w:eastAsia="Arial" w:hAnsi="Arial"/>
                <w:sz w:val="18"/>
                <w:szCs w:val="18"/>
                <w:color w:val="auto"/>
              </w:rPr>
              <w:t>Less: allowance for doubtful accounts</w:t>
            </w:r>
          </w:p>
        </w:tc>
        <w:tc>
          <w:tcPr>
            <w:tcW w:w="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0" w:type="dxa"/>
            <w:vAlign w:val="bottom"/>
            <w:gridSpan w:val="2"/>
          </w:tcPr>
          <w:p>
            <w:pPr>
              <w:jc w:val="right"/>
              <w:ind w:right="920"/>
              <w:spacing w:after="0"/>
              <w:rPr>
                <w:sz w:val="20"/>
                <w:szCs w:val="20"/>
                <w:color w:val="auto"/>
              </w:rPr>
            </w:pPr>
            <w:r>
              <w:rPr>
                <w:rFonts w:ascii="Arial" w:cs="Arial" w:eastAsia="Arial" w:hAnsi="Arial"/>
                <w:sz w:val="18"/>
                <w:szCs w:val="18"/>
                <w:color w:val="auto"/>
              </w:rPr>
              <w:t>(727)</w:t>
            </w:r>
          </w:p>
        </w:tc>
        <w:tc>
          <w:tcPr>
            <w:tcW w:w="380" w:type="dxa"/>
            <w:vAlign w:val="bottom"/>
          </w:tcPr>
          <w:p>
            <w:pPr>
              <w:spacing w:after="0"/>
              <w:rPr>
                <w:sz w:val="18"/>
                <w:szCs w:val="18"/>
                <w:color w:val="auto"/>
              </w:rPr>
            </w:pPr>
          </w:p>
        </w:tc>
        <w:tc>
          <w:tcPr>
            <w:tcW w:w="880" w:type="dxa"/>
            <w:vAlign w:val="bottom"/>
            <w:gridSpan w:val="2"/>
          </w:tcPr>
          <w:p>
            <w:pPr>
              <w:jc w:val="right"/>
              <w:ind w:right="40"/>
              <w:spacing w:after="0"/>
              <w:rPr>
                <w:sz w:val="20"/>
                <w:szCs w:val="20"/>
                <w:color w:val="auto"/>
              </w:rPr>
            </w:pPr>
            <w:r>
              <w:rPr>
                <w:rFonts w:ascii="Arial" w:cs="Arial" w:eastAsia="Arial" w:hAnsi="Arial"/>
                <w:sz w:val="18"/>
                <w:szCs w:val="18"/>
                <w:color w:val="auto"/>
              </w:rPr>
              <w:t>(856)</w:t>
            </w:r>
          </w:p>
        </w:tc>
        <w:tc>
          <w:tcPr>
            <w:tcW w:w="0" w:type="dxa"/>
            <w:vAlign w:val="bottom"/>
          </w:tcPr>
          <w:p>
            <w:pPr>
              <w:spacing w:after="0"/>
              <w:rPr>
                <w:sz w:val="1"/>
                <w:szCs w:val="1"/>
                <w:color w:val="auto"/>
              </w:rPr>
            </w:pPr>
          </w:p>
        </w:tc>
      </w:tr>
      <w:tr>
        <w:trPr>
          <w:trHeight w:val="27"/>
        </w:trPr>
        <w:tc>
          <w:tcPr>
            <w:tcW w:w="2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4560" w:type="dxa"/>
            <w:vAlign w:val="bottom"/>
          </w:tcPr>
          <w:p>
            <w:pPr>
              <w:spacing w:after="0"/>
              <w:rPr>
                <w:sz w:val="2"/>
                <w:szCs w:val="2"/>
                <w:color w:val="auto"/>
              </w:rPr>
            </w:pPr>
          </w:p>
        </w:tc>
        <w:tc>
          <w:tcPr>
            <w:tcW w:w="74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020" w:type="dxa"/>
            <w:vAlign w:val="bottom"/>
            <w:tcBorders>
              <w:left w:val="single" w:sz="8" w:color="auto"/>
            </w:tcBorders>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4560" w:type="dxa"/>
            <w:vAlign w:val="bottom"/>
            <w:shd w:val="clear" w:color="auto" w:fill="CCEEFF"/>
          </w:tcPr>
          <w:p>
            <w:pPr>
              <w:spacing w:after="0"/>
              <w:rPr>
                <w:sz w:val="20"/>
                <w:szCs w:val="20"/>
                <w:color w:val="auto"/>
              </w:rPr>
            </w:pPr>
            <w:r>
              <w:rPr>
                <w:rFonts w:ascii="Arial" w:cs="Arial" w:eastAsia="Arial" w:hAnsi="Arial"/>
                <w:sz w:val="18"/>
                <w:szCs w:val="18"/>
                <w:color w:val="auto"/>
              </w:rPr>
              <w:t>Accounts receivable, net</w:t>
            </w:r>
          </w:p>
        </w:tc>
        <w:tc>
          <w:tcPr>
            <w:tcW w:w="9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600" w:type="dxa"/>
            <w:vAlign w:val="bottom"/>
            <w:gridSpan w:val="2"/>
            <w:shd w:val="clear" w:color="auto" w:fill="CCEEFF"/>
          </w:tcPr>
          <w:p>
            <w:pPr>
              <w:jc w:val="right"/>
              <w:ind w:right="980"/>
              <w:spacing w:after="0"/>
              <w:rPr>
                <w:sz w:val="20"/>
                <w:szCs w:val="20"/>
                <w:color w:val="auto"/>
              </w:rPr>
            </w:pPr>
            <w:r>
              <w:rPr>
                <w:rFonts w:ascii="Arial" w:cs="Arial" w:eastAsia="Arial" w:hAnsi="Arial"/>
                <w:sz w:val="18"/>
                <w:szCs w:val="18"/>
                <w:color w:val="auto"/>
              </w:rPr>
              <w:t>22,818</w:t>
            </w:r>
          </w:p>
        </w:tc>
        <w:tc>
          <w:tcPr>
            <w:tcW w:w="3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33,108</w:t>
            </w:r>
          </w:p>
        </w:tc>
        <w:tc>
          <w:tcPr>
            <w:tcW w:w="0" w:type="dxa"/>
            <w:vAlign w:val="bottom"/>
          </w:tcPr>
          <w:p>
            <w:pPr>
              <w:spacing w:after="0"/>
              <w:rPr>
                <w:sz w:val="1"/>
                <w:szCs w:val="1"/>
                <w:color w:val="auto"/>
              </w:rPr>
            </w:pPr>
          </w:p>
        </w:tc>
      </w:tr>
      <w:tr>
        <w:trPr>
          <w:trHeight w:val="20"/>
        </w:trPr>
        <w:tc>
          <w:tcPr>
            <w:tcW w:w="280" w:type="dxa"/>
            <w:vAlign w:val="bottom"/>
            <w:vMerge w:val="restart"/>
          </w:tcPr>
          <w:p>
            <w:pPr>
              <w:jc w:val="right"/>
              <w:ind w:right="50"/>
              <w:spacing w:after="0"/>
              <w:rPr>
                <w:sz w:val="20"/>
                <w:szCs w:val="20"/>
                <w:color w:val="auto"/>
              </w:rPr>
            </w:pPr>
            <w:r>
              <w:rPr>
                <w:rFonts w:ascii="Arial" w:cs="Arial" w:eastAsia="Arial" w:hAnsi="Arial"/>
                <w:sz w:val="18"/>
                <w:szCs w:val="18"/>
                <w:b w:val="1"/>
                <w:bCs w:val="1"/>
                <w:color w:val="auto"/>
                <w:w w:val="79"/>
              </w:rPr>
              <w:t>6.</w:t>
            </w:r>
          </w:p>
        </w:tc>
        <w:tc>
          <w:tcPr>
            <w:tcW w:w="5600" w:type="dxa"/>
            <w:vAlign w:val="bottom"/>
            <w:gridSpan w:val="2"/>
            <w:vMerge w:val="restart"/>
          </w:tcPr>
          <w:p>
            <w:pPr>
              <w:ind w:left="140"/>
              <w:spacing w:after="0"/>
              <w:rPr>
                <w:sz w:val="20"/>
                <w:szCs w:val="20"/>
                <w:color w:val="auto"/>
              </w:rPr>
            </w:pPr>
            <w:r>
              <w:rPr>
                <w:rFonts w:ascii="Arial" w:cs="Arial" w:eastAsia="Arial" w:hAnsi="Arial"/>
                <w:sz w:val="18"/>
                <w:szCs w:val="18"/>
                <w:b w:val="1"/>
                <w:bCs w:val="1"/>
                <w:i w:val="1"/>
                <w:iCs w:val="1"/>
                <w:color w:val="auto"/>
              </w:rPr>
              <w:t>Property and Equipment</w:t>
            </w:r>
          </w:p>
        </w:tc>
        <w:tc>
          <w:tcPr>
            <w:tcW w:w="7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74"/>
        </w:trPr>
        <w:tc>
          <w:tcPr>
            <w:tcW w:w="280" w:type="dxa"/>
            <w:vAlign w:val="bottom"/>
            <w:vMerge w:val="continue"/>
          </w:tcPr>
          <w:p>
            <w:pPr>
              <w:spacing w:after="0"/>
              <w:rPr>
                <w:sz w:val="24"/>
                <w:szCs w:val="24"/>
                <w:color w:val="auto"/>
              </w:rPr>
            </w:pPr>
          </w:p>
        </w:tc>
        <w:tc>
          <w:tcPr>
            <w:tcW w:w="5600" w:type="dxa"/>
            <w:vAlign w:val="bottom"/>
            <w:gridSpan w:val="2"/>
            <w:vMerge w:val="continue"/>
          </w:tcPr>
          <w:p>
            <w:pPr>
              <w:spacing w:after="0"/>
              <w:rPr>
                <w:sz w:val="24"/>
                <w:szCs w:val="24"/>
                <w:color w:val="auto"/>
              </w:rPr>
            </w:pPr>
          </w:p>
        </w:tc>
        <w:tc>
          <w:tcPr>
            <w:tcW w:w="7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280" w:type="dxa"/>
            <w:vAlign w:val="bottom"/>
          </w:tcPr>
          <w:p>
            <w:pPr>
              <w:spacing w:after="0"/>
              <w:rPr>
                <w:sz w:val="24"/>
                <w:szCs w:val="24"/>
                <w:color w:val="auto"/>
              </w:rPr>
            </w:pPr>
          </w:p>
        </w:tc>
        <w:tc>
          <w:tcPr>
            <w:tcW w:w="5600" w:type="dxa"/>
            <w:vAlign w:val="bottom"/>
            <w:gridSpan w:val="2"/>
          </w:tcPr>
          <w:p>
            <w:pPr>
              <w:ind w:left="160"/>
              <w:spacing w:after="0"/>
              <w:rPr>
                <w:sz w:val="20"/>
                <w:szCs w:val="20"/>
                <w:color w:val="auto"/>
              </w:rPr>
            </w:pPr>
            <w:r>
              <w:rPr>
                <w:rFonts w:ascii="Arial" w:cs="Arial" w:eastAsia="Arial" w:hAnsi="Arial"/>
                <w:sz w:val="18"/>
                <w:szCs w:val="18"/>
                <w:color w:val="auto"/>
              </w:rPr>
              <w:t>Property and equipment consisted of the following (in thousands):</w:t>
            </w:r>
          </w:p>
        </w:tc>
        <w:tc>
          <w:tcPr>
            <w:tcW w:w="7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2"/>
        </w:trPr>
        <w:tc>
          <w:tcPr>
            <w:tcW w:w="2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45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800" w:type="dxa"/>
            <w:vAlign w:val="bottom"/>
            <w:gridSpan w:val="3"/>
          </w:tcPr>
          <w:p>
            <w:pPr>
              <w:jc w:val="right"/>
              <w:ind w:right="1020"/>
              <w:spacing w:after="0"/>
              <w:rPr>
                <w:sz w:val="20"/>
                <w:szCs w:val="20"/>
                <w:color w:val="auto"/>
              </w:rPr>
            </w:pPr>
            <w:r>
              <w:rPr>
                <w:rFonts w:ascii="Arial" w:cs="Arial" w:eastAsia="Arial" w:hAnsi="Arial"/>
                <w:sz w:val="14"/>
                <w:szCs w:val="14"/>
                <w:b w:val="1"/>
                <w:bCs w:val="1"/>
                <w:color w:val="auto"/>
                <w:w w:val="83"/>
              </w:rPr>
              <w:t>June 30, 2021</w:t>
            </w:r>
          </w:p>
        </w:tc>
        <w:tc>
          <w:tcPr>
            <w:tcW w:w="1260" w:type="dxa"/>
            <w:vAlign w:val="bottom"/>
            <w:gridSpan w:val="3"/>
          </w:tcPr>
          <w:p>
            <w:pPr>
              <w:spacing w:after="0"/>
              <w:rPr>
                <w:sz w:val="20"/>
                <w:szCs w:val="20"/>
                <w:color w:val="auto"/>
              </w:rPr>
            </w:pPr>
            <w:r>
              <w:rPr>
                <w:rFonts w:ascii="Arial" w:cs="Arial" w:eastAsia="Arial" w:hAnsi="Arial"/>
                <w:sz w:val="14"/>
                <w:szCs w:val="14"/>
                <w:b w:val="1"/>
                <w:bCs w:val="1"/>
                <w:color w:val="auto"/>
                <w:w w:val="98"/>
              </w:rPr>
              <w:t>December 31, 2020</w:t>
            </w:r>
          </w:p>
        </w:tc>
        <w:tc>
          <w:tcPr>
            <w:tcW w:w="0" w:type="dxa"/>
            <w:vAlign w:val="bottom"/>
          </w:tcPr>
          <w:p>
            <w:pPr>
              <w:spacing w:after="0"/>
              <w:rPr>
                <w:sz w:val="1"/>
                <w:szCs w:val="1"/>
                <w:color w:val="auto"/>
              </w:rPr>
            </w:pPr>
          </w:p>
        </w:tc>
      </w:tr>
      <w:tr>
        <w:trPr>
          <w:trHeight w:val="209"/>
        </w:trPr>
        <w:tc>
          <w:tcPr>
            <w:tcW w:w="2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45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Computers and software</w:t>
            </w:r>
          </w:p>
        </w:tc>
        <w:tc>
          <w:tcPr>
            <w:tcW w:w="740" w:type="dxa"/>
            <w:vAlign w:val="bottom"/>
            <w:tcBorders>
              <w:top w:val="single" w:sz="8" w:color="CCEEFF"/>
              <w:right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100"/>
              <w:spacing w:after="0"/>
              <w:rPr>
                <w:sz w:val="20"/>
                <w:szCs w:val="20"/>
                <w:color w:val="auto"/>
              </w:rPr>
            </w:pPr>
            <w:r>
              <w:rPr>
                <w:rFonts w:ascii="Arial" w:cs="Arial" w:eastAsia="Arial" w:hAnsi="Arial"/>
                <w:sz w:val="4"/>
                <w:szCs w:val="4"/>
                <w:color w:val="auto"/>
                <w:w w:val="87"/>
              </w:rPr>
              <w:t>$</w:t>
            </w: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3,853</w:t>
            </w:r>
          </w:p>
        </w:tc>
        <w:tc>
          <w:tcPr>
            <w:tcW w:w="1020" w:type="dxa"/>
            <w:vAlign w:val="bottom"/>
            <w:tcBorders>
              <w:top w:val="single" w:sz="8" w:color="CCEEFF"/>
              <w:left w:val="single" w:sz="8" w:color="CCEEFF"/>
            </w:tcBorders>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3,141</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4560" w:type="dxa"/>
            <w:vAlign w:val="bottom"/>
          </w:tcPr>
          <w:p>
            <w:pPr>
              <w:spacing w:after="0"/>
              <w:rPr>
                <w:sz w:val="20"/>
                <w:szCs w:val="20"/>
                <w:color w:val="auto"/>
              </w:rPr>
            </w:pPr>
            <w:r>
              <w:rPr>
                <w:rFonts w:ascii="Arial" w:cs="Arial" w:eastAsia="Arial" w:hAnsi="Arial"/>
                <w:sz w:val="18"/>
                <w:szCs w:val="18"/>
                <w:color w:val="auto"/>
              </w:rPr>
              <w:t>Furniture and equipment</w:t>
            </w:r>
          </w:p>
        </w:tc>
        <w:tc>
          <w:tcPr>
            <w:tcW w:w="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1,115</w:t>
            </w:r>
          </w:p>
        </w:tc>
        <w:tc>
          <w:tcPr>
            <w:tcW w:w="10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1,109</w:t>
            </w:r>
          </w:p>
        </w:tc>
        <w:tc>
          <w:tcPr>
            <w:tcW w:w="0" w:type="dxa"/>
            <w:vAlign w:val="bottom"/>
          </w:tcPr>
          <w:p>
            <w:pPr>
              <w:spacing w:after="0"/>
              <w:rPr>
                <w:sz w:val="1"/>
                <w:szCs w:val="1"/>
                <w:color w:val="auto"/>
              </w:rPr>
            </w:pPr>
          </w:p>
        </w:tc>
      </w:tr>
      <w:tr>
        <w:trPr>
          <w:trHeight w:val="216"/>
        </w:trPr>
        <w:tc>
          <w:tcPr>
            <w:tcW w:w="2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4560" w:type="dxa"/>
            <w:vAlign w:val="bottom"/>
            <w:shd w:val="clear" w:color="auto" w:fill="CCEEFF"/>
          </w:tcPr>
          <w:p>
            <w:pPr>
              <w:spacing w:after="0"/>
              <w:rPr>
                <w:sz w:val="20"/>
                <w:szCs w:val="20"/>
                <w:color w:val="auto"/>
              </w:rPr>
            </w:pPr>
            <w:r>
              <w:rPr>
                <w:rFonts w:ascii="Arial" w:cs="Arial" w:eastAsia="Arial" w:hAnsi="Arial"/>
                <w:sz w:val="18"/>
                <w:szCs w:val="18"/>
                <w:color w:val="auto"/>
              </w:rPr>
              <w:t>Leasehold improvements</w:t>
            </w:r>
          </w:p>
        </w:tc>
        <w:tc>
          <w:tcPr>
            <w:tcW w:w="740" w:type="dxa"/>
            <w:vAlign w:val="bottom"/>
            <w:tcBorders>
              <w:right w:val="single" w:sz="8" w:color="CCEEFF"/>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1,796</w:t>
            </w:r>
          </w:p>
        </w:tc>
        <w:tc>
          <w:tcPr>
            <w:tcW w:w="1020" w:type="dxa"/>
            <w:vAlign w:val="bottom"/>
            <w:tcBorders>
              <w:left w:val="single" w:sz="8" w:color="CCEEFF"/>
            </w:tcBorders>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1,781</w:t>
            </w:r>
          </w:p>
        </w:tc>
        <w:tc>
          <w:tcPr>
            <w:tcW w:w="0" w:type="dxa"/>
            <w:vAlign w:val="bottom"/>
          </w:tcPr>
          <w:p>
            <w:pPr>
              <w:spacing w:after="0"/>
              <w:rPr>
                <w:sz w:val="1"/>
                <w:szCs w:val="1"/>
                <w:color w:val="auto"/>
              </w:rPr>
            </w:pPr>
          </w:p>
        </w:tc>
      </w:tr>
      <w:tr>
        <w:trPr>
          <w:trHeight w:val="216"/>
        </w:trPr>
        <w:tc>
          <w:tcPr>
            <w:tcW w:w="2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4560" w:type="dxa"/>
            <w:vAlign w:val="bottom"/>
          </w:tcPr>
          <w:p>
            <w:pPr>
              <w:spacing w:after="0"/>
              <w:rPr>
                <w:sz w:val="20"/>
                <w:szCs w:val="20"/>
                <w:color w:val="auto"/>
              </w:rPr>
            </w:pPr>
            <w:r>
              <w:rPr>
                <w:rFonts w:ascii="Arial" w:cs="Arial" w:eastAsia="Arial" w:hAnsi="Arial"/>
                <w:sz w:val="18"/>
                <w:szCs w:val="18"/>
                <w:color w:val="auto"/>
              </w:rPr>
              <w:t>Construction in process</w:t>
            </w:r>
          </w:p>
        </w:tc>
        <w:tc>
          <w:tcPr>
            <w:tcW w:w="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1,228</w:t>
            </w:r>
          </w:p>
        </w:tc>
        <w:tc>
          <w:tcPr>
            <w:tcW w:w="10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128</w:t>
            </w:r>
          </w:p>
        </w:tc>
        <w:tc>
          <w:tcPr>
            <w:tcW w:w="0" w:type="dxa"/>
            <w:vAlign w:val="bottom"/>
          </w:tcPr>
          <w:p>
            <w:pPr>
              <w:spacing w:after="0"/>
              <w:rPr>
                <w:sz w:val="1"/>
                <w:szCs w:val="1"/>
                <w:color w:val="auto"/>
              </w:rPr>
            </w:pPr>
          </w:p>
        </w:tc>
      </w:tr>
      <w:tr>
        <w:trPr>
          <w:trHeight w:val="27"/>
        </w:trPr>
        <w:tc>
          <w:tcPr>
            <w:tcW w:w="2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4560" w:type="dxa"/>
            <w:vAlign w:val="bottom"/>
          </w:tcPr>
          <w:p>
            <w:pPr>
              <w:spacing w:after="0"/>
              <w:rPr>
                <w:sz w:val="2"/>
                <w:szCs w:val="2"/>
                <w:color w:val="auto"/>
              </w:rPr>
            </w:pPr>
          </w:p>
        </w:tc>
        <w:tc>
          <w:tcPr>
            <w:tcW w:w="740" w:type="dxa"/>
            <w:vAlign w:val="bottom"/>
            <w:tcBorders>
              <w:right w:val="single" w:sz="8" w:color="auto"/>
            </w:tcBorders>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020" w:type="dxa"/>
            <w:vAlign w:val="bottom"/>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45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7,992</w:t>
            </w:r>
          </w:p>
        </w:tc>
        <w:tc>
          <w:tcPr>
            <w:tcW w:w="1020" w:type="dxa"/>
            <w:vAlign w:val="bottom"/>
            <w:tcBorders>
              <w:left w:val="single" w:sz="8" w:color="CCEEFF"/>
            </w:tcBorders>
            <w:shd w:val="clear" w:color="auto" w:fill="CCEEFF"/>
          </w:tcPr>
          <w:p>
            <w:pPr>
              <w:spacing w:after="0"/>
              <w:rPr>
                <w:sz w:val="18"/>
                <w:szCs w:val="18"/>
                <w:color w:val="auto"/>
              </w:rPr>
            </w:pPr>
          </w:p>
        </w:tc>
        <w:tc>
          <w:tcPr>
            <w:tcW w:w="3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6,159</w:t>
            </w:r>
          </w:p>
        </w:tc>
        <w:tc>
          <w:tcPr>
            <w:tcW w:w="0" w:type="dxa"/>
            <w:vAlign w:val="bottom"/>
          </w:tcPr>
          <w:p>
            <w:pPr>
              <w:spacing w:after="0"/>
              <w:rPr>
                <w:sz w:val="1"/>
                <w:szCs w:val="1"/>
                <w:color w:val="auto"/>
              </w:rPr>
            </w:pPr>
          </w:p>
        </w:tc>
      </w:tr>
      <w:tr>
        <w:trPr>
          <w:trHeight w:val="216"/>
        </w:trPr>
        <w:tc>
          <w:tcPr>
            <w:tcW w:w="2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4560" w:type="dxa"/>
            <w:vAlign w:val="bottom"/>
          </w:tcPr>
          <w:p>
            <w:pPr>
              <w:ind w:left="360"/>
              <w:spacing w:after="0"/>
              <w:rPr>
                <w:sz w:val="20"/>
                <w:szCs w:val="20"/>
                <w:color w:val="auto"/>
              </w:rPr>
            </w:pPr>
            <w:r>
              <w:rPr>
                <w:rFonts w:ascii="Arial" w:cs="Arial" w:eastAsia="Arial" w:hAnsi="Arial"/>
                <w:sz w:val="18"/>
                <w:szCs w:val="18"/>
                <w:color w:val="auto"/>
              </w:rPr>
              <w:t>Less: accumulated depreciation and amortization</w:t>
            </w:r>
          </w:p>
        </w:tc>
        <w:tc>
          <w:tcPr>
            <w:tcW w:w="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0" w:type="dxa"/>
            <w:vAlign w:val="bottom"/>
            <w:gridSpan w:val="2"/>
          </w:tcPr>
          <w:p>
            <w:pPr>
              <w:jc w:val="right"/>
              <w:ind w:right="960"/>
              <w:spacing w:after="0"/>
              <w:rPr>
                <w:sz w:val="20"/>
                <w:szCs w:val="20"/>
                <w:color w:val="auto"/>
              </w:rPr>
            </w:pPr>
            <w:r>
              <w:rPr>
                <w:rFonts w:ascii="Arial" w:cs="Arial" w:eastAsia="Arial" w:hAnsi="Arial"/>
                <w:sz w:val="18"/>
                <w:szCs w:val="18"/>
                <w:color w:val="auto"/>
              </w:rPr>
              <w:t>(3,652)</w:t>
            </w:r>
          </w:p>
        </w:tc>
        <w:tc>
          <w:tcPr>
            <w:tcW w:w="380" w:type="dxa"/>
            <w:vAlign w:val="bottom"/>
          </w:tcPr>
          <w:p>
            <w:pPr>
              <w:spacing w:after="0"/>
              <w:rPr>
                <w:sz w:val="18"/>
                <w:szCs w:val="18"/>
                <w:color w:val="auto"/>
              </w:rPr>
            </w:pPr>
          </w:p>
        </w:tc>
        <w:tc>
          <w:tcPr>
            <w:tcW w:w="880" w:type="dxa"/>
            <w:vAlign w:val="bottom"/>
            <w:gridSpan w:val="2"/>
          </w:tcPr>
          <w:p>
            <w:pPr>
              <w:jc w:val="right"/>
              <w:ind w:right="40"/>
              <w:spacing w:after="0"/>
              <w:rPr>
                <w:sz w:val="20"/>
                <w:szCs w:val="20"/>
                <w:color w:val="auto"/>
              </w:rPr>
            </w:pPr>
            <w:r>
              <w:rPr>
                <w:rFonts w:ascii="Arial" w:cs="Arial" w:eastAsia="Arial" w:hAnsi="Arial"/>
                <w:sz w:val="18"/>
                <w:szCs w:val="18"/>
                <w:color w:val="auto"/>
              </w:rPr>
              <w:t>(2,911)</w:t>
            </w:r>
          </w:p>
        </w:tc>
        <w:tc>
          <w:tcPr>
            <w:tcW w:w="0" w:type="dxa"/>
            <w:vAlign w:val="bottom"/>
          </w:tcPr>
          <w:p>
            <w:pPr>
              <w:spacing w:after="0"/>
              <w:rPr>
                <w:sz w:val="1"/>
                <w:szCs w:val="1"/>
                <w:color w:val="auto"/>
              </w:rPr>
            </w:pPr>
          </w:p>
        </w:tc>
      </w:tr>
      <w:tr>
        <w:trPr>
          <w:trHeight w:val="27"/>
        </w:trPr>
        <w:tc>
          <w:tcPr>
            <w:tcW w:w="2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4560" w:type="dxa"/>
            <w:vAlign w:val="bottom"/>
          </w:tcPr>
          <w:p>
            <w:pPr>
              <w:spacing w:after="0"/>
              <w:rPr>
                <w:sz w:val="2"/>
                <w:szCs w:val="2"/>
                <w:color w:val="auto"/>
              </w:rPr>
            </w:pPr>
          </w:p>
        </w:tc>
        <w:tc>
          <w:tcPr>
            <w:tcW w:w="740" w:type="dxa"/>
            <w:vAlign w:val="bottom"/>
            <w:tcBorders>
              <w:right w:val="single" w:sz="8" w:color="auto"/>
            </w:tcBorders>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020" w:type="dxa"/>
            <w:vAlign w:val="bottom"/>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4560" w:type="dxa"/>
            <w:vAlign w:val="bottom"/>
            <w:shd w:val="clear" w:color="auto" w:fill="CCEEFF"/>
          </w:tcPr>
          <w:p>
            <w:pPr>
              <w:spacing w:after="0"/>
              <w:rPr>
                <w:sz w:val="20"/>
                <w:szCs w:val="20"/>
                <w:color w:val="auto"/>
              </w:rPr>
            </w:pPr>
            <w:r>
              <w:rPr>
                <w:rFonts w:ascii="Arial" w:cs="Arial" w:eastAsia="Arial" w:hAnsi="Arial"/>
                <w:sz w:val="18"/>
                <w:szCs w:val="18"/>
                <w:color w:val="auto"/>
              </w:rPr>
              <w:t>Property and equipment, net</w:t>
            </w: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4,340</w:t>
            </w:r>
          </w:p>
        </w:tc>
        <w:tc>
          <w:tcPr>
            <w:tcW w:w="1020" w:type="dxa"/>
            <w:vAlign w:val="bottom"/>
            <w:tcBorders>
              <w:left w:val="single" w:sz="8" w:color="CCEEFF"/>
            </w:tcBorders>
            <w:shd w:val="clear" w:color="auto" w:fill="CCEEFF"/>
          </w:tcPr>
          <w:p>
            <w:pPr>
              <w:spacing w:after="0"/>
              <w:rPr>
                <w:sz w:val="18"/>
                <w:szCs w:val="18"/>
                <w:color w:val="auto"/>
              </w:rPr>
            </w:pPr>
          </w:p>
        </w:tc>
        <w:tc>
          <w:tcPr>
            <w:tcW w:w="3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3,248</w:t>
            </w:r>
          </w:p>
        </w:tc>
        <w:tc>
          <w:tcPr>
            <w:tcW w:w="0" w:type="dxa"/>
            <w:vAlign w:val="bottom"/>
          </w:tcPr>
          <w:p>
            <w:pPr>
              <w:spacing w:after="0"/>
              <w:rPr>
                <w:sz w:val="1"/>
                <w:szCs w:val="1"/>
                <w:color w:val="auto"/>
              </w:rPr>
            </w:pPr>
          </w:p>
        </w:tc>
      </w:tr>
      <w:tr>
        <w:trPr>
          <w:trHeight w:val="20"/>
        </w:trPr>
        <w:tc>
          <w:tcPr>
            <w:tcW w:w="2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45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left="560"/>
        <w:spacing w:after="0"/>
        <w:rPr>
          <w:sz w:val="20"/>
          <w:szCs w:val="20"/>
          <w:color w:val="auto"/>
        </w:rPr>
      </w:pPr>
      <w:r>
        <w:rPr>
          <w:rFonts w:ascii="Arial" w:cs="Arial" w:eastAsia="Arial" w:hAnsi="Arial"/>
          <w:sz w:val="16"/>
          <w:szCs w:val="16"/>
          <w:color w:val="auto"/>
        </w:rPr>
        <w:t>Depreciation and amortization expense was $0.7 million and $0.5 million for the six months ended June 30, 2021 and 2020, respectively.</w:t>
      </w:r>
    </w:p>
    <w:p>
      <w:pPr>
        <w:spacing w:after="0" w:line="397" w:lineRule="exact"/>
        <w:rPr>
          <w:sz w:val="20"/>
          <w:szCs w:val="20"/>
          <w:color w:val="auto"/>
        </w:rPr>
      </w:pPr>
    </w:p>
    <w:p>
      <w:pPr>
        <w:ind w:left="540" w:hanging="424"/>
        <w:spacing w:after="0"/>
        <w:tabs>
          <w:tab w:leader="none" w:pos="540" w:val="left"/>
        </w:tabs>
        <w:numPr>
          <w:ilvl w:val="0"/>
          <w:numId w:val="208"/>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Goodwill and Intangible Assets</w:t>
      </w:r>
    </w:p>
    <w:p>
      <w:pPr>
        <w:spacing w:after="0" w:line="117" w:lineRule="exact"/>
        <w:rPr>
          <w:rFonts w:ascii="Arial" w:cs="Arial" w:eastAsia="Arial" w:hAnsi="Arial"/>
          <w:sz w:val="18"/>
          <w:szCs w:val="18"/>
          <w:b w:val="1"/>
          <w:bCs w:val="1"/>
          <w:color w:val="auto"/>
        </w:rPr>
      </w:pPr>
    </w:p>
    <w:p>
      <w:pPr>
        <w:ind w:left="560"/>
        <w:spacing w:after="0"/>
        <w:rPr>
          <w:rFonts w:ascii="Arial" w:cs="Arial" w:eastAsia="Arial" w:hAnsi="Arial"/>
          <w:sz w:val="18"/>
          <w:szCs w:val="18"/>
          <w:b w:val="1"/>
          <w:bCs w:val="1"/>
          <w:color w:val="auto"/>
        </w:rPr>
      </w:pPr>
      <w:r>
        <w:rPr>
          <w:rFonts w:ascii="Arial" w:cs="Arial" w:eastAsia="Arial" w:hAnsi="Arial"/>
          <w:sz w:val="16"/>
          <w:szCs w:val="16"/>
          <w:color w:val="auto"/>
        </w:rPr>
        <w:t>The carrying amounts of goodwill and intangible assets, as of June 30, 2021 and December 31, 2020, consist of the following (in thousands):</w:t>
      </w:r>
    </w:p>
    <w:p>
      <w:pPr>
        <w:spacing w:after="0" w:line="267" w:lineRule="exact"/>
        <w:rPr>
          <w:sz w:val="20"/>
          <w:szCs w:val="20"/>
          <w:color w:val="auto"/>
        </w:rPr>
      </w:pPr>
    </w:p>
    <w:tbl>
      <w:tblPr>
        <w:tblLayout w:type="fixed"/>
        <w:tblInd w:w="1000" w:type="dxa"/>
        <w:tblCellMar>
          <w:top w:w="0" w:type="dxa"/>
          <w:left w:w="0" w:type="dxa"/>
          <w:bottom w:w="0" w:type="dxa"/>
          <w:right w:w="0" w:type="dxa"/>
        </w:tblCellMar>
      </w:tblPr>
      <w:tr>
        <w:trPr>
          <w:trHeight w:val="171"/>
        </w:trPr>
        <w:tc>
          <w:tcPr>
            <w:tcW w:w="3580" w:type="dxa"/>
            <w:vAlign w:val="bottom"/>
          </w:tcPr>
          <w:p>
            <w:pPr>
              <w:spacing w:after="0"/>
              <w:rPr>
                <w:sz w:val="14"/>
                <w:szCs w:val="14"/>
                <w:color w:val="auto"/>
              </w:rPr>
            </w:pPr>
          </w:p>
        </w:tc>
        <w:tc>
          <w:tcPr>
            <w:tcW w:w="206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spacing w:after="0"/>
              <w:rPr>
                <w:sz w:val="14"/>
                <w:szCs w:val="14"/>
                <w:color w:val="auto"/>
              </w:rPr>
            </w:pPr>
          </w:p>
        </w:tc>
        <w:tc>
          <w:tcPr>
            <w:tcW w:w="1600" w:type="dxa"/>
            <w:vAlign w:val="bottom"/>
            <w:tcBorders>
              <w:bottom w:val="single" w:sz="8" w:color="auto"/>
            </w:tcBorders>
            <w:gridSpan w:val="4"/>
          </w:tcPr>
          <w:p>
            <w:pPr>
              <w:jc w:val="right"/>
              <w:ind w:right="221"/>
              <w:spacing w:after="0"/>
              <w:rPr>
                <w:sz w:val="20"/>
                <w:szCs w:val="20"/>
                <w:color w:val="auto"/>
              </w:rPr>
            </w:pPr>
            <w:r>
              <w:rPr>
                <w:rFonts w:ascii="Arial" w:cs="Arial" w:eastAsia="Arial" w:hAnsi="Arial"/>
                <w:sz w:val="14"/>
                <w:szCs w:val="14"/>
                <w:b w:val="1"/>
                <w:bCs w:val="1"/>
                <w:color w:val="auto"/>
              </w:rPr>
              <w:t>June 30, 2021</w:t>
            </w:r>
          </w:p>
        </w:tc>
        <w:tc>
          <w:tcPr>
            <w:tcW w:w="26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r>
      <w:tr>
        <w:trPr>
          <w:trHeight w:val="123"/>
        </w:trPr>
        <w:tc>
          <w:tcPr>
            <w:tcW w:w="3580" w:type="dxa"/>
            <w:vAlign w:val="bottom"/>
          </w:tcPr>
          <w:p>
            <w:pPr>
              <w:spacing w:after="0"/>
              <w:rPr>
                <w:sz w:val="10"/>
                <w:szCs w:val="10"/>
                <w:color w:val="auto"/>
              </w:rPr>
            </w:pPr>
          </w:p>
        </w:tc>
        <w:tc>
          <w:tcPr>
            <w:tcW w:w="2060" w:type="dxa"/>
            <w:vAlign w:val="bottom"/>
          </w:tcPr>
          <w:p>
            <w:pPr>
              <w:spacing w:after="0"/>
              <w:rPr>
                <w:sz w:val="10"/>
                <w:szCs w:val="10"/>
                <w:color w:val="auto"/>
              </w:rPr>
            </w:pPr>
          </w:p>
        </w:tc>
        <w:tc>
          <w:tcPr>
            <w:tcW w:w="880" w:type="dxa"/>
            <w:vAlign w:val="bottom"/>
            <w:gridSpan w:val="2"/>
          </w:tcPr>
          <w:p>
            <w:pPr>
              <w:jc w:val="right"/>
              <w:spacing w:after="0" w:line="123" w:lineRule="exact"/>
              <w:rPr>
                <w:sz w:val="20"/>
                <w:szCs w:val="20"/>
                <w:color w:val="auto"/>
              </w:rPr>
            </w:pPr>
            <w:r>
              <w:rPr>
                <w:rFonts w:ascii="Arial" w:cs="Arial" w:eastAsia="Arial" w:hAnsi="Arial"/>
                <w:sz w:val="14"/>
                <w:szCs w:val="14"/>
                <w:color w:val="auto"/>
                <w:w w:val="91"/>
              </w:rPr>
              <w:t>Gross Carrying</w:t>
            </w:r>
          </w:p>
        </w:tc>
        <w:tc>
          <w:tcPr>
            <w:tcW w:w="1600" w:type="dxa"/>
            <w:vAlign w:val="bottom"/>
            <w:gridSpan w:val="4"/>
          </w:tcPr>
          <w:p>
            <w:pPr>
              <w:ind w:left="520"/>
              <w:spacing w:after="0" w:line="123" w:lineRule="exact"/>
              <w:rPr>
                <w:sz w:val="20"/>
                <w:szCs w:val="20"/>
                <w:color w:val="auto"/>
              </w:rPr>
            </w:pPr>
            <w:r>
              <w:rPr>
                <w:rFonts w:ascii="Arial" w:cs="Arial" w:eastAsia="Arial" w:hAnsi="Arial"/>
                <w:sz w:val="14"/>
                <w:szCs w:val="14"/>
                <w:color w:val="auto"/>
              </w:rPr>
              <w:t>Accumulated</w:t>
            </w:r>
          </w:p>
        </w:tc>
        <w:tc>
          <w:tcPr>
            <w:tcW w:w="260" w:type="dxa"/>
            <w:vAlign w:val="bottom"/>
          </w:tcPr>
          <w:p>
            <w:pPr>
              <w:spacing w:after="0"/>
              <w:rPr>
                <w:sz w:val="10"/>
                <w:szCs w:val="10"/>
                <w:color w:val="auto"/>
              </w:rPr>
            </w:pPr>
          </w:p>
        </w:tc>
        <w:tc>
          <w:tcPr>
            <w:tcW w:w="820" w:type="dxa"/>
            <w:vAlign w:val="bottom"/>
            <w:gridSpan w:val="2"/>
          </w:tcPr>
          <w:p>
            <w:pPr>
              <w:jc w:val="center"/>
              <w:spacing w:after="0" w:line="123" w:lineRule="exact"/>
              <w:rPr>
                <w:sz w:val="20"/>
                <w:szCs w:val="20"/>
                <w:color w:val="auto"/>
              </w:rPr>
            </w:pPr>
            <w:r>
              <w:rPr>
                <w:rFonts w:ascii="Arial" w:cs="Arial" w:eastAsia="Arial" w:hAnsi="Arial"/>
                <w:sz w:val="14"/>
                <w:szCs w:val="14"/>
                <w:color w:val="auto"/>
                <w:w w:val="96"/>
              </w:rPr>
              <w:t>Net Carrying</w:t>
            </w:r>
          </w:p>
        </w:tc>
        <w:tc>
          <w:tcPr>
            <w:tcW w:w="60" w:type="dxa"/>
            <w:vAlign w:val="bottom"/>
          </w:tcPr>
          <w:p>
            <w:pPr>
              <w:spacing w:after="0"/>
              <w:rPr>
                <w:sz w:val="10"/>
                <w:szCs w:val="10"/>
                <w:color w:val="auto"/>
              </w:rPr>
            </w:pPr>
          </w:p>
        </w:tc>
      </w:tr>
      <w:tr>
        <w:trPr>
          <w:trHeight w:val="167"/>
        </w:trPr>
        <w:tc>
          <w:tcPr>
            <w:tcW w:w="3580" w:type="dxa"/>
            <w:vAlign w:val="bottom"/>
          </w:tcPr>
          <w:p>
            <w:pPr>
              <w:spacing w:after="0"/>
              <w:rPr>
                <w:sz w:val="14"/>
                <w:szCs w:val="14"/>
                <w:color w:val="auto"/>
              </w:rPr>
            </w:pPr>
          </w:p>
        </w:tc>
        <w:tc>
          <w:tcPr>
            <w:tcW w:w="20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tcPr>
          <w:p>
            <w:pPr>
              <w:jc w:val="right"/>
              <w:ind w:right="112"/>
              <w:spacing w:after="0"/>
              <w:rPr>
                <w:sz w:val="20"/>
                <w:szCs w:val="20"/>
                <w:color w:val="auto"/>
              </w:rPr>
            </w:pPr>
            <w:r>
              <w:rPr>
                <w:rFonts w:ascii="Arial" w:cs="Arial" w:eastAsia="Arial" w:hAnsi="Arial"/>
                <w:sz w:val="14"/>
                <w:szCs w:val="14"/>
                <w:color w:val="auto"/>
              </w:rPr>
              <w:t>Amount</w:t>
            </w:r>
          </w:p>
        </w:tc>
        <w:tc>
          <w:tcPr>
            <w:tcW w:w="1600" w:type="dxa"/>
            <w:vAlign w:val="bottom"/>
            <w:gridSpan w:val="4"/>
          </w:tcPr>
          <w:p>
            <w:pPr>
              <w:ind w:left="520"/>
              <w:spacing w:after="0"/>
              <w:rPr>
                <w:sz w:val="20"/>
                <w:szCs w:val="20"/>
                <w:color w:val="auto"/>
              </w:rPr>
            </w:pPr>
            <w:r>
              <w:rPr>
                <w:rFonts w:ascii="Arial" w:cs="Arial" w:eastAsia="Arial" w:hAnsi="Arial"/>
                <w:sz w:val="14"/>
                <w:szCs w:val="14"/>
                <w:color w:val="auto"/>
              </w:rPr>
              <w:t>Amortization</w:t>
            </w:r>
          </w:p>
        </w:tc>
        <w:tc>
          <w:tcPr>
            <w:tcW w:w="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gridSpan w:val="2"/>
          </w:tcPr>
          <w:p>
            <w:pPr>
              <w:jc w:val="center"/>
              <w:ind w:right="160"/>
              <w:spacing w:after="0"/>
              <w:rPr>
                <w:sz w:val="20"/>
                <w:szCs w:val="20"/>
                <w:color w:val="auto"/>
              </w:rPr>
            </w:pPr>
            <w:r>
              <w:rPr>
                <w:rFonts w:ascii="Arial" w:cs="Arial" w:eastAsia="Arial" w:hAnsi="Arial"/>
                <w:sz w:val="14"/>
                <w:szCs w:val="14"/>
                <w:color w:val="auto"/>
                <w:w w:val="99"/>
              </w:rPr>
              <w:t>Amount</w:t>
            </w:r>
          </w:p>
        </w:tc>
      </w:tr>
      <w:tr>
        <w:trPr>
          <w:trHeight w:val="196"/>
        </w:trPr>
        <w:tc>
          <w:tcPr>
            <w:tcW w:w="358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Finite-lived intangible assets:</w:t>
            </w:r>
          </w:p>
        </w:tc>
        <w:tc>
          <w:tcPr>
            <w:tcW w:w="206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760" w:type="dxa"/>
            <w:vAlign w:val="bottom"/>
            <w:tcBorders>
              <w:top w:val="single" w:sz="8" w:color="auto"/>
            </w:tcBorders>
            <w:shd w:val="clear" w:color="auto" w:fill="CCEEFF"/>
          </w:tcPr>
          <w:p>
            <w:pPr>
              <w:spacing w:after="0"/>
              <w:rPr>
                <w:sz w:val="17"/>
                <w:szCs w:val="17"/>
                <w:color w:val="auto"/>
              </w:rPr>
            </w:pPr>
          </w:p>
        </w:tc>
        <w:tc>
          <w:tcPr>
            <w:tcW w:w="5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spacing w:after="0"/>
              <w:rPr>
                <w:sz w:val="17"/>
                <w:szCs w:val="17"/>
                <w:color w:val="auto"/>
              </w:rPr>
            </w:pPr>
          </w:p>
        </w:tc>
        <w:tc>
          <w:tcPr>
            <w:tcW w:w="32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740" w:type="dxa"/>
            <w:vAlign w:val="bottom"/>
            <w:tcBorders>
              <w:top w:val="single" w:sz="8" w:color="auto"/>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r>
      <w:tr>
        <w:trPr>
          <w:trHeight w:val="216"/>
        </w:trPr>
        <w:tc>
          <w:tcPr>
            <w:tcW w:w="3580" w:type="dxa"/>
            <w:vAlign w:val="bottom"/>
          </w:tcPr>
          <w:p>
            <w:pPr>
              <w:ind w:left="360"/>
              <w:spacing w:after="0"/>
              <w:rPr>
                <w:sz w:val="20"/>
                <w:szCs w:val="20"/>
                <w:color w:val="auto"/>
              </w:rPr>
            </w:pPr>
            <w:r>
              <w:rPr>
                <w:rFonts w:ascii="Arial" w:cs="Arial" w:eastAsia="Arial" w:hAnsi="Arial"/>
                <w:sz w:val="18"/>
                <w:szCs w:val="18"/>
                <w:color w:val="auto"/>
              </w:rPr>
              <w:t>Customer relationships</w:t>
            </w:r>
          </w:p>
        </w:tc>
        <w:tc>
          <w:tcPr>
            <w:tcW w:w="2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370,030</w:t>
            </w:r>
          </w:p>
        </w:tc>
        <w:tc>
          <w:tcPr>
            <w:tcW w:w="620" w:type="dxa"/>
            <w:vAlign w:val="bottom"/>
            <w:gridSpan w:val="2"/>
          </w:tcPr>
          <w:p>
            <w:pPr>
              <w:ind w:left="520"/>
              <w:spacing w:after="0"/>
              <w:rPr>
                <w:sz w:val="20"/>
                <w:szCs w:val="20"/>
                <w:color w:val="auto"/>
              </w:rPr>
            </w:pPr>
            <w:r>
              <w:rPr>
                <w:rFonts w:ascii="Arial" w:cs="Arial" w:eastAsia="Arial" w:hAnsi="Arial"/>
                <w:sz w:val="18"/>
                <w:szCs w:val="18"/>
                <w:color w:val="auto"/>
                <w:w w:val="79"/>
              </w:rPr>
              <w:t>$</w:t>
            </w:r>
          </w:p>
        </w:tc>
        <w:tc>
          <w:tcPr>
            <w:tcW w:w="980" w:type="dxa"/>
            <w:vAlign w:val="bottom"/>
            <w:gridSpan w:val="2"/>
          </w:tcPr>
          <w:p>
            <w:pPr>
              <w:jc w:val="right"/>
              <w:ind w:right="181"/>
              <w:spacing w:after="0"/>
              <w:rPr>
                <w:sz w:val="20"/>
                <w:szCs w:val="20"/>
                <w:color w:val="auto"/>
              </w:rPr>
            </w:pPr>
            <w:r>
              <w:rPr>
                <w:rFonts w:ascii="Arial" w:cs="Arial" w:eastAsia="Arial" w:hAnsi="Arial"/>
                <w:sz w:val="18"/>
                <w:szCs w:val="18"/>
                <w:color w:val="auto"/>
              </w:rPr>
              <w:t>(75,376)</w:t>
            </w: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294,654</w:t>
            </w:r>
          </w:p>
        </w:tc>
        <w:tc>
          <w:tcPr>
            <w:tcW w:w="60" w:type="dxa"/>
            <w:vAlign w:val="bottom"/>
          </w:tcPr>
          <w:p>
            <w:pPr>
              <w:spacing w:after="0"/>
              <w:rPr>
                <w:sz w:val="18"/>
                <w:szCs w:val="18"/>
                <w:color w:val="auto"/>
              </w:rPr>
            </w:pPr>
          </w:p>
        </w:tc>
      </w:tr>
      <w:tr>
        <w:trPr>
          <w:trHeight w:val="216"/>
        </w:trPr>
        <w:tc>
          <w:tcPr>
            <w:tcW w:w="35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Developed technologies</w:t>
            </w:r>
          </w:p>
        </w:tc>
        <w:tc>
          <w:tcPr>
            <w:tcW w:w="20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51,100</w:t>
            </w: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81"/>
              <w:spacing w:after="0"/>
              <w:rPr>
                <w:sz w:val="20"/>
                <w:szCs w:val="20"/>
                <w:color w:val="auto"/>
              </w:rPr>
            </w:pPr>
            <w:r>
              <w:rPr>
                <w:rFonts w:ascii="Arial" w:cs="Arial" w:eastAsia="Arial" w:hAnsi="Arial"/>
                <w:sz w:val="18"/>
                <w:szCs w:val="18"/>
                <w:color w:val="auto"/>
              </w:rPr>
              <w:t>(13,818)</w:t>
            </w: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37,282</w:t>
            </w:r>
          </w:p>
        </w:tc>
        <w:tc>
          <w:tcPr>
            <w:tcW w:w="60" w:type="dxa"/>
            <w:vAlign w:val="bottom"/>
            <w:shd w:val="clear" w:color="auto" w:fill="CCEEFF"/>
          </w:tcPr>
          <w:p>
            <w:pPr>
              <w:spacing w:after="0"/>
              <w:rPr>
                <w:sz w:val="18"/>
                <w:szCs w:val="18"/>
                <w:color w:val="auto"/>
              </w:rPr>
            </w:pPr>
          </w:p>
        </w:tc>
      </w:tr>
      <w:tr>
        <w:trPr>
          <w:trHeight w:val="216"/>
        </w:trPr>
        <w:tc>
          <w:tcPr>
            <w:tcW w:w="3580" w:type="dxa"/>
            <w:vAlign w:val="bottom"/>
          </w:tcPr>
          <w:p>
            <w:pPr>
              <w:ind w:left="360"/>
              <w:spacing w:after="0"/>
              <w:rPr>
                <w:sz w:val="20"/>
                <w:szCs w:val="20"/>
                <w:color w:val="auto"/>
              </w:rPr>
            </w:pPr>
            <w:r>
              <w:rPr>
                <w:rFonts w:ascii="Arial" w:cs="Arial" w:eastAsia="Arial" w:hAnsi="Arial"/>
                <w:sz w:val="18"/>
                <w:szCs w:val="18"/>
                <w:color w:val="auto"/>
              </w:rPr>
              <w:t>Tradenames</w:t>
            </w:r>
          </w:p>
        </w:tc>
        <w:tc>
          <w:tcPr>
            <w:tcW w:w="2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35,500</w:t>
            </w: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right"/>
              <w:ind w:right="181"/>
              <w:spacing w:after="0"/>
              <w:rPr>
                <w:sz w:val="20"/>
                <w:szCs w:val="20"/>
                <w:color w:val="auto"/>
              </w:rPr>
            </w:pPr>
            <w:r>
              <w:rPr>
                <w:rFonts w:ascii="Arial" w:cs="Arial" w:eastAsia="Arial" w:hAnsi="Arial"/>
                <w:sz w:val="18"/>
                <w:szCs w:val="18"/>
                <w:color w:val="auto"/>
              </w:rPr>
              <w:t>(3,985)</w:t>
            </w: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31,515</w:t>
            </w:r>
          </w:p>
        </w:tc>
        <w:tc>
          <w:tcPr>
            <w:tcW w:w="60" w:type="dxa"/>
            <w:vAlign w:val="bottom"/>
          </w:tcPr>
          <w:p>
            <w:pPr>
              <w:spacing w:after="0"/>
              <w:rPr>
                <w:sz w:val="18"/>
                <w:szCs w:val="18"/>
                <w:color w:val="auto"/>
              </w:rPr>
            </w:pPr>
          </w:p>
        </w:tc>
      </w:tr>
      <w:tr>
        <w:trPr>
          <w:trHeight w:val="216"/>
        </w:trPr>
        <w:tc>
          <w:tcPr>
            <w:tcW w:w="35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Data</w:t>
            </w:r>
          </w:p>
        </w:tc>
        <w:tc>
          <w:tcPr>
            <w:tcW w:w="20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42,656</w:t>
            </w: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81"/>
              <w:spacing w:after="0"/>
              <w:rPr>
                <w:sz w:val="20"/>
                <w:szCs w:val="20"/>
                <w:color w:val="auto"/>
              </w:rPr>
            </w:pPr>
            <w:r>
              <w:rPr>
                <w:rFonts w:ascii="Arial" w:cs="Arial" w:eastAsia="Arial" w:hAnsi="Arial"/>
                <w:sz w:val="18"/>
                <w:szCs w:val="18"/>
                <w:color w:val="auto"/>
              </w:rPr>
              <w:t>(24,720)</w:t>
            </w: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17,936</w:t>
            </w:r>
          </w:p>
        </w:tc>
        <w:tc>
          <w:tcPr>
            <w:tcW w:w="60" w:type="dxa"/>
            <w:vAlign w:val="bottom"/>
            <w:shd w:val="clear" w:color="auto" w:fill="CCEEFF"/>
          </w:tcPr>
          <w:p>
            <w:pPr>
              <w:spacing w:after="0"/>
              <w:rPr>
                <w:sz w:val="18"/>
                <w:szCs w:val="18"/>
                <w:color w:val="auto"/>
              </w:rPr>
            </w:pPr>
          </w:p>
        </w:tc>
      </w:tr>
      <w:tr>
        <w:trPr>
          <w:trHeight w:val="223"/>
        </w:trPr>
        <w:tc>
          <w:tcPr>
            <w:tcW w:w="3580" w:type="dxa"/>
            <w:vAlign w:val="bottom"/>
          </w:tcPr>
          <w:p>
            <w:pPr>
              <w:spacing w:after="0"/>
              <w:rPr>
                <w:sz w:val="20"/>
                <w:szCs w:val="20"/>
                <w:color w:val="auto"/>
              </w:rPr>
            </w:pPr>
            <w:r>
              <w:rPr>
                <w:rFonts w:ascii="Arial" w:cs="Arial" w:eastAsia="Arial" w:hAnsi="Arial"/>
                <w:sz w:val="18"/>
                <w:szCs w:val="18"/>
                <w:color w:val="auto"/>
              </w:rPr>
              <w:t>Total finite-lived intangible assets</w:t>
            </w:r>
          </w:p>
        </w:tc>
        <w:tc>
          <w:tcPr>
            <w:tcW w:w="206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499,286</w:t>
            </w:r>
          </w:p>
        </w:tc>
        <w:tc>
          <w:tcPr>
            <w:tcW w:w="5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3"/>
              </w:rPr>
              <w:t>(117,899)</w:t>
            </w:r>
          </w:p>
        </w:tc>
        <w:tc>
          <w:tcPr>
            <w:tcW w:w="3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381,387</w:t>
            </w:r>
          </w:p>
        </w:tc>
        <w:tc>
          <w:tcPr>
            <w:tcW w:w="60" w:type="dxa"/>
            <w:vAlign w:val="bottom"/>
          </w:tcPr>
          <w:p>
            <w:pPr>
              <w:spacing w:after="0"/>
              <w:rPr>
                <w:sz w:val="19"/>
                <w:szCs w:val="19"/>
                <w:color w:val="auto"/>
              </w:rPr>
            </w:pPr>
          </w:p>
        </w:tc>
      </w:tr>
      <w:tr>
        <w:trPr>
          <w:trHeight w:val="216"/>
        </w:trPr>
        <w:tc>
          <w:tcPr>
            <w:tcW w:w="35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Goodwill</w:t>
            </w:r>
          </w:p>
        </w:tc>
        <w:tc>
          <w:tcPr>
            <w:tcW w:w="20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1,261,444</w:t>
            </w: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21"/>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1,261,444</w:t>
            </w:r>
          </w:p>
        </w:tc>
        <w:tc>
          <w:tcPr>
            <w:tcW w:w="60" w:type="dxa"/>
            <w:vAlign w:val="bottom"/>
            <w:shd w:val="clear" w:color="auto" w:fill="CCEEFF"/>
          </w:tcPr>
          <w:p>
            <w:pPr>
              <w:spacing w:after="0"/>
              <w:rPr>
                <w:sz w:val="18"/>
                <w:szCs w:val="18"/>
                <w:color w:val="auto"/>
              </w:rPr>
            </w:pPr>
          </w:p>
        </w:tc>
      </w:tr>
      <w:tr>
        <w:trPr>
          <w:trHeight w:val="223"/>
        </w:trPr>
        <w:tc>
          <w:tcPr>
            <w:tcW w:w="3580" w:type="dxa"/>
            <w:vAlign w:val="bottom"/>
          </w:tcPr>
          <w:p>
            <w:pPr>
              <w:spacing w:after="0"/>
              <w:rPr>
                <w:sz w:val="20"/>
                <w:szCs w:val="20"/>
                <w:color w:val="auto"/>
              </w:rPr>
            </w:pPr>
            <w:r>
              <w:rPr>
                <w:rFonts w:ascii="Arial" w:cs="Arial" w:eastAsia="Arial" w:hAnsi="Arial"/>
                <w:sz w:val="18"/>
                <w:szCs w:val="18"/>
                <w:color w:val="auto"/>
              </w:rPr>
              <w:t>Total goodwill and intangible assets</w:t>
            </w:r>
          </w:p>
        </w:tc>
        <w:tc>
          <w:tcPr>
            <w:tcW w:w="206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2"/>
              </w:rPr>
              <w:t>1,760,730</w:t>
            </w:r>
          </w:p>
        </w:tc>
        <w:tc>
          <w:tcPr>
            <w:tcW w:w="52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79"/>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0"/>
              </w:rPr>
              <w:t>(117,899</w:t>
            </w:r>
          </w:p>
        </w:tc>
        <w:tc>
          <w:tcPr>
            <w:tcW w:w="320" w:type="dxa"/>
            <w:vAlign w:val="bottom"/>
          </w:tcPr>
          <w:p>
            <w:pPr>
              <w:jc w:val="right"/>
              <w:ind w:right="181"/>
              <w:spacing w:after="0"/>
              <w:rPr>
                <w:sz w:val="20"/>
                <w:szCs w:val="20"/>
                <w:color w:val="auto"/>
              </w:rPr>
            </w:pPr>
            <w:r>
              <w:rPr>
                <w:rFonts w:ascii="Arial" w:cs="Arial" w:eastAsia="Arial" w:hAnsi="Arial"/>
                <w:sz w:val="16"/>
                <w:szCs w:val="16"/>
                <w:color w:val="auto"/>
                <w:w w:val="74"/>
              </w:rPr>
              <w:t>)</w:t>
            </w:r>
          </w:p>
        </w:tc>
        <w:tc>
          <w:tcPr>
            <w:tcW w:w="26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u w:val="single" w:color="auto"/>
                <w:color w:val="auto"/>
                <w:w w:val="71"/>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1,642,831</w:t>
            </w:r>
          </w:p>
        </w:tc>
        <w:tc>
          <w:tcPr>
            <w:tcW w:w="60" w:type="dxa"/>
            <w:vAlign w:val="bottom"/>
          </w:tcPr>
          <w:p>
            <w:pPr>
              <w:spacing w:after="0"/>
              <w:rPr>
                <w:sz w:val="19"/>
                <w:szCs w:val="19"/>
                <w:color w:val="auto"/>
              </w:rPr>
            </w:pPr>
          </w:p>
        </w:tc>
      </w:tr>
      <w:tr>
        <w:trPr>
          <w:trHeight w:val="20"/>
        </w:trPr>
        <w:tc>
          <w:tcPr>
            <w:tcW w:w="358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359"/>
        </w:trPr>
        <w:tc>
          <w:tcPr>
            <w:tcW w:w="3580" w:type="dxa"/>
            <w:vAlign w:val="bottom"/>
          </w:tcPr>
          <w:p>
            <w:pPr>
              <w:spacing w:after="0"/>
              <w:rPr>
                <w:sz w:val="24"/>
                <w:szCs w:val="24"/>
                <w:color w:val="auto"/>
              </w:rPr>
            </w:pPr>
          </w:p>
        </w:tc>
        <w:tc>
          <w:tcPr>
            <w:tcW w:w="2180" w:type="dxa"/>
            <w:vAlign w:val="bottom"/>
            <w:gridSpan w:val="2"/>
          </w:tcPr>
          <w:p>
            <w:pPr>
              <w:jc w:val="right"/>
              <w:ind w:right="787"/>
              <w:spacing w:after="0"/>
              <w:rPr>
                <w:sz w:val="20"/>
                <w:szCs w:val="20"/>
                <w:color w:val="auto"/>
              </w:rPr>
            </w:pPr>
            <w:r>
              <w:rPr>
                <w:rFonts w:ascii="Arial" w:cs="Arial" w:eastAsia="Arial" w:hAnsi="Arial"/>
                <w:sz w:val="18"/>
                <w:szCs w:val="18"/>
                <w:color w:val="auto"/>
              </w:rPr>
              <w:t>F-66</w:t>
            </w:r>
          </w:p>
        </w:tc>
        <w:tc>
          <w:tcPr>
            <w:tcW w:w="7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60" w:type="dxa"/>
            <w:vAlign w:val="bottom"/>
          </w:tcPr>
          <w:p>
            <w:pPr>
              <w:spacing w:after="0"/>
              <w:rPr>
                <w:sz w:val="24"/>
                <w:szCs w:val="24"/>
                <w:color w:val="auto"/>
              </w:rPr>
            </w:pPr>
          </w:p>
        </w:tc>
      </w:tr>
    </w:tbl>
    <w:p>
      <w:pPr>
        <w:sectPr>
          <w:pgSz w:w="11900" w:h="16838" w:orient="portrait"/>
          <w:cols w:equalWidth="0" w:num="1">
            <w:col w:w="10720"/>
          </w:cols>
          <w:pgMar w:left="320" w:top="459" w:right="859" w:bottom="1440" w:gutter="0" w:footer="0" w:header="0"/>
        </w:sectPr>
      </w:pPr>
    </w:p>
    <w:bookmarkStart w:id="272" w:name="page273"/>
    <w:bookmarkEnd w:id="27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51" name="Picture 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
                    <pic:cNvPicPr>
                      <a:picLocks noChangeAspect="1" noChangeArrowheads="1"/>
                    </pic:cNvPicPr>
                  </pic:nvPicPr>
                  <pic:blipFill>
                    <a:blip r:embed="rId358">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Confidential Treatment Requested by Definitive Healthcare Corp.</w:t>
      </w:r>
    </w:p>
    <w:p>
      <w:pPr>
        <w:spacing w:after="0" w:line="27"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Pursuant to 17 C.F.R. Section 200.83</w:t>
      </w:r>
    </w:p>
    <w:p>
      <w:pPr>
        <w:spacing w:after="0" w:line="135" w:lineRule="exact"/>
        <w:rPr>
          <w:sz w:val="20"/>
          <w:szCs w:val="20"/>
          <w:color w:val="auto"/>
        </w:rPr>
      </w:pPr>
    </w:p>
    <w:tbl>
      <w:tblPr>
        <w:tblLayout w:type="fixed"/>
        <w:tblInd w:w="1000" w:type="dxa"/>
        <w:tblCellMar>
          <w:top w:w="0" w:type="dxa"/>
          <w:left w:w="0" w:type="dxa"/>
          <w:bottom w:w="0" w:type="dxa"/>
          <w:right w:w="0" w:type="dxa"/>
        </w:tblCellMar>
      </w:tblPr>
      <w:tr>
        <w:trPr>
          <w:trHeight w:val="171"/>
        </w:trPr>
        <w:tc>
          <w:tcPr>
            <w:tcW w:w="56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spacing w:after="0"/>
              <w:rPr>
                <w:sz w:val="14"/>
                <w:szCs w:val="14"/>
                <w:color w:val="auto"/>
              </w:rPr>
            </w:pPr>
          </w:p>
        </w:tc>
        <w:tc>
          <w:tcPr>
            <w:tcW w:w="1660" w:type="dxa"/>
            <w:vAlign w:val="bottom"/>
            <w:tcBorders>
              <w:bottom w:val="single" w:sz="8" w:color="auto"/>
            </w:tcBorders>
            <w:gridSpan w:val="4"/>
          </w:tcPr>
          <w:p>
            <w:pPr>
              <w:jc w:val="right"/>
              <w:ind w:right="101"/>
              <w:spacing w:after="0"/>
              <w:rPr>
                <w:sz w:val="20"/>
                <w:szCs w:val="20"/>
                <w:color w:val="auto"/>
              </w:rPr>
            </w:pPr>
            <w:r>
              <w:rPr>
                <w:rFonts w:ascii="Arial" w:cs="Arial" w:eastAsia="Arial" w:hAnsi="Arial"/>
                <w:sz w:val="14"/>
                <w:szCs w:val="14"/>
                <w:b w:val="1"/>
                <w:bCs w:val="1"/>
                <w:color w:val="auto"/>
              </w:rPr>
              <w:t>December 31, 2020</w:t>
            </w:r>
          </w:p>
        </w:tc>
        <w:tc>
          <w:tcPr>
            <w:tcW w:w="20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r>
      <w:tr>
        <w:trPr>
          <w:trHeight w:val="123"/>
        </w:trPr>
        <w:tc>
          <w:tcPr>
            <w:tcW w:w="56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80" w:type="dxa"/>
            <w:vAlign w:val="bottom"/>
            <w:gridSpan w:val="2"/>
          </w:tcPr>
          <w:p>
            <w:pPr>
              <w:jc w:val="right"/>
              <w:spacing w:after="0" w:line="123" w:lineRule="exact"/>
              <w:rPr>
                <w:sz w:val="20"/>
                <w:szCs w:val="20"/>
                <w:color w:val="auto"/>
              </w:rPr>
            </w:pPr>
            <w:r>
              <w:rPr>
                <w:rFonts w:ascii="Arial" w:cs="Arial" w:eastAsia="Arial" w:hAnsi="Arial"/>
                <w:sz w:val="14"/>
                <w:szCs w:val="14"/>
                <w:color w:val="auto"/>
                <w:w w:val="91"/>
              </w:rPr>
              <w:t>Gross Carrying</w:t>
            </w:r>
          </w:p>
        </w:tc>
        <w:tc>
          <w:tcPr>
            <w:tcW w:w="1660" w:type="dxa"/>
            <w:vAlign w:val="bottom"/>
            <w:gridSpan w:val="4"/>
          </w:tcPr>
          <w:p>
            <w:pPr>
              <w:ind w:left="520"/>
              <w:spacing w:after="0" w:line="123" w:lineRule="exact"/>
              <w:rPr>
                <w:sz w:val="20"/>
                <w:szCs w:val="20"/>
                <w:color w:val="auto"/>
              </w:rPr>
            </w:pPr>
            <w:r>
              <w:rPr>
                <w:rFonts w:ascii="Arial" w:cs="Arial" w:eastAsia="Arial" w:hAnsi="Arial"/>
                <w:sz w:val="14"/>
                <w:szCs w:val="14"/>
                <w:color w:val="auto"/>
              </w:rPr>
              <w:t>Accumulated</w:t>
            </w:r>
          </w:p>
        </w:tc>
        <w:tc>
          <w:tcPr>
            <w:tcW w:w="200" w:type="dxa"/>
            <w:vAlign w:val="bottom"/>
          </w:tcPr>
          <w:p>
            <w:pPr>
              <w:spacing w:after="0"/>
              <w:rPr>
                <w:sz w:val="10"/>
                <w:szCs w:val="10"/>
                <w:color w:val="auto"/>
              </w:rPr>
            </w:pPr>
          </w:p>
        </w:tc>
        <w:tc>
          <w:tcPr>
            <w:tcW w:w="820" w:type="dxa"/>
            <w:vAlign w:val="bottom"/>
            <w:gridSpan w:val="2"/>
          </w:tcPr>
          <w:p>
            <w:pPr>
              <w:jc w:val="center"/>
              <w:spacing w:after="0" w:line="123" w:lineRule="exact"/>
              <w:rPr>
                <w:sz w:val="20"/>
                <w:szCs w:val="20"/>
                <w:color w:val="auto"/>
              </w:rPr>
            </w:pPr>
            <w:r>
              <w:rPr>
                <w:rFonts w:ascii="Arial" w:cs="Arial" w:eastAsia="Arial" w:hAnsi="Arial"/>
                <w:sz w:val="14"/>
                <w:szCs w:val="14"/>
                <w:color w:val="auto"/>
                <w:w w:val="96"/>
              </w:rPr>
              <w:t>Net Carrying</w:t>
            </w:r>
          </w:p>
        </w:tc>
        <w:tc>
          <w:tcPr>
            <w:tcW w:w="60" w:type="dxa"/>
            <w:vAlign w:val="bottom"/>
          </w:tcPr>
          <w:p>
            <w:pPr>
              <w:spacing w:after="0"/>
              <w:rPr>
                <w:sz w:val="10"/>
                <w:szCs w:val="10"/>
                <w:color w:val="auto"/>
              </w:rPr>
            </w:pPr>
          </w:p>
        </w:tc>
      </w:tr>
      <w:tr>
        <w:trPr>
          <w:trHeight w:val="167"/>
        </w:trPr>
        <w:tc>
          <w:tcPr>
            <w:tcW w:w="56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tcPr>
          <w:p>
            <w:pPr>
              <w:jc w:val="right"/>
              <w:ind w:right="112"/>
              <w:spacing w:after="0"/>
              <w:rPr>
                <w:sz w:val="20"/>
                <w:szCs w:val="20"/>
                <w:color w:val="auto"/>
              </w:rPr>
            </w:pPr>
            <w:r>
              <w:rPr>
                <w:rFonts w:ascii="Arial" w:cs="Arial" w:eastAsia="Arial" w:hAnsi="Arial"/>
                <w:sz w:val="14"/>
                <w:szCs w:val="14"/>
                <w:color w:val="auto"/>
              </w:rPr>
              <w:t>Amount</w:t>
            </w:r>
          </w:p>
        </w:tc>
        <w:tc>
          <w:tcPr>
            <w:tcW w:w="1660" w:type="dxa"/>
            <w:vAlign w:val="bottom"/>
            <w:gridSpan w:val="4"/>
          </w:tcPr>
          <w:p>
            <w:pPr>
              <w:ind w:left="520"/>
              <w:spacing w:after="0"/>
              <w:rPr>
                <w:sz w:val="20"/>
                <w:szCs w:val="20"/>
                <w:color w:val="auto"/>
              </w:rPr>
            </w:pPr>
            <w:r>
              <w:rPr>
                <w:rFonts w:ascii="Arial" w:cs="Arial" w:eastAsia="Arial" w:hAnsi="Arial"/>
                <w:sz w:val="14"/>
                <w:szCs w:val="14"/>
                <w:color w:val="auto"/>
              </w:rPr>
              <w:t>Amortization</w:t>
            </w: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gridSpan w:val="2"/>
          </w:tcPr>
          <w:p>
            <w:pPr>
              <w:jc w:val="center"/>
              <w:ind w:right="160"/>
              <w:spacing w:after="0"/>
              <w:rPr>
                <w:sz w:val="20"/>
                <w:szCs w:val="20"/>
                <w:color w:val="auto"/>
              </w:rPr>
            </w:pPr>
            <w:r>
              <w:rPr>
                <w:rFonts w:ascii="Arial" w:cs="Arial" w:eastAsia="Arial" w:hAnsi="Arial"/>
                <w:sz w:val="14"/>
                <w:szCs w:val="14"/>
                <w:color w:val="auto"/>
                <w:w w:val="99"/>
              </w:rPr>
              <w:t>Amount</w:t>
            </w:r>
          </w:p>
        </w:tc>
      </w:tr>
      <w:tr>
        <w:trPr>
          <w:trHeight w:val="196"/>
        </w:trPr>
        <w:tc>
          <w:tcPr>
            <w:tcW w:w="562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Finite-lived intangible assets:</w:t>
            </w:r>
          </w:p>
        </w:tc>
        <w:tc>
          <w:tcPr>
            <w:tcW w:w="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760" w:type="dxa"/>
            <w:vAlign w:val="bottom"/>
            <w:tcBorders>
              <w:top w:val="single" w:sz="8" w:color="auto"/>
            </w:tcBorders>
            <w:shd w:val="clear" w:color="auto" w:fill="CCEEFF"/>
          </w:tcPr>
          <w:p>
            <w:pPr>
              <w:spacing w:after="0"/>
              <w:rPr>
                <w:sz w:val="17"/>
                <w:szCs w:val="17"/>
                <w:color w:val="auto"/>
              </w:rPr>
            </w:pPr>
          </w:p>
        </w:tc>
        <w:tc>
          <w:tcPr>
            <w:tcW w:w="52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620" w:type="dxa"/>
            <w:vAlign w:val="bottom"/>
            <w:tcBorders>
              <w:top w:val="single" w:sz="8" w:color="auto"/>
            </w:tcBorders>
            <w:shd w:val="clear" w:color="auto" w:fill="CCEEFF"/>
          </w:tcPr>
          <w:p>
            <w:pPr>
              <w:spacing w:after="0"/>
              <w:rPr>
                <w:sz w:val="17"/>
                <w:szCs w:val="17"/>
                <w:color w:val="auto"/>
              </w:rPr>
            </w:pPr>
          </w:p>
        </w:tc>
        <w:tc>
          <w:tcPr>
            <w:tcW w:w="38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740" w:type="dxa"/>
            <w:vAlign w:val="bottom"/>
            <w:tcBorders>
              <w:top w:val="single" w:sz="8" w:color="auto"/>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r>
      <w:tr>
        <w:trPr>
          <w:trHeight w:val="216"/>
        </w:trPr>
        <w:tc>
          <w:tcPr>
            <w:tcW w:w="5620" w:type="dxa"/>
            <w:vAlign w:val="bottom"/>
          </w:tcPr>
          <w:p>
            <w:pPr>
              <w:ind w:left="360"/>
              <w:spacing w:after="0"/>
              <w:rPr>
                <w:sz w:val="20"/>
                <w:szCs w:val="20"/>
                <w:color w:val="auto"/>
              </w:rPr>
            </w:pPr>
            <w:r>
              <w:rPr>
                <w:rFonts w:ascii="Arial" w:cs="Arial" w:eastAsia="Arial" w:hAnsi="Arial"/>
                <w:sz w:val="18"/>
                <w:szCs w:val="18"/>
                <w:color w:val="auto"/>
              </w:rPr>
              <w:t>Customer relationships</w:t>
            </w:r>
          </w:p>
        </w:tc>
        <w:tc>
          <w:tcPr>
            <w:tcW w:w="140" w:type="dxa"/>
            <w:vAlign w:val="bottom"/>
            <w:gridSpan w:val="2"/>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370,030</w:t>
            </w:r>
          </w:p>
        </w:tc>
        <w:tc>
          <w:tcPr>
            <w:tcW w:w="660" w:type="dxa"/>
            <w:vAlign w:val="bottom"/>
            <w:gridSpan w:val="2"/>
          </w:tcPr>
          <w:p>
            <w:pPr>
              <w:ind w:left="52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241"/>
              <w:spacing w:after="0"/>
              <w:rPr>
                <w:sz w:val="20"/>
                <w:szCs w:val="20"/>
                <w:color w:val="auto"/>
              </w:rPr>
            </w:pPr>
            <w:r>
              <w:rPr>
                <w:rFonts w:ascii="Arial" w:cs="Arial" w:eastAsia="Arial" w:hAnsi="Arial"/>
                <w:sz w:val="18"/>
                <w:szCs w:val="18"/>
                <w:color w:val="auto"/>
                <w:w w:val="98"/>
              </w:rPr>
              <w:t>(58,097)</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311,933</w:t>
            </w:r>
          </w:p>
        </w:tc>
        <w:tc>
          <w:tcPr>
            <w:tcW w:w="60" w:type="dxa"/>
            <w:vAlign w:val="bottom"/>
          </w:tcPr>
          <w:p>
            <w:pPr>
              <w:spacing w:after="0"/>
              <w:rPr>
                <w:sz w:val="18"/>
                <w:szCs w:val="18"/>
                <w:color w:val="auto"/>
              </w:rPr>
            </w:pPr>
          </w:p>
        </w:tc>
      </w:tr>
      <w:tr>
        <w:trPr>
          <w:trHeight w:val="216"/>
        </w:trPr>
        <w:tc>
          <w:tcPr>
            <w:tcW w:w="56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Developed technologies</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51,100</w:t>
            </w:r>
          </w:p>
        </w:tc>
        <w:tc>
          <w:tcPr>
            <w:tcW w:w="5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41"/>
              <w:spacing w:after="0"/>
              <w:rPr>
                <w:sz w:val="20"/>
                <w:szCs w:val="20"/>
                <w:color w:val="auto"/>
              </w:rPr>
            </w:pPr>
            <w:r>
              <w:rPr>
                <w:rFonts w:ascii="Arial" w:cs="Arial" w:eastAsia="Arial" w:hAnsi="Arial"/>
                <w:sz w:val="18"/>
                <w:szCs w:val="18"/>
                <w:color w:val="auto"/>
                <w:w w:val="98"/>
              </w:rPr>
              <w:t>(10,218)</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40,882</w:t>
            </w:r>
          </w:p>
        </w:tc>
        <w:tc>
          <w:tcPr>
            <w:tcW w:w="60" w:type="dxa"/>
            <w:vAlign w:val="bottom"/>
            <w:shd w:val="clear" w:color="auto" w:fill="CCEEFF"/>
          </w:tcPr>
          <w:p>
            <w:pPr>
              <w:spacing w:after="0"/>
              <w:rPr>
                <w:sz w:val="18"/>
                <w:szCs w:val="18"/>
                <w:color w:val="auto"/>
              </w:rPr>
            </w:pPr>
          </w:p>
        </w:tc>
      </w:tr>
      <w:tr>
        <w:trPr>
          <w:trHeight w:val="216"/>
        </w:trPr>
        <w:tc>
          <w:tcPr>
            <w:tcW w:w="5620" w:type="dxa"/>
            <w:vAlign w:val="bottom"/>
          </w:tcPr>
          <w:p>
            <w:pPr>
              <w:ind w:left="360"/>
              <w:spacing w:after="0"/>
              <w:rPr>
                <w:sz w:val="20"/>
                <w:szCs w:val="20"/>
                <w:color w:val="auto"/>
              </w:rPr>
            </w:pPr>
            <w:r>
              <w:rPr>
                <w:rFonts w:ascii="Arial" w:cs="Arial" w:eastAsia="Arial" w:hAnsi="Arial"/>
                <w:sz w:val="18"/>
                <w:szCs w:val="18"/>
                <w:color w:val="auto"/>
              </w:rPr>
              <w:t>Tradenames</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35,500</w:t>
            </w:r>
          </w:p>
        </w:tc>
        <w:tc>
          <w:tcPr>
            <w:tcW w:w="5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gridSpan w:val="2"/>
          </w:tcPr>
          <w:p>
            <w:pPr>
              <w:jc w:val="right"/>
              <w:ind w:right="241"/>
              <w:spacing w:after="0"/>
              <w:rPr>
                <w:sz w:val="20"/>
                <w:szCs w:val="20"/>
                <w:color w:val="auto"/>
              </w:rPr>
            </w:pPr>
            <w:r>
              <w:rPr>
                <w:rFonts w:ascii="Arial" w:cs="Arial" w:eastAsia="Arial" w:hAnsi="Arial"/>
                <w:sz w:val="18"/>
                <w:szCs w:val="18"/>
                <w:color w:val="auto"/>
              </w:rPr>
              <w:t>(2,952)</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32,548</w:t>
            </w:r>
          </w:p>
        </w:tc>
        <w:tc>
          <w:tcPr>
            <w:tcW w:w="60" w:type="dxa"/>
            <w:vAlign w:val="bottom"/>
          </w:tcPr>
          <w:p>
            <w:pPr>
              <w:spacing w:after="0"/>
              <w:rPr>
                <w:sz w:val="18"/>
                <w:szCs w:val="18"/>
                <w:color w:val="auto"/>
              </w:rPr>
            </w:pPr>
          </w:p>
        </w:tc>
      </w:tr>
      <w:tr>
        <w:trPr>
          <w:trHeight w:val="216"/>
        </w:trPr>
        <w:tc>
          <w:tcPr>
            <w:tcW w:w="56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Data</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42,656</w:t>
            </w:r>
          </w:p>
        </w:tc>
        <w:tc>
          <w:tcPr>
            <w:tcW w:w="5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41"/>
              <w:spacing w:after="0"/>
              <w:rPr>
                <w:sz w:val="20"/>
                <w:szCs w:val="20"/>
                <w:color w:val="auto"/>
              </w:rPr>
            </w:pPr>
            <w:r>
              <w:rPr>
                <w:rFonts w:ascii="Arial" w:cs="Arial" w:eastAsia="Arial" w:hAnsi="Arial"/>
                <w:sz w:val="18"/>
                <w:szCs w:val="18"/>
                <w:color w:val="auto"/>
                <w:w w:val="98"/>
              </w:rPr>
              <w:t>(17,782)</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24,874</w:t>
            </w:r>
          </w:p>
        </w:tc>
        <w:tc>
          <w:tcPr>
            <w:tcW w:w="60" w:type="dxa"/>
            <w:vAlign w:val="bottom"/>
            <w:shd w:val="clear" w:color="auto" w:fill="CCEEFF"/>
          </w:tcPr>
          <w:p>
            <w:pPr>
              <w:spacing w:after="0"/>
              <w:rPr>
                <w:sz w:val="18"/>
                <w:szCs w:val="18"/>
                <w:color w:val="auto"/>
              </w:rPr>
            </w:pPr>
          </w:p>
        </w:tc>
      </w:tr>
      <w:tr>
        <w:trPr>
          <w:trHeight w:val="223"/>
        </w:trPr>
        <w:tc>
          <w:tcPr>
            <w:tcW w:w="5620" w:type="dxa"/>
            <w:vAlign w:val="bottom"/>
          </w:tcPr>
          <w:p>
            <w:pPr>
              <w:spacing w:after="0"/>
              <w:rPr>
                <w:sz w:val="20"/>
                <w:szCs w:val="20"/>
                <w:color w:val="auto"/>
              </w:rPr>
            </w:pPr>
            <w:r>
              <w:rPr>
                <w:rFonts w:ascii="Arial" w:cs="Arial" w:eastAsia="Arial" w:hAnsi="Arial"/>
                <w:sz w:val="18"/>
                <w:szCs w:val="18"/>
                <w:color w:val="auto"/>
              </w:rPr>
              <w:t>Total finite-lived intangible assets</w:t>
            </w:r>
          </w:p>
        </w:tc>
        <w:tc>
          <w:tcPr>
            <w:tcW w:w="2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499,286</w:t>
            </w:r>
          </w:p>
        </w:tc>
        <w:tc>
          <w:tcPr>
            <w:tcW w:w="52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9"/>
              </w:rPr>
              <w:t>(89,049)</w:t>
            </w:r>
          </w:p>
        </w:tc>
        <w:tc>
          <w:tcPr>
            <w:tcW w:w="3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410,237</w:t>
            </w:r>
          </w:p>
        </w:tc>
        <w:tc>
          <w:tcPr>
            <w:tcW w:w="60" w:type="dxa"/>
            <w:vAlign w:val="bottom"/>
          </w:tcPr>
          <w:p>
            <w:pPr>
              <w:spacing w:after="0"/>
              <w:rPr>
                <w:sz w:val="19"/>
                <w:szCs w:val="19"/>
                <w:color w:val="auto"/>
              </w:rPr>
            </w:pPr>
          </w:p>
        </w:tc>
      </w:tr>
      <w:tr>
        <w:trPr>
          <w:trHeight w:val="216"/>
        </w:trPr>
        <w:tc>
          <w:tcPr>
            <w:tcW w:w="56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Goodwill</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1,261,444</w:t>
            </w:r>
          </w:p>
        </w:tc>
        <w:tc>
          <w:tcPr>
            <w:tcW w:w="5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381"/>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1,261,444</w:t>
            </w:r>
          </w:p>
        </w:tc>
        <w:tc>
          <w:tcPr>
            <w:tcW w:w="60" w:type="dxa"/>
            <w:vAlign w:val="bottom"/>
            <w:shd w:val="clear" w:color="auto" w:fill="CCEEFF"/>
          </w:tcPr>
          <w:p>
            <w:pPr>
              <w:spacing w:after="0"/>
              <w:rPr>
                <w:sz w:val="18"/>
                <w:szCs w:val="18"/>
                <w:color w:val="auto"/>
              </w:rPr>
            </w:pPr>
          </w:p>
        </w:tc>
      </w:tr>
      <w:tr>
        <w:trPr>
          <w:trHeight w:val="223"/>
        </w:trPr>
        <w:tc>
          <w:tcPr>
            <w:tcW w:w="5620" w:type="dxa"/>
            <w:vAlign w:val="bottom"/>
          </w:tcPr>
          <w:p>
            <w:pPr>
              <w:spacing w:after="0"/>
              <w:rPr>
                <w:sz w:val="20"/>
                <w:szCs w:val="20"/>
                <w:color w:val="auto"/>
              </w:rPr>
            </w:pPr>
            <w:r>
              <w:rPr>
                <w:rFonts w:ascii="Arial" w:cs="Arial" w:eastAsia="Arial" w:hAnsi="Arial"/>
                <w:sz w:val="18"/>
                <w:szCs w:val="18"/>
                <w:color w:val="auto"/>
              </w:rPr>
              <w:t>Total goodwill and intangible assets</w:t>
            </w:r>
          </w:p>
        </w:tc>
        <w:tc>
          <w:tcPr>
            <w:tcW w:w="20" w:type="dxa"/>
            <w:vAlign w:val="bottom"/>
            <w:tcBorders>
              <w:bottom w:val="single" w:sz="8" w:color="auto"/>
            </w:tcBorders>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2"/>
              </w:rPr>
              <w:t>1,760,730</w:t>
            </w:r>
          </w:p>
        </w:tc>
        <w:tc>
          <w:tcPr>
            <w:tcW w:w="52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8"/>
              </w:rPr>
              <w:t>(89,049</w:t>
            </w:r>
          </w:p>
        </w:tc>
        <w:tc>
          <w:tcPr>
            <w:tcW w:w="380" w:type="dxa"/>
            <w:vAlign w:val="bottom"/>
          </w:tcPr>
          <w:p>
            <w:pPr>
              <w:jc w:val="right"/>
              <w:ind w:right="241"/>
              <w:spacing w:after="0"/>
              <w:rPr>
                <w:sz w:val="20"/>
                <w:szCs w:val="20"/>
                <w:color w:val="auto"/>
              </w:rPr>
            </w:pPr>
            <w:r>
              <w:rPr>
                <w:rFonts w:ascii="Arial" w:cs="Arial" w:eastAsia="Arial" w:hAnsi="Arial"/>
                <w:sz w:val="16"/>
                <w:szCs w:val="16"/>
                <w:color w:val="auto"/>
                <w:w w:val="74"/>
              </w:rPr>
              <w:t>)</w:t>
            </w:r>
          </w:p>
        </w:tc>
        <w:tc>
          <w:tcPr>
            <w:tcW w:w="20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u w:val="single" w:color="auto"/>
                <w:color w:val="auto"/>
                <w:w w:val="71"/>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1,671,681</w:t>
            </w:r>
          </w:p>
        </w:tc>
        <w:tc>
          <w:tcPr>
            <w:tcW w:w="60" w:type="dxa"/>
            <w:vAlign w:val="bottom"/>
          </w:tcPr>
          <w:p>
            <w:pPr>
              <w:spacing w:after="0"/>
              <w:rPr>
                <w:sz w:val="19"/>
                <w:szCs w:val="19"/>
                <w:color w:val="auto"/>
              </w:rPr>
            </w:pPr>
          </w:p>
        </w:tc>
      </w:tr>
      <w:tr>
        <w:trPr>
          <w:trHeight w:val="20"/>
        </w:trPr>
        <w:tc>
          <w:tcPr>
            <w:tcW w:w="56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15" w:lineRule="exact"/>
        <w:rPr>
          <w:sz w:val="20"/>
          <w:szCs w:val="20"/>
          <w:color w:val="auto"/>
        </w:rPr>
      </w:pPr>
    </w:p>
    <w:p>
      <w:pPr>
        <w:ind w:left="120" w:firstLine="440"/>
        <w:spacing w:after="0" w:line="277" w:lineRule="auto"/>
        <w:rPr>
          <w:sz w:val="20"/>
          <w:szCs w:val="20"/>
          <w:color w:val="auto"/>
        </w:rPr>
      </w:pPr>
      <w:r>
        <w:rPr>
          <w:rFonts w:ascii="Arial" w:cs="Arial" w:eastAsia="Arial" w:hAnsi="Arial"/>
          <w:sz w:val="18"/>
          <w:szCs w:val="18"/>
          <w:color w:val="auto"/>
        </w:rPr>
        <w:t>Amortization expense associated with finite-lived intangible assets was $28.9 million for each of the six months ended June 30, 2021 and 2020, of which $10.5 million and $9.5 million, respectively, were included in cost of services for the said periods.</w:t>
      </w:r>
    </w:p>
    <w:p>
      <w:pPr>
        <w:spacing w:after="0" w:line="170" w:lineRule="exact"/>
        <w:rPr>
          <w:sz w:val="20"/>
          <w:szCs w:val="20"/>
          <w:color w:val="auto"/>
        </w:rPr>
      </w:pPr>
    </w:p>
    <w:tbl>
      <w:tblPr>
        <w:tblLayout w:type="fixed"/>
        <w:tblInd w:w="980" w:type="dxa"/>
        <w:tblCellMar>
          <w:top w:w="0" w:type="dxa"/>
          <w:left w:w="0" w:type="dxa"/>
          <w:bottom w:w="0" w:type="dxa"/>
          <w:right w:w="0" w:type="dxa"/>
        </w:tblCellMar>
      </w:tblPr>
      <w:tr>
        <w:trPr>
          <w:trHeight w:val="230"/>
        </w:trPr>
        <w:tc>
          <w:tcPr>
            <w:tcW w:w="7620" w:type="dxa"/>
            <w:vAlign w:val="bottom"/>
            <w:gridSpan w:val="2"/>
          </w:tcPr>
          <w:p>
            <w:pPr>
              <w:spacing w:after="0"/>
              <w:rPr>
                <w:sz w:val="20"/>
                <w:szCs w:val="20"/>
                <w:color w:val="auto"/>
              </w:rPr>
            </w:pPr>
            <w:r>
              <w:rPr>
                <w:rFonts w:ascii="Arial" w:cs="Arial" w:eastAsia="Arial" w:hAnsi="Arial"/>
                <w:sz w:val="18"/>
                <w:szCs w:val="18"/>
                <w:color w:val="auto"/>
                <w:w w:val="98"/>
              </w:rPr>
              <w:t>Estimated total intangible amortization expense as of June 30, 2021, is as follows (in thousands):</w:t>
            </w:r>
          </w:p>
        </w:tc>
        <w:tc>
          <w:tcPr>
            <w:tcW w:w="1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900" w:type="dxa"/>
            <w:vAlign w:val="bottom"/>
            <w:vMerge w:val="restart"/>
          </w:tcPr>
          <w:p>
            <w:pPr>
              <w:spacing w:after="0"/>
              <w:rPr>
                <w:sz w:val="21"/>
                <w:szCs w:val="21"/>
                <w:color w:val="auto"/>
              </w:rPr>
            </w:pPr>
          </w:p>
        </w:tc>
        <w:tc>
          <w:tcPr>
            <w:tcW w:w="67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900" w:type="dxa"/>
            <w:vAlign w:val="bottom"/>
            <w:vMerge w:val="continue"/>
          </w:tcPr>
          <w:p>
            <w:pPr>
              <w:spacing w:after="0"/>
              <w:rPr>
                <w:sz w:val="18"/>
                <w:szCs w:val="18"/>
                <w:color w:val="auto"/>
              </w:rPr>
            </w:pPr>
          </w:p>
        </w:tc>
        <w:tc>
          <w:tcPr>
            <w:tcW w:w="6720" w:type="dxa"/>
            <w:vAlign w:val="bottom"/>
            <w:shd w:val="clear" w:color="auto" w:fill="CCEEFF"/>
          </w:tcPr>
          <w:p>
            <w:pPr>
              <w:spacing w:after="0"/>
              <w:rPr>
                <w:sz w:val="20"/>
                <w:szCs w:val="20"/>
                <w:color w:val="auto"/>
              </w:rPr>
            </w:pPr>
            <w:r>
              <w:rPr>
                <w:rFonts w:ascii="Arial" w:cs="Arial" w:eastAsia="Arial" w:hAnsi="Arial"/>
                <w:sz w:val="18"/>
                <w:szCs w:val="18"/>
                <w:color w:val="auto"/>
              </w:rPr>
              <w:t>Remainder of 2021</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29,320</w:t>
            </w:r>
          </w:p>
        </w:tc>
        <w:tc>
          <w:tcPr>
            <w:tcW w:w="0" w:type="dxa"/>
            <w:vAlign w:val="bottom"/>
          </w:tcPr>
          <w:p>
            <w:pPr>
              <w:spacing w:after="0"/>
              <w:rPr>
                <w:sz w:val="1"/>
                <w:szCs w:val="1"/>
                <w:color w:val="auto"/>
              </w:rPr>
            </w:pPr>
          </w:p>
        </w:tc>
      </w:tr>
      <w:tr>
        <w:trPr>
          <w:trHeight w:val="216"/>
        </w:trPr>
        <w:tc>
          <w:tcPr>
            <w:tcW w:w="900" w:type="dxa"/>
            <w:vAlign w:val="bottom"/>
          </w:tcPr>
          <w:p>
            <w:pPr>
              <w:spacing w:after="0"/>
              <w:rPr>
                <w:sz w:val="18"/>
                <w:szCs w:val="18"/>
                <w:color w:val="auto"/>
              </w:rPr>
            </w:pPr>
          </w:p>
        </w:tc>
        <w:tc>
          <w:tcPr>
            <w:tcW w:w="6720" w:type="dxa"/>
            <w:vAlign w:val="bottom"/>
          </w:tcPr>
          <w:p>
            <w:pPr>
              <w:spacing w:after="0"/>
              <w:rPr>
                <w:sz w:val="20"/>
                <w:szCs w:val="20"/>
                <w:color w:val="auto"/>
              </w:rPr>
            </w:pPr>
            <w:r>
              <w:rPr>
                <w:rFonts w:ascii="Arial" w:cs="Arial" w:eastAsia="Arial" w:hAnsi="Arial"/>
                <w:sz w:val="18"/>
                <w:szCs w:val="18"/>
                <w:color w:val="auto"/>
              </w:rPr>
              <w:t>2022</w:t>
            </w:r>
          </w:p>
        </w:tc>
        <w:tc>
          <w:tcPr>
            <w:tcW w:w="100" w:type="dxa"/>
            <w:vAlign w:val="bottom"/>
          </w:tcPr>
          <w:p>
            <w:pPr>
              <w:spacing w:after="0"/>
              <w:rPr>
                <w:sz w:val="18"/>
                <w:szCs w:val="18"/>
                <w:color w:val="auto"/>
              </w:rPr>
            </w:pPr>
          </w:p>
        </w:tc>
        <w:tc>
          <w:tcPr>
            <w:tcW w:w="660" w:type="dxa"/>
            <w:vAlign w:val="bottom"/>
            <w:gridSpan w:val="2"/>
          </w:tcPr>
          <w:p>
            <w:pPr>
              <w:jc w:val="right"/>
              <w:ind w:right="60"/>
              <w:spacing w:after="0"/>
              <w:rPr>
                <w:sz w:val="20"/>
                <w:szCs w:val="20"/>
                <w:color w:val="auto"/>
              </w:rPr>
            </w:pPr>
            <w:r>
              <w:rPr>
                <w:rFonts w:ascii="Arial" w:cs="Arial" w:eastAsia="Arial" w:hAnsi="Arial"/>
                <w:sz w:val="18"/>
                <w:szCs w:val="18"/>
                <w:color w:val="auto"/>
              </w:rPr>
              <w:t>53,652</w:t>
            </w:r>
          </w:p>
        </w:tc>
        <w:tc>
          <w:tcPr>
            <w:tcW w:w="0" w:type="dxa"/>
            <w:vAlign w:val="bottom"/>
          </w:tcPr>
          <w:p>
            <w:pPr>
              <w:spacing w:after="0"/>
              <w:rPr>
                <w:sz w:val="1"/>
                <w:szCs w:val="1"/>
                <w:color w:val="auto"/>
              </w:rPr>
            </w:pPr>
          </w:p>
        </w:tc>
      </w:tr>
      <w:tr>
        <w:trPr>
          <w:trHeight w:val="216"/>
        </w:trPr>
        <w:tc>
          <w:tcPr>
            <w:tcW w:w="900" w:type="dxa"/>
            <w:vAlign w:val="bottom"/>
          </w:tcPr>
          <w:p>
            <w:pPr>
              <w:spacing w:after="0"/>
              <w:rPr>
                <w:sz w:val="18"/>
                <w:szCs w:val="18"/>
                <w:color w:val="auto"/>
              </w:rPr>
            </w:pPr>
          </w:p>
        </w:tc>
        <w:tc>
          <w:tcPr>
            <w:tcW w:w="6720" w:type="dxa"/>
            <w:vAlign w:val="bottom"/>
            <w:shd w:val="clear" w:color="auto" w:fill="CCEEFF"/>
          </w:tcPr>
          <w:p>
            <w:pPr>
              <w:spacing w:after="0"/>
              <w:rPr>
                <w:sz w:val="20"/>
                <w:szCs w:val="20"/>
                <w:color w:val="auto"/>
              </w:rPr>
            </w:pPr>
            <w:r>
              <w:rPr>
                <w:rFonts w:ascii="Arial" w:cs="Arial" w:eastAsia="Arial" w:hAnsi="Arial"/>
                <w:sz w:val="18"/>
                <w:szCs w:val="18"/>
                <w:color w:val="auto"/>
              </w:rPr>
              <w:t>2023</w:t>
            </w: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45,698</w:t>
            </w:r>
          </w:p>
        </w:tc>
        <w:tc>
          <w:tcPr>
            <w:tcW w:w="0" w:type="dxa"/>
            <w:vAlign w:val="bottom"/>
          </w:tcPr>
          <w:p>
            <w:pPr>
              <w:spacing w:after="0"/>
              <w:rPr>
                <w:sz w:val="1"/>
                <w:szCs w:val="1"/>
                <w:color w:val="auto"/>
              </w:rPr>
            </w:pPr>
          </w:p>
        </w:tc>
      </w:tr>
      <w:tr>
        <w:trPr>
          <w:trHeight w:val="216"/>
        </w:trPr>
        <w:tc>
          <w:tcPr>
            <w:tcW w:w="900" w:type="dxa"/>
            <w:vAlign w:val="bottom"/>
          </w:tcPr>
          <w:p>
            <w:pPr>
              <w:spacing w:after="0"/>
              <w:rPr>
                <w:sz w:val="18"/>
                <w:szCs w:val="18"/>
                <w:color w:val="auto"/>
              </w:rPr>
            </w:pPr>
          </w:p>
        </w:tc>
        <w:tc>
          <w:tcPr>
            <w:tcW w:w="6720" w:type="dxa"/>
            <w:vAlign w:val="bottom"/>
          </w:tcPr>
          <w:p>
            <w:pPr>
              <w:spacing w:after="0"/>
              <w:rPr>
                <w:sz w:val="20"/>
                <w:szCs w:val="20"/>
                <w:color w:val="auto"/>
              </w:rPr>
            </w:pPr>
            <w:r>
              <w:rPr>
                <w:rFonts w:ascii="Arial" w:cs="Arial" w:eastAsia="Arial" w:hAnsi="Arial"/>
                <w:sz w:val="18"/>
                <w:szCs w:val="18"/>
                <w:color w:val="auto"/>
              </w:rPr>
              <w:t>2024</w:t>
            </w:r>
          </w:p>
        </w:tc>
        <w:tc>
          <w:tcPr>
            <w:tcW w:w="100" w:type="dxa"/>
            <w:vAlign w:val="bottom"/>
          </w:tcPr>
          <w:p>
            <w:pPr>
              <w:spacing w:after="0"/>
              <w:rPr>
                <w:sz w:val="18"/>
                <w:szCs w:val="18"/>
                <w:color w:val="auto"/>
              </w:rPr>
            </w:pPr>
          </w:p>
        </w:tc>
        <w:tc>
          <w:tcPr>
            <w:tcW w:w="660" w:type="dxa"/>
            <w:vAlign w:val="bottom"/>
            <w:gridSpan w:val="2"/>
          </w:tcPr>
          <w:p>
            <w:pPr>
              <w:jc w:val="right"/>
              <w:ind w:right="60"/>
              <w:spacing w:after="0"/>
              <w:rPr>
                <w:sz w:val="20"/>
                <w:szCs w:val="20"/>
                <w:color w:val="auto"/>
              </w:rPr>
            </w:pPr>
            <w:r>
              <w:rPr>
                <w:rFonts w:ascii="Arial" w:cs="Arial" w:eastAsia="Arial" w:hAnsi="Arial"/>
                <w:sz w:val="18"/>
                <w:szCs w:val="18"/>
                <w:color w:val="auto"/>
              </w:rPr>
              <w:t>42,485</w:t>
            </w:r>
          </w:p>
        </w:tc>
        <w:tc>
          <w:tcPr>
            <w:tcW w:w="0" w:type="dxa"/>
            <w:vAlign w:val="bottom"/>
          </w:tcPr>
          <w:p>
            <w:pPr>
              <w:spacing w:after="0"/>
              <w:rPr>
                <w:sz w:val="1"/>
                <w:szCs w:val="1"/>
                <w:color w:val="auto"/>
              </w:rPr>
            </w:pPr>
          </w:p>
        </w:tc>
      </w:tr>
      <w:tr>
        <w:trPr>
          <w:trHeight w:val="216"/>
        </w:trPr>
        <w:tc>
          <w:tcPr>
            <w:tcW w:w="900" w:type="dxa"/>
            <w:vAlign w:val="bottom"/>
          </w:tcPr>
          <w:p>
            <w:pPr>
              <w:spacing w:after="0"/>
              <w:rPr>
                <w:sz w:val="18"/>
                <w:szCs w:val="18"/>
                <w:color w:val="auto"/>
              </w:rPr>
            </w:pPr>
          </w:p>
        </w:tc>
        <w:tc>
          <w:tcPr>
            <w:tcW w:w="6720" w:type="dxa"/>
            <w:vAlign w:val="bottom"/>
            <w:shd w:val="clear" w:color="auto" w:fill="CCEEFF"/>
          </w:tcPr>
          <w:p>
            <w:pPr>
              <w:spacing w:after="0"/>
              <w:rPr>
                <w:sz w:val="20"/>
                <w:szCs w:val="20"/>
                <w:color w:val="auto"/>
              </w:rPr>
            </w:pPr>
            <w:r>
              <w:rPr>
                <w:rFonts w:ascii="Arial" w:cs="Arial" w:eastAsia="Arial" w:hAnsi="Arial"/>
                <w:sz w:val="18"/>
                <w:szCs w:val="18"/>
                <w:color w:val="auto"/>
              </w:rPr>
              <w:t>2025</w:t>
            </w: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38,296</w:t>
            </w:r>
          </w:p>
        </w:tc>
        <w:tc>
          <w:tcPr>
            <w:tcW w:w="0" w:type="dxa"/>
            <w:vAlign w:val="bottom"/>
          </w:tcPr>
          <w:p>
            <w:pPr>
              <w:spacing w:after="0"/>
              <w:rPr>
                <w:sz w:val="1"/>
                <w:szCs w:val="1"/>
                <w:color w:val="auto"/>
              </w:rPr>
            </w:pPr>
          </w:p>
        </w:tc>
      </w:tr>
      <w:tr>
        <w:trPr>
          <w:trHeight w:val="223"/>
        </w:trPr>
        <w:tc>
          <w:tcPr>
            <w:tcW w:w="900" w:type="dxa"/>
            <w:vAlign w:val="bottom"/>
          </w:tcPr>
          <w:p>
            <w:pPr>
              <w:spacing w:after="0"/>
              <w:rPr>
                <w:sz w:val="19"/>
                <w:szCs w:val="19"/>
                <w:color w:val="auto"/>
              </w:rPr>
            </w:pPr>
          </w:p>
        </w:tc>
        <w:tc>
          <w:tcPr>
            <w:tcW w:w="6720" w:type="dxa"/>
            <w:vAlign w:val="bottom"/>
          </w:tcPr>
          <w:p>
            <w:pPr>
              <w:spacing w:after="0"/>
              <w:rPr>
                <w:sz w:val="20"/>
                <w:szCs w:val="20"/>
                <w:color w:val="auto"/>
              </w:rPr>
            </w:pPr>
            <w:r>
              <w:rPr>
                <w:rFonts w:ascii="Arial" w:cs="Arial" w:eastAsia="Arial" w:hAnsi="Arial"/>
                <w:sz w:val="18"/>
                <w:szCs w:val="18"/>
                <w:color w:val="auto"/>
              </w:rPr>
              <w:t>2026 and thereafter</w:t>
            </w:r>
          </w:p>
        </w:tc>
        <w:tc>
          <w:tcPr>
            <w:tcW w:w="10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9"/>
              </w:rPr>
              <w:t>171,936</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900" w:type="dxa"/>
            <w:vAlign w:val="bottom"/>
          </w:tcPr>
          <w:p>
            <w:pPr>
              <w:spacing w:after="0"/>
              <w:rPr>
                <w:sz w:val="18"/>
                <w:szCs w:val="18"/>
                <w:color w:val="auto"/>
              </w:rPr>
            </w:pPr>
          </w:p>
        </w:tc>
        <w:tc>
          <w:tcPr>
            <w:tcW w:w="67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89"/>
              </w:rPr>
              <w:t>381,387</w:t>
            </w:r>
          </w:p>
        </w:tc>
        <w:tc>
          <w:tcPr>
            <w:tcW w:w="0" w:type="dxa"/>
            <w:vAlign w:val="bottom"/>
          </w:tcPr>
          <w:p>
            <w:pPr>
              <w:spacing w:after="0"/>
              <w:rPr>
                <w:sz w:val="1"/>
                <w:szCs w:val="1"/>
                <w:color w:val="auto"/>
              </w:rPr>
            </w:pPr>
          </w:p>
        </w:tc>
      </w:tr>
      <w:tr>
        <w:trPr>
          <w:trHeight w:val="20"/>
        </w:trPr>
        <w:tc>
          <w:tcPr>
            <w:tcW w:w="900" w:type="dxa"/>
            <w:vAlign w:val="bottom"/>
          </w:tcPr>
          <w:p>
            <w:pPr>
              <w:spacing w:after="0" w:line="20" w:lineRule="exact"/>
              <w:rPr>
                <w:sz w:val="1"/>
                <w:szCs w:val="1"/>
                <w:color w:val="auto"/>
              </w:rPr>
            </w:pPr>
          </w:p>
        </w:tc>
        <w:tc>
          <w:tcPr>
            <w:tcW w:w="67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There were no changes to the carrying value of goodwill during the six months ended June 30, 2021.</w:t>
      </w:r>
    </w:p>
    <w:p>
      <w:pPr>
        <w:spacing w:after="0" w:line="225" w:lineRule="exact"/>
        <w:rPr>
          <w:sz w:val="20"/>
          <w:szCs w:val="20"/>
          <w:color w:val="auto"/>
        </w:rPr>
      </w:pPr>
    </w:p>
    <w:p>
      <w:pPr>
        <w:ind w:left="560"/>
        <w:spacing w:after="0"/>
        <w:rPr>
          <w:sz w:val="20"/>
          <w:szCs w:val="20"/>
          <w:color w:val="auto"/>
        </w:rPr>
      </w:pPr>
      <w:r>
        <w:rPr>
          <w:rFonts w:ascii="Arial" w:cs="Arial" w:eastAsia="Arial" w:hAnsi="Arial"/>
          <w:sz w:val="17"/>
          <w:szCs w:val="17"/>
          <w:color w:val="auto"/>
        </w:rPr>
        <w:t>The Company determined it had one reporting unit. There was no goodwill impairment in the six months ended June 30, 2021 or 2020.</w:t>
      </w:r>
    </w:p>
    <w:p>
      <w:pPr>
        <w:spacing w:after="0" w:line="385" w:lineRule="exact"/>
        <w:rPr>
          <w:sz w:val="20"/>
          <w:szCs w:val="20"/>
          <w:color w:val="auto"/>
        </w:rPr>
      </w:pPr>
    </w:p>
    <w:p>
      <w:pPr>
        <w:ind w:left="540" w:hanging="424"/>
        <w:spacing w:after="0"/>
        <w:tabs>
          <w:tab w:leader="none" w:pos="540" w:val="left"/>
        </w:tabs>
        <w:numPr>
          <w:ilvl w:val="0"/>
          <w:numId w:val="209"/>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Long-Term Debt</w:t>
      </w:r>
    </w:p>
    <w:p>
      <w:pPr>
        <w:spacing w:after="0" w:line="117" w:lineRule="exact"/>
        <w:rPr>
          <w:rFonts w:ascii="Arial" w:cs="Arial" w:eastAsia="Arial" w:hAnsi="Arial"/>
          <w:sz w:val="18"/>
          <w:szCs w:val="18"/>
          <w:b w:val="1"/>
          <w:bCs w:val="1"/>
          <w:color w:val="auto"/>
        </w:rPr>
      </w:pPr>
    </w:p>
    <w:p>
      <w:pPr>
        <w:ind w:left="560"/>
        <w:spacing w:after="0"/>
        <w:rPr>
          <w:rFonts w:ascii="Arial" w:cs="Arial" w:eastAsia="Arial" w:hAnsi="Arial"/>
          <w:sz w:val="18"/>
          <w:szCs w:val="18"/>
          <w:b w:val="1"/>
          <w:bCs w:val="1"/>
          <w:color w:val="auto"/>
        </w:rPr>
      </w:pPr>
      <w:r>
        <w:rPr>
          <w:rFonts w:ascii="Arial" w:cs="Arial" w:eastAsia="Arial" w:hAnsi="Arial"/>
          <w:sz w:val="18"/>
          <w:szCs w:val="18"/>
          <w:color w:val="auto"/>
        </w:rPr>
        <w:t>Long-term debt consisted of the following as of June 30, 2021 and December 31, 2020, respectively (in thousands):</w:t>
      </w:r>
    </w:p>
    <w:p>
      <w:pPr>
        <w:spacing w:after="0" w:line="244" w:lineRule="exact"/>
        <w:rPr>
          <w:sz w:val="20"/>
          <w:szCs w:val="20"/>
          <w:color w:val="auto"/>
        </w:rPr>
      </w:pPr>
    </w:p>
    <w:tbl>
      <w:tblPr>
        <w:tblLayout w:type="fixed"/>
        <w:tblInd w:w="1000" w:type="dxa"/>
        <w:tblCellMar>
          <w:top w:w="0" w:type="dxa"/>
          <w:left w:w="0" w:type="dxa"/>
          <w:bottom w:w="0" w:type="dxa"/>
          <w:right w:w="0" w:type="dxa"/>
        </w:tblCellMar>
      </w:tblPr>
      <w:tr>
        <w:trPr>
          <w:trHeight w:val="171"/>
        </w:trPr>
        <w:tc>
          <w:tcPr>
            <w:tcW w:w="374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320" w:type="dxa"/>
            <w:vAlign w:val="bottom"/>
            <w:tcBorders>
              <w:bottom w:val="single" w:sz="8" w:color="auto"/>
            </w:tcBorders>
            <w:gridSpan w:val="2"/>
          </w:tcPr>
          <w:p>
            <w:pPr>
              <w:ind w:left="60"/>
              <w:spacing w:after="0"/>
              <w:rPr>
                <w:sz w:val="20"/>
                <w:szCs w:val="20"/>
                <w:color w:val="auto"/>
              </w:rPr>
            </w:pPr>
            <w:r>
              <w:rPr>
                <w:rFonts w:ascii="Arial" w:cs="Arial" w:eastAsia="Arial" w:hAnsi="Arial"/>
                <w:sz w:val="14"/>
                <w:szCs w:val="14"/>
                <w:b w:val="1"/>
                <w:bCs w:val="1"/>
                <w:color w:val="auto"/>
              </w:rPr>
              <w:t>June 30, 2021</w:t>
            </w:r>
          </w:p>
        </w:tc>
        <w:tc>
          <w:tcPr>
            <w:tcW w:w="36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3"/>
        </w:trPr>
        <w:tc>
          <w:tcPr>
            <w:tcW w:w="3740" w:type="dxa"/>
            <w:vAlign w:val="bottom"/>
          </w:tcPr>
          <w:p>
            <w:pPr>
              <w:spacing w:after="0"/>
              <w:rPr>
                <w:sz w:val="10"/>
                <w:szCs w:val="10"/>
                <w:color w:val="auto"/>
              </w:rPr>
            </w:pPr>
          </w:p>
        </w:tc>
        <w:tc>
          <w:tcPr>
            <w:tcW w:w="13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180" w:type="dxa"/>
            <w:vAlign w:val="bottom"/>
            <w:gridSpan w:val="4"/>
          </w:tcPr>
          <w:p>
            <w:pPr>
              <w:ind w:left="720"/>
              <w:spacing w:after="0" w:line="123" w:lineRule="exact"/>
              <w:rPr>
                <w:sz w:val="20"/>
                <w:szCs w:val="20"/>
                <w:color w:val="auto"/>
              </w:rPr>
            </w:pPr>
            <w:r>
              <w:rPr>
                <w:rFonts w:ascii="Arial" w:cs="Arial" w:eastAsia="Arial" w:hAnsi="Arial"/>
                <w:sz w:val="14"/>
                <w:szCs w:val="14"/>
                <w:color w:val="auto"/>
              </w:rPr>
              <w:t>Unamortized debt</w:t>
            </w:r>
          </w:p>
        </w:tc>
        <w:tc>
          <w:tcPr>
            <w:tcW w:w="3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374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460" w:type="dxa"/>
            <w:vAlign w:val="bottom"/>
            <w:gridSpan w:val="3"/>
          </w:tcPr>
          <w:p>
            <w:pPr>
              <w:ind w:left="60"/>
              <w:spacing w:after="0" w:line="149" w:lineRule="exact"/>
              <w:rPr>
                <w:sz w:val="20"/>
                <w:szCs w:val="20"/>
                <w:color w:val="auto"/>
              </w:rPr>
            </w:pPr>
            <w:r>
              <w:rPr>
                <w:rFonts w:ascii="Arial" w:cs="Arial" w:eastAsia="Arial" w:hAnsi="Arial"/>
                <w:sz w:val="14"/>
                <w:szCs w:val="14"/>
                <w:color w:val="auto"/>
              </w:rPr>
              <w:t>Issuance costs /</w:t>
            </w:r>
          </w:p>
        </w:tc>
        <w:tc>
          <w:tcPr>
            <w:tcW w:w="3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374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700" w:type="dxa"/>
            <w:vAlign w:val="bottom"/>
          </w:tcPr>
          <w:p>
            <w:pPr>
              <w:jc w:val="right"/>
              <w:ind w:right="16"/>
              <w:spacing w:after="0"/>
              <w:rPr>
                <w:sz w:val="20"/>
                <w:szCs w:val="20"/>
                <w:color w:val="auto"/>
              </w:rPr>
            </w:pPr>
            <w:r>
              <w:rPr>
                <w:rFonts w:ascii="Arial" w:cs="Arial" w:eastAsia="Arial" w:hAnsi="Arial"/>
                <w:sz w:val="14"/>
                <w:szCs w:val="14"/>
                <w:color w:val="auto"/>
              </w:rPr>
              <w:t>Principal</w:t>
            </w:r>
          </w:p>
        </w:tc>
        <w:tc>
          <w:tcPr>
            <w:tcW w:w="720" w:type="dxa"/>
            <w:vAlign w:val="bottom"/>
          </w:tcPr>
          <w:p>
            <w:pPr>
              <w:spacing w:after="0"/>
              <w:rPr>
                <w:sz w:val="14"/>
                <w:szCs w:val="14"/>
                <w:color w:val="auto"/>
              </w:rPr>
            </w:pPr>
          </w:p>
        </w:tc>
        <w:tc>
          <w:tcPr>
            <w:tcW w:w="1460" w:type="dxa"/>
            <w:vAlign w:val="bottom"/>
            <w:gridSpan w:val="3"/>
          </w:tcPr>
          <w:p>
            <w:pPr>
              <w:jc w:val="right"/>
              <w:ind w:right="520"/>
              <w:spacing w:after="0"/>
              <w:rPr>
                <w:sz w:val="20"/>
                <w:szCs w:val="20"/>
                <w:color w:val="auto"/>
              </w:rPr>
            </w:pPr>
            <w:r>
              <w:rPr>
                <w:rFonts w:ascii="Arial" w:cs="Arial" w:eastAsia="Arial" w:hAnsi="Arial"/>
                <w:sz w:val="14"/>
                <w:szCs w:val="14"/>
                <w:color w:val="auto"/>
                <w:w w:val="99"/>
              </w:rPr>
              <w:t>financing costs</w:t>
            </w:r>
          </w:p>
        </w:tc>
        <w:tc>
          <w:tcPr>
            <w:tcW w:w="1260" w:type="dxa"/>
            <w:vAlign w:val="bottom"/>
            <w:gridSpan w:val="4"/>
          </w:tcPr>
          <w:p>
            <w:pPr>
              <w:ind w:left="360"/>
              <w:spacing w:after="0"/>
              <w:rPr>
                <w:sz w:val="20"/>
                <w:szCs w:val="20"/>
                <w:color w:val="auto"/>
              </w:rPr>
            </w:pPr>
            <w:r>
              <w:rPr>
                <w:rFonts w:ascii="Arial" w:cs="Arial" w:eastAsia="Arial" w:hAnsi="Arial"/>
                <w:sz w:val="14"/>
                <w:szCs w:val="14"/>
                <w:color w:val="auto"/>
                <w:w w:val="98"/>
              </w:rPr>
              <w:t>Total debt, net</w:t>
            </w:r>
          </w:p>
        </w:tc>
        <w:tc>
          <w:tcPr>
            <w:tcW w:w="0" w:type="dxa"/>
            <w:vAlign w:val="bottom"/>
          </w:tcPr>
          <w:p>
            <w:pPr>
              <w:spacing w:after="0"/>
              <w:rPr>
                <w:sz w:val="1"/>
                <w:szCs w:val="1"/>
                <w:color w:val="auto"/>
              </w:rPr>
            </w:pPr>
          </w:p>
        </w:tc>
      </w:tr>
      <w:tr>
        <w:trPr>
          <w:trHeight w:val="210"/>
        </w:trPr>
        <w:tc>
          <w:tcPr>
            <w:tcW w:w="37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2019 Term Note</w:t>
            </w:r>
          </w:p>
        </w:tc>
        <w:tc>
          <w:tcPr>
            <w:tcW w:w="138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$442,125</w:t>
            </w:r>
          </w:p>
        </w:tc>
        <w:tc>
          <w:tcPr>
            <w:tcW w:w="7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(9,884)</w:t>
            </w:r>
          </w:p>
        </w:tc>
        <w:tc>
          <w:tcPr>
            <w:tcW w:w="42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432,241</w:t>
            </w: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40" w:type="dxa"/>
            <w:vAlign w:val="bottom"/>
          </w:tcPr>
          <w:p>
            <w:pPr>
              <w:spacing w:after="0"/>
              <w:rPr>
                <w:sz w:val="20"/>
                <w:szCs w:val="20"/>
                <w:color w:val="auto"/>
              </w:rPr>
            </w:pPr>
            <w:r>
              <w:rPr>
                <w:rFonts w:ascii="Arial" w:cs="Arial" w:eastAsia="Arial" w:hAnsi="Arial"/>
                <w:sz w:val="18"/>
                <w:szCs w:val="18"/>
                <w:color w:val="auto"/>
              </w:rPr>
              <w:t>Paid in kind interest on 2019 Term Note</w:t>
            </w:r>
          </w:p>
        </w:tc>
        <w:tc>
          <w:tcPr>
            <w:tcW w:w="2080" w:type="dxa"/>
            <w:vAlign w:val="bottom"/>
            <w:gridSpan w:val="2"/>
          </w:tcPr>
          <w:p>
            <w:pPr>
              <w:jc w:val="right"/>
              <w:spacing w:after="0"/>
              <w:rPr>
                <w:sz w:val="20"/>
                <w:szCs w:val="20"/>
                <w:color w:val="auto"/>
              </w:rPr>
            </w:pPr>
            <w:r>
              <w:rPr>
                <w:rFonts w:ascii="Arial" w:cs="Arial" w:eastAsia="Arial" w:hAnsi="Arial"/>
                <w:sz w:val="18"/>
                <w:szCs w:val="18"/>
                <w:color w:val="auto"/>
              </w:rPr>
              <w:t>10,412</w:t>
            </w:r>
          </w:p>
        </w:tc>
        <w:tc>
          <w:tcPr>
            <w:tcW w:w="7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gridSpan w:val="2"/>
          </w:tcPr>
          <w:p>
            <w:pPr>
              <w:jc w:val="right"/>
              <w:ind w:right="52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10,412</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40" w:type="dxa"/>
            <w:vAlign w:val="bottom"/>
            <w:shd w:val="clear" w:color="auto" w:fill="CCEEFF"/>
          </w:tcPr>
          <w:p>
            <w:pPr>
              <w:spacing w:after="0"/>
              <w:rPr>
                <w:sz w:val="20"/>
                <w:szCs w:val="20"/>
                <w:color w:val="auto"/>
              </w:rPr>
            </w:pPr>
            <w:r>
              <w:rPr>
                <w:rFonts w:ascii="Arial" w:cs="Arial" w:eastAsia="Arial" w:hAnsi="Arial"/>
                <w:sz w:val="18"/>
                <w:szCs w:val="18"/>
                <w:color w:val="auto"/>
              </w:rPr>
              <w:t>2019 Delayed Draw Term Note</w:t>
            </w:r>
          </w:p>
        </w:tc>
        <w:tc>
          <w:tcPr>
            <w:tcW w:w="2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17,865</w:t>
            </w:r>
          </w:p>
        </w:tc>
        <w:tc>
          <w:tcPr>
            <w:tcW w:w="7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17,865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3740" w:type="dxa"/>
            <w:vAlign w:val="bottom"/>
          </w:tcPr>
          <w:p>
            <w:pPr>
              <w:spacing w:after="0"/>
              <w:rPr>
                <w:sz w:val="20"/>
                <w:szCs w:val="20"/>
                <w:color w:val="auto"/>
              </w:rPr>
            </w:pPr>
            <w:r>
              <w:rPr>
                <w:rFonts w:ascii="Arial" w:cs="Arial" w:eastAsia="Arial" w:hAnsi="Arial"/>
                <w:sz w:val="18"/>
                <w:szCs w:val="18"/>
                <w:color w:val="auto"/>
              </w:rPr>
              <w:t>Total debt</w:t>
            </w:r>
          </w:p>
        </w:tc>
        <w:tc>
          <w:tcPr>
            <w:tcW w:w="1380" w:type="dxa"/>
            <w:vAlign w:val="bottom"/>
          </w:tcPr>
          <w:p>
            <w:pPr>
              <w:spacing w:after="0"/>
              <w:rPr>
                <w:sz w:val="19"/>
                <w:szCs w:val="19"/>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470,402</w:t>
            </w:r>
          </w:p>
        </w:tc>
        <w:tc>
          <w:tcPr>
            <w:tcW w:w="72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(9,884)</w:t>
            </w:r>
          </w:p>
        </w:tc>
        <w:tc>
          <w:tcPr>
            <w:tcW w:w="4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6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w:t>
            </w: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460,518</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74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740" w:type="dxa"/>
            <w:vAlign w:val="bottom"/>
            <w:shd w:val="clear" w:color="auto" w:fill="CCEEFF"/>
          </w:tcPr>
          <w:p>
            <w:pPr>
              <w:spacing w:after="0"/>
              <w:rPr>
                <w:sz w:val="20"/>
                <w:szCs w:val="20"/>
                <w:color w:val="auto"/>
              </w:rPr>
            </w:pPr>
            <w:r>
              <w:rPr>
                <w:rFonts w:ascii="Arial" w:cs="Arial" w:eastAsia="Arial" w:hAnsi="Arial"/>
                <w:sz w:val="18"/>
                <w:szCs w:val="18"/>
                <w:color w:val="auto"/>
              </w:rPr>
              <w:t>Less: current portion of long-term debt</w:t>
            </w:r>
          </w:p>
        </w:tc>
        <w:tc>
          <w:tcPr>
            <w:tcW w:w="13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4,680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3740" w:type="dxa"/>
            <w:vAlign w:val="bottom"/>
          </w:tcPr>
          <w:p>
            <w:pPr>
              <w:spacing w:after="0"/>
              <w:rPr>
                <w:sz w:val="20"/>
                <w:szCs w:val="20"/>
                <w:color w:val="auto"/>
              </w:rPr>
            </w:pPr>
            <w:r>
              <w:rPr>
                <w:rFonts w:ascii="Arial" w:cs="Arial" w:eastAsia="Arial" w:hAnsi="Arial"/>
                <w:sz w:val="18"/>
                <w:szCs w:val="18"/>
                <w:color w:val="auto"/>
              </w:rPr>
              <w:t>Long-term debt</w:t>
            </w:r>
          </w:p>
        </w:tc>
        <w:tc>
          <w:tcPr>
            <w:tcW w:w="13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455,838</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740" w:type="dxa"/>
            <w:vAlign w:val="bottom"/>
          </w:tcPr>
          <w:p>
            <w:pPr>
              <w:spacing w:after="0" w:line="20" w:lineRule="exact"/>
              <w:rPr>
                <w:sz w:val="1"/>
                <w:szCs w:val="1"/>
                <w:color w:val="auto"/>
              </w:rPr>
            </w:pPr>
          </w:p>
        </w:tc>
        <w:tc>
          <w:tcPr>
            <w:tcW w:w="2080" w:type="dxa"/>
            <w:vAlign w:val="bottom"/>
            <w:gridSpan w:val="2"/>
            <w:vMerge w:val="restart"/>
          </w:tcPr>
          <w:p>
            <w:pPr>
              <w:jc w:val="right"/>
              <w:ind w:right="836"/>
              <w:spacing w:after="0"/>
              <w:rPr>
                <w:sz w:val="20"/>
                <w:szCs w:val="20"/>
                <w:color w:val="auto"/>
              </w:rPr>
            </w:pPr>
            <w:r>
              <w:rPr>
                <w:rFonts w:ascii="Arial" w:cs="Arial" w:eastAsia="Arial" w:hAnsi="Arial"/>
                <w:sz w:val="18"/>
                <w:szCs w:val="18"/>
                <w:color w:val="auto"/>
              </w:rPr>
              <w:t>F-67</w:t>
            </w:r>
          </w:p>
        </w:tc>
        <w:tc>
          <w:tcPr>
            <w:tcW w:w="7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3740" w:type="dxa"/>
            <w:vAlign w:val="bottom"/>
          </w:tcPr>
          <w:p>
            <w:pPr>
              <w:spacing w:after="0"/>
              <w:rPr>
                <w:sz w:val="24"/>
                <w:szCs w:val="24"/>
                <w:color w:val="auto"/>
              </w:rPr>
            </w:pPr>
          </w:p>
        </w:tc>
        <w:tc>
          <w:tcPr>
            <w:tcW w:w="2080" w:type="dxa"/>
            <w:vAlign w:val="bottom"/>
            <w:gridSpan w:val="2"/>
            <w:vMerge w:val="continue"/>
          </w:tcPr>
          <w:p>
            <w:pPr>
              <w:spacing w:after="0"/>
              <w:rPr>
                <w:sz w:val="24"/>
                <w:szCs w:val="24"/>
                <w:color w:val="auto"/>
              </w:rPr>
            </w:pPr>
          </w:p>
        </w:tc>
        <w:tc>
          <w:tcPr>
            <w:tcW w:w="7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100"/>
          </w:cols>
          <w:pgMar w:left="320" w:top="459" w:right="479" w:bottom="1440" w:gutter="0" w:footer="0" w:header="0"/>
        </w:sectPr>
      </w:pPr>
    </w:p>
    <w:bookmarkStart w:id="273" w:name="page274"/>
    <w:bookmarkEnd w:id="27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52" name="Picture 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
                    <pic:cNvPicPr>
                      <a:picLocks noChangeAspect="1" noChangeArrowheads="1"/>
                    </pic:cNvPicPr>
                  </pic:nvPicPr>
                  <pic:blipFill>
                    <a:blip r:embed="rId359">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Confidential Treatment Requested by Definitive Healthcare Corp.</w:t>
      </w:r>
    </w:p>
    <w:p>
      <w:pPr>
        <w:spacing w:after="0" w:line="27"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Pursuant to 17 C.F.R. Section 200.83</w:t>
      </w:r>
    </w:p>
    <w:p>
      <w:pPr>
        <w:spacing w:after="0" w:line="135" w:lineRule="exact"/>
        <w:rPr>
          <w:sz w:val="20"/>
          <w:szCs w:val="20"/>
          <w:color w:val="auto"/>
        </w:rPr>
      </w:pPr>
    </w:p>
    <w:tbl>
      <w:tblPr>
        <w:tblLayout w:type="fixed"/>
        <w:tblInd w:w="1000" w:type="dxa"/>
        <w:tblCellMar>
          <w:top w:w="0" w:type="dxa"/>
          <w:left w:w="0" w:type="dxa"/>
          <w:bottom w:w="0" w:type="dxa"/>
          <w:right w:w="0" w:type="dxa"/>
        </w:tblCellMar>
      </w:tblPr>
      <w:tr>
        <w:trPr>
          <w:trHeight w:val="171"/>
        </w:trPr>
        <w:tc>
          <w:tcPr>
            <w:tcW w:w="408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1740" w:type="dxa"/>
            <w:vAlign w:val="bottom"/>
            <w:tcBorders>
              <w:bottom w:val="single" w:sz="8" w:color="auto"/>
            </w:tcBorders>
            <w:gridSpan w:val="3"/>
          </w:tcPr>
          <w:p>
            <w:pPr>
              <w:ind w:left="40"/>
              <w:spacing w:after="0"/>
              <w:rPr>
                <w:sz w:val="20"/>
                <w:szCs w:val="20"/>
                <w:color w:val="auto"/>
              </w:rPr>
            </w:pPr>
            <w:r>
              <w:rPr>
                <w:rFonts w:ascii="Arial" w:cs="Arial" w:eastAsia="Arial" w:hAnsi="Arial"/>
                <w:sz w:val="14"/>
                <w:szCs w:val="14"/>
                <w:b w:val="1"/>
                <w:bCs w:val="1"/>
                <w:color w:val="auto"/>
              </w:rPr>
              <w:t>December 31, 2020</w:t>
            </w:r>
          </w:p>
        </w:tc>
        <w:tc>
          <w:tcPr>
            <w:tcW w:w="2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r>
      <w:tr>
        <w:trPr>
          <w:trHeight w:val="123"/>
        </w:trPr>
        <w:tc>
          <w:tcPr>
            <w:tcW w:w="4080" w:type="dxa"/>
            <w:vAlign w:val="bottom"/>
          </w:tcPr>
          <w:p>
            <w:pPr>
              <w:spacing w:after="0"/>
              <w:rPr>
                <w:sz w:val="10"/>
                <w:szCs w:val="10"/>
                <w:color w:val="auto"/>
              </w:rPr>
            </w:pPr>
          </w:p>
        </w:tc>
        <w:tc>
          <w:tcPr>
            <w:tcW w:w="12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380" w:type="dxa"/>
            <w:vAlign w:val="bottom"/>
            <w:gridSpan w:val="4"/>
          </w:tcPr>
          <w:p>
            <w:pPr>
              <w:ind w:left="640"/>
              <w:spacing w:after="0" w:line="123" w:lineRule="exact"/>
              <w:rPr>
                <w:sz w:val="20"/>
                <w:szCs w:val="20"/>
                <w:color w:val="auto"/>
              </w:rPr>
            </w:pPr>
            <w:r>
              <w:rPr>
                <w:rFonts w:ascii="Arial" w:cs="Arial" w:eastAsia="Arial" w:hAnsi="Arial"/>
                <w:sz w:val="14"/>
                <w:szCs w:val="14"/>
                <w:color w:val="auto"/>
              </w:rPr>
              <w:t>Unamortized debt</w:t>
            </w:r>
          </w:p>
        </w:tc>
        <w:tc>
          <w:tcPr>
            <w:tcW w:w="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60" w:type="dxa"/>
            <w:vAlign w:val="bottom"/>
          </w:tcPr>
          <w:p>
            <w:pPr>
              <w:spacing w:after="0"/>
              <w:rPr>
                <w:sz w:val="10"/>
                <w:szCs w:val="10"/>
                <w:color w:val="auto"/>
              </w:rPr>
            </w:pPr>
          </w:p>
        </w:tc>
      </w:tr>
      <w:tr>
        <w:trPr>
          <w:trHeight w:val="148"/>
        </w:trPr>
        <w:tc>
          <w:tcPr>
            <w:tcW w:w="408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740" w:type="dxa"/>
            <w:vAlign w:val="bottom"/>
            <w:gridSpan w:val="3"/>
          </w:tcPr>
          <w:p>
            <w:pPr>
              <w:ind w:left="80"/>
              <w:spacing w:after="0" w:line="149" w:lineRule="exact"/>
              <w:rPr>
                <w:sz w:val="20"/>
                <w:szCs w:val="20"/>
                <w:color w:val="auto"/>
              </w:rPr>
            </w:pPr>
            <w:r>
              <w:rPr>
                <w:rFonts w:ascii="Arial" w:cs="Arial" w:eastAsia="Arial" w:hAnsi="Arial"/>
                <w:sz w:val="14"/>
                <w:szCs w:val="14"/>
                <w:color w:val="auto"/>
              </w:rPr>
              <w:t>issuance costs /</w:t>
            </w: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60" w:type="dxa"/>
            <w:vAlign w:val="bottom"/>
          </w:tcPr>
          <w:p>
            <w:pPr>
              <w:spacing w:after="0"/>
              <w:rPr>
                <w:sz w:val="12"/>
                <w:szCs w:val="12"/>
                <w:color w:val="auto"/>
              </w:rPr>
            </w:pPr>
          </w:p>
        </w:tc>
      </w:tr>
      <w:tr>
        <w:trPr>
          <w:trHeight w:val="167"/>
        </w:trPr>
        <w:tc>
          <w:tcPr>
            <w:tcW w:w="408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700" w:type="dxa"/>
            <w:vAlign w:val="bottom"/>
          </w:tcPr>
          <w:p>
            <w:pPr>
              <w:jc w:val="right"/>
              <w:ind w:right="16"/>
              <w:spacing w:after="0"/>
              <w:rPr>
                <w:sz w:val="20"/>
                <w:szCs w:val="20"/>
                <w:color w:val="auto"/>
              </w:rPr>
            </w:pPr>
            <w:r>
              <w:rPr>
                <w:rFonts w:ascii="Arial" w:cs="Arial" w:eastAsia="Arial" w:hAnsi="Arial"/>
                <w:sz w:val="14"/>
                <w:szCs w:val="14"/>
                <w:color w:val="auto"/>
              </w:rPr>
              <w:t>Principal</w:t>
            </w:r>
          </w:p>
        </w:tc>
        <w:tc>
          <w:tcPr>
            <w:tcW w:w="640" w:type="dxa"/>
            <w:vAlign w:val="bottom"/>
          </w:tcPr>
          <w:p>
            <w:pPr>
              <w:spacing w:after="0"/>
              <w:rPr>
                <w:sz w:val="14"/>
                <w:szCs w:val="14"/>
                <w:color w:val="auto"/>
              </w:rPr>
            </w:pPr>
          </w:p>
        </w:tc>
        <w:tc>
          <w:tcPr>
            <w:tcW w:w="1740" w:type="dxa"/>
            <w:vAlign w:val="bottom"/>
            <w:gridSpan w:val="3"/>
          </w:tcPr>
          <w:p>
            <w:pPr>
              <w:jc w:val="right"/>
              <w:ind w:right="800"/>
              <w:spacing w:after="0"/>
              <w:rPr>
                <w:sz w:val="20"/>
                <w:szCs w:val="20"/>
                <w:color w:val="auto"/>
              </w:rPr>
            </w:pPr>
            <w:r>
              <w:rPr>
                <w:rFonts w:ascii="Arial" w:cs="Arial" w:eastAsia="Arial" w:hAnsi="Arial"/>
                <w:sz w:val="14"/>
                <w:szCs w:val="14"/>
                <w:color w:val="auto"/>
                <w:w w:val="99"/>
              </w:rPr>
              <w:t>financing costs</w:t>
            </w:r>
          </w:p>
        </w:tc>
        <w:tc>
          <w:tcPr>
            <w:tcW w:w="900" w:type="dxa"/>
            <w:vAlign w:val="bottom"/>
            <w:gridSpan w:val="4"/>
          </w:tcPr>
          <w:p>
            <w:pPr>
              <w:spacing w:after="0"/>
              <w:rPr>
                <w:sz w:val="20"/>
                <w:szCs w:val="20"/>
                <w:color w:val="auto"/>
              </w:rPr>
            </w:pPr>
            <w:r>
              <w:rPr>
                <w:rFonts w:ascii="Arial" w:cs="Arial" w:eastAsia="Arial" w:hAnsi="Arial"/>
                <w:sz w:val="14"/>
                <w:szCs w:val="14"/>
                <w:color w:val="auto"/>
                <w:w w:val="98"/>
              </w:rPr>
              <w:t>Total debt, net</w:t>
            </w:r>
          </w:p>
        </w:tc>
      </w:tr>
      <w:tr>
        <w:trPr>
          <w:trHeight w:val="209"/>
        </w:trPr>
        <w:tc>
          <w:tcPr>
            <w:tcW w:w="40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2019 Term Note</w:t>
            </w:r>
          </w:p>
        </w:tc>
        <w:tc>
          <w:tcPr>
            <w:tcW w:w="120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$444,375</w:t>
            </w:r>
          </w:p>
        </w:tc>
        <w:tc>
          <w:tcPr>
            <w:tcW w:w="64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(10,865)</w:t>
            </w:r>
          </w:p>
        </w:tc>
        <w:tc>
          <w:tcPr>
            <w:tcW w:w="70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433,510</w:t>
            </w:r>
          </w:p>
        </w:tc>
        <w:tc>
          <w:tcPr>
            <w:tcW w:w="60" w:type="dxa"/>
            <w:vAlign w:val="bottom"/>
            <w:tcBorders>
              <w:top w:val="single" w:sz="8" w:color="CCEEFF"/>
            </w:tcBorders>
            <w:shd w:val="clear" w:color="auto" w:fill="CCEEFF"/>
          </w:tcPr>
          <w:p>
            <w:pPr>
              <w:spacing w:after="0"/>
              <w:rPr>
                <w:sz w:val="18"/>
                <w:szCs w:val="18"/>
                <w:color w:val="auto"/>
              </w:rPr>
            </w:pPr>
          </w:p>
        </w:tc>
      </w:tr>
      <w:tr>
        <w:trPr>
          <w:trHeight w:val="216"/>
        </w:trPr>
        <w:tc>
          <w:tcPr>
            <w:tcW w:w="4080" w:type="dxa"/>
            <w:vAlign w:val="bottom"/>
          </w:tcPr>
          <w:p>
            <w:pPr>
              <w:spacing w:after="0"/>
              <w:rPr>
                <w:sz w:val="20"/>
                <w:szCs w:val="20"/>
                <w:color w:val="auto"/>
              </w:rPr>
            </w:pPr>
            <w:r>
              <w:rPr>
                <w:rFonts w:ascii="Arial" w:cs="Arial" w:eastAsia="Arial" w:hAnsi="Arial"/>
                <w:sz w:val="18"/>
                <w:szCs w:val="18"/>
                <w:color w:val="auto"/>
              </w:rPr>
              <w:t>Paid in kind interest on 2019 Term Note</w:t>
            </w:r>
          </w:p>
        </w:tc>
        <w:tc>
          <w:tcPr>
            <w:tcW w:w="1900" w:type="dxa"/>
            <w:vAlign w:val="bottom"/>
            <w:gridSpan w:val="2"/>
          </w:tcPr>
          <w:p>
            <w:pPr>
              <w:jc w:val="right"/>
              <w:spacing w:after="0"/>
              <w:rPr>
                <w:sz w:val="20"/>
                <w:szCs w:val="20"/>
                <w:color w:val="auto"/>
              </w:rPr>
            </w:pPr>
            <w:r>
              <w:rPr>
                <w:rFonts w:ascii="Arial" w:cs="Arial" w:eastAsia="Arial" w:hAnsi="Arial"/>
                <w:sz w:val="18"/>
                <w:szCs w:val="18"/>
                <w:color w:val="auto"/>
              </w:rPr>
              <w:t>10,412</w:t>
            </w:r>
          </w:p>
        </w:tc>
        <w:tc>
          <w:tcPr>
            <w:tcW w:w="6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60" w:type="dxa"/>
            <w:vAlign w:val="bottom"/>
            <w:gridSpan w:val="2"/>
          </w:tcPr>
          <w:p>
            <w:pPr>
              <w:jc w:val="right"/>
              <w:ind w:right="80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10,412</w:t>
            </w:r>
          </w:p>
        </w:tc>
        <w:tc>
          <w:tcPr>
            <w:tcW w:w="60" w:type="dxa"/>
            <w:vAlign w:val="bottom"/>
          </w:tcPr>
          <w:p>
            <w:pPr>
              <w:spacing w:after="0"/>
              <w:rPr>
                <w:sz w:val="18"/>
                <w:szCs w:val="18"/>
                <w:color w:val="auto"/>
              </w:rPr>
            </w:pPr>
          </w:p>
        </w:tc>
      </w:tr>
      <w:tr>
        <w:trPr>
          <w:trHeight w:val="216"/>
        </w:trPr>
        <w:tc>
          <w:tcPr>
            <w:tcW w:w="4080" w:type="dxa"/>
            <w:vAlign w:val="bottom"/>
            <w:shd w:val="clear" w:color="auto" w:fill="CCEEFF"/>
          </w:tcPr>
          <w:p>
            <w:pPr>
              <w:spacing w:after="0"/>
              <w:rPr>
                <w:sz w:val="20"/>
                <w:szCs w:val="20"/>
                <w:color w:val="auto"/>
              </w:rPr>
            </w:pPr>
            <w:r>
              <w:rPr>
                <w:rFonts w:ascii="Arial" w:cs="Arial" w:eastAsia="Arial" w:hAnsi="Arial"/>
                <w:sz w:val="18"/>
                <w:szCs w:val="18"/>
                <w:color w:val="auto"/>
              </w:rPr>
              <w:t>2019 Delayed Draw Term Note</w:t>
            </w:r>
          </w:p>
        </w:tc>
        <w:tc>
          <w:tcPr>
            <w:tcW w:w="1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17,955</w:t>
            </w:r>
          </w:p>
        </w:tc>
        <w:tc>
          <w:tcPr>
            <w:tcW w:w="6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80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17,955</w:t>
            </w:r>
          </w:p>
        </w:tc>
        <w:tc>
          <w:tcPr>
            <w:tcW w:w="60" w:type="dxa"/>
            <w:vAlign w:val="bottom"/>
            <w:shd w:val="clear" w:color="auto" w:fill="CCEEFF"/>
          </w:tcPr>
          <w:p>
            <w:pPr>
              <w:spacing w:after="0"/>
              <w:rPr>
                <w:sz w:val="18"/>
                <w:szCs w:val="18"/>
                <w:color w:val="auto"/>
              </w:rPr>
            </w:pPr>
          </w:p>
        </w:tc>
      </w:tr>
      <w:tr>
        <w:trPr>
          <w:trHeight w:val="223"/>
        </w:trPr>
        <w:tc>
          <w:tcPr>
            <w:tcW w:w="4080" w:type="dxa"/>
            <w:vAlign w:val="bottom"/>
          </w:tcPr>
          <w:p>
            <w:pPr>
              <w:ind w:left="360"/>
              <w:spacing w:after="0"/>
              <w:rPr>
                <w:sz w:val="20"/>
                <w:szCs w:val="20"/>
                <w:color w:val="auto"/>
              </w:rPr>
            </w:pPr>
            <w:r>
              <w:rPr>
                <w:rFonts w:ascii="Arial" w:cs="Arial" w:eastAsia="Arial" w:hAnsi="Arial"/>
                <w:sz w:val="18"/>
                <w:szCs w:val="18"/>
                <w:color w:val="auto"/>
              </w:rPr>
              <w:t>Total debt</w:t>
            </w:r>
          </w:p>
        </w:tc>
        <w:tc>
          <w:tcPr>
            <w:tcW w:w="1200" w:type="dxa"/>
            <w:vAlign w:val="bottom"/>
          </w:tcPr>
          <w:p>
            <w:pPr>
              <w:spacing w:after="0"/>
              <w:rPr>
                <w:sz w:val="19"/>
                <w:szCs w:val="19"/>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472,742</w:t>
            </w:r>
          </w:p>
        </w:tc>
        <w:tc>
          <w:tcPr>
            <w:tcW w:w="640" w:type="dxa"/>
            <w:vAlign w:val="bottom"/>
          </w:tcPr>
          <w:p>
            <w:pPr>
              <w:spacing w:after="0"/>
              <w:rPr>
                <w:sz w:val="19"/>
                <w:szCs w:val="19"/>
                <w:color w:val="auto"/>
              </w:rPr>
            </w:pPr>
          </w:p>
        </w:tc>
        <w:tc>
          <w:tcPr>
            <w:tcW w:w="28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(10,865)</w:t>
            </w: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461,877</w:t>
            </w:r>
          </w:p>
        </w:tc>
        <w:tc>
          <w:tcPr>
            <w:tcW w:w="60" w:type="dxa"/>
            <w:vAlign w:val="bottom"/>
          </w:tcPr>
          <w:p>
            <w:pPr>
              <w:spacing w:after="0"/>
              <w:rPr>
                <w:sz w:val="19"/>
                <w:szCs w:val="19"/>
                <w:color w:val="auto"/>
              </w:rPr>
            </w:pPr>
          </w:p>
        </w:tc>
      </w:tr>
      <w:tr>
        <w:trPr>
          <w:trHeight w:val="20"/>
        </w:trPr>
        <w:tc>
          <w:tcPr>
            <w:tcW w:w="40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10"/>
        </w:trPr>
        <w:tc>
          <w:tcPr>
            <w:tcW w:w="4080" w:type="dxa"/>
            <w:vAlign w:val="bottom"/>
            <w:shd w:val="clear" w:color="auto" w:fill="CCEEFF"/>
          </w:tcPr>
          <w:p>
            <w:pPr>
              <w:spacing w:after="0"/>
              <w:rPr>
                <w:sz w:val="20"/>
                <w:szCs w:val="20"/>
                <w:color w:val="auto"/>
              </w:rPr>
            </w:pPr>
            <w:r>
              <w:rPr>
                <w:rFonts w:ascii="Arial" w:cs="Arial" w:eastAsia="Arial" w:hAnsi="Arial"/>
                <w:sz w:val="18"/>
                <w:szCs w:val="18"/>
                <w:color w:val="auto"/>
              </w:rPr>
              <w:t>Less: current portion of long-term debt</w:t>
            </w:r>
          </w:p>
        </w:tc>
        <w:tc>
          <w:tcPr>
            <w:tcW w:w="12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4,680</w:t>
            </w:r>
          </w:p>
        </w:tc>
        <w:tc>
          <w:tcPr>
            <w:tcW w:w="60" w:type="dxa"/>
            <w:vAlign w:val="bottom"/>
            <w:shd w:val="clear" w:color="auto" w:fill="CCEEFF"/>
          </w:tcPr>
          <w:p>
            <w:pPr>
              <w:spacing w:after="0"/>
              <w:rPr>
                <w:sz w:val="18"/>
                <w:szCs w:val="18"/>
                <w:color w:val="auto"/>
              </w:rPr>
            </w:pPr>
          </w:p>
        </w:tc>
      </w:tr>
      <w:tr>
        <w:trPr>
          <w:trHeight w:val="223"/>
        </w:trPr>
        <w:tc>
          <w:tcPr>
            <w:tcW w:w="4080" w:type="dxa"/>
            <w:vAlign w:val="bottom"/>
          </w:tcPr>
          <w:p>
            <w:pPr>
              <w:spacing w:after="0"/>
              <w:rPr>
                <w:sz w:val="20"/>
                <w:szCs w:val="20"/>
                <w:color w:val="auto"/>
              </w:rPr>
            </w:pPr>
            <w:r>
              <w:rPr>
                <w:rFonts w:ascii="Arial" w:cs="Arial" w:eastAsia="Arial" w:hAnsi="Arial"/>
                <w:sz w:val="18"/>
                <w:szCs w:val="18"/>
                <w:color w:val="auto"/>
              </w:rPr>
              <w:t>Long-term debt</w:t>
            </w:r>
          </w:p>
        </w:tc>
        <w:tc>
          <w:tcPr>
            <w:tcW w:w="12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457,197</w:t>
            </w:r>
          </w:p>
        </w:tc>
        <w:tc>
          <w:tcPr>
            <w:tcW w:w="60" w:type="dxa"/>
            <w:vAlign w:val="bottom"/>
          </w:tcPr>
          <w:p>
            <w:pPr>
              <w:spacing w:after="0"/>
              <w:rPr>
                <w:sz w:val="19"/>
                <w:szCs w:val="19"/>
                <w:color w:val="auto"/>
              </w:rPr>
            </w:pPr>
          </w:p>
        </w:tc>
      </w:tr>
      <w:tr>
        <w:trPr>
          <w:trHeight w:val="20"/>
        </w:trPr>
        <w:tc>
          <w:tcPr>
            <w:tcW w:w="40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323" w:lineRule="exact"/>
        <w:rPr>
          <w:sz w:val="20"/>
          <w:szCs w:val="20"/>
          <w:color w:val="auto"/>
        </w:rPr>
      </w:pPr>
    </w:p>
    <w:p>
      <w:pPr>
        <w:ind w:left="560"/>
        <w:spacing w:after="0"/>
        <w:rPr>
          <w:sz w:val="20"/>
          <w:szCs w:val="20"/>
          <w:color w:val="auto"/>
        </w:rPr>
      </w:pPr>
      <w:r>
        <w:rPr>
          <w:rFonts w:ascii="Arial" w:cs="Arial" w:eastAsia="Arial" w:hAnsi="Arial"/>
          <w:sz w:val="18"/>
          <w:szCs w:val="18"/>
          <w:u w:val="single" w:color="auto"/>
          <w:color w:val="auto"/>
        </w:rPr>
        <w:t>Term Loan Payable</w:t>
      </w:r>
    </w:p>
    <w:p>
      <w:pPr>
        <w:spacing w:after="0" w:line="117" w:lineRule="exact"/>
        <w:rPr>
          <w:sz w:val="20"/>
          <w:szCs w:val="20"/>
          <w:color w:val="auto"/>
        </w:rPr>
      </w:pPr>
    </w:p>
    <w:p>
      <w:pPr>
        <w:ind w:left="120" w:firstLine="440"/>
        <w:spacing w:after="0" w:line="287" w:lineRule="auto"/>
        <w:rPr>
          <w:sz w:val="20"/>
          <w:szCs w:val="20"/>
          <w:color w:val="auto"/>
        </w:rPr>
      </w:pPr>
      <w:r>
        <w:rPr>
          <w:rFonts w:ascii="Arial" w:cs="Arial" w:eastAsia="Arial" w:hAnsi="Arial"/>
          <w:sz w:val="16"/>
          <w:szCs w:val="16"/>
          <w:color w:val="auto"/>
        </w:rPr>
        <w:t>On July 16, 2019, the Company entered into a term loan facility, delayed draw term loan, and revolving line of credit (collectively, “2019 Loan Agreement”). The term loan facility (“2019 Term Note”) is for $450.0 million, which has a maturity date of July 16, 2026. The 2019 Term Note was issued with an original issue discount of $11.3 million. This discount is amortized to interest expense over the term of the agreement using the effective interest method. Interest on a portion of the loan ($100.0 million of the $450.0 million principal amount) is treated as paid in kind and added to the principal balance to be paid off at maturity. The Company can elect from several interest rate options based on the Eurodollar Rate or the Base Rate plus an applicable margin (As of June 30, 2021, the interest rate was 6.25% on both the $350.0 million loan and the $100.0 million paid in kind loan. As of December 31, 2020, the interest rate was 6.50% on both the $350.0 million loan and the $100.0 million paid in kind loan). Quarterly principal payments of $1.1 million began in December 2019 and are required through the note’s maturity, at which time a balloon payment of $419.6 million, excluding the paid in kind portion, will be due. The paid in kind interest is payable on the maturity date. The note is subject to certain financial covenants and is collateralized by first security interests on the Company’s assets. The loan is subject to excess cash flow payments annually beginning in the fiscal year ended December 31, 2020 based on the total leverage ratio. There was $452.5 million and $454.8 million outstanding on the 2019 Term Note at June 30, 2021 and December 31, 2020, respectively, including $10.4 million of paid in kind interest, at both June 30, 2021 and December 31, 2020.</w:t>
      </w:r>
    </w:p>
    <w:p>
      <w:pPr>
        <w:spacing w:after="0" w:line="276" w:lineRule="exact"/>
        <w:rPr>
          <w:sz w:val="20"/>
          <w:szCs w:val="20"/>
          <w:color w:val="auto"/>
        </w:rPr>
      </w:pPr>
    </w:p>
    <w:p>
      <w:pPr>
        <w:ind w:left="560"/>
        <w:spacing w:after="0"/>
        <w:rPr>
          <w:sz w:val="20"/>
          <w:szCs w:val="20"/>
          <w:color w:val="auto"/>
        </w:rPr>
      </w:pPr>
      <w:r>
        <w:rPr>
          <w:rFonts w:ascii="Arial" w:cs="Arial" w:eastAsia="Arial" w:hAnsi="Arial"/>
          <w:sz w:val="18"/>
          <w:szCs w:val="18"/>
          <w:u w:val="single" w:color="auto"/>
          <w:color w:val="auto"/>
        </w:rPr>
        <w:t>Delayed Draw Term Loan Payable</w:t>
      </w:r>
    </w:p>
    <w:p>
      <w:pPr>
        <w:spacing w:after="0" w:line="117" w:lineRule="exact"/>
        <w:rPr>
          <w:sz w:val="20"/>
          <w:szCs w:val="20"/>
          <w:color w:val="auto"/>
        </w:rPr>
      </w:pPr>
    </w:p>
    <w:p>
      <w:pPr>
        <w:ind w:left="120" w:right="20" w:firstLine="440"/>
        <w:spacing w:after="0" w:line="288" w:lineRule="auto"/>
        <w:rPr>
          <w:sz w:val="20"/>
          <w:szCs w:val="20"/>
          <w:color w:val="auto"/>
        </w:rPr>
      </w:pPr>
      <w:r>
        <w:rPr>
          <w:rFonts w:ascii="Arial" w:cs="Arial" w:eastAsia="Arial" w:hAnsi="Arial"/>
          <w:sz w:val="16"/>
          <w:szCs w:val="16"/>
          <w:color w:val="auto"/>
        </w:rPr>
        <w:t>On July 16, 2019, as part of the 2019 Loan Agreement, the Company entered into a delayed draw term loan (“2019 Delayed Draw Term Note”) of $100.0 million which has a maturity of July 16, 2026. The 2019 Delayed Draw Term Note was issued with an original issue discount of $1.3 million. The Company could draw down funds under the 2019 Delayed Draw Term Note until July 16, 2021. As of December 31, 2020, the Company drew $18.0 million on the 2019 Delayed Draw Term Note, in connection with the Monocl acquisition. The Company can elect from several interest rate options based on the Eurodollar Rate or the Base Rate plus an applicable margin. Quarterly in arrears through July 16, 2021, the Company is required to pay the bank a fee equal to 1% per annum of the amount of the 2019 Delayed Draw Term Note unused capacity. Quarterly principal payments begin in September 2021 in quarterly installments equal to 0.25% of the aggregate amount outstanding on the 2019 Delayed Draw Term Note, and are required through the note’s maturity, at which time a payment of the entire outstanding principal balance will be due. The note is subject to certain financial covenants and is collateralized by first security interests on the Company’s assets. The outstanding balance on the 2019 Delayed Draw Term Note was $17.9 million and $18.0 million at June 30, 2021 and December 31, 2020, respectively.</w:t>
      </w:r>
    </w:p>
    <w:p>
      <w:pPr>
        <w:spacing w:after="0" w:line="276" w:lineRule="exact"/>
        <w:rPr>
          <w:sz w:val="20"/>
          <w:szCs w:val="20"/>
          <w:color w:val="auto"/>
        </w:rPr>
      </w:pPr>
    </w:p>
    <w:p>
      <w:pPr>
        <w:ind w:left="560"/>
        <w:spacing w:after="0"/>
        <w:rPr>
          <w:sz w:val="20"/>
          <w:szCs w:val="20"/>
          <w:color w:val="auto"/>
        </w:rPr>
      </w:pPr>
      <w:r>
        <w:rPr>
          <w:rFonts w:ascii="Arial" w:cs="Arial" w:eastAsia="Arial" w:hAnsi="Arial"/>
          <w:sz w:val="18"/>
          <w:szCs w:val="18"/>
          <w:u w:val="single" w:color="auto"/>
          <w:color w:val="auto"/>
        </w:rPr>
        <w:t>Revolving Line of Credit</w:t>
      </w:r>
    </w:p>
    <w:p>
      <w:pPr>
        <w:spacing w:after="0" w:line="117" w:lineRule="exact"/>
        <w:rPr>
          <w:sz w:val="20"/>
          <w:szCs w:val="20"/>
          <w:color w:val="auto"/>
        </w:rPr>
      </w:pPr>
    </w:p>
    <w:p>
      <w:pPr>
        <w:jc w:val="both"/>
        <w:ind w:left="120" w:right="60" w:firstLine="440"/>
        <w:spacing w:after="0" w:line="263" w:lineRule="auto"/>
        <w:rPr>
          <w:sz w:val="20"/>
          <w:szCs w:val="20"/>
          <w:color w:val="auto"/>
        </w:rPr>
      </w:pPr>
      <w:r>
        <w:rPr>
          <w:rFonts w:ascii="Arial" w:cs="Arial" w:eastAsia="Arial" w:hAnsi="Arial"/>
          <w:sz w:val="18"/>
          <w:szCs w:val="18"/>
          <w:color w:val="auto"/>
        </w:rPr>
        <w:t>On July 16, 2019, as part of the 2019 Loan Agreement, the Company entered into a revolving line of credit (“2019 Revolving Line of Credit”) of $25.0 million which has a maturity of July 16, 2024. The Company can elect from several interest rate options based on the Eurodollar Rate or the Base Rate plus an applicable margin.</w:t>
      </w:r>
    </w:p>
    <w:p>
      <w:pPr>
        <w:spacing w:after="0" w:line="116" w:lineRule="exact"/>
        <w:rPr>
          <w:sz w:val="20"/>
          <w:szCs w:val="20"/>
          <w:color w:val="auto"/>
        </w:rPr>
      </w:pPr>
    </w:p>
    <w:p>
      <w:pPr>
        <w:jc w:val="center"/>
        <w:ind w:right="-379"/>
        <w:spacing w:after="0"/>
        <w:rPr>
          <w:sz w:val="20"/>
          <w:szCs w:val="20"/>
          <w:color w:val="auto"/>
        </w:rPr>
      </w:pPr>
      <w:r>
        <w:rPr>
          <w:rFonts w:ascii="Arial" w:cs="Arial" w:eastAsia="Arial" w:hAnsi="Arial"/>
          <w:sz w:val="18"/>
          <w:szCs w:val="18"/>
          <w:color w:val="auto"/>
        </w:rPr>
        <w:t>F-68</w:t>
      </w:r>
    </w:p>
    <w:p>
      <w:pPr>
        <w:sectPr>
          <w:pgSz w:w="11900" w:h="16838" w:orient="portrait"/>
          <w:cols w:equalWidth="0" w:num="1">
            <w:col w:w="11100"/>
          </w:cols>
          <w:pgMar w:left="320" w:top="459" w:right="479" w:bottom="1440" w:gutter="0" w:footer="0" w:header="0"/>
        </w:sectPr>
      </w:pPr>
    </w:p>
    <w:bookmarkStart w:id="274" w:name="page275"/>
    <w:bookmarkEnd w:id="27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53" name="Picture 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
                    <pic:cNvPicPr>
                      <a:picLocks noChangeAspect="1" noChangeArrowheads="1"/>
                    </pic:cNvPicPr>
                  </pic:nvPicPr>
                  <pic:blipFill>
                    <a:blip r:embed="rId360">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Confidential Treatment Requested by Definitive Healthcare Corp.</w:t>
      </w:r>
    </w:p>
    <w:p>
      <w:pPr>
        <w:spacing w:after="0" w:line="27"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Pursuant to 17 C.F.R. Section 200.83</w:t>
      </w:r>
    </w:p>
    <w:p>
      <w:pPr>
        <w:spacing w:after="0" w:line="143" w:lineRule="exact"/>
        <w:rPr>
          <w:sz w:val="20"/>
          <w:szCs w:val="20"/>
          <w:color w:val="auto"/>
        </w:rPr>
      </w:pPr>
    </w:p>
    <w:p>
      <w:pPr>
        <w:ind w:left="120"/>
        <w:spacing w:after="0" w:line="258" w:lineRule="auto"/>
        <w:rPr>
          <w:sz w:val="20"/>
          <w:szCs w:val="20"/>
          <w:color w:val="auto"/>
        </w:rPr>
      </w:pPr>
      <w:r>
        <w:rPr>
          <w:rFonts w:ascii="Arial" w:cs="Arial" w:eastAsia="Arial" w:hAnsi="Arial"/>
          <w:sz w:val="18"/>
          <w:szCs w:val="18"/>
          <w:color w:val="auto"/>
        </w:rPr>
        <w:t>Quarterly in arrears, the Company is required to pay the bank a fee equal to 0.5% of the amount of the 2019 Revolving Line of Credit’s unused capacity. The expense is included in interest expense in the statements of</w:t>
      </w:r>
    </w:p>
    <w:p>
      <w:pPr>
        <w:spacing w:after="0" w:line="1" w:lineRule="exact"/>
        <w:rPr>
          <w:sz w:val="20"/>
          <w:szCs w:val="20"/>
          <w:color w:val="auto"/>
        </w:rPr>
      </w:pPr>
    </w:p>
    <w:p>
      <w:pPr>
        <w:ind w:left="120" w:right="40"/>
        <w:spacing w:after="0" w:line="255" w:lineRule="auto"/>
        <w:rPr>
          <w:sz w:val="20"/>
          <w:szCs w:val="20"/>
          <w:color w:val="auto"/>
        </w:rPr>
      </w:pPr>
      <w:r>
        <w:rPr>
          <w:rFonts w:ascii="Arial" w:cs="Arial" w:eastAsia="Arial" w:hAnsi="Arial"/>
          <w:sz w:val="18"/>
          <w:szCs w:val="18"/>
          <w:color w:val="auto"/>
        </w:rPr>
        <w:t>operations. The 2019 Revolving Line of Credit is subject to certain financial covenants. During 2020, $25.0 million was drawn on the on the Revolving Line of Credit and subsequently paid back. There was no outstanding balance on the 2019 Revolving Line of Credit at June 30, 2021 or December 31, 2020.</w:t>
      </w:r>
    </w:p>
    <w:p>
      <w:pPr>
        <w:spacing w:after="0" w:line="298" w:lineRule="exact"/>
        <w:rPr>
          <w:sz w:val="20"/>
          <w:szCs w:val="20"/>
          <w:color w:val="auto"/>
        </w:rPr>
      </w:pPr>
    </w:p>
    <w:p>
      <w:pPr>
        <w:ind w:left="560"/>
        <w:spacing w:after="0"/>
        <w:rPr>
          <w:sz w:val="20"/>
          <w:szCs w:val="20"/>
          <w:color w:val="auto"/>
        </w:rPr>
      </w:pPr>
      <w:r>
        <w:rPr>
          <w:rFonts w:ascii="Arial" w:cs="Arial" w:eastAsia="Arial" w:hAnsi="Arial"/>
          <w:sz w:val="18"/>
          <w:szCs w:val="18"/>
          <w:u w:val="single" w:color="auto"/>
          <w:color w:val="auto"/>
        </w:rPr>
        <w:t>Financing Costs</w:t>
      </w:r>
    </w:p>
    <w:p>
      <w:pPr>
        <w:spacing w:after="0" w:line="117" w:lineRule="exact"/>
        <w:rPr>
          <w:sz w:val="20"/>
          <w:szCs w:val="20"/>
          <w:color w:val="auto"/>
        </w:rPr>
      </w:pPr>
    </w:p>
    <w:p>
      <w:pPr>
        <w:ind w:left="120" w:right="240" w:firstLine="440"/>
        <w:spacing w:after="0" w:line="277" w:lineRule="auto"/>
        <w:rPr>
          <w:sz w:val="20"/>
          <w:szCs w:val="20"/>
          <w:color w:val="auto"/>
        </w:rPr>
      </w:pPr>
      <w:r>
        <w:rPr>
          <w:rFonts w:ascii="Arial" w:cs="Arial" w:eastAsia="Arial" w:hAnsi="Arial"/>
          <w:sz w:val="18"/>
          <w:szCs w:val="18"/>
          <w:color w:val="auto"/>
        </w:rPr>
        <w:t>Capitalized financing costs represent costs incurred by the Company to obtain financing and are amortized over the term of the applicable loan using the effective interest method.</w:t>
      </w:r>
    </w:p>
    <w:p>
      <w:pPr>
        <w:spacing w:after="0" w:line="170" w:lineRule="exact"/>
        <w:rPr>
          <w:sz w:val="20"/>
          <w:szCs w:val="20"/>
          <w:color w:val="auto"/>
        </w:rPr>
      </w:pPr>
    </w:p>
    <w:p>
      <w:pPr>
        <w:ind w:left="120" w:firstLine="440"/>
        <w:spacing w:after="0" w:line="275" w:lineRule="auto"/>
        <w:rPr>
          <w:sz w:val="20"/>
          <w:szCs w:val="20"/>
          <w:color w:val="auto"/>
        </w:rPr>
      </w:pPr>
      <w:r>
        <w:rPr>
          <w:rFonts w:ascii="Arial" w:cs="Arial" w:eastAsia="Arial" w:hAnsi="Arial"/>
          <w:sz w:val="17"/>
          <w:szCs w:val="17"/>
          <w:color w:val="auto"/>
        </w:rPr>
        <w:t>The Company incurred a total of $1.6 million and $12.5 million of financing costs and original issue discounts, respectively, in connection with the debt in 2019. The amount is amortized to interest expense through the maturity dates of the underlying debt. The original issue discount is treated as a debt discount. The Company expensed capitalized financing costs and debt discount through interest expense of $1.0 million during each of the six months ended June 30, 2021 and 2020. As of June 30, 2021 and December 31, 2020, unamortized financing costs for the 2019 Revolving Line of Credit of $0.4 million and $0.5 million, respectively, were classified in other assets in the consolidated balance sheet.</w:t>
      </w:r>
    </w:p>
    <w:p>
      <w:pPr>
        <w:spacing w:after="0" w:line="176" w:lineRule="exact"/>
        <w:rPr>
          <w:sz w:val="20"/>
          <w:szCs w:val="20"/>
          <w:color w:val="auto"/>
        </w:rPr>
      </w:pPr>
    </w:p>
    <w:tbl>
      <w:tblPr>
        <w:tblLayout w:type="fixed"/>
        <w:tblInd w:w="560" w:type="dxa"/>
        <w:tblCellMar>
          <w:top w:w="0" w:type="dxa"/>
          <w:left w:w="0" w:type="dxa"/>
          <w:bottom w:w="0" w:type="dxa"/>
          <w:right w:w="0" w:type="dxa"/>
        </w:tblCellMar>
      </w:tblPr>
      <w:tr>
        <w:trPr>
          <w:trHeight w:val="230"/>
        </w:trPr>
        <w:tc>
          <w:tcPr>
            <w:tcW w:w="8040" w:type="dxa"/>
            <w:vAlign w:val="bottom"/>
            <w:gridSpan w:val="2"/>
          </w:tcPr>
          <w:p>
            <w:pPr>
              <w:spacing w:after="0"/>
              <w:rPr>
                <w:sz w:val="20"/>
                <w:szCs w:val="20"/>
                <w:color w:val="auto"/>
              </w:rPr>
            </w:pPr>
            <w:r>
              <w:rPr>
                <w:rFonts w:ascii="Arial" w:cs="Arial" w:eastAsia="Arial" w:hAnsi="Arial"/>
                <w:sz w:val="18"/>
                <w:szCs w:val="18"/>
                <w:color w:val="auto"/>
              </w:rPr>
              <w:t>Future principal payments as of June 30, 2021 are as follows (in thousands):</w:t>
            </w:r>
          </w:p>
        </w:tc>
        <w:tc>
          <w:tcPr>
            <w:tcW w:w="1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1320" w:type="dxa"/>
            <w:vAlign w:val="bottom"/>
            <w:vMerge w:val="restart"/>
          </w:tcPr>
          <w:p>
            <w:pPr>
              <w:spacing w:after="0"/>
              <w:rPr>
                <w:sz w:val="21"/>
                <w:szCs w:val="21"/>
                <w:color w:val="auto"/>
              </w:rPr>
            </w:pPr>
          </w:p>
        </w:tc>
        <w:tc>
          <w:tcPr>
            <w:tcW w:w="67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1320" w:type="dxa"/>
            <w:vAlign w:val="bottom"/>
            <w:vMerge w:val="continue"/>
          </w:tcPr>
          <w:p>
            <w:pPr>
              <w:spacing w:after="0"/>
              <w:rPr>
                <w:sz w:val="18"/>
                <w:szCs w:val="18"/>
                <w:color w:val="auto"/>
              </w:rPr>
            </w:pPr>
          </w:p>
        </w:tc>
        <w:tc>
          <w:tcPr>
            <w:tcW w:w="6720" w:type="dxa"/>
            <w:vAlign w:val="bottom"/>
            <w:shd w:val="clear" w:color="auto" w:fill="CCEEFF"/>
          </w:tcPr>
          <w:p>
            <w:pPr>
              <w:spacing w:after="0"/>
              <w:rPr>
                <w:sz w:val="20"/>
                <w:szCs w:val="20"/>
                <w:color w:val="auto"/>
              </w:rPr>
            </w:pPr>
            <w:r>
              <w:rPr>
                <w:rFonts w:ascii="Arial" w:cs="Arial" w:eastAsia="Arial" w:hAnsi="Arial"/>
                <w:sz w:val="18"/>
                <w:szCs w:val="18"/>
                <w:color w:val="auto"/>
              </w:rPr>
              <w:t>Remainder of 2021</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2,340</w:t>
            </w:r>
          </w:p>
        </w:tc>
        <w:tc>
          <w:tcPr>
            <w:tcW w:w="0" w:type="dxa"/>
            <w:vAlign w:val="bottom"/>
          </w:tcPr>
          <w:p>
            <w:pPr>
              <w:spacing w:after="0"/>
              <w:rPr>
                <w:sz w:val="1"/>
                <w:szCs w:val="1"/>
                <w:color w:val="auto"/>
              </w:rPr>
            </w:pPr>
          </w:p>
        </w:tc>
      </w:tr>
      <w:tr>
        <w:trPr>
          <w:trHeight w:val="216"/>
        </w:trPr>
        <w:tc>
          <w:tcPr>
            <w:tcW w:w="1320" w:type="dxa"/>
            <w:vAlign w:val="bottom"/>
          </w:tcPr>
          <w:p>
            <w:pPr>
              <w:spacing w:after="0"/>
              <w:rPr>
                <w:sz w:val="18"/>
                <w:szCs w:val="18"/>
                <w:color w:val="auto"/>
              </w:rPr>
            </w:pPr>
          </w:p>
        </w:tc>
        <w:tc>
          <w:tcPr>
            <w:tcW w:w="6720" w:type="dxa"/>
            <w:vAlign w:val="bottom"/>
          </w:tcPr>
          <w:p>
            <w:pPr>
              <w:spacing w:after="0"/>
              <w:rPr>
                <w:sz w:val="20"/>
                <w:szCs w:val="20"/>
                <w:color w:val="auto"/>
              </w:rPr>
            </w:pPr>
            <w:r>
              <w:rPr>
                <w:rFonts w:ascii="Arial" w:cs="Arial" w:eastAsia="Arial" w:hAnsi="Arial"/>
                <w:sz w:val="18"/>
                <w:szCs w:val="18"/>
                <w:color w:val="auto"/>
              </w:rPr>
              <w:t>2022</w:t>
            </w:r>
          </w:p>
        </w:tc>
        <w:tc>
          <w:tcPr>
            <w:tcW w:w="100" w:type="dxa"/>
            <w:vAlign w:val="bottom"/>
          </w:tcPr>
          <w:p>
            <w:pPr>
              <w:spacing w:after="0"/>
              <w:rPr>
                <w:sz w:val="18"/>
                <w:szCs w:val="18"/>
                <w:color w:val="auto"/>
              </w:rPr>
            </w:pPr>
          </w:p>
        </w:tc>
        <w:tc>
          <w:tcPr>
            <w:tcW w:w="660" w:type="dxa"/>
            <w:vAlign w:val="bottom"/>
            <w:gridSpan w:val="2"/>
          </w:tcPr>
          <w:p>
            <w:pPr>
              <w:jc w:val="right"/>
              <w:ind w:right="60"/>
              <w:spacing w:after="0"/>
              <w:rPr>
                <w:sz w:val="20"/>
                <w:szCs w:val="20"/>
                <w:color w:val="auto"/>
              </w:rPr>
            </w:pPr>
            <w:r>
              <w:rPr>
                <w:rFonts w:ascii="Arial" w:cs="Arial" w:eastAsia="Arial" w:hAnsi="Arial"/>
                <w:sz w:val="18"/>
                <w:szCs w:val="18"/>
                <w:color w:val="auto"/>
              </w:rPr>
              <w:t>4,680</w:t>
            </w:r>
          </w:p>
        </w:tc>
        <w:tc>
          <w:tcPr>
            <w:tcW w:w="0" w:type="dxa"/>
            <w:vAlign w:val="bottom"/>
          </w:tcPr>
          <w:p>
            <w:pPr>
              <w:spacing w:after="0"/>
              <w:rPr>
                <w:sz w:val="1"/>
                <w:szCs w:val="1"/>
                <w:color w:val="auto"/>
              </w:rPr>
            </w:pPr>
          </w:p>
        </w:tc>
      </w:tr>
      <w:tr>
        <w:trPr>
          <w:trHeight w:val="216"/>
        </w:trPr>
        <w:tc>
          <w:tcPr>
            <w:tcW w:w="1320" w:type="dxa"/>
            <w:vAlign w:val="bottom"/>
          </w:tcPr>
          <w:p>
            <w:pPr>
              <w:spacing w:after="0"/>
              <w:rPr>
                <w:sz w:val="18"/>
                <w:szCs w:val="18"/>
                <w:color w:val="auto"/>
              </w:rPr>
            </w:pPr>
          </w:p>
        </w:tc>
        <w:tc>
          <w:tcPr>
            <w:tcW w:w="6720" w:type="dxa"/>
            <w:vAlign w:val="bottom"/>
            <w:shd w:val="clear" w:color="auto" w:fill="CCEEFF"/>
          </w:tcPr>
          <w:p>
            <w:pPr>
              <w:spacing w:after="0"/>
              <w:rPr>
                <w:sz w:val="20"/>
                <w:szCs w:val="20"/>
                <w:color w:val="auto"/>
              </w:rPr>
            </w:pPr>
            <w:r>
              <w:rPr>
                <w:rFonts w:ascii="Arial" w:cs="Arial" w:eastAsia="Arial" w:hAnsi="Arial"/>
                <w:sz w:val="18"/>
                <w:szCs w:val="18"/>
                <w:color w:val="auto"/>
              </w:rPr>
              <w:t>2023</w:t>
            </w: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4,680</w:t>
            </w:r>
          </w:p>
        </w:tc>
        <w:tc>
          <w:tcPr>
            <w:tcW w:w="0" w:type="dxa"/>
            <w:vAlign w:val="bottom"/>
          </w:tcPr>
          <w:p>
            <w:pPr>
              <w:spacing w:after="0"/>
              <w:rPr>
                <w:sz w:val="1"/>
                <w:szCs w:val="1"/>
                <w:color w:val="auto"/>
              </w:rPr>
            </w:pPr>
          </w:p>
        </w:tc>
      </w:tr>
      <w:tr>
        <w:trPr>
          <w:trHeight w:val="216"/>
        </w:trPr>
        <w:tc>
          <w:tcPr>
            <w:tcW w:w="1320" w:type="dxa"/>
            <w:vAlign w:val="bottom"/>
          </w:tcPr>
          <w:p>
            <w:pPr>
              <w:spacing w:after="0"/>
              <w:rPr>
                <w:sz w:val="18"/>
                <w:szCs w:val="18"/>
                <w:color w:val="auto"/>
              </w:rPr>
            </w:pPr>
          </w:p>
        </w:tc>
        <w:tc>
          <w:tcPr>
            <w:tcW w:w="6720" w:type="dxa"/>
            <w:vAlign w:val="bottom"/>
          </w:tcPr>
          <w:p>
            <w:pPr>
              <w:spacing w:after="0"/>
              <w:rPr>
                <w:sz w:val="20"/>
                <w:szCs w:val="20"/>
                <w:color w:val="auto"/>
              </w:rPr>
            </w:pPr>
            <w:r>
              <w:rPr>
                <w:rFonts w:ascii="Arial" w:cs="Arial" w:eastAsia="Arial" w:hAnsi="Arial"/>
                <w:sz w:val="18"/>
                <w:szCs w:val="18"/>
                <w:color w:val="auto"/>
              </w:rPr>
              <w:t>2024</w:t>
            </w:r>
          </w:p>
        </w:tc>
        <w:tc>
          <w:tcPr>
            <w:tcW w:w="100" w:type="dxa"/>
            <w:vAlign w:val="bottom"/>
          </w:tcPr>
          <w:p>
            <w:pPr>
              <w:spacing w:after="0"/>
              <w:rPr>
                <w:sz w:val="18"/>
                <w:szCs w:val="18"/>
                <w:color w:val="auto"/>
              </w:rPr>
            </w:pPr>
          </w:p>
        </w:tc>
        <w:tc>
          <w:tcPr>
            <w:tcW w:w="660" w:type="dxa"/>
            <w:vAlign w:val="bottom"/>
            <w:gridSpan w:val="2"/>
          </w:tcPr>
          <w:p>
            <w:pPr>
              <w:jc w:val="right"/>
              <w:ind w:right="60"/>
              <w:spacing w:after="0"/>
              <w:rPr>
                <w:sz w:val="20"/>
                <w:szCs w:val="20"/>
                <w:color w:val="auto"/>
              </w:rPr>
            </w:pPr>
            <w:r>
              <w:rPr>
                <w:rFonts w:ascii="Arial" w:cs="Arial" w:eastAsia="Arial" w:hAnsi="Arial"/>
                <w:sz w:val="18"/>
                <w:szCs w:val="18"/>
                <w:color w:val="auto"/>
              </w:rPr>
              <w:t>4,680</w:t>
            </w:r>
          </w:p>
        </w:tc>
        <w:tc>
          <w:tcPr>
            <w:tcW w:w="0" w:type="dxa"/>
            <w:vAlign w:val="bottom"/>
          </w:tcPr>
          <w:p>
            <w:pPr>
              <w:spacing w:after="0"/>
              <w:rPr>
                <w:sz w:val="1"/>
                <w:szCs w:val="1"/>
                <w:color w:val="auto"/>
              </w:rPr>
            </w:pPr>
          </w:p>
        </w:tc>
      </w:tr>
      <w:tr>
        <w:trPr>
          <w:trHeight w:val="216"/>
        </w:trPr>
        <w:tc>
          <w:tcPr>
            <w:tcW w:w="1320" w:type="dxa"/>
            <w:vAlign w:val="bottom"/>
          </w:tcPr>
          <w:p>
            <w:pPr>
              <w:spacing w:after="0"/>
              <w:rPr>
                <w:sz w:val="18"/>
                <w:szCs w:val="18"/>
                <w:color w:val="auto"/>
              </w:rPr>
            </w:pPr>
          </w:p>
        </w:tc>
        <w:tc>
          <w:tcPr>
            <w:tcW w:w="6720" w:type="dxa"/>
            <w:vAlign w:val="bottom"/>
            <w:shd w:val="clear" w:color="auto" w:fill="CCEEFF"/>
          </w:tcPr>
          <w:p>
            <w:pPr>
              <w:spacing w:after="0"/>
              <w:rPr>
                <w:sz w:val="20"/>
                <w:szCs w:val="20"/>
                <w:color w:val="auto"/>
              </w:rPr>
            </w:pPr>
            <w:r>
              <w:rPr>
                <w:rFonts w:ascii="Arial" w:cs="Arial" w:eastAsia="Arial" w:hAnsi="Arial"/>
                <w:sz w:val="18"/>
                <w:szCs w:val="18"/>
                <w:color w:val="auto"/>
              </w:rPr>
              <w:t>2025</w:t>
            </w: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4,680</w:t>
            </w:r>
          </w:p>
        </w:tc>
        <w:tc>
          <w:tcPr>
            <w:tcW w:w="0" w:type="dxa"/>
            <w:vAlign w:val="bottom"/>
          </w:tcPr>
          <w:p>
            <w:pPr>
              <w:spacing w:after="0"/>
              <w:rPr>
                <w:sz w:val="1"/>
                <w:szCs w:val="1"/>
                <w:color w:val="auto"/>
              </w:rPr>
            </w:pPr>
          </w:p>
        </w:tc>
      </w:tr>
      <w:tr>
        <w:trPr>
          <w:trHeight w:val="223"/>
        </w:trPr>
        <w:tc>
          <w:tcPr>
            <w:tcW w:w="1320" w:type="dxa"/>
            <w:vAlign w:val="bottom"/>
          </w:tcPr>
          <w:p>
            <w:pPr>
              <w:spacing w:after="0"/>
              <w:rPr>
                <w:sz w:val="19"/>
                <w:szCs w:val="19"/>
                <w:color w:val="auto"/>
              </w:rPr>
            </w:pPr>
          </w:p>
        </w:tc>
        <w:tc>
          <w:tcPr>
            <w:tcW w:w="6720" w:type="dxa"/>
            <w:vAlign w:val="bottom"/>
          </w:tcPr>
          <w:p>
            <w:pPr>
              <w:spacing w:after="0"/>
              <w:rPr>
                <w:sz w:val="20"/>
                <w:szCs w:val="20"/>
                <w:color w:val="auto"/>
              </w:rPr>
            </w:pPr>
            <w:r>
              <w:rPr>
                <w:rFonts w:ascii="Arial" w:cs="Arial" w:eastAsia="Arial" w:hAnsi="Arial"/>
                <w:sz w:val="18"/>
                <w:szCs w:val="18"/>
                <w:color w:val="auto"/>
              </w:rPr>
              <w:t>2026 and thereafter</w:t>
            </w:r>
          </w:p>
        </w:tc>
        <w:tc>
          <w:tcPr>
            <w:tcW w:w="10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9"/>
              </w:rPr>
              <w:t>449,342</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1320" w:type="dxa"/>
            <w:vAlign w:val="bottom"/>
          </w:tcPr>
          <w:p>
            <w:pPr>
              <w:spacing w:after="0"/>
              <w:rPr>
                <w:sz w:val="18"/>
                <w:szCs w:val="18"/>
                <w:color w:val="auto"/>
              </w:rPr>
            </w:pPr>
          </w:p>
        </w:tc>
        <w:tc>
          <w:tcPr>
            <w:tcW w:w="67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89"/>
              </w:rPr>
              <w:t>470,402</w:t>
            </w:r>
          </w:p>
        </w:tc>
        <w:tc>
          <w:tcPr>
            <w:tcW w:w="0" w:type="dxa"/>
            <w:vAlign w:val="bottom"/>
          </w:tcPr>
          <w:p>
            <w:pPr>
              <w:spacing w:after="0"/>
              <w:rPr>
                <w:sz w:val="1"/>
                <w:szCs w:val="1"/>
                <w:color w:val="auto"/>
              </w:rPr>
            </w:pPr>
          </w:p>
        </w:tc>
      </w:tr>
      <w:tr>
        <w:trPr>
          <w:trHeight w:val="20"/>
        </w:trPr>
        <w:tc>
          <w:tcPr>
            <w:tcW w:w="1320" w:type="dxa"/>
            <w:vAlign w:val="bottom"/>
          </w:tcPr>
          <w:p>
            <w:pPr>
              <w:spacing w:after="0" w:line="20" w:lineRule="exact"/>
              <w:rPr>
                <w:sz w:val="1"/>
                <w:szCs w:val="1"/>
                <w:color w:val="auto"/>
              </w:rPr>
            </w:pPr>
          </w:p>
        </w:tc>
        <w:tc>
          <w:tcPr>
            <w:tcW w:w="67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64" w:lineRule="exact"/>
        <w:rPr>
          <w:sz w:val="20"/>
          <w:szCs w:val="20"/>
          <w:color w:val="auto"/>
        </w:rPr>
      </w:pPr>
    </w:p>
    <w:p>
      <w:pPr>
        <w:ind w:left="540" w:hanging="424"/>
        <w:spacing w:after="0"/>
        <w:tabs>
          <w:tab w:leader="none" w:pos="540" w:val="left"/>
        </w:tabs>
        <w:numPr>
          <w:ilvl w:val="0"/>
          <w:numId w:val="210"/>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Fair Value Measurements</w:t>
      </w:r>
    </w:p>
    <w:p>
      <w:pPr>
        <w:spacing w:after="0" w:line="117" w:lineRule="exact"/>
        <w:rPr>
          <w:sz w:val="20"/>
          <w:szCs w:val="20"/>
          <w:color w:val="auto"/>
        </w:rPr>
      </w:pPr>
    </w:p>
    <w:p>
      <w:pPr>
        <w:ind w:left="120" w:right="60" w:firstLine="440"/>
        <w:spacing w:after="0" w:line="263" w:lineRule="auto"/>
        <w:rPr>
          <w:sz w:val="20"/>
          <w:szCs w:val="20"/>
          <w:color w:val="auto"/>
        </w:rPr>
      </w:pPr>
      <w:r>
        <w:rPr>
          <w:rFonts w:ascii="Arial" w:cs="Arial" w:eastAsia="Arial" w:hAnsi="Arial"/>
          <w:sz w:val="18"/>
          <w:szCs w:val="18"/>
          <w:color w:val="auto"/>
        </w:rPr>
        <w:t>AC 820, Fair Value Measurements and Disclosures (“ASC 820”), defines fair value as the price that would be received for an asset, or paid to transfer a liability, in an orderly transaction between market participants on the measurement date, and establishes a three-level fair value hierarchy that prioritizes the inputs used to measure fair value.</w:t>
      </w:r>
    </w:p>
    <w:p>
      <w:pPr>
        <w:spacing w:after="0" w:line="184" w:lineRule="exact"/>
        <w:rPr>
          <w:sz w:val="20"/>
          <w:szCs w:val="20"/>
          <w:color w:val="auto"/>
        </w:rPr>
      </w:pPr>
    </w:p>
    <w:p>
      <w:pPr>
        <w:ind w:left="120" w:right="140" w:firstLine="440"/>
        <w:spacing w:after="0" w:line="311" w:lineRule="auto"/>
        <w:rPr>
          <w:sz w:val="20"/>
          <w:szCs w:val="20"/>
          <w:color w:val="auto"/>
        </w:rPr>
      </w:pPr>
      <w:r>
        <w:rPr>
          <w:rFonts w:ascii="Arial" w:cs="Arial" w:eastAsia="Arial" w:hAnsi="Arial"/>
          <w:sz w:val="16"/>
          <w:szCs w:val="16"/>
          <w:color w:val="auto"/>
        </w:rPr>
        <w:t>The Company’s financial assets and liabilities subject to the three-level fair value hierarchy consist principally of cash and equivalents, accounts receivable, accounts payable, long-term and short-term debt and contingent consideration payable. The estimated fair value of cash and equivalents, accounts receivable and accounts payable approximates their carrying value due to due to their short maturities (less than 12 months).</w:t>
      </w:r>
    </w:p>
    <w:p>
      <w:pPr>
        <w:spacing w:after="0" w:line="149" w:lineRule="exact"/>
        <w:rPr>
          <w:sz w:val="20"/>
          <w:szCs w:val="20"/>
          <w:color w:val="auto"/>
        </w:rPr>
      </w:pPr>
    </w:p>
    <w:p>
      <w:pPr>
        <w:ind w:left="120" w:right="20" w:firstLine="440"/>
        <w:spacing w:after="0" w:line="286" w:lineRule="auto"/>
        <w:rPr>
          <w:sz w:val="20"/>
          <w:szCs w:val="20"/>
          <w:color w:val="auto"/>
        </w:rPr>
      </w:pPr>
      <w:r>
        <w:rPr>
          <w:rFonts w:ascii="Arial" w:cs="Arial" w:eastAsia="Arial" w:hAnsi="Arial"/>
          <w:sz w:val="17"/>
          <w:szCs w:val="17"/>
          <w:color w:val="auto"/>
        </w:rPr>
        <w:t>The Company’s short- and long-term debt are recorded at their carrying values in the consolidated balance sheets, which may differ from their respective fair values. The carrying values and estimated fair values of the Company’s short- and long-term debt approximate their carrying values as of June 30, 2021 and December 31, 20120, based on interest rates currently available to the Company for similar borrowings.</w:t>
      </w:r>
    </w:p>
    <w:p>
      <w:pPr>
        <w:spacing w:after="0" w:line="165" w:lineRule="exact"/>
        <w:rPr>
          <w:sz w:val="20"/>
          <w:szCs w:val="20"/>
          <w:color w:val="auto"/>
        </w:rPr>
      </w:pPr>
    </w:p>
    <w:p>
      <w:pPr>
        <w:ind w:left="120" w:right="160" w:firstLine="440"/>
        <w:spacing w:after="0" w:line="257" w:lineRule="auto"/>
        <w:rPr>
          <w:sz w:val="20"/>
          <w:szCs w:val="20"/>
          <w:color w:val="auto"/>
        </w:rPr>
      </w:pPr>
      <w:r>
        <w:rPr>
          <w:rFonts w:ascii="Arial" w:cs="Arial" w:eastAsia="Arial" w:hAnsi="Arial"/>
          <w:sz w:val="18"/>
          <w:szCs w:val="18"/>
          <w:color w:val="auto"/>
        </w:rPr>
        <w:t>The contingent consideration, which resulted from the earn-outs associated with the Monocl acquisition, is measured at fair value on a recurring basis. The fair value was estimated using a variation of the income approach, known as the real options method, where ARR was simulated in a risk-neutral framework using Geometric Brownian Motion, a well-accepted model of stock price behavior that is used in option pricing models such as the Black-Scholes option pricing model. The risk-neutral expected (probability-weighted) earnout payments were then calculated based on simulation results. An increase to a probability of achievement would</w:t>
      </w:r>
    </w:p>
    <w:p>
      <w:pPr>
        <w:spacing w:after="0" w:line="120" w:lineRule="exact"/>
        <w:rPr>
          <w:sz w:val="20"/>
          <w:szCs w:val="20"/>
          <w:color w:val="auto"/>
        </w:rPr>
      </w:pPr>
    </w:p>
    <w:p>
      <w:pPr>
        <w:jc w:val="center"/>
        <w:ind w:right="-399"/>
        <w:spacing w:after="0"/>
        <w:rPr>
          <w:sz w:val="20"/>
          <w:szCs w:val="20"/>
          <w:color w:val="auto"/>
        </w:rPr>
      </w:pPr>
      <w:r>
        <w:rPr>
          <w:rFonts w:ascii="Arial" w:cs="Arial" w:eastAsia="Arial" w:hAnsi="Arial"/>
          <w:sz w:val="18"/>
          <w:szCs w:val="18"/>
          <w:color w:val="auto"/>
        </w:rPr>
        <w:t>F-69</w:t>
      </w:r>
    </w:p>
    <w:p>
      <w:pPr>
        <w:sectPr>
          <w:pgSz w:w="11900" w:h="16838" w:orient="portrait"/>
          <w:cols w:equalWidth="0" w:num="1">
            <w:col w:w="11080"/>
          </w:cols>
          <w:pgMar w:left="320" w:top="459" w:right="499" w:bottom="1440" w:gutter="0" w:footer="0" w:header="0"/>
        </w:sectPr>
      </w:pPr>
    </w:p>
    <w:bookmarkStart w:id="275" w:name="page276"/>
    <w:bookmarkEnd w:id="27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54" name="Picture 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
                    <pic:cNvPicPr>
                      <a:picLocks noChangeAspect="1" noChangeArrowheads="1"/>
                    </pic:cNvPicPr>
                  </pic:nvPicPr>
                  <pic:blipFill>
                    <a:blip r:embed="rId361">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Confidential Treatment Requested by Definitive Healthcare Corp.</w:t>
      </w:r>
    </w:p>
    <w:p>
      <w:pPr>
        <w:spacing w:after="0" w:line="27"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Pursuant to 17 C.F.R. Section 200.83</w:t>
      </w:r>
    </w:p>
    <w:p>
      <w:pPr>
        <w:spacing w:after="0" w:line="143" w:lineRule="exact"/>
        <w:rPr>
          <w:sz w:val="20"/>
          <w:szCs w:val="20"/>
          <w:color w:val="auto"/>
        </w:rPr>
      </w:pPr>
    </w:p>
    <w:p>
      <w:pPr>
        <w:ind w:left="120" w:right="40"/>
        <w:spacing w:after="0" w:line="301" w:lineRule="auto"/>
        <w:rPr>
          <w:sz w:val="20"/>
          <w:szCs w:val="20"/>
          <w:color w:val="auto"/>
        </w:rPr>
      </w:pPr>
      <w:r>
        <w:rPr>
          <w:rFonts w:ascii="Arial" w:cs="Arial" w:eastAsia="Arial" w:hAnsi="Arial"/>
          <w:sz w:val="16"/>
          <w:szCs w:val="16"/>
          <w:color w:val="auto"/>
        </w:rPr>
        <w:t>result in a higher fair value measurement. At June 30, 2021 and December 31, 2020, the fair value of the contingent consideration was estimated at $7.1 million and $5.2 million, respectively. The current portion of the earn-out liability ($7.1 million and $1.5 million at June 30, 2021 and December 31, 2020, respectively) is included in accrued expenses and other current liabilities on the consolidated balance sheets, and the non-current portion (nil at June 30, 2021 and $3.7 million at December 31, 2020) in other long-term liabilities. A payment of $1.5 million was made in April 2021.</w:t>
      </w:r>
    </w:p>
    <w:p>
      <w:pPr>
        <w:spacing w:after="0" w:line="157" w:lineRule="exact"/>
        <w:rPr>
          <w:sz w:val="20"/>
          <w:szCs w:val="20"/>
          <w:color w:val="auto"/>
        </w:rPr>
      </w:pPr>
    </w:p>
    <w:p>
      <w:pPr>
        <w:ind w:left="120" w:right="20" w:firstLine="440"/>
        <w:spacing w:after="0" w:line="263" w:lineRule="auto"/>
        <w:rPr>
          <w:sz w:val="20"/>
          <w:szCs w:val="20"/>
          <w:color w:val="auto"/>
        </w:rPr>
      </w:pPr>
      <w:r>
        <w:rPr>
          <w:rFonts w:ascii="Arial" w:cs="Arial" w:eastAsia="Arial" w:hAnsi="Arial"/>
          <w:sz w:val="18"/>
          <w:szCs w:val="18"/>
          <w:color w:val="auto"/>
        </w:rPr>
        <w:t>Earn-out liabilities are classified within Level 3 in the fair value hierarchy because the methodology used to develop the estimated fair value includes significant unobservable inputs reflecting management’s own assumptions. The valuation techniques and significant unobservable inputs used in recurring Level 3 fair value measurements were as follows as of June 30, 2021 and December 31, 2020:</w:t>
      </w:r>
    </w:p>
    <w:p>
      <w:pPr>
        <w:spacing w:after="0" w:line="206" w:lineRule="exact"/>
        <w:rPr>
          <w:sz w:val="20"/>
          <w:szCs w:val="20"/>
          <w:color w:val="auto"/>
        </w:rPr>
      </w:pPr>
    </w:p>
    <w:tbl>
      <w:tblPr>
        <w:tblLayout w:type="fixed"/>
        <w:tblInd w:w="560" w:type="dxa"/>
        <w:tblCellMar>
          <w:top w:w="0" w:type="dxa"/>
          <w:left w:w="0" w:type="dxa"/>
          <w:bottom w:w="0" w:type="dxa"/>
          <w:right w:w="0" w:type="dxa"/>
        </w:tblCellMar>
      </w:tblPr>
      <w:tr>
        <w:trPr>
          <w:trHeight w:val="181"/>
        </w:trPr>
        <w:tc>
          <w:tcPr>
            <w:tcW w:w="3040" w:type="dxa"/>
            <w:vAlign w:val="bottom"/>
          </w:tcPr>
          <w:p>
            <w:pPr>
              <w:spacing w:after="0"/>
              <w:rPr>
                <w:sz w:val="15"/>
                <w:szCs w:val="15"/>
                <w:color w:val="auto"/>
              </w:rPr>
            </w:pPr>
          </w:p>
        </w:tc>
        <w:tc>
          <w:tcPr>
            <w:tcW w:w="3780" w:type="dxa"/>
            <w:vAlign w:val="bottom"/>
          </w:tcPr>
          <w:p>
            <w:pPr>
              <w:ind w:left="1300"/>
              <w:spacing w:after="0"/>
              <w:rPr>
                <w:sz w:val="20"/>
                <w:szCs w:val="20"/>
                <w:color w:val="auto"/>
              </w:rPr>
            </w:pPr>
            <w:r>
              <w:rPr>
                <w:rFonts w:ascii="Arial" w:cs="Arial" w:eastAsia="Arial" w:hAnsi="Arial"/>
                <w:sz w:val="14"/>
                <w:szCs w:val="14"/>
                <w:color w:val="auto"/>
              </w:rPr>
              <w:t>Valuation Technique</w:t>
            </w:r>
          </w:p>
        </w:tc>
        <w:tc>
          <w:tcPr>
            <w:tcW w:w="540" w:type="dxa"/>
            <w:vAlign w:val="bottom"/>
          </w:tcPr>
          <w:p>
            <w:pPr>
              <w:spacing w:after="0"/>
              <w:rPr>
                <w:sz w:val="15"/>
                <w:szCs w:val="15"/>
                <w:color w:val="auto"/>
              </w:rPr>
            </w:pPr>
          </w:p>
        </w:tc>
        <w:tc>
          <w:tcPr>
            <w:tcW w:w="1200" w:type="dxa"/>
            <w:vAlign w:val="bottom"/>
          </w:tcPr>
          <w:p>
            <w:pPr>
              <w:spacing w:after="0"/>
              <w:rPr>
                <w:sz w:val="20"/>
                <w:szCs w:val="20"/>
                <w:color w:val="auto"/>
              </w:rPr>
            </w:pPr>
            <w:r>
              <w:rPr>
                <w:rFonts w:ascii="Arial" w:cs="Arial" w:eastAsia="Arial" w:hAnsi="Arial"/>
                <w:sz w:val="14"/>
                <w:szCs w:val="14"/>
                <w:color w:val="auto"/>
                <w:w w:val="91"/>
              </w:rPr>
              <w:t>Unobservable Inputs</w:t>
            </w:r>
          </w:p>
        </w:tc>
        <w:tc>
          <w:tcPr>
            <w:tcW w:w="540" w:type="dxa"/>
            <w:vAlign w:val="bottom"/>
          </w:tcPr>
          <w:p>
            <w:pPr>
              <w:spacing w:after="0"/>
              <w:rPr>
                <w:sz w:val="15"/>
                <w:szCs w:val="15"/>
                <w:color w:val="auto"/>
              </w:rPr>
            </w:pPr>
          </w:p>
        </w:tc>
        <w:tc>
          <w:tcPr>
            <w:tcW w:w="1020" w:type="dxa"/>
            <w:vAlign w:val="bottom"/>
            <w:gridSpan w:val="2"/>
          </w:tcPr>
          <w:p>
            <w:pPr>
              <w:jc w:val="right"/>
              <w:ind w:right="200"/>
              <w:spacing w:after="0"/>
              <w:rPr>
                <w:sz w:val="20"/>
                <w:szCs w:val="20"/>
                <w:color w:val="auto"/>
              </w:rPr>
            </w:pPr>
            <w:r>
              <w:rPr>
                <w:rFonts w:ascii="Arial" w:cs="Arial" w:eastAsia="Arial" w:hAnsi="Arial"/>
                <w:sz w:val="14"/>
                <w:szCs w:val="14"/>
                <w:color w:val="auto"/>
                <w:w w:val="90"/>
              </w:rPr>
              <w:t>Discount Rate</w:t>
            </w:r>
          </w:p>
        </w:tc>
        <w:tc>
          <w:tcPr>
            <w:tcW w:w="0" w:type="dxa"/>
            <w:vAlign w:val="bottom"/>
          </w:tcPr>
          <w:p>
            <w:pPr>
              <w:spacing w:after="0"/>
              <w:rPr>
                <w:sz w:val="1"/>
                <w:szCs w:val="1"/>
                <w:color w:val="auto"/>
              </w:rPr>
            </w:pPr>
          </w:p>
        </w:tc>
      </w:tr>
      <w:tr>
        <w:trPr>
          <w:trHeight w:val="20"/>
        </w:trPr>
        <w:tc>
          <w:tcPr>
            <w:tcW w:w="3040" w:type="dxa"/>
            <w:vAlign w:val="bottom"/>
            <w:vMerge w:val="restart"/>
            <w:shd w:val="clear" w:color="auto" w:fill="CCEEFF"/>
          </w:tcPr>
          <w:p>
            <w:pPr>
              <w:spacing w:after="0"/>
              <w:rPr>
                <w:sz w:val="20"/>
                <w:szCs w:val="20"/>
                <w:color w:val="auto"/>
              </w:rPr>
            </w:pPr>
            <w:r>
              <w:rPr>
                <w:rFonts w:ascii="Arial" w:cs="Arial" w:eastAsia="Arial" w:hAnsi="Arial"/>
                <w:sz w:val="18"/>
                <w:szCs w:val="18"/>
                <w:color w:val="auto"/>
              </w:rPr>
              <w:t>Earn-out liabilities</w:t>
            </w:r>
          </w:p>
        </w:tc>
        <w:tc>
          <w:tcPr>
            <w:tcW w:w="3780" w:type="dxa"/>
            <w:vAlign w:val="bottom"/>
            <w:shd w:val="clear" w:color="auto" w:fill="000000"/>
          </w:tcPr>
          <w:p>
            <w:pPr>
              <w:spacing w:after="0" w:line="20" w:lineRule="exact"/>
              <w:rPr>
                <w:sz w:val="1"/>
                <w:szCs w:val="1"/>
                <w:color w:val="auto"/>
              </w:rPr>
            </w:pPr>
          </w:p>
        </w:tc>
        <w:tc>
          <w:tcPr>
            <w:tcW w:w="540" w:type="dxa"/>
            <w:vAlign w:val="bottom"/>
            <w:vMerge w:val="restart"/>
            <w:shd w:val="clear" w:color="auto" w:fill="CCEEFF"/>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540" w:type="dxa"/>
            <w:vAlign w:val="bottom"/>
            <w:vMerge w:val="restart"/>
            <w:shd w:val="clear" w:color="auto" w:fill="CCEEFF"/>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3040" w:type="dxa"/>
            <w:vAlign w:val="bottom"/>
            <w:vMerge w:val="continue"/>
            <w:shd w:val="clear" w:color="auto" w:fill="CCEEFF"/>
          </w:tcPr>
          <w:p>
            <w:pPr>
              <w:spacing w:after="0"/>
              <w:rPr>
                <w:sz w:val="18"/>
                <w:szCs w:val="18"/>
                <w:color w:val="auto"/>
              </w:rPr>
            </w:pPr>
          </w:p>
        </w:tc>
        <w:tc>
          <w:tcPr>
            <w:tcW w:w="3780" w:type="dxa"/>
            <w:vAlign w:val="bottom"/>
            <w:shd w:val="clear" w:color="auto" w:fill="CCEEFF"/>
          </w:tcPr>
          <w:p>
            <w:pPr>
              <w:spacing w:after="0"/>
              <w:rPr>
                <w:sz w:val="20"/>
                <w:szCs w:val="20"/>
                <w:color w:val="auto"/>
              </w:rPr>
            </w:pPr>
            <w:r>
              <w:rPr>
                <w:rFonts w:ascii="Arial" w:cs="Arial" w:eastAsia="Arial" w:hAnsi="Arial"/>
                <w:sz w:val="18"/>
                <w:szCs w:val="18"/>
                <w:color w:val="auto"/>
              </w:rPr>
              <w:t>Income Approach (Real Option Method)</w:t>
            </w:r>
          </w:p>
        </w:tc>
        <w:tc>
          <w:tcPr>
            <w:tcW w:w="540" w:type="dxa"/>
            <w:vAlign w:val="bottom"/>
            <w:vMerge w:val="continue"/>
            <w:shd w:val="clear" w:color="auto" w:fill="CCEEFF"/>
          </w:tcPr>
          <w:p>
            <w:pPr>
              <w:spacing w:after="0"/>
              <w:rPr>
                <w:sz w:val="18"/>
                <w:szCs w:val="18"/>
                <w:color w:val="auto"/>
              </w:rPr>
            </w:pPr>
          </w:p>
        </w:tc>
        <w:tc>
          <w:tcPr>
            <w:tcW w:w="1200" w:type="dxa"/>
            <w:vAlign w:val="bottom"/>
            <w:shd w:val="clear" w:color="auto" w:fill="CCEEFF"/>
          </w:tcPr>
          <w:p>
            <w:pPr>
              <w:spacing w:after="0"/>
              <w:rPr>
                <w:sz w:val="20"/>
                <w:szCs w:val="20"/>
                <w:color w:val="auto"/>
              </w:rPr>
            </w:pPr>
            <w:r>
              <w:rPr>
                <w:rFonts w:ascii="Arial" w:cs="Arial" w:eastAsia="Arial" w:hAnsi="Arial"/>
                <w:sz w:val="18"/>
                <w:szCs w:val="18"/>
                <w:color w:val="auto"/>
              </w:rPr>
              <w:t>Discount rate</w:t>
            </w:r>
          </w:p>
        </w:tc>
        <w:tc>
          <w:tcPr>
            <w:tcW w:w="540" w:type="dxa"/>
            <w:vAlign w:val="bottom"/>
            <w:vMerge w:val="continue"/>
            <w:shd w:val="clear" w:color="auto" w:fill="CCEEFF"/>
          </w:tcPr>
          <w:p>
            <w:pPr>
              <w:spacing w:after="0"/>
              <w:rPr>
                <w:sz w:val="18"/>
                <w:szCs w:val="18"/>
                <w:color w:val="auto"/>
              </w:rPr>
            </w:pPr>
          </w:p>
        </w:tc>
        <w:tc>
          <w:tcPr>
            <w:tcW w:w="10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6.5%</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120" w:right="180" w:firstLine="440"/>
        <w:spacing w:after="0" w:line="277" w:lineRule="auto"/>
        <w:rPr>
          <w:sz w:val="20"/>
          <w:szCs w:val="20"/>
          <w:color w:val="auto"/>
        </w:rPr>
      </w:pPr>
      <w:r>
        <w:rPr>
          <w:rFonts w:ascii="Arial" w:cs="Arial" w:eastAsia="Arial" w:hAnsi="Arial"/>
          <w:sz w:val="18"/>
          <w:szCs w:val="18"/>
          <w:color w:val="auto"/>
        </w:rPr>
        <w:t>The table below presents a reconciliation of earnout liabilities measured at fair value on a recurring basis using significant unobservable inputs (Level 3) (in thousands):</w:t>
      </w:r>
    </w:p>
    <w:p>
      <w:pPr>
        <w:spacing w:after="0" w:line="180" w:lineRule="exact"/>
        <w:rPr>
          <w:sz w:val="20"/>
          <w:szCs w:val="20"/>
          <w:color w:val="auto"/>
        </w:rPr>
      </w:pPr>
    </w:p>
    <w:tbl>
      <w:tblPr>
        <w:tblLayout w:type="fixed"/>
        <w:tblInd w:w="100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060" w:type="dxa"/>
            <w:vAlign w:val="bottom"/>
          </w:tcPr>
          <w:p>
            <w:pPr>
              <w:spacing w:after="0"/>
              <w:rPr>
                <w:sz w:val="14"/>
                <w:szCs w:val="14"/>
                <w:color w:val="auto"/>
              </w:rPr>
            </w:pPr>
          </w:p>
        </w:tc>
        <w:tc>
          <w:tcPr>
            <w:tcW w:w="3500" w:type="dxa"/>
            <w:vAlign w:val="bottom"/>
            <w:gridSpan w:val="4"/>
          </w:tcPr>
          <w:p>
            <w:pPr>
              <w:ind w:left="1880"/>
              <w:spacing w:after="0"/>
              <w:rPr>
                <w:sz w:val="20"/>
                <w:szCs w:val="20"/>
                <w:color w:val="auto"/>
              </w:rPr>
            </w:pPr>
            <w:r>
              <w:rPr>
                <w:rFonts w:ascii="Arial" w:cs="Arial" w:eastAsia="Arial" w:hAnsi="Arial"/>
                <w:sz w:val="14"/>
                <w:szCs w:val="14"/>
                <w:color w:val="auto"/>
              </w:rPr>
              <w:t>Six Months Ended</w:t>
            </w:r>
          </w:p>
        </w:tc>
        <w:tc>
          <w:tcPr>
            <w:tcW w:w="4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40" w:type="dxa"/>
            <w:vAlign w:val="bottom"/>
            <w:gridSpan w:val="2"/>
          </w:tcPr>
          <w:p>
            <w:pPr>
              <w:ind w:left="80"/>
              <w:spacing w:after="0"/>
              <w:rPr>
                <w:sz w:val="20"/>
                <w:szCs w:val="20"/>
                <w:color w:val="auto"/>
              </w:rPr>
            </w:pPr>
            <w:r>
              <w:rPr>
                <w:rFonts w:ascii="Arial" w:cs="Arial" w:eastAsia="Arial" w:hAnsi="Arial"/>
                <w:sz w:val="14"/>
                <w:szCs w:val="14"/>
                <w:color w:val="auto"/>
              </w:rPr>
              <w:t>Year ended</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4060" w:type="dxa"/>
            <w:vAlign w:val="bottom"/>
          </w:tcPr>
          <w:p>
            <w:pPr>
              <w:spacing w:after="0"/>
              <w:rPr>
                <w:sz w:val="14"/>
                <w:szCs w:val="14"/>
                <w:color w:val="auto"/>
              </w:rPr>
            </w:pPr>
          </w:p>
        </w:tc>
        <w:tc>
          <w:tcPr>
            <w:tcW w:w="1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20" w:type="dxa"/>
            <w:vAlign w:val="bottom"/>
            <w:gridSpan w:val="2"/>
          </w:tcPr>
          <w:p>
            <w:pPr>
              <w:jc w:val="right"/>
              <w:ind w:right="680"/>
              <w:spacing w:after="0"/>
              <w:rPr>
                <w:sz w:val="20"/>
                <w:szCs w:val="20"/>
                <w:color w:val="auto"/>
              </w:rPr>
            </w:pPr>
            <w:r>
              <w:rPr>
                <w:rFonts w:ascii="Arial" w:cs="Arial" w:eastAsia="Arial" w:hAnsi="Arial"/>
                <w:sz w:val="14"/>
                <w:szCs w:val="14"/>
                <w:color w:val="auto"/>
                <w:w w:val="92"/>
              </w:rPr>
              <w:t>June 30, 2021</w:t>
            </w:r>
          </w:p>
        </w:tc>
        <w:tc>
          <w:tcPr>
            <w:tcW w:w="1680" w:type="dxa"/>
            <w:vAlign w:val="bottom"/>
            <w:gridSpan w:val="4"/>
          </w:tcPr>
          <w:p>
            <w:pPr>
              <w:jc w:val="right"/>
              <w:ind w:right="60"/>
              <w:spacing w:after="0"/>
              <w:rPr>
                <w:sz w:val="20"/>
                <w:szCs w:val="20"/>
                <w:color w:val="auto"/>
              </w:rPr>
            </w:pPr>
            <w:r>
              <w:rPr>
                <w:rFonts w:ascii="Arial" w:cs="Arial" w:eastAsia="Arial" w:hAnsi="Arial"/>
                <w:sz w:val="14"/>
                <w:szCs w:val="14"/>
                <w:color w:val="auto"/>
              </w:rPr>
              <w:t>December 31, 2020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0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Balance at beginning of period</w:t>
            </w:r>
          </w:p>
        </w:tc>
        <w:tc>
          <w:tcPr>
            <w:tcW w:w="18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5,236</w:t>
            </w:r>
          </w:p>
        </w:tc>
        <w:tc>
          <w:tcPr>
            <w:tcW w:w="540" w:type="dxa"/>
            <w:vAlign w:val="bottom"/>
            <w:tcBorders>
              <w:top w:val="single" w:sz="8" w:color="CCEEFF"/>
            </w:tcBorders>
            <w:shd w:val="clear" w:color="auto" w:fill="CCEEFF"/>
          </w:tcPr>
          <w:p>
            <w:pPr>
              <w:spacing w:after="0"/>
              <w:rPr>
                <w:sz w:val="18"/>
                <w:szCs w:val="18"/>
                <w:color w:val="auto"/>
              </w:rPr>
            </w:pPr>
          </w:p>
        </w:tc>
        <w:tc>
          <w:tcPr>
            <w:tcW w:w="4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w:t>
            </w: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60" w:type="dxa"/>
            <w:vAlign w:val="bottom"/>
          </w:tcPr>
          <w:p>
            <w:pPr>
              <w:ind w:left="340"/>
              <w:spacing w:after="0"/>
              <w:rPr>
                <w:sz w:val="20"/>
                <w:szCs w:val="20"/>
                <w:color w:val="auto"/>
              </w:rPr>
            </w:pPr>
            <w:r>
              <w:rPr>
                <w:rFonts w:ascii="Arial" w:cs="Arial" w:eastAsia="Arial" w:hAnsi="Arial"/>
                <w:sz w:val="18"/>
                <w:szCs w:val="18"/>
                <w:color w:val="auto"/>
              </w:rPr>
              <w:t>Additions</w:t>
            </w:r>
          </w:p>
        </w:tc>
        <w:tc>
          <w:tcPr>
            <w:tcW w:w="1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20" w:type="dxa"/>
            <w:vAlign w:val="bottom"/>
            <w:gridSpan w:val="2"/>
          </w:tcPr>
          <w:p>
            <w:pPr>
              <w:jc w:val="right"/>
              <w:ind w:right="640"/>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2,600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Net change in fair value</w:t>
            </w:r>
          </w:p>
        </w:tc>
        <w:tc>
          <w:tcPr>
            <w:tcW w:w="1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3,381</w:t>
            </w:r>
          </w:p>
        </w:tc>
        <w:tc>
          <w:tcPr>
            <w:tcW w:w="5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2,636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60" w:type="dxa"/>
            <w:vAlign w:val="bottom"/>
          </w:tcPr>
          <w:p>
            <w:pPr>
              <w:ind w:left="340"/>
              <w:spacing w:after="0"/>
              <w:rPr>
                <w:sz w:val="20"/>
                <w:szCs w:val="20"/>
                <w:color w:val="auto"/>
              </w:rPr>
            </w:pPr>
            <w:r>
              <w:rPr>
                <w:rFonts w:ascii="Arial" w:cs="Arial" w:eastAsia="Arial" w:hAnsi="Arial"/>
                <w:sz w:val="18"/>
                <w:szCs w:val="18"/>
                <w:color w:val="auto"/>
              </w:rPr>
              <w:t>Payments</w:t>
            </w:r>
          </w:p>
        </w:tc>
        <w:tc>
          <w:tcPr>
            <w:tcW w:w="1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20" w:type="dxa"/>
            <w:vAlign w:val="bottom"/>
            <w:gridSpan w:val="2"/>
          </w:tcPr>
          <w:p>
            <w:pPr>
              <w:jc w:val="right"/>
              <w:ind w:right="480"/>
              <w:spacing w:after="0"/>
              <w:rPr>
                <w:sz w:val="20"/>
                <w:szCs w:val="20"/>
                <w:color w:val="auto"/>
              </w:rPr>
            </w:pPr>
            <w:r>
              <w:rPr>
                <w:rFonts w:ascii="Arial" w:cs="Arial" w:eastAsia="Arial" w:hAnsi="Arial"/>
                <w:sz w:val="18"/>
                <w:szCs w:val="18"/>
                <w:color w:val="auto"/>
              </w:rPr>
              <w:t>(1,500)</w:t>
            </w:r>
          </w:p>
        </w:tc>
        <w:tc>
          <w:tcPr>
            <w:tcW w:w="4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060" w:type="dxa"/>
            <w:vAlign w:val="bottom"/>
          </w:tcPr>
          <w:p>
            <w:pPr>
              <w:spacing w:after="0"/>
              <w:rPr>
                <w:sz w:val="2"/>
                <w:szCs w:val="2"/>
                <w:color w:val="auto"/>
              </w:rPr>
            </w:pPr>
          </w:p>
        </w:tc>
        <w:tc>
          <w:tcPr>
            <w:tcW w:w="18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540" w:type="dxa"/>
            <w:vAlign w:val="bottom"/>
          </w:tcPr>
          <w:p>
            <w:pPr>
              <w:spacing w:after="0"/>
              <w:rPr>
                <w:sz w:val="2"/>
                <w:szCs w:val="2"/>
                <w:color w:val="auto"/>
              </w:rPr>
            </w:pPr>
          </w:p>
        </w:tc>
        <w:tc>
          <w:tcPr>
            <w:tcW w:w="48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060" w:type="dxa"/>
            <w:vAlign w:val="bottom"/>
            <w:shd w:val="clear" w:color="auto" w:fill="CCEEFF"/>
          </w:tcPr>
          <w:p>
            <w:pPr>
              <w:spacing w:after="0"/>
              <w:rPr>
                <w:sz w:val="20"/>
                <w:szCs w:val="20"/>
                <w:color w:val="auto"/>
              </w:rPr>
            </w:pPr>
            <w:r>
              <w:rPr>
                <w:rFonts w:ascii="Arial" w:cs="Arial" w:eastAsia="Arial" w:hAnsi="Arial"/>
                <w:sz w:val="18"/>
                <w:szCs w:val="18"/>
                <w:color w:val="auto"/>
              </w:rPr>
              <w:t>Balance at end of period</w:t>
            </w:r>
          </w:p>
        </w:tc>
        <w:tc>
          <w:tcPr>
            <w:tcW w:w="1980" w:type="dxa"/>
            <w:vAlign w:val="bottom"/>
            <w:gridSpan w:val="2"/>
            <w:shd w:val="clear" w:color="auto" w:fill="CCEEFF"/>
          </w:tcPr>
          <w:p>
            <w:pPr>
              <w:ind w:left="1880"/>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7,117</w:t>
            </w:r>
          </w:p>
        </w:tc>
        <w:tc>
          <w:tcPr>
            <w:tcW w:w="5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7"/>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5,236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06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left="120" w:right="120" w:firstLine="440"/>
        <w:spacing w:after="0" w:line="257" w:lineRule="auto"/>
        <w:rPr>
          <w:sz w:val="20"/>
          <w:szCs w:val="20"/>
          <w:color w:val="auto"/>
        </w:rPr>
      </w:pPr>
      <w:r>
        <w:rPr>
          <w:rFonts w:ascii="Arial" w:cs="Arial" w:eastAsia="Arial" w:hAnsi="Arial"/>
          <w:sz w:val="18"/>
          <w:szCs w:val="18"/>
          <w:color w:val="auto"/>
        </w:rPr>
        <w:t>There were no Level 3 instruments as of June 30, 2020. Adjustments to the earn-out liabilities in periods subsequent to the completion of acquisitions were made using scenario-based modeling to estimate the probability of achievement and are reflected within transaction expenses in the condensed consolidated statements of operations. As of June 30, 2021, the Company had the potential to make a maximum of $13.5 million and a minimum of $0.0 million (undiscounted) in earn-out payments. Assuming the achievement of the applicable performance criteria, these earn-out payments will be made in April 2022.</w:t>
      </w:r>
    </w:p>
    <w:p>
      <w:pPr>
        <w:spacing w:after="0" w:line="188" w:lineRule="exact"/>
        <w:rPr>
          <w:sz w:val="20"/>
          <w:szCs w:val="20"/>
          <w:color w:val="auto"/>
        </w:rPr>
      </w:pPr>
    </w:p>
    <w:p>
      <w:pPr>
        <w:ind w:left="120" w:firstLine="440"/>
        <w:spacing w:after="0" w:line="255" w:lineRule="auto"/>
        <w:rPr>
          <w:sz w:val="20"/>
          <w:szCs w:val="20"/>
          <w:color w:val="auto"/>
        </w:rPr>
      </w:pPr>
      <w:r>
        <w:rPr>
          <w:rFonts w:ascii="Arial" w:cs="Arial" w:eastAsia="Arial" w:hAnsi="Arial"/>
          <w:sz w:val="18"/>
          <w:szCs w:val="18"/>
          <w:color w:val="auto"/>
        </w:rPr>
        <w:t xml:space="preserve">Certain assets and liabilities, including property, plant and equipment, goodwill and other intangible assets, are measured at fair value on a non-recurring basis. These assets are remeasured when the derived fair value is below the carrying value on the Company’s consolidated balance sheet. For these assets, the Company does not periodically adjust carrying value to fair value except in the event of impairment. When impairment has occurred, the Company measures the required charges and adjusts the carrying value as discussed in Note 2. </w:t>
      </w:r>
      <w:r>
        <w:rPr>
          <w:rFonts w:ascii="Arial" w:cs="Arial" w:eastAsia="Arial" w:hAnsi="Arial"/>
          <w:sz w:val="18"/>
          <w:szCs w:val="18"/>
          <w:i w:val="1"/>
          <w:iCs w:val="1"/>
          <w:color w:val="auto"/>
        </w:rPr>
        <w:t>Summary of Significant Accounting</w:t>
      </w:r>
      <w:r>
        <w:rPr>
          <w:rFonts w:ascii="Arial" w:cs="Arial" w:eastAsia="Arial" w:hAnsi="Arial"/>
          <w:sz w:val="18"/>
          <w:szCs w:val="18"/>
          <w:color w:val="auto"/>
        </w:rPr>
        <w:t xml:space="preserve"> </w:t>
      </w:r>
      <w:r>
        <w:rPr>
          <w:rFonts w:ascii="Arial" w:cs="Arial" w:eastAsia="Arial" w:hAnsi="Arial"/>
          <w:sz w:val="18"/>
          <w:szCs w:val="18"/>
          <w:i w:val="1"/>
          <w:iCs w:val="1"/>
          <w:color w:val="auto"/>
        </w:rPr>
        <w:t>Policies</w:t>
      </w:r>
      <w:r>
        <w:rPr>
          <w:rFonts w:ascii="Arial" w:cs="Arial" w:eastAsia="Arial" w:hAnsi="Arial"/>
          <w:sz w:val="18"/>
          <w:szCs w:val="18"/>
          <w:color w:val="auto"/>
        </w:rPr>
        <w:t>. For discussion about the impairment testing of assets not measured at fair value on a recurring basis see Note 7.</w:t>
      </w:r>
      <w:r>
        <w:rPr>
          <w:rFonts w:ascii="Arial" w:cs="Arial" w:eastAsia="Arial" w:hAnsi="Arial"/>
          <w:sz w:val="18"/>
          <w:szCs w:val="18"/>
          <w:i w:val="1"/>
          <w:iCs w:val="1"/>
          <w:color w:val="auto"/>
        </w:rPr>
        <w:t xml:space="preserve"> Goodwill and Intangible Assets</w:t>
      </w:r>
      <w:r>
        <w:rPr>
          <w:rFonts w:ascii="Arial" w:cs="Arial" w:eastAsia="Arial" w:hAnsi="Arial"/>
          <w:sz w:val="18"/>
          <w:szCs w:val="18"/>
          <w:color w:val="auto"/>
        </w:rPr>
        <w:t>, net for additional details.</w:t>
      </w:r>
    </w:p>
    <w:p>
      <w:pPr>
        <w:spacing w:after="0" w:line="341" w:lineRule="exact"/>
        <w:rPr>
          <w:sz w:val="20"/>
          <w:szCs w:val="20"/>
          <w:color w:val="auto"/>
        </w:rPr>
      </w:pPr>
    </w:p>
    <w:p>
      <w:pPr>
        <w:ind w:left="540" w:hanging="424"/>
        <w:spacing w:after="0"/>
        <w:tabs>
          <w:tab w:leader="none" w:pos="540" w:val="left"/>
        </w:tabs>
        <w:numPr>
          <w:ilvl w:val="0"/>
          <w:numId w:val="211"/>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Accrued Expenses and Other Current Liabilities</w:t>
      </w:r>
    </w:p>
    <w:p>
      <w:pPr>
        <w:spacing w:after="0" w:line="117" w:lineRule="exact"/>
        <w:rPr>
          <w:rFonts w:ascii="Arial" w:cs="Arial" w:eastAsia="Arial" w:hAnsi="Arial"/>
          <w:sz w:val="18"/>
          <w:szCs w:val="18"/>
          <w:b w:val="1"/>
          <w:bCs w:val="1"/>
          <w:color w:val="auto"/>
        </w:rPr>
      </w:pPr>
    </w:p>
    <w:p>
      <w:pPr>
        <w:ind w:left="560"/>
        <w:spacing w:after="0"/>
        <w:rPr>
          <w:rFonts w:ascii="Arial" w:cs="Arial" w:eastAsia="Arial" w:hAnsi="Arial"/>
          <w:sz w:val="18"/>
          <w:szCs w:val="18"/>
          <w:b w:val="1"/>
          <w:bCs w:val="1"/>
          <w:color w:val="auto"/>
        </w:rPr>
      </w:pPr>
      <w:r>
        <w:rPr>
          <w:rFonts w:ascii="Arial" w:cs="Arial" w:eastAsia="Arial" w:hAnsi="Arial"/>
          <w:sz w:val="18"/>
          <w:szCs w:val="18"/>
          <w:color w:val="auto"/>
        </w:rPr>
        <w:t>Accrued expenses and other current liabilities consisted of the following (in thousands):</w:t>
      </w:r>
    </w:p>
    <w:p>
      <w:pPr>
        <w:spacing w:after="0" w:line="231" w:lineRule="exact"/>
        <w:rPr>
          <w:sz w:val="20"/>
          <w:szCs w:val="20"/>
          <w:color w:val="auto"/>
        </w:rPr>
      </w:pPr>
    </w:p>
    <w:tbl>
      <w:tblPr>
        <w:tblLayout w:type="fixed"/>
        <w:tblInd w:w="1440" w:type="dxa"/>
        <w:tblCellMar>
          <w:top w:w="0" w:type="dxa"/>
          <w:left w:w="0" w:type="dxa"/>
          <w:bottom w:w="0" w:type="dxa"/>
          <w:right w:w="0" w:type="dxa"/>
        </w:tblCellMar>
      </w:tblPr>
      <w:tr>
        <w:trPr>
          <w:trHeight w:val="161"/>
        </w:trPr>
        <w:tc>
          <w:tcPr>
            <w:tcW w:w="3720" w:type="dxa"/>
            <w:vAlign w:val="bottom"/>
          </w:tcPr>
          <w:p>
            <w:pPr>
              <w:spacing w:after="0"/>
              <w:rPr>
                <w:sz w:val="14"/>
                <w:szCs w:val="14"/>
                <w:color w:val="auto"/>
              </w:rPr>
            </w:pPr>
          </w:p>
        </w:tc>
        <w:tc>
          <w:tcPr>
            <w:tcW w:w="2540" w:type="dxa"/>
            <w:vAlign w:val="bottom"/>
          </w:tcPr>
          <w:p>
            <w:pPr>
              <w:spacing w:after="0"/>
              <w:rPr>
                <w:sz w:val="14"/>
                <w:szCs w:val="14"/>
                <w:color w:val="auto"/>
              </w:rPr>
            </w:pPr>
          </w:p>
        </w:tc>
        <w:tc>
          <w:tcPr>
            <w:tcW w:w="1220" w:type="dxa"/>
            <w:vAlign w:val="bottom"/>
            <w:gridSpan w:val="3"/>
          </w:tcPr>
          <w:p>
            <w:pPr>
              <w:ind w:left="40"/>
              <w:spacing w:after="0"/>
              <w:rPr>
                <w:sz w:val="20"/>
                <w:szCs w:val="20"/>
                <w:color w:val="auto"/>
              </w:rPr>
            </w:pPr>
            <w:r>
              <w:rPr>
                <w:rFonts w:ascii="Arial" w:cs="Arial" w:eastAsia="Arial" w:hAnsi="Arial"/>
                <w:sz w:val="14"/>
                <w:szCs w:val="14"/>
                <w:b w:val="1"/>
                <w:bCs w:val="1"/>
                <w:color w:val="auto"/>
              </w:rPr>
              <w:t>June 30,</w:t>
            </w:r>
          </w:p>
        </w:tc>
        <w:tc>
          <w:tcPr>
            <w:tcW w:w="880" w:type="dxa"/>
            <w:vAlign w:val="bottom"/>
            <w:gridSpan w:val="3"/>
          </w:tcPr>
          <w:p>
            <w:pPr>
              <w:spacing w:after="0"/>
              <w:rPr>
                <w:sz w:val="20"/>
                <w:szCs w:val="20"/>
                <w:color w:val="auto"/>
              </w:rPr>
            </w:pPr>
            <w:r>
              <w:rPr>
                <w:rFonts w:ascii="Arial" w:cs="Arial" w:eastAsia="Arial" w:hAnsi="Arial"/>
                <w:sz w:val="14"/>
                <w:szCs w:val="14"/>
                <w:b w:val="1"/>
                <w:bCs w:val="1"/>
                <w:color w:val="auto"/>
                <w:w w:val="94"/>
              </w:rPr>
              <w:t>December 31,</w:t>
            </w:r>
          </w:p>
        </w:tc>
      </w:tr>
      <w:tr>
        <w:trPr>
          <w:trHeight w:val="171"/>
        </w:trPr>
        <w:tc>
          <w:tcPr>
            <w:tcW w:w="3720" w:type="dxa"/>
            <w:vAlign w:val="bottom"/>
            <w:tcBorders>
              <w:bottom w:val="single" w:sz="8" w:color="CCEEFF"/>
            </w:tcBorders>
          </w:tcPr>
          <w:p>
            <w:pPr>
              <w:spacing w:after="0"/>
              <w:rPr>
                <w:sz w:val="14"/>
                <w:szCs w:val="14"/>
                <w:color w:val="auto"/>
              </w:rPr>
            </w:pPr>
          </w:p>
        </w:tc>
        <w:tc>
          <w:tcPr>
            <w:tcW w:w="254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jc w:val="right"/>
              <w:ind w:right="72"/>
              <w:spacing w:after="0"/>
              <w:rPr>
                <w:sz w:val="20"/>
                <w:szCs w:val="20"/>
                <w:color w:val="auto"/>
              </w:rPr>
            </w:pPr>
            <w:r>
              <w:rPr>
                <w:rFonts w:ascii="Arial" w:cs="Arial" w:eastAsia="Arial" w:hAnsi="Arial"/>
                <w:sz w:val="14"/>
                <w:szCs w:val="14"/>
                <w:b w:val="1"/>
                <w:bCs w:val="1"/>
                <w:color w:val="auto"/>
              </w:rPr>
              <w:t>2021</w:t>
            </w:r>
          </w:p>
        </w:tc>
        <w:tc>
          <w:tcPr>
            <w:tcW w:w="62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192"/>
              <w:spacing w:after="0"/>
              <w:rPr>
                <w:sz w:val="20"/>
                <w:szCs w:val="20"/>
                <w:color w:val="auto"/>
              </w:rPr>
            </w:pPr>
            <w:r>
              <w:rPr>
                <w:rFonts w:ascii="Arial" w:cs="Arial" w:eastAsia="Arial" w:hAnsi="Arial"/>
                <w:sz w:val="14"/>
                <w:szCs w:val="14"/>
                <w:b w:val="1"/>
                <w:bCs w:val="1"/>
                <w:color w:val="auto"/>
              </w:rPr>
              <w:t>2020</w:t>
            </w:r>
          </w:p>
        </w:tc>
        <w:tc>
          <w:tcPr>
            <w:tcW w:w="40" w:type="dxa"/>
            <w:vAlign w:val="bottom"/>
            <w:tcBorders>
              <w:bottom w:val="single" w:sz="8" w:color="CCEEFF"/>
            </w:tcBorders>
          </w:tcPr>
          <w:p>
            <w:pPr>
              <w:spacing w:after="0"/>
              <w:rPr>
                <w:sz w:val="14"/>
                <w:szCs w:val="14"/>
                <w:color w:val="auto"/>
              </w:rPr>
            </w:pPr>
          </w:p>
        </w:tc>
      </w:tr>
      <w:tr>
        <w:trPr>
          <w:trHeight w:val="210"/>
        </w:trPr>
        <w:tc>
          <w:tcPr>
            <w:tcW w:w="3720" w:type="dxa"/>
            <w:vAlign w:val="bottom"/>
            <w:shd w:val="clear" w:color="auto" w:fill="CCEEFF"/>
          </w:tcPr>
          <w:p>
            <w:pPr>
              <w:spacing w:after="0"/>
              <w:rPr>
                <w:sz w:val="20"/>
                <w:szCs w:val="20"/>
                <w:color w:val="auto"/>
              </w:rPr>
            </w:pPr>
            <w:r>
              <w:rPr>
                <w:rFonts w:ascii="Arial" w:cs="Arial" w:eastAsia="Arial" w:hAnsi="Arial"/>
                <w:sz w:val="18"/>
                <w:szCs w:val="18"/>
                <w:color w:val="auto"/>
              </w:rPr>
              <w:t>Payroll and payroll-related</w:t>
            </w:r>
          </w:p>
        </w:tc>
        <w:tc>
          <w:tcPr>
            <w:tcW w:w="25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4,864</w:t>
            </w:r>
          </w:p>
        </w:tc>
        <w:tc>
          <w:tcPr>
            <w:tcW w:w="6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7,792</w:t>
            </w:r>
          </w:p>
        </w:tc>
        <w:tc>
          <w:tcPr>
            <w:tcW w:w="40" w:type="dxa"/>
            <w:vAlign w:val="bottom"/>
            <w:shd w:val="clear" w:color="auto" w:fill="CCEEFF"/>
          </w:tcPr>
          <w:p>
            <w:pPr>
              <w:spacing w:after="0"/>
              <w:rPr>
                <w:sz w:val="18"/>
                <w:szCs w:val="18"/>
                <w:color w:val="auto"/>
              </w:rPr>
            </w:pPr>
          </w:p>
        </w:tc>
      </w:tr>
      <w:tr>
        <w:trPr>
          <w:trHeight w:val="216"/>
        </w:trPr>
        <w:tc>
          <w:tcPr>
            <w:tcW w:w="3720" w:type="dxa"/>
            <w:vAlign w:val="bottom"/>
          </w:tcPr>
          <w:p>
            <w:pPr>
              <w:spacing w:after="0"/>
              <w:rPr>
                <w:sz w:val="20"/>
                <w:szCs w:val="20"/>
                <w:color w:val="auto"/>
              </w:rPr>
            </w:pPr>
            <w:r>
              <w:rPr>
                <w:rFonts w:ascii="Arial" w:cs="Arial" w:eastAsia="Arial" w:hAnsi="Arial"/>
                <w:sz w:val="18"/>
                <w:szCs w:val="18"/>
                <w:color w:val="auto"/>
              </w:rPr>
              <w:t>Accrued interest</w:t>
            </w:r>
          </w:p>
        </w:tc>
        <w:tc>
          <w:tcPr>
            <w:tcW w:w="2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right"/>
              <w:ind w:right="620"/>
              <w:spacing w:after="0"/>
              <w:rPr>
                <w:sz w:val="20"/>
                <w:szCs w:val="20"/>
                <w:color w:val="auto"/>
              </w:rPr>
            </w:pPr>
            <w:r>
              <w:rPr>
                <w:rFonts w:ascii="Arial" w:cs="Arial" w:eastAsia="Arial" w:hAnsi="Arial"/>
                <w:sz w:val="18"/>
                <w:szCs w:val="18"/>
                <w:color w:val="auto"/>
              </w:rPr>
              <w:t>5,129</w:t>
            </w:r>
          </w:p>
        </w:tc>
        <w:tc>
          <w:tcPr>
            <w:tcW w:w="180" w:type="dxa"/>
            <w:vAlign w:val="bottom"/>
          </w:tcPr>
          <w:p>
            <w:pPr>
              <w:spacing w:after="0"/>
              <w:rPr>
                <w:sz w:val="18"/>
                <w:szCs w:val="18"/>
                <w:color w:val="auto"/>
              </w:rPr>
            </w:pPr>
          </w:p>
        </w:tc>
        <w:tc>
          <w:tcPr>
            <w:tcW w:w="700" w:type="dxa"/>
            <w:vAlign w:val="bottom"/>
            <w:gridSpan w:val="2"/>
          </w:tcPr>
          <w:p>
            <w:pPr>
              <w:jc w:val="right"/>
              <w:ind w:right="40"/>
              <w:spacing w:after="0"/>
              <w:rPr>
                <w:sz w:val="20"/>
                <w:szCs w:val="20"/>
                <w:color w:val="auto"/>
              </w:rPr>
            </w:pPr>
            <w:r>
              <w:rPr>
                <w:rFonts w:ascii="Arial" w:cs="Arial" w:eastAsia="Arial" w:hAnsi="Arial"/>
                <w:sz w:val="18"/>
                <w:szCs w:val="18"/>
                <w:color w:val="auto"/>
              </w:rPr>
              <w:t>5,365</w:t>
            </w:r>
          </w:p>
        </w:tc>
      </w:tr>
      <w:tr>
        <w:trPr>
          <w:trHeight w:val="216"/>
        </w:trPr>
        <w:tc>
          <w:tcPr>
            <w:tcW w:w="3720" w:type="dxa"/>
            <w:vAlign w:val="bottom"/>
            <w:shd w:val="clear" w:color="auto" w:fill="CCEEFF"/>
          </w:tcPr>
          <w:p>
            <w:pPr>
              <w:spacing w:after="0"/>
              <w:rPr>
                <w:sz w:val="20"/>
                <w:szCs w:val="20"/>
                <w:color w:val="auto"/>
              </w:rPr>
            </w:pPr>
            <w:r>
              <w:rPr>
                <w:rFonts w:ascii="Arial" w:cs="Arial" w:eastAsia="Arial" w:hAnsi="Arial"/>
                <w:sz w:val="18"/>
                <w:szCs w:val="18"/>
                <w:color w:val="auto"/>
              </w:rPr>
              <w:t>Contingent consideration, current</w:t>
            </w:r>
          </w:p>
        </w:tc>
        <w:tc>
          <w:tcPr>
            <w:tcW w:w="2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7,117</w:t>
            </w:r>
          </w:p>
        </w:tc>
        <w:tc>
          <w:tcPr>
            <w:tcW w:w="1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1,500</w:t>
            </w:r>
          </w:p>
        </w:tc>
      </w:tr>
      <w:tr>
        <w:trPr>
          <w:trHeight w:val="216"/>
        </w:trPr>
        <w:tc>
          <w:tcPr>
            <w:tcW w:w="3720" w:type="dxa"/>
            <w:vAlign w:val="bottom"/>
          </w:tcPr>
          <w:p>
            <w:pPr>
              <w:spacing w:after="0"/>
              <w:rPr>
                <w:sz w:val="20"/>
                <w:szCs w:val="20"/>
                <w:color w:val="auto"/>
              </w:rPr>
            </w:pPr>
            <w:r>
              <w:rPr>
                <w:rFonts w:ascii="Arial" w:cs="Arial" w:eastAsia="Arial" w:hAnsi="Arial"/>
                <w:sz w:val="18"/>
                <w:szCs w:val="18"/>
                <w:color w:val="auto"/>
              </w:rPr>
              <w:t>Sales taxes</w:t>
            </w:r>
          </w:p>
        </w:tc>
        <w:tc>
          <w:tcPr>
            <w:tcW w:w="2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right"/>
              <w:ind w:right="620"/>
              <w:spacing w:after="0"/>
              <w:rPr>
                <w:sz w:val="20"/>
                <w:szCs w:val="20"/>
                <w:color w:val="auto"/>
              </w:rPr>
            </w:pPr>
            <w:r>
              <w:rPr>
                <w:rFonts w:ascii="Arial" w:cs="Arial" w:eastAsia="Arial" w:hAnsi="Arial"/>
                <w:sz w:val="18"/>
                <w:szCs w:val="18"/>
                <w:color w:val="auto"/>
              </w:rPr>
              <w:t>552</w:t>
            </w:r>
          </w:p>
        </w:tc>
        <w:tc>
          <w:tcPr>
            <w:tcW w:w="180" w:type="dxa"/>
            <w:vAlign w:val="bottom"/>
          </w:tcPr>
          <w:p>
            <w:pPr>
              <w:spacing w:after="0"/>
              <w:rPr>
                <w:sz w:val="18"/>
                <w:szCs w:val="18"/>
                <w:color w:val="auto"/>
              </w:rPr>
            </w:pPr>
          </w:p>
        </w:tc>
        <w:tc>
          <w:tcPr>
            <w:tcW w:w="700" w:type="dxa"/>
            <w:vAlign w:val="bottom"/>
            <w:gridSpan w:val="2"/>
          </w:tcPr>
          <w:p>
            <w:pPr>
              <w:jc w:val="right"/>
              <w:ind w:right="40"/>
              <w:spacing w:after="0"/>
              <w:rPr>
                <w:sz w:val="20"/>
                <w:szCs w:val="20"/>
                <w:color w:val="auto"/>
              </w:rPr>
            </w:pPr>
            <w:r>
              <w:rPr>
                <w:rFonts w:ascii="Arial" w:cs="Arial" w:eastAsia="Arial" w:hAnsi="Arial"/>
                <w:sz w:val="18"/>
                <w:szCs w:val="18"/>
                <w:color w:val="auto"/>
              </w:rPr>
              <w:t>649</w:t>
            </w:r>
          </w:p>
        </w:tc>
      </w:tr>
      <w:tr>
        <w:trPr>
          <w:trHeight w:val="216"/>
        </w:trPr>
        <w:tc>
          <w:tcPr>
            <w:tcW w:w="3720" w:type="dxa"/>
            <w:vAlign w:val="bottom"/>
            <w:shd w:val="clear" w:color="auto" w:fill="CCEEFF"/>
          </w:tcPr>
          <w:p>
            <w:pPr>
              <w:spacing w:after="0"/>
              <w:rPr>
                <w:sz w:val="20"/>
                <w:szCs w:val="20"/>
                <w:color w:val="auto"/>
              </w:rPr>
            </w:pPr>
            <w:r>
              <w:rPr>
                <w:rFonts w:ascii="Arial" w:cs="Arial" w:eastAsia="Arial" w:hAnsi="Arial"/>
                <w:sz w:val="18"/>
                <w:szCs w:val="18"/>
                <w:color w:val="auto"/>
              </w:rPr>
              <w:t>Deferred rent</w:t>
            </w:r>
          </w:p>
        </w:tc>
        <w:tc>
          <w:tcPr>
            <w:tcW w:w="2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132</w:t>
            </w:r>
          </w:p>
        </w:tc>
        <w:tc>
          <w:tcPr>
            <w:tcW w:w="1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583</w:t>
            </w:r>
          </w:p>
        </w:tc>
      </w:tr>
      <w:tr>
        <w:trPr>
          <w:trHeight w:val="223"/>
        </w:trPr>
        <w:tc>
          <w:tcPr>
            <w:tcW w:w="3720" w:type="dxa"/>
            <w:vAlign w:val="bottom"/>
          </w:tcPr>
          <w:p>
            <w:pPr>
              <w:spacing w:after="0"/>
              <w:rPr>
                <w:sz w:val="20"/>
                <w:szCs w:val="20"/>
                <w:color w:val="auto"/>
              </w:rPr>
            </w:pPr>
            <w:r>
              <w:rPr>
                <w:rFonts w:ascii="Arial" w:cs="Arial" w:eastAsia="Arial" w:hAnsi="Arial"/>
                <w:sz w:val="18"/>
                <w:szCs w:val="18"/>
                <w:color w:val="auto"/>
              </w:rPr>
              <w:t>Other</w:t>
            </w:r>
          </w:p>
        </w:tc>
        <w:tc>
          <w:tcPr>
            <w:tcW w:w="25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2,691</w:t>
            </w:r>
          </w:p>
        </w:tc>
        <w:tc>
          <w:tcPr>
            <w:tcW w:w="62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1,432</w:t>
            </w:r>
          </w:p>
        </w:tc>
        <w:tc>
          <w:tcPr>
            <w:tcW w:w="40" w:type="dxa"/>
            <w:vAlign w:val="bottom"/>
          </w:tcPr>
          <w:p>
            <w:pPr>
              <w:spacing w:after="0"/>
              <w:rPr>
                <w:sz w:val="19"/>
                <w:szCs w:val="19"/>
                <w:color w:val="auto"/>
              </w:rPr>
            </w:pPr>
          </w:p>
        </w:tc>
      </w:tr>
      <w:tr>
        <w:trPr>
          <w:trHeight w:val="216"/>
        </w:trPr>
        <w:tc>
          <w:tcPr>
            <w:tcW w:w="3720" w:type="dxa"/>
            <w:vAlign w:val="bottom"/>
            <w:shd w:val="clear" w:color="auto" w:fill="CCEEFF"/>
          </w:tcPr>
          <w:p>
            <w:pPr>
              <w:spacing w:after="0"/>
              <w:rPr>
                <w:sz w:val="20"/>
                <w:szCs w:val="20"/>
                <w:color w:val="auto"/>
              </w:rPr>
            </w:pPr>
            <w:r>
              <w:rPr>
                <w:rFonts w:ascii="Arial" w:cs="Arial" w:eastAsia="Arial" w:hAnsi="Arial"/>
                <w:sz w:val="18"/>
                <w:szCs w:val="18"/>
                <w:color w:val="auto"/>
              </w:rPr>
              <w:t>Accrued expenses and other current liabilities</w:t>
            </w:r>
          </w:p>
        </w:tc>
        <w:tc>
          <w:tcPr>
            <w:tcW w:w="25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u w:val="single" w:color="auto"/>
                <w:color w:val="auto"/>
                <w:w w:val="79"/>
              </w:rPr>
              <w:t>$</w:t>
            </w: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20,485</w:t>
            </w:r>
          </w:p>
        </w:tc>
        <w:tc>
          <w:tcPr>
            <w:tcW w:w="62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17,321</w:t>
            </w:r>
          </w:p>
        </w:tc>
        <w:tc>
          <w:tcPr>
            <w:tcW w:w="40" w:type="dxa"/>
            <w:vAlign w:val="bottom"/>
            <w:shd w:val="clear" w:color="auto" w:fill="CCEEFF"/>
          </w:tcPr>
          <w:p>
            <w:pPr>
              <w:spacing w:after="0"/>
              <w:rPr>
                <w:sz w:val="18"/>
                <w:szCs w:val="18"/>
                <w:color w:val="auto"/>
              </w:rPr>
            </w:pPr>
          </w:p>
        </w:tc>
      </w:tr>
      <w:tr>
        <w:trPr>
          <w:trHeight w:val="20"/>
        </w:trPr>
        <w:tc>
          <w:tcPr>
            <w:tcW w:w="3720" w:type="dxa"/>
            <w:vAlign w:val="bottom"/>
          </w:tcPr>
          <w:p>
            <w:pPr>
              <w:spacing w:after="0" w:line="20" w:lineRule="exact"/>
              <w:rPr>
                <w:sz w:val="1"/>
                <w:szCs w:val="1"/>
                <w:color w:val="auto"/>
              </w:rPr>
            </w:pPr>
          </w:p>
        </w:tc>
        <w:tc>
          <w:tcPr>
            <w:tcW w:w="25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358"/>
        </w:trPr>
        <w:tc>
          <w:tcPr>
            <w:tcW w:w="3720" w:type="dxa"/>
            <w:vAlign w:val="bottom"/>
          </w:tcPr>
          <w:p>
            <w:pPr>
              <w:spacing w:after="0"/>
              <w:rPr>
                <w:sz w:val="24"/>
                <w:szCs w:val="24"/>
                <w:color w:val="auto"/>
              </w:rPr>
            </w:pPr>
          </w:p>
        </w:tc>
        <w:tc>
          <w:tcPr>
            <w:tcW w:w="2640" w:type="dxa"/>
            <w:vAlign w:val="bottom"/>
            <w:gridSpan w:val="2"/>
          </w:tcPr>
          <w:p>
            <w:pPr>
              <w:jc w:val="right"/>
              <w:ind w:right="1816"/>
              <w:spacing w:after="0"/>
              <w:rPr>
                <w:sz w:val="20"/>
                <w:szCs w:val="20"/>
                <w:color w:val="auto"/>
              </w:rPr>
            </w:pPr>
            <w:r>
              <w:rPr>
                <w:rFonts w:ascii="Arial" w:cs="Arial" w:eastAsia="Arial" w:hAnsi="Arial"/>
                <w:sz w:val="18"/>
                <w:szCs w:val="18"/>
                <w:color w:val="auto"/>
              </w:rPr>
              <w:t>F-70</w:t>
            </w:r>
          </w:p>
        </w:tc>
        <w:tc>
          <w:tcPr>
            <w:tcW w:w="5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40" w:type="dxa"/>
            <w:vAlign w:val="bottom"/>
          </w:tcPr>
          <w:p>
            <w:pPr>
              <w:spacing w:after="0"/>
              <w:rPr>
                <w:sz w:val="24"/>
                <w:szCs w:val="24"/>
                <w:color w:val="auto"/>
              </w:rPr>
            </w:pPr>
          </w:p>
        </w:tc>
      </w:tr>
    </w:tbl>
    <w:p>
      <w:pPr>
        <w:sectPr>
          <w:pgSz w:w="11900" w:h="16838" w:orient="portrait"/>
          <w:cols w:equalWidth="0" w:num="1">
            <w:col w:w="11000"/>
          </w:cols>
          <w:pgMar w:left="320" w:top="459" w:right="579" w:bottom="1440" w:gutter="0" w:footer="0" w:header="0"/>
        </w:sectPr>
      </w:pPr>
    </w:p>
    <w:bookmarkStart w:id="276" w:name="page277"/>
    <w:bookmarkEnd w:id="27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55" name="Picture 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
                    <pic:cNvPicPr>
                      <a:picLocks noChangeAspect="1" noChangeArrowheads="1"/>
                    </pic:cNvPicPr>
                  </pic:nvPicPr>
                  <pic:blipFill>
                    <a:blip r:embed="rId362">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Confidential Treatment Requested by Definitive Healthcare Corp.</w:t>
      </w:r>
    </w:p>
    <w:p>
      <w:pPr>
        <w:spacing w:after="0" w:line="27"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Pursuant to 17 C.F.R. Section 200.83</w:t>
      </w:r>
    </w:p>
    <w:p>
      <w:pPr>
        <w:spacing w:after="0" w:line="143" w:lineRule="exact"/>
        <w:rPr>
          <w:sz w:val="20"/>
          <w:szCs w:val="20"/>
          <w:color w:val="auto"/>
        </w:rPr>
      </w:pPr>
    </w:p>
    <w:p>
      <w:pPr>
        <w:ind w:left="540" w:hanging="424"/>
        <w:spacing w:after="0"/>
        <w:tabs>
          <w:tab w:leader="none" w:pos="540" w:val="left"/>
        </w:tabs>
        <w:numPr>
          <w:ilvl w:val="0"/>
          <w:numId w:val="212"/>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Commitments and Contingencies</w:t>
      </w:r>
    </w:p>
    <w:p>
      <w:pPr>
        <w:spacing w:after="0" w:line="117" w:lineRule="exact"/>
        <w:rPr>
          <w:rFonts w:ascii="Arial" w:cs="Arial" w:eastAsia="Arial" w:hAnsi="Arial"/>
          <w:sz w:val="18"/>
          <w:szCs w:val="18"/>
          <w:b w:val="1"/>
          <w:bCs w:val="1"/>
          <w:color w:val="auto"/>
        </w:rPr>
      </w:pPr>
    </w:p>
    <w:p>
      <w:pPr>
        <w:ind w:left="560"/>
        <w:spacing w:after="0"/>
        <w:rPr>
          <w:rFonts w:ascii="Arial" w:cs="Arial" w:eastAsia="Arial" w:hAnsi="Arial"/>
          <w:sz w:val="18"/>
          <w:szCs w:val="18"/>
          <w:b w:val="1"/>
          <w:bCs w:val="1"/>
          <w:color w:val="auto"/>
        </w:rPr>
      </w:pPr>
      <w:r>
        <w:rPr>
          <w:rFonts w:ascii="Arial" w:cs="Arial" w:eastAsia="Arial" w:hAnsi="Arial"/>
          <w:sz w:val="16"/>
          <w:szCs w:val="16"/>
          <w:color w:val="auto"/>
        </w:rPr>
        <w:t>The Company leases office facilities in Massachusetts, Vermont and Sweden, the terms of which expire at various times through the year 2030.</w:t>
      </w:r>
    </w:p>
    <w:p>
      <w:pPr>
        <w:spacing w:after="0" w:line="248" w:lineRule="exact"/>
        <w:rPr>
          <w:sz w:val="20"/>
          <w:szCs w:val="20"/>
          <w:color w:val="auto"/>
        </w:rPr>
      </w:pPr>
    </w:p>
    <w:p>
      <w:pPr>
        <w:jc w:val="both"/>
        <w:ind w:left="120" w:firstLine="440"/>
        <w:spacing w:after="0" w:line="286" w:lineRule="auto"/>
        <w:rPr>
          <w:sz w:val="20"/>
          <w:szCs w:val="20"/>
          <w:color w:val="auto"/>
        </w:rPr>
      </w:pPr>
      <w:r>
        <w:rPr>
          <w:rFonts w:ascii="Arial" w:cs="Arial" w:eastAsia="Arial" w:hAnsi="Arial"/>
          <w:sz w:val="17"/>
          <w:szCs w:val="17"/>
          <w:color w:val="auto"/>
        </w:rPr>
        <w:t>Total rent expense was $1.3 million and $0.9 million for the six months ended June 30, 2021 and 2020, respectively, and was classified in selling, general, and administrative expense in the condensed consolidated statements of operations. The Company signed a new office lease agreement in 2019 which commenced in 2020 and will continue through 2027. The table below is inclusive of the new lease.</w:t>
      </w:r>
    </w:p>
    <w:p>
      <w:pPr>
        <w:spacing w:after="0" w:line="165" w:lineRule="exact"/>
        <w:rPr>
          <w:sz w:val="20"/>
          <w:szCs w:val="20"/>
          <w:color w:val="auto"/>
        </w:rPr>
      </w:pPr>
    </w:p>
    <w:tbl>
      <w:tblPr>
        <w:tblLayout w:type="fixed"/>
        <w:tblInd w:w="560" w:type="dxa"/>
        <w:tblCellMar>
          <w:top w:w="0" w:type="dxa"/>
          <w:left w:w="0" w:type="dxa"/>
          <w:bottom w:w="0" w:type="dxa"/>
          <w:right w:w="0" w:type="dxa"/>
        </w:tblCellMar>
      </w:tblPr>
      <w:tr>
        <w:trPr>
          <w:trHeight w:val="230"/>
        </w:trPr>
        <w:tc>
          <w:tcPr>
            <w:tcW w:w="8120" w:type="dxa"/>
            <w:vAlign w:val="bottom"/>
            <w:gridSpan w:val="2"/>
          </w:tcPr>
          <w:p>
            <w:pPr>
              <w:spacing w:after="0"/>
              <w:rPr>
                <w:sz w:val="20"/>
                <w:szCs w:val="20"/>
                <w:color w:val="auto"/>
              </w:rPr>
            </w:pPr>
            <w:r>
              <w:rPr>
                <w:rFonts w:ascii="Arial" w:cs="Arial" w:eastAsia="Arial" w:hAnsi="Arial"/>
                <w:sz w:val="18"/>
                <w:szCs w:val="18"/>
                <w:color w:val="auto"/>
              </w:rPr>
              <w:t>Minimum future rental payments are expected to be as follows at June 30 (in thousands):</w:t>
            </w:r>
          </w:p>
        </w:tc>
        <w:tc>
          <w:tcPr>
            <w:tcW w:w="1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1320" w:type="dxa"/>
            <w:vAlign w:val="bottom"/>
            <w:vMerge w:val="restart"/>
          </w:tcPr>
          <w:p>
            <w:pPr>
              <w:spacing w:after="0"/>
              <w:rPr>
                <w:sz w:val="21"/>
                <w:szCs w:val="21"/>
                <w:color w:val="auto"/>
              </w:rPr>
            </w:pPr>
          </w:p>
        </w:tc>
        <w:tc>
          <w:tcPr>
            <w:tcW w:w="68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1320" w:type="dxa"/>
            <w:vAlign w:val="bottom"/>
            <w:vMerge w:val="continue"/>
          </w:tcPr>
          <w:p>
            <w:pPr>
              <w:spacing w:after="0"/>
              <w:rPr>
                <w:sz w:val="18"/>
                <w:szCs w:val="18"/>
                <w:color w:val="auto"/>
              </w:rPr>
            </w:pPr>
          </w:p>
        </w:tc>
        <w:tc>
          <w:tcPr>
            <w:tcW w:w="6800" w:type="dxa"/>
            <w:vAlign w:val="bottom"/>
            <w:shd w:val="clear" w:color="auto" w:fill="CCEEFF"/>
          </w:tcPr>
          <w:p>
            <w:pPr>
              <w:spacing w:after="0"/>
              <w:rPr>
                <w:sz w:val="20"/>
                <w:szCs w:val="20"/>
                <w:color w:val="auto"/>
              </w:rPr>
            </w:pPr>
            <w:r>
              <w:rPr>
                <w:rFonts w:ascii="Arial" w:cs="Arial" w:eastAsia="Arial" w:hAnsi="Arial"/>
                <w:sz w:val="18"/>
                <w:szCs w:val="18"/>
                <w:color w:val="auto"/>
              </w:rPr>
              <w:t>Remainder of 2021</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1,567</w:t>
            </w:r>
          </w:p>
        </w:tc>
        <w:tc>
          <w:tcPr>
            <w:tcW w:w="0" w:type="dxa"/>
            <w:vAlign w:val="bottom"/>
          </w:tcPr>
          <w:p>
            <w:pPr>
              <w:spacing w:after="0"/>
              <w:rPr>
                <w:sz w:val="1"/>
                <w:szCs w:val="1"/>
                <w:color w:val="auto"/>
              </w:rPr>
            </w:pPr>
          </w:p>
        </w:tc>
      </w:tr>
      <w:tr>
        <w:trPr>
          <w:trHeight w:val="216"/>
        </w:trPr>
        <w:tc>
          <w:tcPr>
            <w:tcW w:w="1320" w:type="dxa"/>
            <w:vAlign w:val="bottom"/>
          </w:tcPr>
          <w:p>
            <w:pPr>
              <w:spacing w:after="0"/>
              <w:rPr>
                <w:sz w:val="18"/>
                <w:szCs w:val="18"/>
                <w:color w:val="auto"/>
              </w:rPr>
            </w:pPr>
          </w:p>
        </w:tc>
        <w:tc>
          <w:tcPr>
            <w:tcW w:w="6800" w:type="dxa"/>
            <w:vAlign w:val="bottom"/>
          </w:tcPr>
          <w:p>
            <w:pPr>
              <w:spacing w:after="0"/>
              <w:rPr>
                <w:sz w:val="20"/>
                <w:szCs w:val="20"/>
                <w:color w:val="auto"/>
              </w:rPr>
            </w:pPr>
            <w:r>
              <w:rPr>
                <w:rFonts w:ascii="Arial" w:cs="Arial" w:eastAsia="Arial" w:hAnsi="Arial"/>
                <w:sz w:val="18"/>
                <w:szCs w:val="18"/>
                <w:color w:val="auto"/>
              </w:rPr>
              <w:t>2022</w:t>
            </w:r>
          </w:p>
        </w:tc>
        <w:tc>
          <w:tcPr>
            <w:tcW w:w="100" w:type="dxa"/>
            <w:vAlign w:val="bottom"/>
          </w:tcPr>
          <w:p>
            <w:pPr>
              <w:spacing w:after="0"/>
              <w:rPr>
                <w:sz w:val="18"/>
                <w:szCs w:val="18"/>
                <w:color w:val="auto"/>
              </w:rPr>
            </w:pPr>
          </w:p>
        </w:tc>
        <w:tc>
          <w:tcPr>
            <w:tcW w:w="580" w:type="dxa"/>
            <w:vAlign w:val="bottom"/>
            <w:gridSpan w:val="2"/>
          </w:tcPr>
          <w:p>
            <w:pPr>
              <w:jc w:val="right"/>
              <w:ind w:right="60"/>
              <w:spacing w:after="0"/>
              <w:rPr>
                <w:sz w:val="20"/>
                <w:szCs w:val="20"/>
                <w:color w:val="auto"/>
              </w:rPr>
            </w:pPr>
            <w:r>
              <w:rPr>
                <w:rFonts w:ascii="Arial" w:cs="Arial" w:eastAsia="Arial" w:hAnsi="Arial"/>
                <w:sz w:val="18"/>
                <w:szCs w:val="18"/>
                <w:color w:val="auto"/>
              </w:rPr>
              <w:t>3,174</w:t>
            </w:r>
          </w:p>
        </w:tc>
        <w:tc>
          <w:tcPr>
            <w:tcW w:w="0" w:type="dxa"/>
            <w:vAlign w:val="bottom"/>
          </w:tcPr>
          <w:p>
            <w:pPr>
              <w:spacing w:after="0"/>
              <w:rPr>
                <w:sz w:val="1"/>
                <w:szCs w:val="1"/>
                <w:color w:val="auto"/>
              </w:rPr>
            </w:pPr>
          </w:p>
        </w:tc>
      </w:tr>
      <w:tr>
        <w:trPr>
          <w:trHeight w:val="216"/>
        </w:trPr>
        <w:tc>
          <w:tcPr>
            <w:tcW w:w="1320" w:type="dxa"/>
            <w:vAlign w:val="bottom"/>
          </w:tcPr>
          <w:p>
            <w:pPr>
              <w:spacing w:after="0"/>
              <w:rPr>
                <w:sz w:val="18"/>
                <w:szCs w:val="18"/>
                <w:color w:val="auto"/>
              </w:rPr>
            </w:pPr>
          </w:p>
        </w:tc>
        <w:tc>
          <w:tcPr>
            <w:tcW w:w="6800" w:type="dxa"/>
            <w:vAlign w:val="bottom"/>
            <w:shd w:val="clear" w:color="auto" w:fill="CCEEFF"/>
          </w:tcPr>
          <w:p>
            <w:pPr>
              <w:spacing w:after="0"/>
              <w:rPr>
                <w:sz w:val="20"/>
                <w:szCs w:val="20"/>
                <w:color w:val="auto"/>
              </w:rPr>
            </w:pPr>
            <w:r>
              <w:rPr>
                <w:rFonts w:ascii="Arial" w:cs="Arial" w:eastAsia="Arial" w:hAnsi="Arial"/>
                <w:sz w:val="18"/>
                <w:szCs w:val="18"/>
                <w:color w:val="auto"/>
              </w:rPr>
              <w:t>2023</w:t>
            </w: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1,943</w:t>
            </w:r>
          </w:p>
        </w:tc>
        <w:tc>
          <w:tcPr>
            <w:tcW w:w="0" w:type="dxa"/>
            <w:vAlign w:val="bottom"/>
          </w:tcPr>
          <w:p>
            <w:pPr>
              <w:spacing w:after="0"/>
              <w:rPr>
                <w:sz w:val="1"/>
                <w:szCs w:val="1"/>
                <w:color w:val="auto"/>
              </w:rPr>
            </w:pPr>
          </w:p>
        </w:tc>
      </w:tr>
      <w:tr>
        <w:trPr>
          <w:trHeight w:val="216"/>
        </w:trPr>
        <w:tc>
          <w:tcPr>
            <w:tcW w:w="1320" w:type="dxa"/>
            <w:vAlign w:val="bottom"/>
          </w:tcPr>
          <w:p>
            <w:pPr>
              <w:spacing w:after="0"/>
              <w:rPr>
                <w:sz w:val="18"/>
                <w:szCs w:val="18"/>
                <w:color w:val="auto"/>
              </w:rPr>
            </w:pPr>
          </w:p>
        </w:tc>
        <w:tc>
          <w:tcPr>
            <w:tcW w:w="6800" w:type="dxa"/>
            <w:vAlign w:val="bottom"/>
          </w:tcPr>
          <w:p>
            <w:pPr>
              <w:spacing w:after="0"/>
              <w:rPr>
                <w:sz w:val="20"/>
                <w:szCs w:val="20"/>
                <w:color w:val="auto"/>
              </w:rPr>
            </w:pPr>
            <w:r>
              <w:rPr>
                <w:rFonts w:ascii="Arial" w:cs="Arial" w:eastAsia="Arial" w:hAnsi="Arial"/>
                <w:sz w:val="18"/>
                <w:szCs w:val="18"/>
                <w:color w:val="auto"/>
              </w:rPr>
              <w:t>2024</w:t>
            </w:r>
          </w:p>
        </w:tc>
        <w:tc>
          <w:tcPr>
            <w:tcW w:w="100" w:type="dxa"/>
            <w:vAlign w:val="bottom"/>
          </w:tcPr>
          <w:p>
            <w:pPr>
              <w:spacing w:after="0"/>
              <w:rPr>
                <w:sz w:val="18"/>
                <w:szCs w:val="18"/>
                <w:color w:val="auto"/>
              </w:rPr>
            </w:pPr>
          </w:p>
        </w:tc>
        <w:tc>
          <w:tcPr>
            <w:tcW w:w="580" w:type="dxa"/>
            <w:vAlign w:val="bottom"/>
            <w:gridSpan w:val="2"/>
          </w:tcPr>
          <w:p>
            <w:pPr>
              <w:jc w:val="right"/>
              <w:ind w:right="60"/>
              <w:spacing w:after="0"/>
              <w:rPr>
                <w:sz w:val="20"/>
                <w:szCs w:val="20"/>
                <w:color w:val="auto"/>
              </w:rPr>
            </w:pPr>
            <w:r>
              <w:rPr>
                <w:rFonts w:ascii="Arial" w:cs="Arial" w:eastAsia="Arial" w:hAnsi="Arial"/>
                <w:sz w:val="18"/>
                <w:szCs w:val="18"/>
                <w:color w:val="auto"/>
              </w:rPr>
              <w:t>2,325</w:t>
            </w:r>
          </w:p>
        </w:tc>
        <w:tc>
          <w:tcPr>
            <w:tcW w:w="0" w:type="dxa"/>
            <w:vAlign w:val="bottom"/>
          </w:tcPr>
          <w:p>
            <w:pPr>
              <w:spacing w:after="0"/>
              <w:rPr>
                <w:sz w:val="1"/>
                <w:szCs w:val="1"/>
                <w:color w:val="auto"/>
              </w:rPr>
            </w:pPr>
          </w:p>
        </w:tc>
      </w:tr>
      <w:tr>
        <w:trPr>
          <w:trHeight w:val="216"/>
        </w:trPr>
        <w:tc>
          <w:tcPr>
            <w:tcW w:w="1320" w:type="dxa"/>
            <w:vAlign w:val="bottom"/>
          </w:tcPr>
          <w:p>
            <w:pPr>
              <w:spacing w:after="0"/>
              <w:rPr>
                <w:sz w:val="18"/>
                <w:szCs w:val="18"/>
                <w:color w:val="auto"/>
              </w:rPr>
            </w:pPr>
          </w:p>
        </w:tc>
        <w:tc>
          <w:tcPr>
            <w:tcW w:w="6800" w:type="dxa"/>
            <w:vAlign w:val="bottom"/>
            <w:shd w:val="clear" w:color="auto" w:fill="CCEEFF"/>
          </w:tcPr>
          <w:p>
            <w:pPr>
              <w:spacing w:after="0"/>
              <w:rPr>
                <w:sz w:val="20"/>
                <w:szCs w:val="20"/>
                <w:color w:val="auto"/>
              </w:rPr>
            </w:pPr>
            <w:r>
              <w:rPr>
                <w:rFonts w:ascii="Arial" w:cs="Arial" w:eastAsia="Arial" w:hAnsi="Arial"/>
                <w:sz w:val="18"/>
                <w:szCs w:val="18"/>
                <w:color w:val="auto"/>
              </w:rPr>
              <w:t>2025</w:t>
            </w: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2,190</w:t>
            </w:r>
          </w:p>
        </w:tc>
        <w:tc>
          <w:tcPr>
            <w:tcW w:w="0" w:type="dxa"/>
            <w:vAlign w:val="bottom"/>
          </w:tcPr>
          <w:p>
            <w:pPr>
              <w:spacing w:after="0"/>
              <w:rPr>
                <w:sz w:val="1"/>
                <w:szCs w:val="1"/>
                <w:color w:val="auto"/>
              </w:rPr>
            </w:pPr>
          </w:p>
        </w:tc>
      </w:tr>
      <w:tr>
        <w:trPr>
          <w:trHeight w:val="223"/>
        </w:trPr>
        <w:tc>
          <w:tcPr>
            <w:tcW w:w="1320" w:type="dxa"/>
            <w:vAlign w:val="bottom"/>
          </w:tcPr>
          <w:p>
            <w:pPr>
              <w:spacing w:after="0"/>
              <w:rPr>
                <w:sz w:val="19"/>
                <w:szCs w:val="19"/>
                <w:color w:val="auto"/>
              </w:rPr>
            </w:pPr>
          </w:p>
        </w:tc>
        <w:tc>
          <w:tcPr>
            <w:tcW w:w="6800" w:type="dxa"/>
            <w:vAlign w:val="bottom"/>
          </w:tcPr>
          <w:p>
            <w:pPr>
              <w:spacing w:after="0"/>
              <w:rPr>
                <w:sz w:val="20"/>
                <w:szCs w:val="20"/>
                <w:color w:val="auto"/>
              </w:rPr>
            </w:pPr>
            <w:r>
              <w:rPr>
                <w:rFonts w:ascii="Arial" w:cs="Arial" w:eastAsia="Arial" w:hAnsi="Arial"/>
                <w:sz w:val="18"/>
                <w:szCs w:val="18"/>
                <w:color w:val="auto"/>
              </w:rPr>
              <w:t>2026 and thereafter</w:t>
            </w:r>
          </w:p>
        </w:tc>
        <w:tc>
          <w:tcPr>
            <w:tcW w:w="10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4,789</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1320" w:type="dxa"/>
            <w:vAlign w:val="bottom"/>
          </w:tcPr>
          <w:p>
            <w:pPr>
              <w:spacing w:after="0"/>
              <w:rPr>
                <w:sz w:val="18"/>
                <w:szCs w:val="18"/>
                <w:color w:val="auto"/>
              </w:rPr>
            </w:pPr>
          </w:p>
        </w:tc>
        <w:tc>
          <w:tcPr>
            <w:tcW w:w="68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0"/>
              </w:rPr>
              <w:t>15,988</w:t>
            </w:r>
          </w:p>
        </w:tc>
        <w:tc>
          <w:tcPr>
            <w:tcW w:w="0" w:type="dxa"/>
            <w:vAlign w:val="bottom"/>
          </w:tcPr>
          <w:p>
            <w:pPr>
              <w:spacing w:after="0"/>
              <w:rPr>
                <w:sz w:val="1"/>
                <w:szCs w:val="1"/>
                <w:color w:val="auto"/>
              </w:rPr>
            </w:pPr>
          </w:p>
        </w:tc>
      </w:tr>
      <w:tr>
        <w:trPr>
          <w:trHeight w:val="20"/>
        </w:trPr>
        <w:tc>
          <w:tcPr>
            <w:tcW w:w="1320" w:type="dxa"/>
            <w:vAlign w:val="bottom"/>
          </w:tcPr>
          <w:p>
            <w:pPr>
              <w:spacing w:after="0" w:line="20" w:lineRule="exact"/>
              <w:rPr>
                <w:sz w:val="1"/>
                <w:szCs w:val="1"/>
                <w:color w:val="auto"/>
              </w:rPr>
            </w:pPr>
          </w:p>
        </w:tc>
        <w:tc>
          <w:tcPr>
            <w:tcW w:w="68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left="120" w:right="500" w:firstLine="440"/>
        <w:spacing w:after="0" w:line="277" w:lineRule="auto"/>
        <w:rPr>
          <w:sz w:val="20"/>
          <w:szCs w:val="20"/>
          <w:color w:val="auto"/>
        </w:rPr>
      </w:pPr>
      <w:r>
        <w:rPr>
          <w:rFonts w:ascii="Arial" w:cs="Arial" w:eastAsia="Arial" w:hAnsi="Arial"/>
          <w:sz w:val="18"/>
          <w:szCs w:val="18"/>
          <w:color w:val="auto"/>
        </w:rPr>
        <w:t>The Company also enters into other purchase obligations in the normal course of doing business. The estimated annual minimum purchase commitments under those agreements were as follows at June 30 (in thousands):</w:t>
      </w:r>
    </w:p>
    <w:p>
      <w:pPr>
        <w:spacing w:after="0" w:line="212" w:lineRule="exact"/>
        <w:rPr>
          <w:sz w:val="20"/>
          <w:szCs w:val="20"/>
          <w:color w:val="auto"/>
        </w:rPr>
      </w:pPr>
    </w:p>
    <w:tbl>
      <w:tblPr>
        <w:tblLayout w:type="fixed"/>
        <w:tblInd w:w="1880" w:type="dxa"/>
        <w:tblCellMar>
          <w:top w:w="0" w:type="dxa"/>
          <w:left w:w="0" w:type="dxa"/>
          <w:bottom w:w="0" w:type="dxa"/>
          <w:right w:w="0" w:type="dxa"/>
        </w:tblCellMar>
      </w:tblPr>
      <w:tr>
        <w:trPr>
          <w:trHeight w:val="216"/>
        </w:trPr>
        <w:tc>
          <w:tcPr>
            <w:tcW w:w="6800" w:type="dxa"/>
            <w:vAlign w:val="bottom"/>
            <w:shd w:val="clear" w:color="auto" w:fill="CCEEFF"/>
          </w:tcPr>
          <w:p>
            <w:pPr>
              <w:spacing w:after="0"/>
              <w:rPr>
                <w:sz w:val="20"/>
                <w:szCs w:val="20"/>
                <w:color w:val="auto"/>
              </w:rPr>
            </w:pPr>
            <w:r>
              <w:rPr>
                <w:rFonts w:ascii="Arial" w:cs="Arial" w:eastAsia="Arial" w:hAnsi="Arial"/>
                <w:sz w:val="18"/>
                <w:szCs w:val="18"/>
                <w:color w:val="auto"/>
              </w:rPr>
              <w:t>Remainder of 2021</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2,748</w:t>
            </w:r>
          </w:p>
        </w:tc>
      </w:tr>
      <w:tr>
        <w:trPr>
          <w:trHeight w:val="216"/>
        </w:trPr>
        <w:tc>
          <w:tcPr>
            <w:tcW w:w="6800" w:type="dxa"/>
            <w:vAlign w:val="bottom"/>
          </w:tcPr>
          <w:p>
            <w:pPr>
              <w:spacing w:after="0"/>
              <w:rPr>
                <w:sz w:val="20"/>
                <w:szCs w:val="20"/>
                <w:color w:val="auto"/>
              </w:rPr>
            </w:pPr>
            <w:r>
              <w:rPr>
                <w:rFonts w:ascii="Arial" w:cs="Arial" w:eastAsia="Arial" w:hAnsi="Arial"/>
                <w:sz w:val="18"/>
                <w:szCs w:val="18"/>
                <w:color w:val="auto"/>
              </w:rPr>
              <w:t>2022</w:t>
            </w:r>
          </w:p>
        </w:tc>
        <w:tc>
          <w:tcPr>
            <w:tcW w:w="100" w:type="dxa"/>
            <w:vAlign w:val="bottom"/>
          </w:tcPr>
          <w:p>
            <w:pPr>
              <w:spacing w:after="0"/>
              <w:rPr>
                <w:sz w:val="18"/>
                <w:szCs w:val="18"/>
                <w:color w:val="auto"/>
              </w:rPr>
            </w:pPr>
          </w:p>
        </w:tc>
        <w:tc>
          <w:tcPr>
            <w:tcW w:w="580" w:type="dxa"/>
            <w:vAlign w:val="bottom"/>
            <w:gridSpan w:val="2"/>
          </w:tcPr>
          <w:p>
            <w:pPr>
              <w:jc w:val="right"/>
              <w:ind w:right="60"/>
              <w:spacing w:after="0"/>
              <w:rPr>
                <w:sz w:val="20"/>
                <w:szCs w:val="20"/>
                <w:color w:val="auto"/>
              </w:rPr>
            </w:pPr>
            <w:r>
              <w:rPr>
                <w:rFonts w:ascii="Arial" w:cs="Arial" w:eastAsia="Arial" w:hAnsi="Arial"/>
                <w:sz w:val="18"/>
                <w:szCs w:val="18"/>
                <w:color w:val="auto"/>
              </w:rPr>
              <w:t>5,799</w:t>
            </w:r>
          </w:p>
        </w:tc>
      </w:tr>
      <w:tr>
        <w:trPr>
          <w:trHeight w:val="216"/>
        </w:trPr>
        <w:tc>
          <w:tcPr>
            <w:tcW w:w="6800" w:type="dxa"/>
            <w:vAlign w:val="bottom"/>
            <w:shd w:val="clear" w:color="auto" w:fill="CCEEFF"/>
          </w:tcPr>
          <w:p>
            <w:pPr>
              <w:spacing w:after="0"/>
              <w:rPr>
                <w:sz w:val="20"/>
                <w:szCs w:val="20"/>
                <w:color w:val="auto"/>
              </w:rPr>
            </w:pPr>
            <w:r>
              <w:rPr>
                <w:rFonts w:ascii="Arial" w:cs="Arial" w:eastAsia="Arial" w:hAnsi="Arial"/>
                <w:sz w:val="18"/>
                <w:szCs w:val="18"/>
                <w:color w:val="auto"/>
              </w:rPr>
              <w:t>2023</w:t>
            </w: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6,422</w:t>
            </w:r>
          </w:p>
        </w:tc>
      </w:tr>
      <w:tr>
        <w:trPr>
          <w:trHeight w:val="216"/>
        </w:trPr>
        <w:tc>
          <w:tcPr>
            <w:tcW w:w="6800" w:type="dxa"/>
            <w:vAlign w:val="bottom"/>
          </w:tcPr>
          <w:p>
            <w:pPr>
              <w:spacing w:after="0"/>
              <w:rPr>
                <w:sz w:val="20"/>
                <w:szCs w:val="20"/>
                <w:color w:val="auto"/>
              </w:rPr>
            </w:pPr>
            <w:r>
              <w:rPr>
                <w:rFonts w:ascii="Arial" w:cs="Arial" w:eastAsia="Arial" w:hAnsi="Arial"/>
                <w:sz w:val="18"/>
                <w:szCs w:val="18"/>
                <w:color w:val="auto"/>
              </w:rPr>
              <w:t>2024</w:t>
            </w:r>
          </w:p>
        </w:tc>
        <w:tc>
          <w:tcPr>
            <w:tcW w:w="100" w:type="dxa"/>
            <w:vAlign w:val="bottom"/>
          </w:tcPr>
          <w:p>
            <w:pPr>
              <w:spacing w:after="0"/>
              <w:rPr>
                <w:sz w:val="18"/>
                <w:szCs w:val="18"/>
                <w:color w:val="auto"/>
              </w:rPr>
            </w:pPr>
          </w:p>
        </w:tc>
        <w:tc>
          <w:tcPr>
            <w:tcW w:w="580" w:type="dxa"/>
            <w:vAlign w:val="bottom"/>
            <w:gridSpan w:val="2"/>
          </w:tcPr>
          <w:p>
            <w:pPr>
              <w:jc w:val="right"/>
              <w:ind w:right="60"/>
              <w:spacing w:after="0"/>
              <w:rPr>
                <w:sz w:val="20"/>
                <w:szCs w:val="20"/>
                <w:color w:val="auto"/>
              </w:rPr>
            </w:pPr>
            <w:r>
              <w:rPr>
                <w:rFonts w:ascii="Arial" w:cs="Arial" w:eastAsia="Arial" w:hAnsi="Arial"/>
                <w:sz w:val="18"/>
                <w:szCs w:val="18"/>
                <w:color w:val="auto"/>
              </w:rPr>
              <w:t>5,315</w:t>
            </w:r>
          </w:p>
        </w:tc>
      </w:tr>
      <w:tr>
        <w:trPr>
          <w:trHeight w:val="216"/>
        </w:trPr>
        <w:tc>
          <w:tcPr>
            <w:tcW w:w="6800" w:type="dxa"/>
            <w:vAlign w:val="bottom"/>
            <w:shd w:val="clear" w:color="auto" w:fill="CCEEFF"/>
          </w:tcPr>
          <w:p>
            <w:pPr>
              <w:spacing w:after="0"/>
              <w:rPr>
                <w:sz w:val="20"/>
                <w:szCs w:val="20"/>
                <w:color w:val="auto"/>
              </w:rPr>
            </w:pPr>
            <w:r>
              <w:rPr>
                <w:rFonts w:ascii="Arial" w:cs="Arial" w:eastAsia="Arial" w:hAnsi="Arial"/>
                <w:sz w:val="18"/>
                <w:szCs w:val="18"/>
                <w:color w:val="auto"/>
              </w:rPr>
              <w:t>2025</w:t>
            </w: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3,452</w:t>
            </w:r>
          </w:p>
        </w:tc>
      </w:tr>
      <w:tr>
        <w:trPr>
          <w:trHeight w:val="223"/>
        </w:trPr>
        <w:tc>
          <w:tcPr>
            <w:tcW w:w="6800" w:type="dxa"/>
            <w:vAlign w:val="bottom"/>
          </w:tcPr>
          <w:p>
            <w:pPr>
              <w:spacing w:after="0"/>
              <w:rPr>
                <w:sz w:val="20"/>
                <w:szCs w:val="20"/>
                <w:color w:val="auto"/>
              </w:rPr>
            </w:pPr>
            <w:r>
              <w:rPr>
                <w:rFonts w:ascii="Arial" w:cs="Arial" w:eastAsia="Arial" w:hAnsi="Arial"/>
                <w:sz w:val="18"/>
                <w:szCs w:val="18"/>
                <w:color w:val="auto"/>
              </w:rPr>
              <w:t>2026 and thereafter</w:t>
            </w:r>
          </w:p>
        </w:tc>
        <w:tc>
          <w:tcPr>
            <w:tcW w:w="10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r>
      <w:tr>
        <w:trPr>
          <w:trHeight w:val="216"/>
        </w:trPr>
        <w:tc>
          <w:tcPr>
            <w:tcW w:w="68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0"/>
              </w:rPr>
              <w:t>23,736</w:t>
            </w:r>
          </w:p>
        </w:tc>
      </w:tr>
      <w:tr>
        <w:trPr>
          <w:trHeight w:val="20"/>
        </w:trPr>
        <w:tc>
          <w:tcPr>
            <w:tcW w:w="68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364" w:lineRule="exact"/>
        <w:rPr>
          <w:sz w:val="20"/>
          <w:szCs w:val="20"/>
          <w:color w:val="auto"/>
        </w:rPr>
      </w:pPr>
    </w:p>
    <w:p>
      <w:pPr>
        <w:ind w:left="540" w:hanging="424"/>
        <w:spacing w:after="0"/>
        <w:tabs>
          <w:tab w:leader="none" w:pos="540" w:val="left"/>
        </w:tabs>
        <w:numPr>
          <w:ilvl w:val="0"/>
          <w:numId w:val="213"/>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Members’ capital</w:t>
      </w:r>
    </w:p>
    <w:p>
      <w:pPr>
        <w:spacing w:after="0" w:line="117" w:lineRule="exact"/>
        <w:rPr>
          <w:sz w:val="20"/>
          <w:szCs w:val="20"/>
          <w:color w:val="auto"/>
        </w:rPr>
      </w:pPr>
    </w:p>
    <w:p>
      <w:pPr>
        <w:ind w:left="120" w:right="40" w:firstLine="440"/>
        <w:spacing w:after="0" w:line="263" w:lineRule="auto"/>
        <w:rPr>
          <w:sz w:val="20"/>
          <w:szCs w:val="20"/>
          <w:color w:val="auto"/>
        </w:rPr>
      </w:pPr>
      <w:r>
        <w:rPr>
          <w:rFonts w:ascii="Arial" w:cs="Arial" w:eastAsia="Arial" w:hAnsi="Arial"/>
          <w:sz w:val="18"/>
          <w:szCs w:val="18"/>
          <w:color w:val="auto"/>
        </w:rPr>
        <w:t xml:space="preserve">As described in Note 1. </w:t>
      </w:r>
      <w:r>
        <w:rPr>
          <w:rFonts w:ascii="Arial" w:cs="Arial" w:eastAsia="Arial" w:hAnsi="Arial"/>
          <w:sz w:val="18"/>
          <w:szCs w:val="18"/>
          <w:i w:val="1"/>
          <w:iCs w:val="1"/>
          <w:color w:val="auto"/>
        </w:rPr>
        <w:t>Description of Business</w:t>
      </w:r>
      <w:r>
        <w:rPr>
          <w:rFonts w:ascii="Arial" w:cs="Arial" w:eastAsia="Arial" w:hAnsi="Arial"/>
          <w:sz w:val="18"/>
          <w:szCs w:val="18"/>
          <w:color w:val="auto"/>
        </w:rPr>
        <w:t xml:space="preserve"> the Company was formed by Advent for the purpose of acquiring Definitive Holdco. Upon formation of the Company, two classes of units were established: Class A Units (“Class A Units”) and Class B Units (“Class B Units”), collectively the Units.</w:t>
      </w:r>
    </w:p>
    <w:p>
      <w:pPr>
        <w:spacing w:after="0" w:line="184" w:lineRule="exact"/>
        <w:rPr>
          <w:sz w:val="20"/>
          <w:szCs w:val="20"/>
          <w:color w:val="auto"/>
        </w:rPr>
      </w:pPr>
    </w:p>
    <w:p>
      <w:pPr>
        <w:ind w:left="120" w:right="400" w:firstLine="440"/>
        <w:spacing w:after="0" w:line="277" w:lineRule="auto"/>
        <w:rPr>
          <w:sz w:val="20"/>
          <w:szCs w:val="20"/>
          <w:color w:val="auto"/>
        </w:rPr>
      </w:pPr>
      <w:r>
        <w:rPr>
          <w:rFonts w:ascii="Arial" w:cs="Arial" w:eastAsia="Arial" w:hAnsi="Arial"/>
          <w:sz w:val="18"/>
          <w:szCs w:val="18"/>
          <w:color w:val="auto"/>
        </w:rPr>
        <w:t>The table below provides a summary of the number of Class A and Class B units authorized, issued and outstanding as of June 30, 2021 and December 31, 2020, respectively.</w:t>
      </w:r>
    </w:p>
    <w:p>
      <w:pPr>
        <w:spacing w:after="0" w:line="189" w:lineRule="exact"/>
        <w:rPr>
          <w:sz w:val="20"/>
          <w:szCs w:val="20"/>
          <w:color w:val="auto"/>
        </w:rPr>
      </w:pPr>
    </w:p>
    <w:tbl>
      <w:tblPr>
        <w:tblLayout w:type="fixed"/>
        <w:tblInd w:w="1440" w:type="dxa"/>
        <w:tblCellMar>
          <w:top w:w="0" w:type="dxa"/>
          <w:left w:w="0" w:type="dxa"/>
          <w:bottom w:w="0" w:type="dxa"/>
          <w:right w:w="0" w:type="dxa"/>
        </w:tblCellMar>
      </w:tblPr>
      <w:tr>
        <w:trPr>
          <w:trHeight w:val="171"/>
        </w:trPr>
        <w:tc>
          <w:tcPr>
            <w:tcW w:w="402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540" w:type="dxa"/>
            <w:vAlign w:val="bottom"/>
            <w:gridSpan w:val="2"/>
          </w:tcPr>
          <w:p>
            <w:pPr>
              <w:jc w:val="right"/>
              <w:ind w:right="580"/>
              <w:spacing w:after="0"/>
              <w:rPr>
                <w:sz w:val="20"/>
                <w:szCs w:val="20"/>
                <w:color w:val="auto"/>
              </w:rPr>
            </w:pPr>
            <w:r>
              <w:rPr>
                <w:rFonts w:ascii="Arial" w:cs="Arial" w:eastAsia="Arial" w:hAnsi="Arial"/>
                <w:sz w:val="14"/>
                <w:szCs w:val="14"/>
                <w:b w:val="1"/>
                <w:bCs w:val="1"/>
                <w:color w:val="auto"/>
              </w:rPr>
              <w:t>June 30, 2021</w:t>
            </w:r>
          </w:p>
        </w:tc>
        <w:tc>
          <w:tcPr>
            <w:tcW w:w="1380" w:type="dxa"/>
            <w:vAlign w:val="bottom"/>
            <w:gridSpan w:val="2"/>
          </w:tcPr>
          <w:p>
            <w:pPr>
              <w:jc w:val="right"/>
              <w:ind w:right="140"/>
              <w:spacing w:after="0"/>
              <w:rPr>
                <w:sz w:val="20"/>
                <w:szCs w:val="20"/>
                <w:color w:val="auto"/>
              </w:rPr>
            </w:pPr>
            <w:r>
              <w:rPr>
                <w:rFonts w:ascii="Arial" w:cs="Arial" w:eastAsia="Arial" w:hAnsi="Arial"/>
                <w:sz w:val="14"/>
                <w:szCs w:val="14"/>
                <w:b w:val="1"/>
                <w:bCs w:val="1"/>
                <w:color w:val="auto"/>
                <w:w w:val="96"/>
              </w:rPr>
              <w:t>December 31, 2020</w:t>
            </w:r>
          </w:p>
        </w:tc>
      </w:tr>
      <w:tr>
        <w:trPr>
          <w:trHeight w:val="196"/>
        </w:trPr>
        <w:tc>
          <w:tcPr>
            <w:tcW w:w="402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Class A units:</w:t>
            </w:r>
          </w:p>
        </w:tc>
        <w:tc>
          <w:tcPr>
            <w:tcW w:w="1420" w:type="dxa"/>
            <w:vAlign w:val="bottom"/>
            <w:tcBorders>
              <w:top w:val="single" w:sz="8" w:color="CCEEFF"/>
            </w:tcBorders>
            <w:shd w:val="clear" w:color="auto" w:fill="CCEEFF"/>
          </w:tcPr>
          <w:p>
            <w:pPr>
              <w:spacing w:after="0"/>
              <w:rPr>
                <w:sz w:val="17"/>
                <w:szCs w:val="17"/>
                <w:color w:val="auto"/>
              </w:rPr>
            </w:pPr>
          </w:p>
        </w:tc>
        <w:tc>
          <w:tcPr>
            <w:tcW w:w="1060" w:type="dxa"/>
            <w:vAlign w:val="bottom"/>
            <w:tcBorders>
              <w:top w:val="single" w:sz="8" w:color="auto"/>
            </w:tcBorders>
            <w:shd w:val="clear" w:color="auto" w:fill="CCEEFF"/>
          </w:tcPr>
          <w:p>
            <w:pPr>
              <w:spacing w:after="0"/>
              <w:rPr>
                <w:sz w:val="17"/>
                <w:szCs w:val="17"/>
                <w:color w:val="auto"/>
              </w:rPr>
            </w:pPr>
          </w:p>
        </w:tc>
        <w:tc>
          <w:tcPr>
            <w:tcW w:w="480" w:type="dxa"/>
            <w:vAlign w:val="bottom"/>
            <w:tcBorders>
              <w:top w:val="single" w:sz="8" w:color="CCEEFF"/>
            </w:tcBorders>
            <w:shd w:val="clear" w:color="auto" w:fill="CCEEFF"/>
          </w:tcPr>
          <w:p>
            <w:pPr>
              <w:spacing w:after="0"/>
              <w:rPr>
                <w:sz w:val="17"/>
                <w:szCs w:val="17"/>
                <w:color w:val="auto"/>
              </w:rPr>
            </w:pPr>
          </w:p>
        </w:tc>
        <w:tc>
          <w:tcPr>
            <w:tcW w:w="1320" w:type="dxa"/>
            <w:vAlign w:val="bottom"/>
            <w:tcBorders>
              <w:top w:val="single" w:sz="8" w:color="auto"/>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r>
      <w:tr>
        <w:trPr>
          <w:trHeight w:val="216"/>
        </w:trPr>
        <w:tc>
          <w:tcPr>
            <w:tcW w:w="4020" w:type="dxa"/>
            <w:vAlign w:val="bottom"/>
          </w:tcPr>
          <w:p>
            <w:pPr>
              <w:ind w:left="360"/>
              <w:spacing w:after="0"/>
              <w:rPr>
                <w:sz w:val="20"/>
                <w:szCs w:val="20"/>
                <w:color w:val="auto"/>
              </w:rPr>
            </w:pPr>
            <w:r>
              <w:rPr>
                <w:rFonts w:ascii="Arial" w:cs="Arial" w:eastAsia="Arial" w:hAnsi="Arial"/>
                <w:sz w:val="18"/>
                <w:szCs w:val="18"/>
                <w:color w:val="auto"/>
                <w:w w:val="93"/>
              </w:rPr>
              <w:t>Authorized, issued and outstanding Class A units</w:t>
            </w:r>
          </w:p>
        </w:tc>
        <w:tc>
          <w:tcPr>
            <w:tcW w:w="2960" w:type="dxa"/>
            <w:vAlign w:val="bottom"/>
            <w:gridSpan w:val="3"/>
          </w:tcPr>
          <w:p>
            <w:pPr>
              <w:jc w:val="right"/>
              <w:ind w:right="480"/>
              <w:spacing w:after="0"/>
              <w:rPr>
                <w:sz w:val="20"/>
                <w:szCs w:val="20"/>
                <w:color w:val="auto"/>
              </w:rPr>
            </w:pPr>
            <w:r>
              <w:rPr>
                <w:rFonts w:ascii="Arial" w:cs="Arial" w:eastAsia="Arial" w:hAnsi="Arial"/>
                <w:sz w:val="18"/>
                <w:szCs w:val="18"/>
                <w:color w:val="auto"/>
              </w:rPr>
              <w:t>130,609,506</w:t>
            </w:r>
          </w:p>
        </w:tc>
        <w:tc>
          <w:tcPr>
            <w:tcW w:w="1380" w:type="dxa"/>
            <w:vAlign w:val="bottom"/>
            <w:gridSpan w:val="2"/>
          </w:tcPr>
          <w:p>
            <w:pPr>
              <w:jc w:val="right"/>
              <w:ind w:right="60"/>
              <w:spacing w:after="0"/>
              <w:rPr>
                <w:sz w:val="20"/>
                <w:szCs w:val="20"/>
                <w:color w:val="auto"/>
              </w:rPr>
            </w:pPr>
            <w:r>
              <w:rPr>
                <w:rFonts w:ascii="Arial" w:cs="Arial" w:eastAsia="Arial" w:hAnsi="Arial"/>
                <w:sz w:val="18"/>
                <w:szCs w:val="18"/>
                <w:color w:val="auto"/>
              </w:rPr>
              <w:t>130,245,990</w:t>
            </w:r>
          </w:p>
        </w:tc>
      </w:tr>
      <w:tr>
        <w:trPr>
          <w:trHeight w:val="216"/>
        </w:trPr>
        <w:tc>
          <w:tcPr>
            <w:tcW w:w="4020" w:type="dxa"/>
            <w:vAlign w:val="bottom"/>
            <w:shd w:val="clear" w:color="auto" w:fill="CCEEFF"/>
          </w:tcPr>
          <w:p>
            <w:pPr>
              <w:spacing w:after="0"/>
              <w:rPr>
                <w:sz w:val="20"/>
                <w:szCs w:val="20"/>
                <w:color w:val="auto"/>
              </w:rPr>
            </w:pPr>
            <w:r>
              <w:rPr>
                <w:rFonts w:ascii="Arial" w:cs="Arial" w:eastAsia="Arial" w:hAnsi="Arial"/>
                <w:sz w:val="18"/>
                <w:szCs w:val="18"/>
                <w:color w:val="auto"/>
              </w:rPr>
              <w:t>Class B units:</w:t>
            </w:r>
          </w:p>
        </w:tc>
        <w:tc>
          <w:tcPr>
            <w:tcW w:w="14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16"/>
        </w:trPr>
        <w:tc>
          <w:tcPr>
            <w:tcW w:w="4020" w:type="dxa"/>
            <w:vAlign w:val="bottom"/>
          </w:tcPr>
          <w:p>
            <w:pPr>
              <w:ind w:left="360"/>
              <w:spacing w:after="0"/>
              <w:rPr>
                <w:sz w:val="20"/>
                <w:szCs w:val="20"/>
                <w:color w:val="auto"/>
              </w:rPr>
            </w:pPr>
            <w:r>
              <w:rPr>
                <w:rFonts w:ascii="Arial" w:cs="Arial" w:eastAsia="Arial" w:hAnsi="Arial"/>
                <w:sz w:val="18"/>
                <w:szCs w:val="18"/>
                <w:color w:val="auto"/>
              </w:rPr>
              <w:t>Authorized Class B units</w:t>
            </w:r>
          </w:p>
        </w:tc>
        <w:tc>
          <w:tcPr>
            <w:tcW w:w="2960" w:type="dxa"/>
            <w:vAlign w:val="bottom"/>
            <w:gridSpan w:val="3"/>
          </w:tcPr>
          <w:p>
            <w:pPr>
              <w:jc w:val="right"/>
              <w:ind w:right="480"/>
              <w:spacing w:after="0"/>
              <w:rPr>
                <w:sz w:val="20"/>
                <w:szCs w:val="20"/>
                <w:color w:val="auto"/>
              </w:rPr>
            </w:pPr>
            <w:r>
              <w:rPr>
                <w:rFonts w:ascii="Arial" w:cs="Arial" w:eastAsia="Arial" w:hAnsi="Arial"/>
                <w:sz w:val="18"/>
                <w:szCs w:val="18"/>
                <w:color w:val="auto"/>
              </w:rPr>
              <w:t>8,088,877</w:t>
            </w:r>
          </w:p>
        </w:tc>
        <w:tc>
          <w:tcPr>
            <w:tcW w:w="1380" w:type="dxa"/>
            <w:vAlign w:val="bottom"/>
            <w:gridSpan w:val="2"/>
          </w:tcPr>
          <w:p>
            <w:pPr>
              <w:jc w:val="right"/>
              <w:ind w:right="60"/>
              <w:spacing w:after="0"/>
              <w:rPr>
                <w:sz w:val="20"/>
                <w:szCs w:val="20"/>
                <w:color w:val="auto"/>
              </w:rPr>
            </w:pPr>
            <w:r>
              <w:rPr>
                <w:rFonts w:ascii="Arial" w:cs="Arial" w:eastAsia="Arial" w:hAnsi="Arial"/>
                <w:sz w:val="18"/>
                <w:szCs w:val="18"/>
                <w:color w:val="auto"/>
              </w:rPr>
              <w:t>8,088,877</w:t>
            </w:r>
          </w:p>
        </w:tc>
      </w:tr>
      <w:tr>
        <w:trPr>
          <w:trHeight w:val="216"/>
        </w:trPr>
        <w:tc>
          <w:tcPr>
            <w:tcW w:w="40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Issued Class B units</w:t>
            </w:r>
          </w:p>
        </w:tc>
        <w:tc>
          <w:tcPr>
            <w:tcW w:w="2960" w:type="dxa"/>
            <w:vAlign w:val="bottom"/>
            <w:gridSpan w:val="3"/>
            <w:shd w:val="clear" w:color="auto" w:fill="CCEEFF"/>
          </w:tcPr>
          <w:p>
            <w:pPr>
              <w:jc w:val="right"/>
              <w:ind w:right="480"/>
              <w:spacing w:after="0"/>
              <w:rPr>
                <w:sz w:val="20"/>
                <w:szCs w:val="20"/>
                <w:color w:val="auto"/>
              </w:rPr>
            </w:pPr>
            <w:r>
              <w:rPr>
                <w:rFonts w:ascii="Arial" w:cs="Arial" w:eastAsia="Arial" w:hAnsi="Arial"/>
                <w:sz w:val="18"/>
                <w:szCs w:val="18"/>
                <w:color w:val="auto"/>
              </w:rPr>
              <w:t>6,349,125</w:t>
            </w:r>
          </w:p>
        </w:tc>
        <w:tc>
          <w:tcPr>
            <w:tcW w:w="13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3,720,063</w:t>
            </w:r>
          </w:p>
        </w:tc>
      </w:tr>
      <w:tr>
        <w:trPr>
          <w:trHeight w:val="230"/>
        </w:trPr>
        <w:tc>
          <w:tcPr>
            <w:tcW w:w="4020" w:type="dxa"/>
            <w:vAlign w:val="bottom"/>
          </w:tcPr>
          <w:p>
            <w:pPr>
              <w:ind w:left="360"/>
              <w:spacing w:after="0"/>
              <w:rPr>
                <w:sz w:val="20"/>
                <w:szCs w:val="20"/>
                <w:color w:val="auto"/>
              </w:rPr>
            </w:pPr>
            <w:r>
              <w:rPr>
                <w:rFonts w:ascii="Arial" w:cs="Arial" w:eastAsia="Arial" w:hAnsi="Arial"/>
                <w:sz w:val="18"/>
                <w:szCs w:val="18"/>
                <w:color w:val="auto"/>
                <w:w w:val="93"/>
              </w:rPr>
              <w:t>Outstanding Class B units (Vested Class B units)</w:t>
            </w:r>
          </w:p>
        </w:tc>
        <w:tc>
          <w:tcPr>
            <w:tcW w:w="2960" w:type="dxa"/>
            <w:vAlign w:val="bottom"/>
            <w:gridSpan w:val="3"/>
          </w:tcPr>
          <w:p>
            <w:pPr>
              <w:jc w:val="right"/>
              <w:ind w:right="480"/>
              <w:spacing w:after="0"/>
              <w:rPr>
                <w:sz w:val="20"/>
                <w:szCs w:val="20"/>
                <w:color w:val="auto"/>
              </w:rPr>
            </w:pPr>
            <w:r>
              <w:rPr>
                <w:rFonts w:ascii="Arial" w:cs="Arial" w:eastAsia="Arial" w:hAnsi="Arial"/>
                <w:sz w:val="18"/>
                <w:szCs w:val="18"/>
                <w:color w:val="auto"/>
              </w:rPr>
              <w:t>493,073</w:t>
            </w:r>
          </w:p>
        </w:tc>
        <w:tc>
          <w:tcPr>
            <w:tcW w:w="1380" w:type="dxa"/>
            <w:vAlign w:val="bottom"/>
            <w:gridSpan w:val="2"/>
          </w:tcPr>
          <w:p>
            <w:pPr>
              <w:jc w:val="right"/>
              <w:ind w:right="60"/>
              <w:spacing w:after="0"/>
              <w:rPr>
                <w:sz w:val="20"/>
                <w:szCs w:val="20"/>
                <w:color w:val="auto"/>
              </w:rPr>
            </w:pPr>
            <w:r>
              <w:rPr>
                <w:rFonts w:ascii="Arial" w:cs="Arial" w:eastAsia="Arial" w:hAnsi="Arial"/>
                <w:sz w:val="18"/>
                <w:szCs w:val="18"/>
                <w:color w:val="auto"/>
              </w:rPr>
              <w:t>474,920</w:t>
            </w:r>
          </w:p>
        </w:tc>
      </w:tr>
      <w:tr>
        <w:trPr>
          <w:trHeight w:val="350"/>
        </w:trPr>
        <w:tc>
          <w:tcPr>
            <w:tcW w:w="4020" w:type="dxa"/>
            <w:vAlign w:val="bottom"/>
          </w:tcPr>
          <w:p>
            <w:pPr>
              <w:spacing w:after="0"/>
              <w:rPr>
                <w:sz w:val="24"/>
                <w:szCs w:val="24"/>
                <w:color w:val="auto"/>
              </w:rPr>
            </w:pPr>
          </w:p>
        </w:tc>
        <w:tc>
          <w:tcPr>
            <w:tcW w:w="2960" w:type="dxa"/>
            <w:vAlign w:val="bottom"/>
            <w:gridSpan w:val="3"/>
          </w:tcPr>
          <w:p>
            <w:pPr>
              <w:jc w:val="right"/>
              <w:ind w:right="2520"/>
              <w:spacing w:after="0"/>
              <w:rPr>
                <w:sz w:val="20"/>
                <w:szCs w:val="20"/>
                <w:color w:val="auto"/>
              </w:rPr>
            </w:pPr>
            <w:r>
              <w:rPr>
                <w:rFonts w:ascii="Arial" w:cs="Arial" w:eastAsia="Arial" w:hAnsi="Arial"/>
                <w:sz w:val="18"/>
                <w:szCs w:val="18"/>
                <w:color w:val="auto"/>
              </w:rPr>
              <w:t>F-71</w:t>
            </w:r>
          </w:p>
        </w:tc>
        <w:tc>
          <w:tcPr>
            <w:tcW w:w="1320" w:type="dxa"/>
            <w:vAlign w:val="bottom"/>
          </w:tcPr>
          <w:p>
            <w:pPr>
              <w:spacing w:after="0"/>
              <w:rPr>
                <w:sz w:val="24"/>
                <w:szCs w:val="24"/>
                <w:color w:val="auto"/>
              </w:rPr>
            </w:pPr>
          </w:p>
        </w:tc>
        <w:tc>
          <w:tcPr>
            <w:tcW w:w="60" w:type="dxa"/>
            <w:vAlign w:val="bottom"/>
          </w:tcPr>
          <w:p>
            <w:pPr>
              <w:spacing w:after="0"/>
              <w:rPr>
                <w:sz w:val="24"/>
                <w:szCs w:val="24"/>
                <w:color w:val="auto"/>
              </w:rPr>
            </w:pPr>
          </w:p>
        </w:tc>
      </w:tr>
    </w:tbl>
    <w:p>
      <w:pPr>
        <w:sectPr>
          <w:pgSz w:w="11900" w:h="16838" w:orient="portrait"/>
          <w:cols w:equalWidth="0" w:num="1">
            <w:col w:w="11040"/>
          </w:cols>
          <w:pgMar w:left="320" w:top="459" w:right="539" w:bottom="1440" w:gutter="0" w:footer="0" w:header="0"/>
        </w:sectPr>
      </w:pPr>
    </w:p>
    <w:bookmarkStart w:id="277" w:name="page278"/>
    <w:bookmarkEnd w:id="27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56" name="Picture 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
                    <pic:cNvPicPr>
                      <a:picLocks noChangeAspect="1" noChangeArrowheads="1"/>
                    </pic:cNvPicPr>
                  </pic:nvPicPr>
                  <pic:blipFill>
                    <a:blip r:embed="rId363">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Confidential Treatment Requested by Definitive Healthcare Corp.</w:t>
      </w:r>
    </w:p>
    <w:p>
      <w:pPr>
        <w:spacing w:after="0" w:line="27"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Pursuant to 17 C.F.R. Section 200.83</w:t>
      </w:r>
    </w:p>
    <w:p>
      <w:pPr>
        <w:spacing w:after="0" w:line="143" w:lineRule="exact"/>
        <w:rPr>
          <w:sz w:val="20"/>
          <w:szCs w:val="20"/>
          <w:color w:val="auto"/>
        </w:rPr>
      </w:pPr>
    </w:p>
    <w:p>
      <w:pPr>
        <w:ind w:left="120" w:right="500" w:firstLine="440"/>
        <w:spacing w:after="0" w:line="308" w:lineRule="auto"/>
        <w:rPr>
          <w:sz w:val="20"/>
          <w:szCs w:val="20"/>
          <w:color w:val="auto"/>
        </w:rPr>
      </w:pPr>
      <w:r>
        <w:rPr>
          <w:rFonts w:ascii="Arial" w:cs="Arial" w:eastAsia="Arial" w:hAnsi="Arial"/>
          <w:sz w:val="17"/>
          <w:szCs w:val="17"/>
          <w:color w:val="auto"/>
        </w:rPr>
        <w:t>During the second quarter of 2021, the Company issued 363,516 new Class A units worth $6.6 million, recorded as a capital contribution of $5.5 million and an equity-based compensation expense of $1.1 million. Refer to Note 13 for more detail on Class B units.</w:t>
      </w:r>
    </w:p>
    <w:p>
      <w:pPr>
        <w:spacing w:after="0" w:line="295" w:lineRule="exact"/>
        <w:rPr>
          <w:sz w:val="20"/>
          <w:szCs w:val="20"/>
          <w:color w:val="auto"/>
        </w:rPr>
      </w:pPr>
    </w:p>
    <w:p>
      <w:pPr>
        <w:ind w:left="540" w:hanging="424"/>
        <w:spacing w:after="0"/>
        <w:tabs>
          <w:tab w:leader="none" w:pos="540" w:val="left"/>
        </w:tabs>
        <w:numPr>
          <w:ilvl w:val="0"/>
          <w:numId w:val="214"/>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Equity-Based Compensation</w:t>
      </w:r>
    </w:p>
    <w:p>
      <w:pPr>
        <w:spacing w:after="0" w:line="117" w:lineRule="exact"/>
        <w:rPr>
          <w:sz w:val="20"/>
          <w:szCs w:val="20"/>
          <w:color w:val="auto"/>
        </w:rPr>
      </w:pPr>
    </w:p>
    <w:p>
      <w:pPr>
        <w:ind w:left="120" w:right="120" w:firstLine="440"/>
        <w:spacing w:after="0" w:line="273" w:lineRule="auto"/>
        <w:rPr>
          <w:sz w:val="20"/>
          <w:szCs w:val="20"/>
          <w:color w:val="auto"/>
        </w:rPr>
      </w:pPr>
      <w:r>
        <w:rPr>
          <w:rFonts w:ascii="Arial" w:cs="Arial" w:eastAsia="Arial" w:hAnsi="Arial"/>
          <w:sz w:val="17"/>
          <w:szCs w:val="17"/>
          <w:color w:val="auto"/>
        </w:rPr>
        <w:t>In July 2019, the Company and its Board of Members approved the 2019 Equity Incentive Plan under which the Parent Company has reserved approximately 8,088,877 Class B Units (the “2019 Incentive Equity Pool”). The 2019 Incentive Equity Pool is to be utilized for the issuance of units to employees, consultants, directors, managers, or others providing services to the Company pursuant to Board of Members approval. These interests are considered profit interests, which, in general, entitle the holder of the unit to a pro rata share of the increase in value of the unit over the base value determined at the award date and may be subject to such vesting and other restrictions as the Board of Members may deem appropriate. Any units forfeited or repurchased shall be available for future grants under the 2019 Incentive Equity Pool.</w:t>
      </w:r>
    </w:p>
    <w:p>
      <w:pPr>
        <w:spacing w:after="0" w:line="178" w:lineRule="exact"/>
        <w:rPr>
          <w:sz w:val="20"/>
          <w:szCs w:val="20"/>
          <w:color w:val="auto"/>
        </w:rPr>
      </w:pPr>
    </w:p>
    <w:p>
      <w:pPr>
        <w:ind w:left="120" w:right="100" w:firstLine="440"/>
        <w:spacing w:after="0" w:line="259" w:lineRule="auto"/>
        <w:rPr>
          <w:sz w:val="20"/>
          <w:szCs w:val="20"/>
          <w:color w:val="auto"/>
        </w:rPr>
      </w:pPr>
      <w:r>
        <w:rPr>
          <w:rFonts w:ascii="Arial" w:cs="Arial" w:eastAsia="Arial" w:hAnsi="Arial"/>
          <w:sz w:val="18"/>
          <w:szCs w:val="18"/>
          <w:color w:val="auto"/>
        </w:rPr>
        <w:t>The units have time-based and performance-based vesting criteria. Generally, the time-based units vest in equal annual installments over a four-year period on the anniversary date of the vest date. The performance-based units vest based on the achievement of specified returns on investments upon a change of control, as defined in the agreement. Upon initial public offering unvested performance-based units would convert to restricted shares subject to 3 year vesting.</w:t>
      </w:r>
    </w:p>
    <w:p>
      <w:pPr>
        <w:spacing w:after="0" w:line="187" w:lineRule="exact"/>
        <w:rPr>
          <w:sz w:val="20"/>
          <w:szCs w:val="20"/>
          <w:color w:val="auto"/>
        </w:rPr>
      </w:pPr>
    </w:p>
    <w:p>
      <w:pPr>
        <w:ind w:left="120" w:firstLine="440"/>
        <w:spacing w:after="0" w:line="271" w:lineRule="auto"/>
        <w:rPr>
          <w:sz w:val="20"/>
          <w:szCs w:val="20"/>
          <w:color w:val="auto"/>
        </w:rPr>
      </w:pPr>
      <w:r>
        <w:rPr>
          <w:rFonts w:ascii="Arial" w:cs="Arial" w:eastAsia="Arial" w:hAnsi="Arial"/>
          <w:sz w:val="17"/>
          <w:szCs w:val="17"/>
          <w:color w:val="auto"/>
        </w:rPr>
        <w:t>The Company assesses the fair value of the awards as of the grant date. The fair value of the units was estimated using a two-step process. First, the Company’s enterprise value was established using generally accepted valuation methodologies, including discounted cash flow analysis, guideline comparable public company analysis, and comparable transaction method. Second, the enterprise value was allocated among the securities that comprise the capital structure of the Company using an option-pricing method based on the Black-Scholes model. For performance-based units, the Company used a Monte Carlo simulation analysis, which captures the impact of the performance vesting conditions to value the performance-based units. The use of the Black-Scholes model and the Monte Carlo simulation requires the Company to make estimates and assumptions, such as expected volatility, expected term and expected risk-free interest rate. Significant assumptions used to estimate the fair value of units were as follows, which were the same between service-based and performance-based shares:</w:t>
      </w:r>
    </w:p>
    <w:p>
      <w:pPr>
        <w:spacing w:after="0" w:line="201" w:lineRule="exact"/>
        <w:rPr>
          <w:sz w:val="20"/>
          <w:szCs w:val="20"/>
          <w:color w:val="auto"/>
        </w:rPr>
      </w:pPr>
    </w:p>
    <w:tbl>
      <w:tblPr>
        <w:tblLayout w:type="fixed"/>
        <w:tblInd w:w="1440" w:type="dxa"/>
        <w:tblCellMar>
          <w:top w:w="0" w:type="dxa"/>
          <w:left w:w="0" w:type="dxa"/>
          <w:bottom w:w="0" w:type="dxa"/>
          <w:right w:w="0" w:type="dxa"/>
        </w:tblCellMar>
      </w:tblPr>
      <w:tr>
        <w:trPr>
          <w:trHeight w:val="167"/>
        </w:trPr>
        <w:tc>
          <w:tcPr>
            <w:tcW w:w="4800" w:type="dxa"/>
            <w:vAlign w:val="bottom"/>
          </w:tcPr>
          <w:p>
            <w:pPr>
              <w:spacing w:after="0"/>
              <w:rPr>
                <w:sz w:val="14"/>
                <w:szCs w:val="14"/>
                <w:color w:val="auto"/>
              </w:rPr>
            </w:pPr>
          </w:p>
        </w:tc>
        <w:tc>
          <w:tcPr>
            <w:tcW w:w="2220" w:type="dxa"/>
            <w:vAlign w:val="bottom"/>
            <w:gridSpan w:val="2"/>
          </w:tcPr>
          <w:p>
            <w:pPr>
              <w:jc w:val="right"/>
              <w:ind w:right="1140"/>
              <w:spacing w:after="0"/>
              <w:rPr>
                <w:sz w:val="20"/>
                <w:szCs w:val="20"/>
                <w:color w:val="auto"/>
              </w:rPr>
            </w:pPr>
            <w:r>
              <w:rPr>
                <w:rFonts w:ascii="Arial" w:cs="Arial" w:eastAsia="Arial" w:hAnsi="Arial"/>
                <w:sz w:val="14"/>
                <w:szCs w:val="14"/>
                <w:color w:val="auto"/>
              </w:rPr>
              <w:t>June 30, 2021</w:t>
            </w:r>
          </w:p>
        </w:tc>
        <w:tc>
          <w:tcPr>
            <w:tcW w:w="1340" w:type="dxa"/>
            <w:vAlign w:val="bottom"/>
            <w:gridSpan w:val="2"/>
          </w:tcPr>
          <w:p>
            <w:pPr>
              <w:jc w:val="right"/>
              <w:ind w:right="200"/>
              <w:spacing w:after="0"/>
              <w:rPr>
                <w:sz w:val="20"/>
                <w:szCs w:val="20"/>
                <w:color w:val="auto"/>
              </w:rPr>
            </w:pPr>
            <w:r>
              <w:rPr>
                <w:rFonts w:ascii="Arial" w:cs="Arial" w:eastAsia="Arial" w:hAnsi="Arial"/>
                <w:sz w:val="14"/>
                <w:szCs w:val="14"/>
                <w:color w:val="auto"/>
                <w:w w:val="91"/>
              </w:rPr>
              <w:t>December 31, 2020</w:t>
            </w:r>
          </w:p>
        </w:tc>
      </w:tr>
      <w:tr>
        <w:trPr>
          <w:trHeight w:val="223"/>
        </w:trPr>
        <w:tc>
          <w:tcPr>
            <w:tcW w:w="48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Expected option term</w:t>
            </w:r>
          </w:p>
        </w:tc>
        <w:tc>
          <w:tcPr>
            <w:tcW w:w="1380" w:type="dxa"/>
            <w:vAlign w:val="bottom"/>
            <w:tcBorders>
              <w:top w:val="single" w:sz="8" w:color="auto"/>
            </w:tcBorders>
            <w:shd w:val="clear" w:color="auto" w:fill="CCEEFF"/>
          </w:tcPr>
          <w:p>
            <w:pPr>
              <w:jc w:val="right"/>
              <w:spacing w:after="0" w:line="223" w:lineRule="exact"/>
              <w:rPr>
                <w:sz w:val="20"/>
                <w:szCs w:val="20"/>
                <w:color w:val="auto"/>
              </w:rPr>
            </w:pPr>
            <w:r>
              <w:rPr>
                <w:rFonts w:ascii="Arial" w:cs="Arial" w:eastAsia="Arial" w:hAnsi="Arial"/>
                <w:sz w:val="20"/>
                <w:szCs w:val="20"/>
                <w:color w:val="auto"/>
                <w:w w:val="90"/>
              </w:rPr>
              <w:t>0.21-0.375 years</w:t>
            </w:r>
          </w:p>
        </w:tc>
        <w:tc>
          <w:tcPr>
            <w:tcW w:w="840" w:type="dxa"/>
            <w:vAlign w:val="bottom"/>
            <w:tcBorders>
              <w:top w:val="single" w:sz="8" w:color="CCEEFF"/>
            </w:tcBorders>
            <w:shd w:val="clear" w:color="auto" w:fill="CCEEFF"/>
          </w:tcPr>
          <w:p>
            <w:pPr>
              <w:spacing w:after="0"/>
              <w:rPr>
                <w:sz w:val="19"/>
                <w:szCs w:val="19"/>
                <w:color w:val="auto"/>
              </w:rPr>
            </w:pPr>
          </w:p>
        </w:tc>
        <w:tc>
          <w:tcPr>
            <w:tcW w:w="1140" w:type="dxa"/>
            <w:vAlign w:val="bottom"/>
            <w:tcBorders>
              <w:top w:val="single" w:sz="8" w:color="auto"/>
            </w:tcBorders>
            <w:shd w:val="clear" w:color="auto" w:fill="CCEEFF"/>
          </w:tcPr>
          <w:p>
            <w:pPr>
              <w:jc w:val="right"/>
              <w:spacing w:after="0" w:line="223" w:lineRule="exact"/>
              <w:rPr>
                <w:sz w:val="20"/>
                <w:szCs w:val="20"/>
                <w:color w:val="auto"/>
              </w:rPr>
            </w:pPr>
            <w:r>
              <w:rPr>
                <w:rFonts w:ascii="Arial" w:cs="Arial" w:eastAsia="Arial" w:hAnsi="Arial"/>
                <w:sz w:val="20"/>
                <w:szCs w:val="20"/>
                <w:color w:val="auto"/>
              </w:rPr>
              <w:t>5.5 years</w:t>
            </w:r>
          </w:p>
        </w:tc>
        <w:tc>
          <w:tcPr>
            <w:tcW w:w="200" w:type="dxa"/>
            <w:vAlign w:val="bottom"/>
            <w:tcBorders>
              <w:top w:val="single" w:sz="8" w:color="CCEEFF"/>
            </w:tcBorders>
            <w:shd w:val="clear" w:color="auto" w:fill="CCEEFF"/>
          </w:tcPr>
          <w:p>
            <w:pPr>
              <w:spacing w:after="0"/>
              <w:rPr>
                <w:sz w:val="19"/>
                <w:szCs w:val="19"/>
                <w:color w:val="auto"/>
              </w:rPr>
            </w:pPr>
          </w:p>
        </w:tc>
      </w:tr>
      <w:tr>
        <w:trPr>
          <w:trHeight w:val="230"/>
        </w:trPr>
        <w:tc>
          <w:tcPr>
            <w:tcW w:w="4800" w:type="dxa"/>
            <w:vAlign w:val="bottom"/>
          </w:tcPr>
          <w:p>
            <w:pPr>
              <w:spacing w:after="0"/>
              <w:rPr>
                <w:sz w:val="20"/>
                <w:szCs w:val="20"/>
                <w:color w:val="auto"/>
              </w:rPr>
            </w:pPr>
            <w:r>
              <w:rPr>
                <w:rFonts w:ascii="Arial" w:cs="Arial" w:eastAsia="Arial" w:hAnsi="Arial"/>
                <w:sz w:val="18"/>
                <w:szCs w:val="18"/>
                <w:color w:val="auto"/>
              </w:rPr>
              <w:t>Risk-free rate of return</w:t>
            </w:r>
          </w:p>
        </w:tc>
        <w:tc>
          <w:tcPr>
            <w:tcW w:w="2220" w:type="dxa"/>
            <w:vAlign w:val="bottom"/>
            <w:gridSpan w:val="2"/>
          </w:tcPr>
          <w:p>
            <w:pPr>
              <w:jc w:val="right"/>
              <w:ind w:right="680"/>
              <w:spacing w:after="0"/>
              <w:rPr>
                <w:sz w:val="20"/>
                <w:szCs w:val="20"/>
                <w:color w:val="auto"/>
              </w:rPr>
            </w:pPr>
            <w:r>
              <w:rPr>
                <w:rFonts w:ascii="Arial" w:cs="Arial" w:eastAsia="Arial" w:hAnsi="Arial"/>
                <w:sz w:val="20"/>
                <w:szCs w:val="20"/>
                <w:color w:val="auto"/>
              </w:rPr>
              <w:t>0.04%-0.06%</w:t>
            </w:r>
          </w:p>
        </w:tc>
        <w:tc>
          <w:tcPr>
            <w:tcW w:w="1340" w:type="dxa"/>
            <w:vAlign w:val="bottom"/>
            <w:gridSpan w:val="2"/>
          </w:tcPr>
          <w:p>
            <w:pPr>
              <w:jc w:val="right"/>
              <w:ind w:right="40"/>
              <w:spacing w:after="0"/>
              <w:rPr>
                <w:sz w:val="20"/>
                <w:szCs w:val="20"/>
                <w:color w:val="auto"/>
              </w:rPr>
            </w:pPr>
            <w:r>
              <w:rPr>
                <w:rFonts w:ascii="Arial" w:cs="Arial" w:eastAsia="Arial" w:hAnsi="Arial"/>
                <w:sz w:val="20"/>
                <w:szCs w:val="20"/>
                <w:color w:val="auto"/>
              </w:rPr>
              <w:t>1.73%</w:t>
            </w:r>
          </w:p>
        </w:tc>
      </w:tr>
      <w:tr>
        <w:trPr>
          <w:trHeight w:val="230"/>
        </w:trPr>
        <w:tc>
          <w:tcPr>
            <w:tcW w:w="4800" w:type="dxa"/>
            <w:vAlign w:val="bottom"/>
            <w:shd w:val="clear" w:color="auto" w:fill="CCEEFF"/>
          </w:tcPr>
          <w:p>
            <w:pPr>
              <w:spacing w:after="0"/>
              <w:rPr>
                <w:sz w:val="20"/>
                <w:szCs w:val="20"/>
                <w:color w:val="auto"/>
              </w:rPr>
            </w:pPr>
            <w:r>
              <w:rPr>
                <w:rFonts w:ascii="Arial" w:cs="Arial" w:eastAsia="Arial" w:hAnsi="Arial"/>
                <w:sz w:val="18"/>
                <w:szCs w:val="18"/>
                <w:color w:val="auto"/>
              </w:rPr>
              <w:t>Applied volatility</w:t>
            </w:r>
          </w:p>
        </w:tc>
        <w:tc>
          <w:tcPr>
            <w:tcW w:w="2220" w:type="dxa"/>
            <w:vAlign w:val="bottom"/>
            <w:gridSpan w:val="2"/>
            <w:shd w:val="clear" w:color="auto" w:fill="CCEEFF"/>
          </w:tcPr>
          <w:p>
            <w:pPr>
              <w:jc w:val="right"/>
              <w:ind w:right="680"/>
              <w:spacing w:after="0"/>
              <w:rPr>
                <w:sz w:val="20"/>
                <w:szCs w:val="20"/>
                <w:color w:val="auto"/>
              </w:rPr>
            </w:pPr>
            <w:r>
              <w:rPr>
                <w:rFonts w:ascii="Arial" w:cs="Arial" w:eastAsia="Arial" w:hAnsi="Arial"/>
                <w:sz w:val="20"/>
                <w:szCs w:val="20"/>
                <w:color w:val="auto"/>
              </w:rPr>
              <w:t>31%-33%</w:t>
            </w:r>
          </w:p>
        </w:tc>
        <w:tc>
          <w:tcPr>
            <w:tcW w:w="1340" w:type="dxa"/>
            <w:vAlign w:val="bottom"/>
            <w:gridSpan w:val="2"/>
            <w:shd w:val="clear" w:color="auto" w:fill="CCEEFF"/>
          </w:tcPr>
          <w:p>
            <w:pPr>
              <w:jc w:val="right"/>
              <w:ind w:right="40"/>
              <w:spacing w:after="0"/>
              <w:rPr>
                <w:sz w:val="20"/>
                <w:szCs w:val="20"/>
                <w:color w:val="auto"/>
              </w:rPr>
            </w:pPr>
            <w:r>
              <w:rPr>
                <w:rFonts w:ascii="Arial" w:cs="Arial" w:eastAsia="Arial" w:hAnsi="Arial"/>
                <w:sz w:val="20"/>
                <w:szCs w:val="20"/>
                <w:color w:val="auto"/>
              </w:rPr>
              <w:t>35%</w:t>
            </w:r>
          </w:p>
        </w:tc>
      </w:tr>
    </w:tbl>
    <w:p>
      <w:pPr>
        <w:spacing w:after="0" w:line="202" w:lineRule="exact"/>
        <w:rPr>
          <w:sz w:val="20"/>
          <w:szCs w:val="20"/>
          <w:color w:val="auto"/>
        </w:rPr>
      </w:pPr>
    </w:p>
    <w:p>
      <w:pPr>
        <w:jc w:val="both"/>
        <w:ind w:left="120" w:right="580" w:firstLine="440"/>
        <w:spacing w:after="0" w:line="342" w:lineRule="auto"/>
        <w:rPr>
          <w:sz w:val="20"/>
          <w:szCs w:val="20"/>
          <w:color w:val="auto"/>
        </w:rPr>
      </w:pPr>
      <w:r>
        <w:rPr>
          <w:rFonts w:ascii="Arial" w:cs="Arial" w:eastAsia="Arial" w:hAnsi="Arial"/>
          <w:sz w:val="16"/>
          <w:szCs w:val="16"/>
          <w:color w:val="auto"/>
        </w:rPr>
        <w:t>The expected option term represents management’s estimate of time to an exit event. The risk-free rate of return is based upon government securities with durations approximately equal to the option term. Applied volatility is based on the average volatility of the guideline companies.</w:t>
      </w:r>
    </w:p>
    <w:p>
      <w:pPr>
        <w:spacing w:after="0" w:line="124" w:lineRule="exact"/>
        <w:rPr>
          <w:sz w:val="20"/>
          <w:szCs w:val="20"/>
          <w:color w:val="auto"/>
        </w:rPr>
      </w:pPr>
    </w:p>
    <w:p>
      <w:pPr>
        <w:ind w:left="560"/>
        <w:spacing w:after="0"/>
        <w:rPr>
          <w:sz w:val="20"/>
          <w:szCs w:val="20"/>
          <w:color w:val="auto"/>
        </w:rPr>
      </w:pPr>
      <w:r>
        <w:rPr>
          <w:rFonts w:ascii="Arial" w:cs="Arial" w:eastAsia="Arial" w:hAnsi="Arial"/>
          <w:sz w:val="16"/>
          <w:szCs w:val="16"/>
          <w:color w:val="auto"/>
        </w:rPr>
        <w:t>The following table summarizes the Company’s unvested time-based and performance-based unit activity for the six months ended June 30, 2021:</w:t>
      </w:r>
    </w:p>
    <w:p>
      <w:pPr>
        <w:spacing w:after="0" w:line="271" w:lineRule="exact"/>
        <w:rPr>
          <w:sz w:val="20"/>
          <w:szCs w:val="20"/>
          <w:color w:val="auto"/>
        </w:rPr>
      </w:pPr>
    </w:p>
    <w:tbl>
      <w:tblPr>
        <w:tblLayout w:type="fixed"/>
        <w:tblInd w:w="560" w:type="dxa"/>
        <w:tblCellMar>
          <w:top w:w="0" w:type="dxa"/>
          <w:left w:w="0" w:type="dxa"/>
          <w:bottom w:w="0" w:type="dxa"/>
          <w:right w:w="0" w:type="dxa"/>
        </w:tblCellMar>
      </w:tblPr>
      <w:tr>
        <w:trPr>
          <w:trHeight w:val="167"/>
        </w:trPr>
        <w:tc>
          <w:tcPr>
            <w:tcW w:w="20" w:type="dxa"/>
            <w:vAlign w:val="bottom"/>
          </w:tcPr>
          <w:p>
            <w:pPr>
              <w:spacing w:after="0"/>
              <w:rPr>
                <w:sz w:val="14"/>
                <w:szCs w:val="14"/>
                <w:color w:val="auto"/>
              </w:rPr>
            </w:pPr>
          </w:p>
        </w:tc>
        <w:tc>
          <w:tcPr>
            <w:tcW w:w="49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60" w:type="dxa"/>
            <w:vAlign w:val="bottom"/>
            <w:gridSpan w:val="3"/>
          </w:tcPr>
          <w:p>
            <w:pPr>
              <w:jc w:val="right"/>
              <w:spacing w:after="0"/>
              <w:rPr>
                <w:sz w:val="20"/>
                <w:szCs w:val="20"/>
                <w:color w:val="auto"/>
              </w:rPr>
            </w:pPr>
            <w:r>
              <w:rPr>
                <w:rFonts w:ascii="Arial" w:cs="Arial" w:eastAsia="Arial" w:hAnsi="Arial"/>
                <w:sz w:val="14"/>
                <w:szCs w:val="14"/>
                <w:color w:val="auto"/>
                <w:w w:val="90"/>
              </w:rPr>
              <w:t>Time-Based</w:t>
            </w:r>
          </w:p>
        </w:tc>
        <w:tc>
          <w:tcPr>
            <w:tcW w:w="7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320" w:type="dxa"/>
            <w:vAlign w:val="bottom"/>
            <w:gridSpan w:val="5"/>
          </w:tcPr>
          <w:p>
            <w:pPr>
              <w:ind w:left="560"/>
              <w:spacing w:after="0"/>
              <w:rPr>
                <w:sz w:val="20"/>
                <w:szCs w:val="20"/>
                <w:color w:val="auto"/>
              </w:rPr>
            </w:pPr>
            <w:r>
              <w:rPr>
                <w:rFonts w:ascii="Arial" w:cs="Arial" w:eastAsia="Arial" w:hAnsi="Arial"/>
                <w:sz w:val="14"/>
                <w:szCs w:val="14"/>
                <w:color w:val="auto"/>
              </w:rPr>
              <w:t>Performance-Based</w:t>
            </w:r>
          </w:p>
        </w:tc>
      </w:tr>
      <w:tr>
        <w:trPr>
          <w:trHeight w:val="123"/>
        </w:trPr>
        <w:tc>
          <w:tcPr>
            <w:tcW w:w="20" w:type="dxa"/>
            <w:vAlign w:val="bottom"/>
          </w:tcPr>
          <w:p>
            <w:pPr>
              <w:spacing w:after="0"/>
              <w:rPr>
                <w:sz w:val="10"/>
                <w:szCs w:val="10"/>
                <w:color w:val="auto"/>
              </w:rPr>
            </w:pPr>
          </w:p>
        </w:tc>
        <w:tc>
          <w:tcPr>
            <w:tcW w:w="4900" w:type="dxa"/>
            <w:vAlign w:val="bottom"/>
          </w:tcPr>
          <w:p>
            <w:pPr>
              <w:spacing w:after="0"/>
              <w:rPr>
                <w:sz w:val="10"/>
                <w:szCs w:val="10"/>
                <w:color w:val="auto"/>
              </w:rPr>
            </w:pPr>
          </w:p>
        </w:tc>
        <w:tc>
          <w:tcPr>
            <w:tcW w:w="780" w:type="dxa"/>
            <w:vAlign w:val="bottom"/>
            <w:tcBorders>
              <w:top w:val="single" w:sz="8" w:color="auto"/>
            </w:tcBorders>
          </w:tcPr>
          <w:p>
            <w:pPr>
              <w:spacing w:after="0"/>
              <w:rPr>
                <w:sz w:val="10"/>
                <w:szCs w:val="10"/>
                <w:color w:val="auto"/>
              </w:rPr>
            </w:pPr>
          </w:p>
        </w:tc>
        <w:tc>
          <w:tcPr>
            <w:tcW w:w="360" w:type="dxa"/>
            <w:vAlign w:val="bottom"/>
            <w:tcBorders>
              <w:top w:val="single" w:sz="8" w:color="auto"/>
            </w:tcBorders>
          </w:tcPr>
          <w:p>
            <w:pPr>
              <w:spacing w:after="0"/>
              <w:rPr>
                <w:sz w:val="10"/>
                <w:szCs w:val="10"/>
                <w:color w:val="auto"/>
              </w:rPr>
            </w:pPr>
          </w:p>
        </w:tc>
        <w:tc>
          <w:tcPr>
            <w:tcW w:w="280" w:type="dxa"/>
            <w:vAlign w:val="bottom"/>
            <w:tcBorders>
              <w:top w:val="single" w:sz="8" w:color="auto"/>
            </w:tcBorders>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740" w:type="dxa"/>
            <w:vAlign w:val="bottom"/>
            <w:tcBorders>
              <w:top w:val="single" w:sz="8" w:color="auto"/>
            </w:tcBorders>
          </w:tcPr>
          <w:p>
            <w:pPr>
              <w:jc w:val="center"/>
              <w:ind w:right="37"/>
              <w:spacing w:after="0" w:line="123" w:lineRule="exact"/>
              <w:rPr>
                <w:sz w:val="20"/>
                <w:szCs w:val="20"/>
                <w:color w:val="auto"/>
              </w:rPr>
            </w:pPr>
            <w:r>
              <w:rPr>
                <w:rFonts w:ascii="Arial" w:cs="Arial" w:eastAsia="Arial" w:hAnsi="Arial"/>
                <w:sz w:val="14"/>
                <w:szCs w:val="14"/>
                <w:color w:val="auto"/>
                <w:w w:val="91"/>
              </w:rPr>
              <w:t>Weighted</w:t>
            </w:r>
          </w:p>
        </w:tc>
        <w:tc>
          <w:tcPr>
            <w:tcW w:w="600" w:type="dxa"/>
            <w:vAlign w:val="bottom"/>
          </w:tcPr>
          <w:p>
            <w:pPr>
              <w:spacing w:after="0"/>
              <w:rPr>
                <w:sz w:val="10"/>
                <w:szCs w:val="10"/>
                <w:color w:val="auto"/>
              </w:rPr>
            </w:pPr>
          </w:p>
        </w:tc>
        <w:tc>
          <w:tcPr>
            <w:tcW w:w="780" w:type="dxa"/>
            <w:vAlign w:val="bottom"/>
            <w:tcBorders>
              <w:top w:val="single" w:sz="8" w:color="auto"/>
            </w:tcBorders>
          </w:tcPr>
          <w:p>
            <w:pPr>
              <w:spacing w:after="0"/>
              <w:rPr>
                <w:sz w:val="10"/>
                <w:szCs w:val="10"/>
                <w:color w:val="auto"/>
              </w:rPr>
            </w:pPr>
          </w:p>
        </w:tc>
        <w:tc>
          <w:tcPr>
            <w:tcW w:w="640" w:type="dxa"/>
            <w:vAlign w:val="bottom"/>
            <w:tcBorders>
              <w:top w:val="single" w:sz="8" w:color="auto"/>
            </w:tcBorders>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740" w:type="dxa"/>
            <w:vAlign w:val="bottom"/>
            <w:tcBorders>
              <w:top w:val="single" w:sz="8" w:color="auto"/>
            </w:tcBorders>
          </w:tcPr>
          <w:p>
            <w:pPr>
              <w:jc w:val="center"/>
              <w:ind w:right="37"/>
              <w:spacing w:after="0" w:line="123" w:lineRule="exact"/>
              <w:rPr>
                <w:sz w:val="20"/>
                <w:szCs w:val="20"/>
                <w:color w:val="auto"/>
              </w:rPr>
            </w:pPr>
            <w:r>
              <w:rPr>
                <w:rFonts w:ascii="Arial" w:cs="Arial" w:eastAsia="Arial" w:hAnsi="Arial"/>
                <w:sz w:val="14"/>
                <w:szCs w:val="14"/>
                <w:color w:val="auto"/>
                <w:w w:val="91"/>
              </w:rPr>
              <w:t>Weighted</w:t>
            </w:r>
          </w:p>
        </w:tc>
        <w:tc>
          <w:tcPr>
            <w:tcW w:w="40" w:type="dxa"/>
            <w:vAlign w:val="bottom"/>
          </w:tcPr>
          <w:p>
            <w:pPr>
              <w:spacing w:after="0"/>
              <w:rPr>
                <w:sz w:val="10"/>
                <w:szCs w:val="10"/>
                <w:color w:val="auto"/>
              </w:rPr>
            </w:pPr>
          </w:p>
        </w:tc>
      </w:tr>
      <w:tr>
        <w:trPr>
          <w:trHeight w:val="148"/>
        </w:trPr>
        <w:tc>
          <w:tcPr>
            <w:tcW w:w="20" w:type="dxa"/>
            <w:vAlign w:val="bottom"/>
          </w:tcPr>
          <w:p>
            <w:pPr>
              <w:spacing w:after="0"/>
              <w:rPr>
                <w:sz w:val="12"/>
                <w:szCs w:val="12"/>
                <w:color w:val="auto"/>
              </w:rPr>
            </w:pPr>
          </w:p>
        </w:tc>
        <w:tc>
          <w:tcPr>
            <w:tcW w:w="49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460" w:type="dxa"/>
            <w:vAlign w:val="bottom"/>
            <w:gridSpan w:val="3"/>
          </w:tcPr>
          <w:p>
            <w:pPr>
              <w:jc w:val="right"/>
              <w:ind w:right="600"/>
              <w:spacing w:after="0" w:line="149" w:lineRule="exact"/>
              <w:rPr>
                <w:sz w:val="20"/>
                <w:szCs w:val="20"/>
                <w:color w:val="auto"/>
              </w:rPr>
            </w:pPr>
            <w:r>
              <w:rPr>
                <w:rFonts w:ascii="Arial" w:cs="Arial" w:eastAsia="Arial" w:hAnsi="Arial"/>
                <w:sz w:val="14"/>
                <w:szCs w:val="14"/>
                <w:color w:val="auto"/>
                <w:w w:val="92"/>
              </w:rPr>
              <w:t>Average Grant</w:t>
            </w:r>
          </w:p>
        </w:tc>
        <w:tc>
          <w:tcPr>
            <w:tcW w:w="7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900" w:type="dxa"/>
            <w:vAlign w:val="bottom"/>
            <w:gridSpan w:val="3"/>
          </w:tcPr>
          <w:p>
            <w:pPr>
              <w:jc w:val="right"/>
              <w:ind w:right="60"/>
              <w:spacing w:after="0" w:line="149" w:lineRule="exact"/>
              <w:rPr>
                <w:sz w:val="20"/>
                <w:szCs w:val="20"/>
                <w:color w:val="auto"/>
              </w:rPr>
            </w:pPr>
            <w:r>
              <w:rPr>
                <w:rFonts w:ascii="Arial" w:cs="Arial" w:eastAsia="Arial" w:hAnsi="Arial"/>
                <w:sz w:val="14"/>
                <w:szCs w:val="14"/>
                <w:color w:val="auto"/>
                <w:w w:val="90"/>
              </w:rPr>
              <w:t>Average Grant</w:t>
            </w:r>
          </w:p>
        </w:tc>
      </w:tr>
      <w:tr>
        <w:trPr>
          <w:trHeight w:val="149"/>
        </w:trPr>
        <w:tc>
          <w:tcPr>
            <w:tcW w:w="20" w:type="dxa"/>
            <w:vAlign w:val="bottom"/>
          </w:tcPr>
          <w:p>
            <w:pPr>
              <w:spacing w:after="0"/>
              <w:rPr>
                <w:sz w:val="12"/>
                <w:szCs w:val="12"/>
                <w:color w:val="auto"/>
              </w:rPr>
            </w:pPr>
          </w:p>
        </w:tc>
        <w:tc>
          <w:tcPr>
            <w:tcW w:w="4900" w:type="dxa"/>
            <w:vAlign w:val="bottom"/>
          </w:tcPr>
          <w:p>
            <w:pPr>
              <w:spacing w:after="0"/>
              <w:rPr>
                <w:sz w:val="12"/>
                <w:szCs w:val="12"/>
                <w:color w:val="auto"/>
              </w:rPr>
            </w:pPr>
          </w:p>
        </w:tc>
        <w:tc>
          <w:tcPr>
            <w:tcW w:w="1140" w:type="dxa"/>
            <w:vAlign w:val="bottom"/>
            <w:gridSpan w:val="2"/>
          </w:tcPr>
          <w:p>
            <w:pPr>
              <w:jc w:val="right"/>
              <w:ind w:right="348"/>
              <w:spacing w:after="0" w:line="149" w:lineRule="exact"/>
              <w:rPr>
                <w:sz w:val="20"/>
                <w:szCs w:val="20"/>
                <w:color w:val="auto"/>
              </w:rPr>
            </w:pPr>
            <w:r>
              <w:rPr>
                <w:rFonts w:ascii="Arial" w:cs="Arial" w:eastAsia="Arial" w:hAnsi="Arial"/>
                <w:sz w:val="14"/>
                <w:szCs w:val="14"/>
                <w:color w:val="auto"/>
                <w:w w:val="94"/>
              </w:rPr>
              <w:t>Non-Vested</w:t>
            </w:r>
          </w:p>
        </w:tc>
        <w:tc>
          <w:tcPr>
            <w:tcW w:w="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40" w:type="dxa"/>
            <w:vAlign w:val="bottom"/>
            <w:gridSpan w:val="2"/>
          </w:tcPr>
          <w:p>
            <w:pPr>
              <w:jc w:val="center"/>
              <w:ind w:right="720"/>
              <w:spacing w:after="0" w:line="149" w:lineRule="exact"/>
              <w:rPr>
                <w:sz w:val="20"/>
                <w:szCs w:val="20"/>
                <w:color w:val="auto"/>
              </w:rPr>
            </w:pPr>
            <w:r>
              <w:rPr>
                <w:rFonts w:ascii="Arial" w:cs="Arial" w:eastAsia="Arial" w:hAnsi="Arial"/>
                <w:sz w:val="14"/>
                <w:szCs w:val="14"/>
                <w:color w:val="auto"/>
                <w:w w:val="93"/>
              </w:rPr>
              <w:t>Date Fair</w:t>
            </w:r>
          </w:p>
        </w:tc>
        <w:tc>
          <w:tcPr>
            <w:tcW w:w="1420" w:type="dxa"/>
            <w:vAlign w:val="bottom"/>
            <w:gridSpan w:val="2"/>
          </w:tcPr>
          <w:p>
            <w:pPr>
              <w:jc w:val="right"/>
              <w:ind w:right="700"/>
              <w:spacing w:after="0" w:line="149" w:lineRule="exact"/>
              <w:rPr>
                <w:sz w:val="20"/>
                <w:szCs w:val="20"/>
                <w:color w:val="auto"/>
              </w:rPr>
            </w:pPr>
            <w:r>
              <w:rPr>
                <w:rFonts w:ascii="Arial" w:cs="Arial" w:eastAsia="Arial" w:hAnsi="Arial"/>
                <w:sz w:val="14"/>
                <w:szCs w:val="14"/>
                <w:color w:val="auto"/>
                <w:w w:val="94"/>
              </w:rPr>
              <w:t>Non-Vested</w:t>
            </w:r>
          </w:p>
        </w:tc>
        <w:tc>
          <w:tcPr>
            <w:tcW w:w="120" w:type="dxa"/>
            <w:vAlign w:val="bottom"/>
          </w:tcPr>
          <w:p>
            <w:pPr>
              <w:spacing w:after="0"/>
              <w:rPr>
                <w:sz w:val="12"/>
                <w:szCs w:val="12"/>
                <w:color w:val="auto"/>
              </w:rPr>
            </w:pPr>
          </w:p>
        </w:tc>
        <w:tc>
          <w:tcPr>
            <w:tcW w:w="780" w:type="dxa"/>
            <w:vAlign w:val="bottom"/>
            <w:gridSpan w:val="2"/>
          </w:tcPr>
          <w:p>
            <w:pPr>
              <w:jc w:val="center"/>
              <w:ind w:right="160"/>
              <w:spacing w:after="0" w:line="149" w:lineRule="exact"/>
              <w:rPr>
                <w:sz w:val="20"/>
                <w:szCs w:val="20"/>
                <w:color w:val="auto"/>
              </w:rPr>
            </w:pPr>
            <w:r>
              <w:rPr>
                <w:rFonts w:ascii="Arial" w:cs="Arial" w:eastAsia="Arial" w:hAnsi="Arial"/>
                <w:sz w:val="14"/>
                <w:szCs w:val="14"/>
                <w:color w:val="auto"/>
                <w:w w:val="93"/>
              </w:rPr>
              <w:t>Date Fair</w:t>
            </w:r>
          </w:p>
        </w:tc>
      </w:tr>
      <w:tr>
        <w:trPr>
          <w:trHeight w:val="167"/>
        </w:trPr>
        <w:tc>
          <w:tcPr>
            <w:tcW w:w="20" w:type="dxa"/>
            <w:vAlign w:val="bottom"/>
          </w:tcPr>
          <w:p>
            <w:pPr>
              <w:spacing w:after="0"/>
              <w:rPr>
                <w:sz w:val="14"/>
                <w:szCs w:val="14"/>
                <w:color w:val="auto"/>
              </w:rPr>
            </w:pPr>
          </w:p>
        </w:tc>
        <w:tc>
          <w:tcPr>
            <w:tcW w:w="4900" w:type="dxa"/>
            <w:vAlign w:val="bottom"/>
          </w:tcPr>
          <w:p>
            <w:pPr>
              <w:spacing w:after="0"/>
              <w:rPr>
                <w:sz w:val="14"/>
                <w:szCs w:val="14"/>
                <w:color w:val="auto"/>
              </w:rPr>
            </w:pPr>
          </w:p>
        </w:tc>
        <w:tc>
          <w:tcPr>
            <w:tcW w:w="1140" w:type="dxa"/>
            <w:vAlign w:val="bottom"/>
            <w:gridSpan w:val="2"/>
          </w:tcPr>
          <w:p>
            <w:pPr>
              <w:jc w:val="right"/>
              <w:ind w:right="528"/>
              <w:spacing w:after="0"/>
              <w:rPr>
                <w:sz w:val="20"/>
                <w:szCs w:val="20"/>
                <w:color w:val="auto"/>
              </w:rPr>
            </w:pPr>
            <w:r>
              <w:rPr>
                <w:rFonts w:ascii="Arial" w:cs="Arial" w:eastAsia="Arial" w:hAnsi="Arial"/>
                <w:sz w:val="14"/>
                <w:szCs w:val="14"/>
                <w:color w:val="auto"/>
              </w:rPr>
              <w:t>Units</w:t>
            </w:r>
          </w:p>
        </w:tc>
        <w:tc>
          <w:tcPr>
            <w:tcW w:w="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40" w:type="dxa"/>
            <w:vAlign w:val="bottom"/>
            <w:gridSpan w:val="2"/>
          </w:tcPr>
          <w:p>
            <w:pPr>
              <w:jc w:val="center"/>
              <w:ind w:right="720"/>
              <w:spacing w:after="0"/>
              <w:rPr>
                <w:sz w:val="20"/>
                <w:szCs w:val="20"/>
                <w:color w:val="auto"/>
              </w:rPr>
            </w:pPr>
            <w:r>
              <w:rPr>
                <w:rFonts w:ascii="Arial" w:cs="Arial" w:eastAsia="Arial" w:hAnsi="Arial"/>
                <w:sz w:val="14"/>
                <w:szCs w:val="14"/>
                <w:color w:val="auto"/>
                <w:w w:val="94"/>
              </w:rPr>
              <w:t>Value</w:t>
            </w:r>
          </w:p>
        </w:tc>
        <w:tc>
          <w:tcPr>
            <w:tcW w:w="1420" w:type="dxa"/>
            <w:vAlign w:val="bottom"/>
            <w:gridSpan w:val="2"/>
          </w:tcPr>
          <w:p>
            <w:pPr>
              <w:jc w:val="right"/>
              <w:ind w:right="880"/>
              <w:spacing w:after="0"/>
              <w:rPr>
                <w:sz w:val="20"/>
                <w:szCs w:val="20"/>
                <w:color w:val="auto"/>
              </w:rPr>
            </w:pPr>
            <w:r>
              <w:rPr>
                <w:rFonts w:ascii="Arial" w:cs="Arial" w:eastAsia="Arial" w:hAnsi="Arial"/>
                <w:sz w:val="14"/>
                <w:szCs w:val="14"/>
                <w:color w:val="auto"/>
              </w:rPr>
              <w:t>Units</w:t>
            </w:r>
          </w:p>
        </w:tc>
        <w:tc>
          <w:tcPr>
            <w:tcW w:w="120" w:type="dxa"/>
            <w:vAlign w:val="bottom"/>
          </w:tcPr>
          <w:p>
            <w:pPr>
              <w:spacing w:after="0"/>
              <w:rPr>
                <w:sz w:val="14"/>
                <w:szCs w:val="14"/>
                <w:color w:val="auto"/>
              </w:rPr>
            </w:pPr>
          </w:p>
        </w:tc>
        <w:tc>
          <w:tcPr>
            <w:tcW w:w="780" w:type="dxa"/>
            <w:vAlign w:val="bottom"/>
            <w:gridSpan w:val="2"/>
          </w:tcPr>
          <w:p>
            <w:pPr>
              <w:jc w:val="center"/>
              <w:ind w:right="160"/>
              <w:spacing w:after="0"/>
              <w:rPr>
                <w:sz w:val="20"/>
                <w:szCs w:val="20"/>
                <w:color w:val="auto"/>
              </w:rPr>
            </w:pPr>
            <w:r>
              <w:rPr>
                <w:rFonts w:ascii="Arial" w:cs="Arial" w:eastAsia="Arial" w:hAnsi="Arial"/>
                <w:sz w:val="14"/>
                <w:szCs w:val="14"/>
                <w:color w:val="auto"/>
                <w:w w:val="94"/>
              </w:rPr>
              <w:t>Value</w:t>
            </w:r>
          </w:p>
        </w:tc>
      </w:tr>
      <w:tr>
        <w:trPr>
          <w:trHeight w:val="210"/>
        </w:trPr>
        <w:tc>
          <w:tcPr>
            <w:tcW w:w="20" w:type="dxa"/>
            <w:vAlign w:val="bottom"/>
          </w:tcPr>
          <w:p>
            <w:pPr>
              <w:spacing w:after="0"/>
              <w:rPr>
                <w:sz w:val="18"/>
                <w:szCs w:val="18"/>
                <w:color w:val="auto"/>
              </w:rPr>
            </w:pPr>
          </w:p>
        </w:tc>
        <w:tc>
          <w:tcPr>
            <w:tcW w:w="49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Non-vested at December 31, 2020</w:t>
            </w: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1,404,720</w:t>
            </w:r>
          </w:p>
        </w:tc>
        <w:tc>
          <w:tcPr>
            <w:tcW w:w="36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3.65</w:t>
            </w:r>
          </w:p>
        </w:tc>
        <w:tc>
          <w:tcPr>
            <w:tcW w:w="600" w:type="dxa"/>
            <w:vAlign w:val="bottom"/>
            <w:tcBorders>
              <w:top w:val="single" w:sz="8" w:color="CCEEFF"/>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1,840,423</w:t>
            </w:r>
          </w:p>
        </w:tc>
        <w:tc>
          <w:tcPr>
            <w:tcW w:w="6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2.35</w:t>
            </w:r>
          </w:p>
        </w:tc>
        <w:tc>
          <w:tcPr>
            <w:tcW w:w="40" w:type="dxa"/>
            <w:vAlign w:val="bottom"/>
            <w:tcBorders>
              <w:top w:val="single" w:sz="8" w:color="CCEEFF"/>
            </w:tcBorders>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900" w:type="dxa"/>
            <w:vAlign w:val="bottom"/>
          </w:tcPr>
          <w:p>
            <w:pPr>
              <w:spacing w:after="0"/>
              <w:rPr>
                <w:sz w:val="20"/>
                <w:szCs w:val="20"/>
                <w:color w:val="auto"/>
              </w:rPr>
            </w:pPr>
            <w:r>
              <w:rPr>
                <w:rFonts w:ascii="Arial" w:cs="Arial" w:eastAsia="Arial" w:hAnsi="Arial"/>
                <w:sz w:val="18"/>
                <w:szCs w:val="18"/>
                <w:color w:val="auto"/>
              </w:rPr>
              <w:t>Granted</w:t>
            </w:r>
          </w:p>
        </w:tc>
        <w:tc>
          <w:tcPr>
            <w:tcW w:w="1140" w:type="dxa"/>
            <w:vAlign w:val="bottom"/>
            <w:gridSpan w:val="2"/>
          </w:tcPr>
          <w:p>
            <w:pPr>
              <w:jc w:val="right"/>
              <w:ind w:right="288"/>
              <w:spacing w:after="0"/>
              <w:rPr>
                <w:sz w:val="20"/>
                <w:szCs w:val="20"/>
                <w:color w:val="auto"/>
              </w:rPr>
            </w:pPr>
            <w:r>
              <w:rPr>
                <w:rFonts w:ascii="Arial" w:cs="Arial" w:eastAsia="Arial" w:hAnsi="Arial"/>
                <w:sz w:val="18"/>
                <w:szCs w:val="18"/>
                <w:color w:val="auto"/>
                <w:w w:val="94"/>
              </w:rPr>
              <w:t>1,477,323</w:t>
            </w: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gridSpan w:val="2"/>
          </w:tcPr>
          <w:p>
            <w:pPr>
              <w:jc w:val="right"/>
              <w:ind w:right="600"/>
              <w:spacing w:after="0"/>
              <w:rPr>
                <w:sz w:val="20"/>
                <w:szCs w:val="20"/>
                <w:color w:val="auto"/>
              </w:rPr>
            </w:pPr>
            <w:r>
              <w:rPr>
                <w:rFonts w:ascii="Arial" w:cs="Arial" w:eastAsia="Arial" w:hAnsi="Arial"/>
                <w:sz w:val="18"/>
                <w:szCs w:val="18"/>
                <w:color w:val="auto"/>
              </w:rPr>
              <w:t>2.23</w:t>
            </w:r>
          </w:p>
        </w:tc>
        <w:tc>
          <w:tcPr>
            <w:tcW w:w="1420" w:type="dxa"/>
            <w:vAlign w:val="bottom"/>
            <w:gridSpan w:val="2"/>
          </w:tcPr>
          <w:p>
            <w:pPr>
              <w:jc w:val="right"/>
              <w:ind w:right="640"/>
              <w:spacing w:after="0"/>
              <w:rPr>
                <w:sz w:val="20"/>
                <w:szCs w:val="20"/>
                <w:color w:val="auto"/>
              </w:rPr>
            </w:pPr>
            <w:r>
              <w:rPr>
                <w:rFonts w:ascii="Arial" w:cs="Arial" w:eastAsia="Arial" w:hAnsi="Arial"/>
                <w:sz w:val="18"/>
                <w:szCs w:val="18"/>
                <w:color w:val="auto"/>
                <w:w w:val="94"/>
              </w:rPr>
              <w:t>1,177,308</w:t>
            </w:r>
          </w:p>
        </w:tc>
        <w:tc>
          <w:tcPr>
            <w:tcW w:w="120" w:type="dxa"/>
            <w:vAlign w:val="bottom"/>
          </w:tcPr>
          <w:p>
            <w:pPr>
              <w:spacing w:after="0"/>
              <w:rPr>
                <w:sz w:val="18"/>
                <w:szCs w:val="18"/>
                <w:color w:val="auto"/>
              </w:rPr>
            </w:pPr>
          </w:p>
        </w:tc>
        <w:tc>
          <w:tcPr>
            <w:tcW w:w="780" w:type="dxa"/>
            <w:vAlign w:val="bottom"/>
            <w:gridSpan w:val="2"/>
          </w:tcPr>
          <w:p>
            <w:pPr>
              <w:jc w:val="right"/>
              <w:ind w:right="40"/>
              <w:spacing w:after="0"/>
              <w:rPr>
                <w:sz w:val="20"/>
                <w:szCs w:val="20"/>
                <w:color w:val="auto"/>
              </w:rPr>
            </w:pPr>
            <w:r>
              <w:rPr>
                <w:rFonts w:ascii="Arial" w:cs="Arial" w:eastAsia="Arial" w:hAnsi="Arial"/>
                <w:sz w:val="18"/>
                <w:szCs w:val="18"/>
                <w:color w:val="auto"/>
              </w:rPr>
              <w:t>0.49</w:t>
            </w:r>
          </w:p>
        </w:tc>
      </w:tr>
      <w:tr>
        <w:trPr>
          <w:trHeight w:val="216"/>
        </w:trPr>
        <w:tc>
          <w:tcPr>
            <w:tcW w:w="20" w:type="dxa"/>
            <w:vAlign w:val="bottom"/>
          </w:tcPr>
          <w:p>
            <w:pPr>
              <w:spacing w:after="0"/>
              <w:rPr>
                <w:sz w:val="18"/>
                <w:szCs w:val="18"/>
                <w:color w:val="auto"/>
              </w:rPr>
            </w:pPr>
          </w:p>
        </w:tc>
        <w:tc>
          <w:tcPr>
            <w:tcW w:w="4900" w:type="dxa"/>
            <w:vAlign w:val="bottom"/>
            <w:shd w:val="clear" w:color="auto" w:fill="CCEEFF"/>
          </w:tcPr>
          <w:p>
            <w:pPr>
              <w:spacing w:after="0"/>
              <w:rPr>
                <w:sz w:val="20"/>
                <w:szCs w:val="20"/>
                <w:color w:val="auto"/>
              </w:rPr>
            </w:pPr>
            <w:r>
              <w:rPr>
                <w:rFonts w:ascii="Arial" w:cs="Arial" w:eastAsia="Arial" w:hAnsi="Arial"/>
                <w:sz w:val="18"/>
                <w:szCs w:val="18"/>
                <w:color w:val="auto"/>
              </w:rPr>
              <w:t>Vested</w:t>
            </w:r>
          </w:p>
        </w:tc>
        <w:tc>
          <w:tcPr>
            <w:tcW w:w="1140" w:type="dxa"/>
            <w:vAlign w:val="bottom"/>
            <w:gridSpan w:val="2"/>
            <w:shd w:val="clear" w:color="auto" w:fill="CCEEFF"/>
          </w:tcPr>
          <w:p>
            <w:pPr>
              <w:jc w:val="right"/>
              <w:ind w:right="228"/>
              <w:spacing w:after="0"/>
              <w:rPr>
                <w:sz w:val="20"/>
                <w:szCs w:val="20"/>
                <w:color w:val="auto"/>
              </w:rPr>
            </w:pPr>
            <w:r>
              <w:rPr>
                <w:rFonts w:ascii="Arial" w:cs="Arial" w:eastAsia="Arial" w:hAnsi="Arial"/>
                <w:sz w:val="18"/>
                <w:szCs w:val="18"/>
                <w:color w:val="auto"/>
              </w:rPr>
              <w:t>(18,153)</w:t>
            </w: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3.65</w:t>
            </w:r>
          </w:p>
        </w:tc>
        <w:tc>
          <w:tcPr>
            <w:tcW w:w="1420" w:type="dxa"/>
            <w:vAlign w:val="bottom"/>
            <w:gridSpan w:val="2"/>
            <w:shd w:val="clear" w:color="auto" w:fill="CCEEFF"/>
          </w:tcPr>
          <w:p>
            <w:pPr>
              <w:jc w:val="right"/>
              <w:ind w:right="7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rPr>
              <w:t>—</w:t>
            </w:r>
          </w:p>
        </w:tc>
      </w:tr>
      <w:tr>
        <w:trPr>
          <w:trHeight w:val="223"/>
        </w:trPr>
        <w:tc>
          <w:tcPr>
            <w:tcW w:w="20" w:type="dxa"/>
            <w:vAlign w:val="bottom"/>
          </w:tcPr>
          <w:p>
            <w:pPr>
              <w:spacing w:after="0"/>
              <w:rPr>
                <w:sz w:val="19"/>
                <w:szCs w:val="19"/>
                <w:color w:val="auto"/>
              </w:rPr>
            </w:pPr>
          </w:p>
        </w:tc>
        <w:tc>
          <w:tcPr>
            <w:tcW w:w="4900" w:type="dxa"/>
            <w:vAlign w:val="bottom"/>
          </w:tcPr>
          <w:p>
            <w:pPr>
              <w:spacing w:after="0"/>
              <w:rPr>
                <w:sz w:val="20"/>
                <w:szCs w:val="20"/>
                <w:color w:val="auto"/>
              </w:rPr>
            </w:pPr>
            <w:r>
              <w:rPr>
                <w:rFonts w:ascii="Arial" w:cs="Arial" w:eastAsia="Arial" w:hAnsi="Arial"/>
                <w:sz w:val="18"/>
                <w:szCs w:val="18"/>
                <w:color w:val="auto"/>
              </w:rPr>
              <w:t>Forfeited</w:t>
            </w:r>
          </w:p>
        </w:tc>
        <w:tc>
          <w:tcPr>
            <w:tcW w:w="1140" w:type="dxa"/>
            <w:vAlign w:val="bottom"/>
            <w:gridSpan w:val="2"/>
          </w:tcPr>
          <w:p>
            <w:pPr>
              <w:jc w:val="right"/>
              <w:ind w:right="228"/>
              <w:spacing w:after="0"/>
              <w:rPr>
                <w:sz w:val="20"/>
                <w:szCs w:val="20"/>
                <w:color w:val="auto"/>
              </w:rPr>
            </w:pPr>
            <w:r>
              <w:rPr>
                <w:rFonts w:ascii="Arial" w:cs="Arial" w:eastAsia="Arial" w:hAnsi="Arial"/>
                <w:sz w:val="18"/>
                <w:szCs w:val="18"/>
                <w:color w:val="auto"/>
              </w:rPr>
              <w:t>(10,958)</w:t>
            </w:r>
          </w:p>
        </w:tc>
        <w:tc>
          <w:tcPr>
            <w:tcW w:w="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40" w:type="dxa"/>
            <w:vAlign w:val="bottom"/>
            <w:gridSpan w:val="2"/>
          </w:tcPr>
          <w:p>
            <w:pPr>
              <w:jc w:val="right"/>
              <w:ind w:right="600"/>
              <w:spacing w:after="0"/>
              <w:rPr>
                <w:sz w:val="20"/>
                <w:szCs w:val="20"/>
                <w:color w:val="auto"/>
              </w:rPr>
            </w:pPr>
            <w:r>
              <w:rPr>
                <w:rFonts w:ascii="Arial" w:cs="Arial" w:eastAsia="Arial" w:hAnsi="Arial"/>
                <w:sz w:val="18"/>
                <w:szCs w:val="18"/>
                <w:color w:val="auto"/>
              </w:rPr>
              <w:t>3.65</w:t>
            </w:r>
          </w:p>
        </w:tc>
        <w:tc>
          <w:tcPr>
            <w:tcW w:w="1420" w:type="dxa"/>
            <w:vAlign w:val="bottom"/>
            <w:gridSpan w:val="2"/>
          </w:tcPr>
          <w:p>
            <w:pPr>
              <w:jc w:val="right"/>
              <w:ind w:right="580"/>
              <w:spacing w:after="0"/>
              <w:rPr>
                <w:sz w:val="20"/>
                <w:szCs w:val="20"/>
                <w:color w:val="auto"/>
              </w:rPr>
            </w:pPr>
            <w:r>
              <w:rPr>
                <w:rFonts w:ascii="Arial" w:cs="Arial" w:eastAsia="Arial" w:hAnsi="Arial"/>
                <w:sz w:val="18"/>
                <w:szCs w:val="18"/>
                <w:color w:val="auto"/>
              </w:rPr>
              <w:t>(14,611)</w:t>
            </w:r>
          </w:p>
        </w:tc>
        <w:tc>
          <w:tcPr>
            <w:tcW w:w="120" w:type="dxa"/>
            <w:vAlign w:val="bottom"/>
          </w:tcPr>
          <w:p>
            <w:pPr>
              <w:spacing w:after="0"/>
              <w:rPr>
                <w:sz w:val="19"/>
                <w:szCs w:val="19"/>
                <w:color w:val="auto"/>
              </w:rPr>
            </w:pPr>
          </w:p>
        </w:tc>
        <w:tc>
          <w:tcPr>
            <w:tcW w:w="780" w:type="dxa"/>
            <w:vAlign w:val="bottom"/>
            <w:gridSpan w:val="2"/>
          </w:tcPr>
          <w:p>
            <w:pPr>
              <w:jc w:val="right"/>
              <w:ind w:right="40"/>
              <w:spacing w:after="0"/>
              <w:rPr>
                <w:sz w:val="20"/>
                <w:szCs w:val="20"/>
                <w:color w:val="auto"/>
              </w:rPr>
            </w:pPr>
            <w:r>
              <w:rPr>
                <w:rFonts w:ascii="Arial" w:cs="Arial" w:eastAsia="Arial" w:hAnsi="Arial"/>
                <w:sz w:val="18"/>
                <w:szCs w:val="18"/>
                <w:color w:val="auto"/>
              </w:rPr>
              <w:t>2.35</w:t>
            </w:r>
          </w:p>
        </w:tc>
      </w:tr>
      <w:tr>
        <w:trPr>
          <w:trHeight w:val="216"/>
        </w:trPr>
        <w:tc>
          <w:tcPr>
            <w:tcW w:w="20" w:type="dxa"/>
            <w:vAlign w:val="bottom"/>
          </w:tcPr>
          <w:p>
            <w:pPr>
              <w:spacing w:after="0"/>
              <w:rPr>
                <w:sz w:val="18"/>
                <w:szCs w:val="18"/>
                <w:color w:val="auto"/>
              </w:rPr>
            </w:pPr>
          </w:p>
        </w:tc>
        <w:tc>
          <w:tcPr>
            <w:tcW w:w="4900" w:type="dxa"/>
            <w:vAlign w:val="bottom"/>
            <w:shd w:val="clear" w:color="auto" w:fill="CCEEFF"/>
          </w:tcPr>
          <w:p>
            <w:pPr>
              <w:spacing w:after="0"/>
              <w:rPr>
                <w:sz w:val="20"/>
                <w:szCs w:val="20"/>
                <w:color w:val="auto"/>
              </w:rPr>
            </w:pPr>
            <w:r>
              <w:rPr>
                <w:rFonts w:ascii="Arial" w:cs="Arial" w:eastAsia="Arial" w:hAnsi="Arial"/>
                <w:sz w:val="18"/>
                <w:szCs w:val="18"/>
                <w:color w:val="auto"/>
              </w:rPr>
              <w:t>Non-vested at June 30, 2021</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2,852,932</w:t>
            </w:r>
          </w:p>
        </w:tc>
        <w:tc>
          <w:tcPr>
            <w:tcW w:w="3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2.91</w:t>
            </w:r>
          </w:p>
        </w:tc>
        <w:tc>
          <w:tcPr>
            <w:tcW w:w="600" w:type="dxa"/>
            <w:vAlign w:val="bottom"/>
            <w:shd w:val="clear" w:color="auto" w:fill="CCEEFF"/>
          </w:tcPr>
          <w:p>
            <w:pPr>
              <w:spacing w:after="0"/>
              <w:rPr>
                <w:sz w:val="18"/>
                <w:szCs w:val="18"/>
                <w:color w:val="auto"/>
              </w:rPr>
            </w:pP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3,003,120</w:t>
            </w:r>
          </w:p>
        </w:tc>
        <w:tc>
          <w:tcPr>
            <w:tcW w:w="640" w:type="dxa"/>
            <w:vAlign w:val="bottom"/>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1.59</w:t>
            </w:r>
          </w:p>
        </w:tc>
        <w:tc>
          <w:tcPr>
            <w:tcW w:w="40" w:type="dxa"/>
            <w:vAlign w:val="bottom"/>
            <w:shd w:val="clear" w:color="auto" w:fill="CCEEFF"/>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490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359"/>
        </w:trPr>
        <w:tc>
          <w:tcPr>
            <w:tcW w:w="20" w:type="dxa"/>
            <w:vAlign w:val="bottom"/>
          </w:tcPr>
          <w:p>
            <w:pPr>
              <w:spacing w:after="0"/>
              <w:rPr>
                <w:sz w:val="24"/>
                <w:szCs w:val="24"/>
                <w:color w:val="auto"/>
              </w:rPr>
            </w:pPr>
          </w:p>
        </w:tc>
        <w:tc>
          <w:tcPr>
            <w:tcW w:w="4900" w:type="dxa"/>
            <w:vAlign w:val="bottom"/>
          </w:tcPr>
          <w:p>
            <w:pPr>
              <w:spacing w:after="0"/>
              <w:rPr>
                <w:sz w:val="24"/>
                <w:szCs w:val="24"/>
                <w:color w:val="auto"/>
              </w:rPr>
            </w:pPr>
          </w:p>
        </w:tc>
        <w:tc>
          <w:tcPr>
            <w:tcW w:w="1140" w:type="dxa"/>
            <w:vAlign w:val="bottom"/>
            <w:gridSpan w:val="2"/>
          </w:tcPr>
          <w:p>
            <w:pPr>
              <w:jc w:val="right"/>
              <w:ind w:right="648"/>
              <w:spacing w:after="0"/>
              <w:rPr>
                <w:sz w:val="20"/>
                <w:szCs w:val="20"/>
                <w:color w:val="auto"/>
              </w:rPr>
            </w:pPr>
            <w:r>
              <w:rPr>
                <w:rFonts w:ascii="Arial" w:cs="Arial" w:eastAsia="Arial" w:hAnsi="Arial"/>
                <w:sz w:val="18"/>
                <w:szCs w:val="18"/>
                <w:color w:val="auto"/>
              </w:rPr>
              <w:t>F-72</w:t>
            </w:r>
          </w:p>
        </w:tc>
        <w:tc>
          <w:tcPr>
            <w:tcW w:w="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0" w:type="dxa"/>
            <w:vAlign w:val="bottom"/>
          </w:tcPr>
          <w:p>
            <w:pPr>
              <w:spacing w:after="0"/>
              <w:rPr>
                <w:sz w:val="24"/>
                <w:szCs w:val="24"/>
                <w:color w:val="auto"/>
              </w:rPr>
            </w:pPr>
          </w:p>
        </w:tc>
      </w:tr>
    </w:tbl>
    <w:p>
      <w:pPr>
        <w:sectPr>
          <w:pgSz w:w="11900" w:h="16838" w:orient="portrait"/>
          <w:cols w:equalWidth="0" w:num="1">
            <w:col w:w="11120"/>
          </w:cols>
          <w:pgMar w:left="320" w:top="459" w:right="459" w:bottom="1440" w:gutter="0" w:footer="0" w:header="0"/>
        </w:sectPr>
      </w:pPr>
    </w:p>
    <w:bookmarkStart w:id="278" w:name="page279"/>
    <w:bookmarkEnd w:id="27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57" name="Picture 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
                    <pic:cNvPicPr>
                      <a:picLocks noChangeAspect="1" noChangeArrowheads="1"/>
                    </pic:cNvPicPr>
                  </pic:nvPicPr>
                  <pic:blipFill>
                    <a:blip r:embed="rId364">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Confidential Treatment Requested by Definitive Healthcare Corp.</w:t>
      </w:r>
    </w:p>
    <w:p>
      <w:pPr>
        <w:spacing w:after="0" w:line="27"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Pursuant to 17 C.F.R. Section 200.83</w:t>
      </w:r>
    </w:p>
    <w:p>
      <w:pPr>
        <w:spacing w:after="0" w:line="143" w:lineRule="exact"/>
        <w:rPr>
          <w:sz w:val="20"/>
          <w:szCs w:val="20"/>
          <w:color w:val="auto"/>
        </w:rPr>
      </w:pPr>
    </w:p>
    <w:p>
      <w:pPr>
        <w:ind w:left="120" w:right="40" w:firstLine="440"/>
        <w:spacing w:after="0" w:line="263" w:lineRule="auto"/>
        <w:rPr>
          <w:sz w:val="20"/>
          <w:szCs w:val="20"/>
          <w:color w:val="auto"/>
        </w:rPr>
      </w:pPr>
      <w:r>
        <w:rPr>
          <w:rFonts w:ascii="Arial" w:cs="Arial" w:eastAsia="Arial" w:hAnsi="Arial"/>
          <w:sz w:val="18"/>
          <w:szCs w:val="18"/>
          <w:color w:val="auto"/>
        </w:rPr>
        <w:t>Equity-based compensation expense is allocated to all departments in the accompanying condensed consolidated statements of operations based on the recipients of the compensation. A summary of the expense by line item in the condensed consolidated statements of operations for the six months ended June 30, 2021 and 2020, respectively, is provided in the following table (in thousands).</w:t>
      </w:r>
    </w:p>
    <w:p>
      <w:pPr>
        <w:spacing w:after="0" w:line="81" w:lineRule="exact"/>
        <w:rPr>
          <w:sz w:val="20"/>
          <w:szCs w:val="20"/>
          <w:color w:val="auto"/>
        </w:rPr>
      </w:pPr>
    </w:p>
    <w:tbl>
      <w:tblPr>
        <w:tblLayout w:type="fixed"/>
        <w:tblInd w:w="1440" w:type="dxa"/>
        <w:tblCellMar>
          <w:top w:w="0" w:type="dxa"/>
          <w:left w:w="0" w:type="dxa"/>
          <w:bottom w:w="0" w:type="dxa"/>
          <w:right w:w="0" w:type="dxa"/>
        </w:tblCellMar>
      </w:tblPr>
      <w:tr>
        <w:trPr>
          <w:trHeight w:val="171"/>
        </w:trPr>
        <w:tc>
          <w:tcPr>
            <w:tcW w:w="4180" w:type="dxa"/>
            <w:vAlign w:val="bottom"/>
          </w:tcPr>
          <w:p>
            <w:pPr>
              <w:spacing w:after="0"/>
              <w:rPr>
                <w:sz w:val="14"/>
                <w:szCs w:val="14"/>
                <w:color w:val="auto"/>
              </w:rPr>
            </w:pPr>
          </w:p>
        </w:tc>
        <w:tc>
          <w:tcPr>
            <w:tcW w:w="18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220" w:type="dxa"/>
            <w:vAlign w:val="bottom"/>
            <w:gridSpan w:val="5"/>
          </w:tcPr>
          <w:p>
            <w:pPr>
              <w:ind w:left="160"/>
              <w:spacing w:after="0"/>
              <w:rPr>
                <w:sz w:val="20"/>
                <w:szCs w:val="20"/>
                <w:color w:val="auto"/>
              </w:rPr>
            </w:pPr>
            <w:r>
              <w:rPr>
                <w:rFonts w:ascii="Arial" w:cs="Arial" w:eastAsia="Arial" w:hAnsi="Arial"/>
                <w:sz w:val="14"/>
                <w:szCs w:val="14"/>
                <w:b w:val="1"/>
                <w:bCs w:val="1"/>
                <w:color w:val="auto"/>
              </w:rPr>
              <w:t>Six Months Ended June 30,</w:t>
            </w:r>
          </w:p>
        </w:tc>
      </w:tr>
      <w:tr>
        <w:trPr>
          <w:trHeight w:val="142"/>
        </w:trPr>
        <w:tc>
          <w:tcPr>
            <w:tcW w:w="4180" w:type="dxa"/>
            <w:vAlign w:val="bottom"/>
            <w:tcBorders>
              <w:bottom w:val="single" w:sz="8" w:color="CCEEFF"/>
            </w:tcBorders>
          </w:tcPr>
          <w:p>
            <w:pPr>
              <w:spacing w:after="0"/>
              <w:rPr>
                <w:sz w:val="12"/>
                <w:szCs w:val="12"/>
                <w:color w:val="auto"/>
              </w:rPr>
            </w:pPr>
          </w:p>
        </w:tc>
        <w:tc>
          <w:tcPr>
            <w:tcW w:w="1800" w:type="dxa"/>
            <w:vAlign w:val="bottom"/>
            <w:tcBorders>
              <w:bottom w:val="single" w:sz="8" w:color="CCEEFF"/>
            </w:tcBorders>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600" w:type="dxa"/>
            <w:vAlign w:val="bottom"/>
            <w:tcBorders>
              <w:top w:val="single" w:sz="8" w:color="auto"/>
              <w:bottom w:val="single" w:sz="8" w:color="auto"/>
            </w:tcBorders>
          </w:tcPr>
          <w:p>
            <w:pPr>
              <w:jc w:val="right"/>
              <w:ind w:right="155"/>
              <w:spacing w:after="0" w:line="142" w:lineRule="exact"/>
              <w:rPr>
                <w:sz w:val="20"/>
                <w:szCs w:val="20"/>
                <w:color w:val="auto"/>
              </w:rPr>
            </w:pPr>
            <w:r>
              <w:rPr>
                <w:rFonts w:ascii="Arial" w:cs="Arial" w:eastAsia="Arial" w:hAnsi="Arial"/>
                <w:sz w:val="14"/>
                <w:szCs w:val="14"/>
                <w:b w:val="1"/>
                <w:bCs w:val="1"/>
                <w:color w:val="auto"/>
              </w:rPr>
              <w:t>2021</w:t>
            </w:r>
          </w:p>
        </w:tc>
        <w:tc>
          <w:tcPr>
            <w:tcW w:w="800" w:type="dxa"/>
            <w:vAlign w:val="bottom"/>
            <w:tcBorders>
              <w:top w:val="single" w:sz="8" w:color="auto"/>
              <w:bottom w:val="single" w:sz="8" w:color="CCEEFF"/>
            </w:tcBorders>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620" w:type="dxa"/>
            <w:vAlign w:val="bottom"/>
            <w:tcBorders>
              <w:top w:val="single" w:sz="8" w:color="auto"/>
              <w:bottom w:val="single" w:sz="8" w:color="auto"/>
            </w:tcBorders>
          </w:tcPr>
          <w:p>
            <w:pPr>
              <w:jc w:val="right"/>
              <w:ind w:right="173"/>
              <w:spacing w:after="0" w:line="142" w:lineRule="exact"/>
              <w:rPr>
                <w:sz w:val="20"/>
                <w:szCs w:val="20"/>
                <w:color w:val="auto"/>
              </w:rPr>
            </w:pPr>
            <w:r>
              <w:rPr>
                <w:rFonts w:ascii="Arial" w:cs="Arial" w:eastAsia="Arial" w:hAnsi="Arial"/>
                <w:sz w:val="14"/>
                <w:szCs w:val="14"/>
                <w:b w:val="1"/>
                <w:bCs w:val="1"/>
                <w:color w:val="auto"/>
              </w:rPr>
              <w:t>2020</w:t>
            </w:r>
          </w:p>
        </w:tc>
        <w:tc>
          <w:tcPr>
            <w:tcW w:w="40" w:type="dxa"/>
            <w:vAlign w:val="bottom"/>
            <w:tcBorders>
              <w:bottom w:val="single" w:sz="8" w:color="CCEEFF"/>
            </w:tcBorders>
          </w:tcPr>
          <w:p>
            <w:pPr>
              <w:spacing w:after="0"/>
              <w:rPr>
                <w:sz w:val="12"/>
                <w:szCs w:val="12"/>
                <w:color w:val="auto"/>
              </w:rPr>
            </w:pPr>
          </w:p>
        </w:tc>
      </w:tr>
      <w:tr>
        <w:trPr>
          <w:trHeight w:val="210"/>
        </w:trPr>
        <w:tc>
          <w:tcPr>
            <w:tcW w:w="4180" w:type="dxa"/>
            <w:vAlign w:val="bottom"/>
            <w:shd w:val="clear" w:color="auto" w:fill="CCEEFF"/>
          </w:tcPr>
          <w:p>
            <w:pPr>
              <w:spacing w:after="0"/>
              <w:rPr>
                <w:sz w:val="20"/>
                <w:szCs w:val="20"/>
                <w:color w:val="auto"/>
              </w:rPr>
            </w:pPr>
            <w:r>
              <w:rPr>
                <w:rFonts w:ascii="Arial" w:cs="Arial" w:eastAsia="Arial" w:hAnsi="Arial"/>
                <w:sz w:val="18"/>
                <w:szCs w:val="18"/>
                <w:color w:val="auto"/>
              </w:rPr>
              <w:t>Cost of revenue</w:t>
            </w:r>
          </w:p>
        </w:tc>
        <w:tc>
          <w:tcPr>
            <w:tcW w:w="1800" w:type="dxa"/>
            <w:vAlign w:val="bottom"/>
            <w:shd w:val="clear" w:color="auto" w:fill="CCEEFF"/>
          </w:tcPr>
          <w:p>
            <w:pPr>
              <w:spacing w:after="0"/>
              <w:rPr>
                <w:sz w:val="18"/>
                <w:szCs w:val="18"/>
                <w:color w:val="auto"/>
              </w:rPr>
            </w:pPr>
          </w:p>
        </w:tc>
        <w:tc>
          <w:tcPr>
            <w:tcW w:w="160" w:type="dxa"/>
            <w:vAlign w:val="bottom"/>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w:t>
            </w:r>
          </w:p>
        </w:tc>
        <w:tc>
          <w:tcPr>
            <w:tcW w:w="800" w:type="dxa"/>
            <w:vAlign w:val="bottom"/>
            <w:shd w:val="clear" w:color="auto" w:fill="CCEEFF"/>
          </w:tcPr>
          <w:p>
            <w:pPr>
              <w:spacing w:after="0"/>
              <w:rPr>
                <w:sz w:val="18"/>
                <w:szCs w:val="18"/>
                <w:color w:val="auto"/>
              </w:rPr>
            </w:pPr>
          </w:p>
        </w:tc>
        <w:tc>
          <w:tcPr>
            <w:tcW w:w="160" w:type="dxa"/>
            <w:vAlign w:val="bottom"/>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w:t>
            </w:r>
          </w:p>
        </w:tc>
        <w:tc>
          <w:tcPr>
            <w:tcW w:w="40" w:type="dxa"/>
            <w:vAlign w:val="bottom"/>
            <w:shd w:val="clear" w:color="auto" w:fill="CCEEFF"/>
          </w:tcPr>
          <w:p>
            <w:pPr>
              <w:spacing w:after="0"/>
              <w:rPr>
                <w:sz w:val="18"/>
                <w:szCs w:val="18"/>
                <w:color w:val="auto"/>
              </w:rPr>
            </w:pPr>
          </w:p>
        </w:tc>
      </w:tr>
      <w:tr>
        <w:trPr>
          <w:trHeight w:val="216"/>
        </w:trPr>
        <w:tc>
          <w:tcPr>
            <w:tcW w:w="4180" w:type="dxa"/>
            <w:vAlign w:val="bottom"/>
          </w:tcPr>
          <w:p>
            <w:pPr>
              <w:spacing w:after="0"/>
              <w:rPr>
                <w:sz w:val="20"/>
                <w:szCs w:val="20"/>
                <w:color w:val="auto"/>
              </w:rPr>
            </w:pPr>
            <w:r>
              <w:rPr>
                <w:rFonts w:ascii="Arial" w:cs="Arial" w:eastAsia="Arial" w:hAnsi="Arial"/>
                <w:sz w:val="18"/>
                <w:szCs w:val="18"/>
                <w:color w:val="auto"/>
              </w:rPr>
              <w:t>Sales and marketing</w:t>
            </w:r>
          </w:p>
        </w:tc>
        <w:tc>
          <w:tcPr>
            <w:tcW w:w="1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2"/>
          </w:tcPr>
          <w:p>
            <w:pPr>
              <w:jc w:val="right"/>
              <w:ind w:right="800"/>
              <w:spacing w:after="0"/>
              <w:rPr>
                <w:sz w:val="20"/>
                <w:szCs w:val="20"/>
                <w:color w:val="auto"/>
              </w:rPr>
            </w:pPr>
            <w:r>
              <w:rPr>
                <w:rFonts w:ascii="Arial" w:cs="Arial" w:eastAsia="Arial" w:hAnsi="Arial"/>
                <w:sz w:val="18"/>
                <w:szCs w:val="18"/>
                <w:color w:val="auto"/>
              </w:rPr>
              <w:t>241</w:t>
            </w:r>
          </w:p>
        </w:tc>
        <w:tc>
          <w:tcPr>
            <w:tcW w:w="160" w:type="dxa"/>
            <w:vAlign w:val="bottom"/>
          </w:tcPr>
          <w:p>
            <w:pPr>
              <w:spacing w:after="0"/>
              <w:rPr>
                <w:sz w:val="18"/>
                <w:szCs w:val="18"/>
                <w:color w:val="auto"/>
              </w:rPr>
            </w:pPr>
          </w:p>
        </w:tc>
        <w:tc>
          <w:tcPr>
            <w:tcW w:w="660" w:type="dxa"/>
            <w:vAlign w:val="bottom"/>
            <w:gridSpan w:val="2"/>
          </w:tcPr>
          <w:p>
            <w:pPr>
              <w:jc w:val="right"/>
              <w:ind w:right="40"/>
              <w:spacing w:after="0"/>
              <w:rPr>
                <w:sz w:val="20"/>
                <w:szCs w:val="20"/>
                <w:color w:val="auto"/>
              </w:rPr>
            </w:pPr>
            <w:r>
              <w:rPr>
                <w:rFonts w:ascii="Arial" w:cs="Arial" w:eastAsia="Arial" w:hAnsi="Arial"/>
                <w:sz w:val="18"/>
                <w:szCs w:val="18"/>
                <w:color w:val="auto"/>
              </w:rPr>
              <w:t>248</w:t>
            </w:r>
          </w:p>
        </w:tc>
      </w:tr>
      <w:tr>
        <w:trPr>
          <w:trHeight w:val="216"/>
        </w:trPr>
        <w:tc>
          <w:tcPr>
            <w:tcW w:w="4180" w:type="dxa"/>
            <w:vAlign w:val="bottom"/>
            <w:shd w:val="clear" w:color="auto" w:fill="CCEEFF"/>
          </w:tcPr>
          <w:p>
            <w:pPr>
              <w:spacing w:after="0"/>
              <w:rPr>
                <w:sz w:val="20"/>
                <w:szCs w:val="20"/>
                <w:color w:val="auto"/>
              </w:rPr>
            </w:pPr>
            <w:r>
              <w:rPr>
                <w:rFonts w:ascii="Arial" w:cs="Arial" w:eastAsia="Arial" w:hAnsi="Arial"/>
                <w:sz w:val="18"/>
                <w:szCs w:val="18"/>
                <w:color w:val="auto"/>
              </w:rPr>
              <w:t>Product development</w:t>
            </w:r>
          </w:p>
        </w:tc>
        <w:tc>
          <w:tcPr>
            <w:tcW w:w="18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800"/>
              <w:spacing w:after="0"/>
              <w:rPr>
                <w:sz w:val="20"/>
                <w:szCs w:val="20"/>
                <w:color w:val="auto"/>
              </w:rPr>
            </w:pPr>
            <w:r>
              <w:rPr>
                <w:rFonts w:ascii="Arial" w:cs="Arial" w:eastAsia="Arial" w:hAnsi="Arial"/>
                <w:sz w:val="18"/>
                <w:szCs w:val="18"/>
                <w:color w:val="auto"/>
              </w:rPr>
              <w:t>154</w:t>
            </w:r>
          </w:p>
        </w:tc>
        <w:tc>
          <w:tcPr>
            <w:tcW w:w="16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174</w:t>
            </w:r>
          </w:p>
        </w:tc>
      </w:tr>
      <w:tr>
        <w:trPr>
          <w:trHeight w:val="223"/>
        </w:trPr>
        <w:tc>
          <w:tcPr>
            <w:tcW w:w="4180" w:type="dxa"/>
            <w:vAlign w:val="bottom"/>
          </w:tcPr>
          <w:p>
            <w:pPr>
              <w:spacing w:after="0"/>
              <w:rPr>
                <w:sz w:val="20"/>
                <w:szCs w:val="20"/>
                <w:color w:val="auto"/>
              </w:rPr>
            </w:pPr>
            <w:r>
              <w:rPr>
                <w:rFonts w:ascii="Arial" w:cs="Arial" w:eastAsia="Arial" w:hAnsi="Arial"/>
                <w:sz w:val="18"/>
                <w:szCs w:val="18"/>
                <w:color w:val="auto"/>
              </w:rPr>
              <w:t>General and administrative</w:t>
            </w:r>
          </w:p>
        </w:tc>
        <w:tc>
          <w:tcPr>
            <w:tcW w:w="180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1,595</w:t>
            </w:r>
          </w:p>
        </w:tc>
        <w:tc>
          <w:tcPr>
            <w:tcW w:w="80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420</w:t>
            </w:r>
          </w:p>
        </w:tc>
        <w:tc>
          <w:tcPr>
            <w:tcW w:w="40" w:type="dxa"/>
            <w:vAlign w:val="bottom"/>
          </w:tcPr>
          <w:p>
            <w:pPr>
              <w:spacing w:after="0"/>
              <w:rPr>
                <w:sz w:val="19"/>
                <w:szCs w:val="19"/>
                <w:color w:val="auto"/>
              </w:rPr>
            </w:pPr>
          </w:p>
        </w:tc>
      </w:tr>
      <w:tr>
        <w:trPr>
          <w:trHeight w:val="216"/>
        </w:trPr>
        <w:tc>
          <w:tcPr>
            <w:tcW w:w="41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Total compensation expense</w:t>
            </w:r>
          </w:p>
        </w:tc>
        <w:tc>
          <w:tcPr>
            <w:tcW w:w="1960" w:type="dxa"/>
            <w:vAlign w:val="bottom"/>
            <w:gridSpan w:val="2"/>
            <w:shd w:val="clear" w:color="auto" w:fill="CCEEFF"/>
          </w:tcPr>
          <w:p>
            <w:pPr>
              <w:jc w:val="right"/>
              <w:ind w:right="7"/>
              <w:spacing w:after="0"/>
              <w:rPr>
                <w:sz w:val="20"/>
                <w:szCs w:val="20"/>
                <w:color w:val="auto"/>
              </w:rPr>
            </w:pPr>
            <w:r>
              <w:rPr>
                <w:rFonts w:ascii="Arial" w:cs="Arial" w:eastAsia="Arial" w:hAnsi="Arial"/>
                <w:sz w:val="18"/>
                <w:szCs w:val="18"/>
                <w:color w:val="auto"/>
              </w:rPr>
              <w:t>$</w:t>
            </w:r>
          </w:p>
        </w:tc>
        <w:tc>
          <w:tcPr>
            <w:tcW w:w="1400" w:type="dxa"/>
            <w:vAlign w:val="bottom"/>
            <w:gridSpan w:val="2"/>
            <w:shd w:val="clear" w:color="auto" w:fill="CCEEFF"/>
          </w:tcPr>
          <w:p>
            <w:pPr>
              <w:jc w:val="right"/>
              <w:ind w:right="800"/>
              <w:spacing w:after="0"/>
              <w:rPr>
                <w:sz w:val="20"/>
                <w:szCs w:val="20"/>
                <w:color w:val="auto"/>
              </w:rPr>
            </w:pPr>
            <w:r>
              <w:rPr>
                <w:rFonts w:ascii="Arial" w:cs="Arial" w:eastAsia="Arial" w:hAnsi="Arial"/>
                <w:sz w:val="18"/>
                <w:szCs w:val="18"/>
                <w:color w:val="auto"/>
              </w:rPr>
              <w:t>2,021</w:t>
            </w:r>
          </w:p>
        </w:tc>
        <w:tc>
          <w:tcPr>
            <w:tcW w:w="160" w:type="dxa"/>
            <w:vAlign w:val="bottom"/>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872</w:t>
            </w:r>
          </w:p>
        </w:tc>
      </w:tr>
      <w:tr>
        <w:trPr>
          <w:trHeight w:val="20"/>
        </w:trPr>
        <w:tc>
          <w:tcPr>
            <w:tcW w:w="418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15" w:lineRule="exact"/>
        <w:rPr>
          <w:sz w:val="20"/>
          <w:szCs w:val="20"/>
          <w:color w:val="auto"/>
        </w:rPr>
      </w:pPr>
    </w:p>
    <w:p>
      <w:pPr>
        <w:ind w:left="120" w:right="500" w:firstLine="440"/>
        <w:spacing w:after="0" w:line="277" w:lineRule="auto"/>
        <w:rPr>
          <w:sz w:val="20"/>
          <w:szCs w:val="20"/>
          <w:color w:val="auto"/>
        </w:rPr>
      </w:pPr>
      <w:r>
        <w:rPr>
          <w:rFonts w:ascii="Arial" w:cs="Arial" w:eastAsia="Arial" w:hAnsi="Arial"/>
          <w:sz w:val="18"/>
          <w:szCs w:val="18"/>
          <w:color w:val="auto"/>
        </w:rPr>
        <w:t>During the second quarter of 2021, the Company issued 363,516 new Class A units worth $6.6 million, recorded as a capital contribution of $5.5 million and an equity-based compensation expense of $1.1 million.</w:t>
      </w:r>
    </w:p>
    <w:p>
      <w:pPr>
        <w:spacing w:after="0" w:line="170" w:lineRule="exact"/>
        <w:rPr>
          <w:sz w:val="20"/>
          <w:szCs w:val="20"/>
          <w:color w:val="auto"/>
        </w:rPr>
      </w:pPr>
    </w:p>
    <w:p>
      <w:pPr>
        <w:ind w:left="120" w:right="120" w:firstLine="440"/>
        <w:spacing w:after="0" w:line="263" w:lineRule="auto"/>
        <w:rPr>
          <w:sz w:val="20"/>
          <w:szCs w:val="20"/>
          <w:color w:val="auto"/>
        </w:rPr>
      </w:pPr>
      <w:r>
        <w:rPr>
          <w:rFonts w:ascii="Arial" w:cs="Arial" w:eastAsia="Arial" w:hAnsi="Arial"/>
          <w:sz w:val="18"/>
          <w:szCs w:val="18"/>
          <w:color w:val="auto"/>
        </w:rPr>
        <w:t>The Company does not consider the vesting of the performance-based units to be probable and has not recorded any associated compensation expense. Accordingly, the Company had $4.8 million of unrecognized unit-based compensation expense for the performance-based units as of June 30, 2021.</w:t>
      </w:r>
    </w:p>
    <w:p>
      <w:pPr>
        <w:spacing w:after="0" w:line="184" w:lineRule="exact"/>
        <w:rPr>
          <w:sz w:val="20"/>
          <w:szCs w:val="20"/>
          <w:color w:val="auto"/>
        </w:rPr>
      </w:pPr>
    </w:p>
    <w:p>
      <w:pPr>
        <w:ind w:left="120" w:right="40" w:firstLine="440"/>
        <w:spacing w:after="0" w:line="277" w:lineRule="auto"/>
        <w:rPr>
          <w:sz w:val="20"/>
          <w:szCs w:val="20"/>
          <w:color w:val="auto"/>
        </w:rPr>
      </w:pPr>
      <w:r>
        <w:rPr>
          <w:rFonts w:ascii="Arial" w:cs="Arial" w:eastAsia="Arial" w:hAnsi="Arial"/>
          <w:sz w:val="18"/>
          <w:szCs w:val="18"/>
          <w:color w:val="auto"/>
        </w:rPr>
        <w:t>As June 30, 2021, the Company had $5.7 million of unrecognized unit-based compensation for time-based units, expected to be recognized over a weighted average remaining requisite period of 2.8 years.</w:t>
      </w:r>
    </w:p>
    <w:p>
      <w:pPr>
        <w:spacing w:after="0" w:line="319" w:lineRule="exact"/>
        <w:rPr>
          <w:sz w:val="20"/>
          <w:szCs w:val="20"/>
          <w:color w:val="auto"/>
        </w:rPr>
      </w:pPr>
    </w:p>
    <w:p>
      <w:pPr>
        <w:ind w:left="540" w:hanging="424"/>
        <w:spacing w:after="0"/>
        <w:tabs>
          <w:tab w:leader="none" w:pos="540" w:val="left"/>
        </w:tabs>
        <w:numPr>
          <w:ilvl w:val="0"/>
          <w:numId w:val="215"/>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Retirement Plan</w:t>
      </w:r>
    </w:p>
    <w:p>
      <w:pPr>
        <w:spacing w:after="0" w:line="117" w:lineRule="exact"/>
        <w:rPr>
          <w:sz w:val="20"/>
          <w:szCs w:val="20"/>
          <w:color w:val="auto"/>
        </w:rPr>
      </w:pPr>
    </w:p>
    <w:p>
      <w:pPr>
        <w:ind w:left="120" w:right="160" w:firstLine="440"/>
        <w:spacing w:after="0" w:line="263" w:lineRule="auto"/>
        <w:rPr>
          <w:sz w:val="20"/>
          <w:szCs w:val="20"/>
          <w:color w:val="auto"/>
        </w:rPr>
      </w:pPr>
      <w:r>
        <w:rPr>
          <w:rFonts w:ascii="Arial" w:cs="Arial" w:eastAsia="Arial" w:hAnsi="Arial"/>
          <w:sz w:val="18"/>
          <w:szCs w:val="18"/>
          <w:color w:val="auto"/>
        </w:rPr>
        <w:t>The Company has a 401(k) plan covering all employees who have met certain eligibility requirements. The Company made matching contributions in accordance with the plan documents. The Company incurred $1.2 million and $0.8 million in employer matching contributions during the six months ended June 30, 2021 and 2020, respectively.</w:t>
      </w:r>
    </w:p>
    <w:p>
      <w:pPr>
        <w:spacing w:after="0" w:line="332" w:lineRule="exact"/>
        <w:rPr>
          <w:sz w:val="20"/>
          <w:szCs w:val="20"/>
          <w:color w:val="auto"/>
        </w:rPr>
      </w:pPr>
    </w:p>
    <w:p>
      <w:pPr>
        <w:ind w:left="540" w:hanging="424"/>
        <w:spacing w:after="0"/>
        <w:tabs>
          <w:tab w:leader="none" w:pos="540" w:val="left"/>
        </w:tabs>
        <w:numPr>
          <w:ilvl w:val="0"/>
          <w:numId w:val="216"/>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Income Taxes</w:t>
      </w:r>
    </w:p>
    <w:p>
      <w:pPr>
        <w:spacing w:after="0" w:line="117" w:lineRule="exact"/>
        <w:rPr>
          <w:sz w:val="20"/>
          <w:szCs w:val="20"/>
          <w:color w:val="auto"/>
        </w:rPr>
      </w:pPr>
    </w:p>
    <w:p>
      <w:pPr>
        <w:ind w:left="120" w:firstLine="440"/>
        <w:spacing w:after="0" w:line="277" w:lineRule="auto"/>
        <w:rPr>
          <w:sz w:val="20"/>
          <w:szCs w:val="20"/>
          <w:color w:val="auto"/>
        </w:rPr>
      </w:pPr>
      <w:r>
        <w:rPr>
          <w:rFonts w:ascii="Arial" w:cs="Arial" w:eastAsia="Arial" w:hAnsi="Arial"/>
          <w:sz w:val="18"/>
          <w:szCs w:val="18"/>
          <w:color w:val="auto"/>
        </w:rPr>
        <w:t>Definitive Healthcare Holdings was not subject to any federal income taxes for the six months ended June 30, 2021 and 2020, nor was it subject to state income taxes for the six months ended June 30, 2021 and 2020.</w:t>
      </w:r>
    </w:p>
    <w:p>
      <w:pPr>
        <w:spacing w:after="0" w:line="278"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Company did not have any uncertain positions as of June 30, 2021 or December 31, 2020.</w:t>
      </w:r>
    </w:p>
    <w:p>
      <w:pPr>
        <w:spacing w:after="0" w:line="374" w:lineRule="exact"/>
        <w:rPr>
          <w:sz w:val="20"/>
          <w:szCs w:val="20"/>
          <w:color w:val="auto"/>
        </w:rPr>
      </w:pPr>
    </w:p>
    <w:p>
      <w:pPr>
        <w:ind w:left="540" w:hanging="424"/>
        <w:spacing w:after="0"/>
        <w:tabs>
          <w:tab w:leader="none" w:pos="540" w:val="left"/>
        </w:tabs>
        <w:numPr>
          <w:ilvl w:val="0"/>
          <w:numId w:val="217"/>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Net Loss per Unit</w:t>
      </w:r>
    </w:p>
    <w:p>
      <w:pPr>
        <w:spacing w:after="0" w:line="117" w:lineRule="exact"/>
        <w:rPr>
          <w:sz w:val="20"/>
          <w:szCs w:val="20"/>
          <w:color w:val="auto"/>
        </w:rPr>
      </w:pPr>
    </w:p>
    <w:p>
      <w:pPr>
        <w:ind w:left="120" w:right="700" w:firstLine="440"/>
        <w:spacing w:after="0" w:line="277" w:lineRule="auto"/>
        <w:rPr>
          <w:sz w:val="20"/>
          <w:szCs w:val="20"/>
          <w:color w:val="auto"/>
        </w:rPr>
      </w:pPr>
      <w:r>
        <w:rPr>
          <w:rFonts w:ascii="Arial" w:cs="Arial" w:eastAsia="Arial" w:hAnsi="Arial"/>
          <w:sz w:val="18"/>
          <w:szCs w:val="18"/>
          <w:color w:val="auto"/>
        </w:rPr>
        <w:t>The following table presents the calculation of basic and diluted net income/(loss) per unit (“EPU”) for the Company’s common units (in thousands, except of number of units and per unit data):</w:t>
      </w:r>
    </w:p>
    <w:p>
      <w:pPr>
        <w:spacing w:after="0" w:line="67" w:lineRule="exact"/>
        <w:rPr>
          <w:sz w:val="20"/>
          <w:szCs w:val="20"/>
          <w:color w:val="auto"/>
        </w:rPr>
      </w:pPr>
    </w:p>
    <w:tbl>
      <w:tblPr>
        <w:tblLayout w:type="fixed"/>
        <w:tblInd w:w="1440" w:type="dxa"/>
        <w:tblCellMar>
          <w:top w:w="0" w:type="dxa"/>
          <w:left w:w="0" w:type="dxa"/>
          <w:bottom w:w="0" w:type="dxa"/>
          <w:right w:w="0" w:type="dxa"/>
        </w:tblCellMar>
      </w:tblPr>
      <w:tr>
        <w:trPr>
          <w:trHeight w:val="171"/>
        </w:trPr>
        <w:tc>
          <w:tcPr>
            <w:tcW w:w="49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940" w:type="dxa"/>
            <w:vAlign w:val="bottom"/>
            <w:gridSpan w:val="5"/>
          </w:tcPr>
          <w:p>
            <w:pPr>
              <w:jc w:val="right"/>
              <w:ind w:right="720"/>
              <w:spacing w:after="0"/>
              <w:rPr>
                <w:sz w:val="20"/>
                <w:szCs w:val="20"/>
                <w:color w:val="auto"/>
              </w:rPr>
            </w:pPr>
            <w:r>
              <w:rPr>
                <w:rFonts w:ascii="Arial" w:cs="Arial" w:eastAsia="Arial" w:hAnsi="Arial"/>
                <w:sz w:val="14"/>
                <w:szCs w:val="14"/>
                <w:b w:val="1"/>
                <w:bCs w:val="1"/>
                <w:color w:val="auto"/>
              </w:rPr>
              <w:t>Six Months Ended June 30,</w:t>
            </w:r>
          </w:p>
        </w:tc>
      </w:tr>
      <w:tr>
        <w:trPr>
          <w:trHeight w:val="142"/>
        </w:trPr>
        <w:tc>
          <w:tcPr>
            <w:tcW w:w="4900" w:type="dxa"/>
            <w:vAlign w:val="bottom"/>
            <w:tcBorders>
              <w:bottom w:val="single" w:sz="8" w:color="CCEEFF"/>
            </w:tcBorders>
          </w:tcPr>
          <w:p>
            <w:pPr>
              <w:spacing w:after="0"/>
              <w:rPr>
                <w:sz w:val="12"/>
                <w:szCs w:val="12"/>
                <w:color w:val="auto"/>
              </w:rPr>
            </w:pPr>
          </w:p>
        </w:tc>
        <w:tc>
          <w:tcPr>
            <w:tcW w:w="440" w:type="dxa"/>
            <w:vAlign w:val="bottom"/>
            <w:tcBorders>
              <w:bottom w:val="single" w:sz="8" w:color="CCEEFF"/>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920" w:type="dxa"/>
            <w:vAlign w:val="bottom"/>
            <w:tcBorders>
              <w:top w:val="single" w:sz="8" w:color="auto"/>
              <w:bottom w:val="single" w:sz="8" w:color="auto"/>
            </w:tcBorders>
          </w:tcPr>
          <w:p>
            <w:pPr>
              <w:jc w:val="right"/>
              <w:ind w:right="277"/>
              <w:spacing w:after="0" w:line="142" w:lineRule="exact"/>
              <w:rPr>
                <w:sz w:val="20"/>
                <w:szCs w:val="20"/>
                <w:color w:val="auto"/>
              </w:rPr>
            </w:pPr>
            <w:r>
              <w:rPr>
                <w:rFonts w:ascii="Arial" w:cs="Arial" w:eastAsia="Arial" w:hAnsi="Arial"/>
                <w:sz w:val="14"/>
                <w:szCs w:val="14"/>
                <w:b w:val="1"/>
                <w:bCs w:val="1"/>
                <w:color w:val="auto"/>
              </w:rPr>
              <w:t>2021</w:t>
            </w:r>
          </w:p>
        </w:tc>
        <w:tc>
          <w:tcPr>
            <w:tcW w:w="920" w:type="dxa"/>
            <w:vAlign w:val="bottom"/>
            <w:tcBorders>
              <w:top w:val="single" w:sz="8" w:color="auto"/>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900" w:type="dxa"/>
            <w:vAlign w:val="bottom"/>
            <w:tcBorders>
              <w:top w:val="single" w:sz="8" w:color="auto"/>
              <w:bottom w:val="single" w:sz="8" w:color="auto"/>
            </w:tcBorders>
          </w:tcPr>
          <w:p>
            <w:pPr>
              <w:jc w:val="right"/>
              <w:ind w:right="275"/>
              <w:spacing w:after="0" w:line="142" w:lineRule="exact"/>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2"/>
                <w:szCs w:val="12"/>
                <w:color w:val="auto"/>
              </w:rPr>
            </w:pPr>
          </w:p>
        </w:tc>
      </w:tr>
      <w:tr>
        <w:trPr>
          <w:trHeight w:val="209"/>
        </w:trPr>
        <w:tc>
          <w:tcPr>
            <w:tcW w:w="4900" w:type="dxa"/>
            <w:vAlign w:val="bottom"/>
            <w:shd w:val="clear" w:color="auto" w:fill="CCEEFF"/>
          </w:tcPr>
          <w:p>
            <w:pPr>
              <w:spacing w:after="0"/>
              <w:rPr>
                <w:sz w:val="20"/>
                <w:szCs w:val="20"/>
                <w:color w:val="auto"/>
              </w:rPr>
            </w:pPr>
            <w:r>
              <w:rPr>
                <w:rFonts w:ascii="Arial" w:cs="Arial" w:eastAsia="Arial" w:hAnsi="Arial"/>
                <w:sz w:val="18"/>
                <w:szCs w:val="18"/>
                <w:color w:val="auto"/>
              </w:rPr>
              <w:t>Net loss</w:t>
            </w:r>
          </w:p>
        </w:tc>
        <w:tc>
          <w:tcPr>
            <w:tcW w:w="44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(25,527)</w:t>
            </w: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(25,333)</w:t>
            </w:r>
          </w:p>
        </w:tc>
        <w:tc>
          <w:tcPr>
            <w:tcW w:w="100" w:type="dxa"/>
            <w:vAlign w:val="bottom"/>
            <w:shd w:val="clear" w:color="auto" w:fill="CCEEFF"/>
          </w:tcPr>
          <w:p>
            <w:pPr>
              <w:spacing w:after="0"/>
              <w:rPr>
                <w:sz w:val="18"/>
                <w:szCs w:val="18"/>
                <w:color w:val="auto"/>
              </w:rPr>
            </w:pPr>
          </w:p>
        </w:tc>
      </w:tr>
      <w:tr>
        <w:trPr>
          <w:trHeight w:val="202"/>
        </w:trPr>
        <w:tc>
          <w:tcPr>
            <w:tcW w:w="4900" w:type="dxa"/>
            <w:vAlign w:val="bottom"/>
          </w:tcPr>
          <w:p>
            <w:pPr>
              <w:spacing w:after="0" w:line="201" w:lineRule="exact"/>
              <w:rPr>
                <w:sz w:val="20"/>
                <w:szCs w:val="20"/>
                <w:color w:val="auto"/>
              </w:rPr>
            </w:pPr>
            <w:r>
              <w:rPr>
                <w:rFonts w:ascii="Arial" w:cs="Arial" w:eastAsia="Arial" w:hAnsi="Arial"/>
                <w:sz w:val="18"/>
                <w:szCs w:val="18"/>
                <w:color w:val="auto"/>
                <w:w w:val="97"/>
              </w:rPr>
              <w:t>Weighted-average units used to compute basic and diluted net</w:t>
            </w:r>
          </w:p>
        </w:tc>
        <w:tc>
          <w:tcPr>
            <w:tcW w:w="4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0"/>
        </w:trPr>
        <w:tc>
          <w:tcPr>
            <w:tcW w:w="4900" w:type="dxa"/>
            <w:vAlign w:val="bottom"/>
          </w:tcPr>
          <w:p>
            <w:pPr>
              <w:ind w:left="180"/>
              <w:spacing w:after="0"/>
              <w:rPr>
                <w:sz w:val="20"/>
                <w:szCs w:val="20"/>
                <w:color w:val="auto"/>
              </w:rPr>
            </w:pPr>
            <w:r>
              <w:rPr>
                <w:rFonts w:ascii="Arial" w:cs="Arial" w:eastAsia="Arial" w:hAnsi="Arial"/>
                <w:sz w:val="18"/>
                <w:szCs w:val="18"/>
                <w:color w:val="auto"/>
              </w:rPr>
              <w:t>loss per unit</w:t>
            </w:r>
          </w:p>
        </w:tc>
        <w:tc>
          <w:tcPr>
            <w:tcW w:w="4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w w:val="89"/>
              </w:rPr>
              <w:t>130,268,082</w:t>
            </w: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w w:val="87"/>
              </w:rPr>
              <w:t>127,125,435</w:t>
            </w:r>
          </w:p>
        </w:tc>
      </w:tr>
      <w:tr>
        <w:trPr>
          <w:trHeight w:val="27"/>
        </w:trPr>
        <w:tc>
          <w:tcPr>
            <w:tcW w:w="4900" w:type="dxa"/>
            <w:vAlign w:val="bottom"/>
          </w:tcPr>
          <w:p>
            <w:pPr>
              <w:spacing w:after="0"/>
              <w:rPr>
                <w:sz w:val="2"/>
                <w:szCs w:val="2"/>
                <w:color w:val="auto"/>
              </w:rPr>
            </w:pPr>
          </w:p>
        </w:tc>
        <w:tc>
          <w:tcPr>
            <w:tcW w:w="4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4900" w:type="dxa"/>
            <w:vAlign w:val="bottom"/>
            <w:shd w:val="clear" w:color="auto" w:fill="CCEEFF"/>
          </w:tcPr>
          <w:p>
            <w:pPr>
              <w:spacing w:after="0"/>
              <w:rPr>
                <w:sz w:val="20"/>
                <w:szCs w:val="20"/>
                <w:color w:val="auto"/>
              </w:rPr>
            </w:pPr>
            <w:r>
              <w:rPr>
                <w:rFonts w:ascii="Arial" w:cs="Arial" w:eastAsia="Arial" w:hAnsi="Arial"/>
                <w:sz w:val="18"/>
                <w:szCs w:val="18"/>
                <w:color w:val="auto"/>
              </w:rPr>
              <w:t>Net loss per unit, basic and diluted</w:t>
            </w: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40" w:type="dxa"/>
            <w:vAlign w:val="bottom"/>
            <w:gridSpan w:val="2"/>
            <w:shd w:val="clear" w:color="auto" w:fill="CCEEFF"/>
          </w:tcPr>
          <w:p>
            <w:pPr>
              <w:jc w:val="right"/>
              <w:ind w:right="860"/>
              <w:spacing w:after="0"/>
              <w:rPr>
                <w:sz w:val="20"/>
                <w:szCs w:val="20"/>
                <w:color w:val="auto"/>
              </w:rPr>
            </w:pPr>
            <w:r>
              <w:rPr>
                <w:rFonts w:ascii="Arial" w:cs="Arial" w:eastAsia="Arial" w:hAnsi="Arial"/>
                <w:sz w:val="18"/>
                <w:szCs w:val="18"/>
                <w:color w:val="auto"/>
              </w:rPr>
              <w:t>(0.20)</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(0.20)</w:t>
            </w:r>
          </w:p>
        </w:tc>
      </w:tr>
      <w:tr>
        <w:trPr>
          <w:trHeight w:val="20"/>
        </w:trPr>
        <w:tc>
          <w:tcPr>
            <w:tcW w:w="49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15" w:lineRule="exact"/>
        <w:rPr>
          <w:sz w:val="20"/>
          <w:szCs w:val="20"/>
          <w:color w:val="auto"/>
        </w:rPr>
      </w:pPr>
    </w:p>
    <w:p>
      <w:pPr>
        <w:ind w:left="120" w:right="140" w:firstLine="440"/>
        <w:spacing w:after="0" w:line="275" w:lineRule="auto"/>
        <w:rPr>
          <w:sz w:val="20"/>
          <w:szCs w:val="20"/>
          <w:color w:val="auto"/>
        </w:rPr>
      </w:pPr>
      <w:r>
        <w:rPr>
          <w:rFonts w:ascii="Arial" w:cs="Arial" w:eastAsia="Arial" w:hAnsi="Arial"/>
          <w:sz w:val="17"/>
          <w:szCs w:val="17"/>
          <w:color w:val="auto"/>
        </w:rPr>
        <w:t>The Company has issued potentially dilutive instruments in the form of Class B Profit Interest Units granted to the Company’s employees. As of June 30, 2021, there were 493,073 vested Class B Profit Interest Units. The Company’s LLC operating agreement precludes Class B members from participating in distributions until Class A members’ capital contributions have been recovered and until performance hurdle rates have been exceeded. The Company does not include any of these instruments in its calculation of diluted loss per unit during the six months ended June 30, 2021 or 2020, because to include them would be anti-dilutive due to the Company’s net loss during the period.</w:t>
      </w:r>
    </w:p>
    <w:p>
      <w:pPr>
        <w:spacing w:after="0" w:line="109" w:lineRule="exact"/>
        <w:rPr>
          <w:sz w:val="20"/>
          <w:szCs w:val="20"/>
          <w:color w:val="auto"/>
        </w:rPr>
      </w:pPr>
    </w:p>
    <w:p>
      <w:pPr>
        <w:jc w:val="center"/>
        <w:ind w:right="-359"/>
        <w:spacing w:after="0"/>
        <w:rPr>
          <w:sz w:val="20"/>
          <w:szCs w:val="20"/>
          <w:color w:val="auto"/>
        </w:rPr>
      </w:pPr>
      <w:r>
        <w:rPr>
          <w:rFonts w:ascii="Arial" w:cs="Arial" w:eastAsia="Arial" w:hAnsi="Arial"/>
          <w:sz w:val="18"/>
          <w:szCs w:val="18"/>
          <w:color w:val="auto"/>
        </w:rPr>
        <w:t>F-73</w:t>
      </w:r>
    </w:p>
    <w:p>
      <w:pPr>
        <w:sectPr>
          <w:pgSz w:w="11900" w:h="16838" w:orient="portrait"/>
          <w:cols w:equalWidth="0" w:num="1">
            <w:col w:w="11120"/>
          </w:cols>
          <w:pgMar w:left="320" w:top="459" w:right="459" w:bottom="1440" w:gutter="0" w:footer="0" w:header="0"/>
        </w:sectPr>
      </w:pPr>
    </w:p>
    <w:bookmarkStart w:id="279" w:name="page280"/>
    <w:bookmarkEnd w:id="27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58" name="Picture 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
                    <pic:cNvPicPr>
                      <a:picLocks noChangeAspect="1" noChangeArrowheads="1"/>
                    </pic:cNvPicPr>
                  </pic:nvPicPr>
                  <pic:blipFill>
                    <a:blip r:embed="rId365">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Confidential Treatment Requested by Definitive Healthcare Corp.</w:t>
      </w:r>
    </w:p>
    <w:p>
      <w:pPr>
        <w:spacing w:after="0" w:line="27"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Pursuant to 17 C.F.R. Section 200.83</w:t>
      </w:r>
    </w:p>
    <w:p>
      <w:pPr>
        <w:spacing w:after="0" w:line="143" w:lineRule="exact"/>
        <w:rPr>
          <w:sz w:val="20"/>
          <w:szCs w:val="20"/>
          <w:color w:val="auto"/>
        </w:rPr>
      </w:pPr>
    </w:p>
    <w:p>
      <w:pPr>
        <w:ind w:left="540" w:hanging="424"/>
        <w:spacing w:after="0"/>
        <w:tabs>
          <w:tab w:leader="none" w:pos="540" w:val="left"/>
        </w:tabs>
        <w:numPr>
          <w:ilvl w:val="0"/>
          <w:numId w:val="218"/>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Segment and Geographic Data</w:t>
      </w:r>
    </w:p>
    <w:p>
      <w:pPr>
        <w:spacing w:after="0" w:line="117" w:lineRule="exact"/>
        <w:rPr>
          <w:sz w:val="20"/>
          <w:szCs w:val="20"/>
          <w:color w:val="auto"/>
        </w:rPr>
      </w:pPr>
    </w:p>
    <w:p>
      <w:pPr>
        <w:ind w:left="120" w:firstLine="440"/>
        <w:spacing w:after="0" w:line="257" w:lineRule="auto"/>
        <w:rPr>
          <w:sz w:val="20"/>
          <w:szCs w:val="20"/>
          <w:color w:val="auto"/>
        </w:rPr>
      </w:pPr>
      <w:r>
        <w:rPr>
          <w:rFonts w:ascii="Arial" w:cs="Arial" w:eastAsia="Arial" w:hAnsi="Arial"/>
          <w:sz w:val="18"/>
          <w:szCs w:val="18"/>
          <w:color w:val="auto"/>
        </w:rPr>
        <w:t>The Company operates as one operating segment. Operating segments are defined as components of the Company for which separate financial information is available and evaluated regularly by the Company’s chief operating decision maker in deciding how to allocate resources and in assessing performance. The chief operating decision maker for the Company is the chief executive officer. The chief executive officer reviews financial information presented on a consolidated basis, accompanied by information about revenue by type of service and geographic region, for purposes of allocating resources and evaluating financial performance.</w:t>
      </w:r>
    </w:p>
    <w:p>
      <w:pPr>
        <w:spacing w:after="0" w:line="188" w:lineRule="exact"/>
        <w:rPr>
          <w:sz w:val="20"/>
          <w:szCs w:val="20"/>
          <w:color w:val="auto"/>
        </w:rPr>
      </w:pPr>
    </w:p>
    <w:p>
      <w:pPr>
        <w:ind w:left="560"/>
        <w:spacing w:after="0"/>
        <w:rPr>
          <w:sz w:val="20"/>
          <w:szCs w:val="20"/>
          <w:color w:val="auto"/>
        </w:rPr>
      </w:pPr>
      <w:r>
        <w:rPr>
          <w:rFonts w:ascii="Arial" w:cs="Arial" w:eastAsia="Arial" w:hAnsi="Arial"/>
          <w:sz w:val="18"/>
          <w:szCs w:val="18"/>
          <w:color w:val="auto"/>
        </w:rPr>
        <w:t>Revenue by geographic area presented based upon the location of the customer are as follows (in thousands):</w:t>
      </w:r>
    </w:p>
    <w:p>
      <w:pPr>
        <w:spacing w:after="0" w:line="244" w:lineRule="exact"/>
        <w:rPr>
          <w:sz w:val="20"/>
          <w:szCs w:val="20"/>
          <w:color w:val="auto"/>
        </w:rPr>
      </w:pPr>
    </w:p>
    <w:tbl>
      <w:tblPr>
        <w:tblLayout w:type="fixed"/>
        <w:tblInd w:w="1440" w:type="dxa"/>
        <w:tblCellMar>
          <w:top w:w="0" w:type="dxa"/>
          <w:left w:w="0" w:type="dxa"/>
          <w:bottom w:w="0" w:type="dxa"/>
          <w:right w:w="0" w:type="dxa"/>
        </w:tblCellMar>
      </w:tblPr>
      <w:tr>
        <w:trPr>
          <w:trHeight w:val="171"/>
        </w:trPr>
        <w:tc>
          <w:tcPr>
            <w:tcW w:w="6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40" w:type="dxa"/>
            <w:vAlign w:val="bottom"/>
            <w:gridSpan w:val="5"/>
          </w:tcPr>
          <w:p>
            <w:pPr>
              <w:ind w:left="80"/>
              <w:spacing w:after="0"/>
              <w:rPr>
                <w:sz w:val="20"/>
                <w:szCs w:val="20"/>
                <w:color w:val="auto"/>
              </w:rPr>
            </w:pPr>
            <w:r>
              <w:rPr>
                <w:rFonts w:ascii="Arial" w:cs="Arial" w:eastAsia="Arial" w:hAnsi="Arial"/>
                <w:sz w:val="14"/>
                <w:szCs w:val="14"/>
                <w:b w:val="1"/>
                <w:bCs w:val="1"/>
                <w:color w:val="auto"/>
              </w:rPr>
              <w:t>Six Months Ended June 30,</w:t>
            </w:r>
          </w:p>
        </w:tc>
      </w:tr>
      <w:tr>
        <w:trPr>
          <w:trHeight w:val="142"/>
        </w:trPr>
        <w:tc>
          <w:tcPr>
            <w:tcW w:w="6160" w:type="dxa"/>
            <w:vAlign w:val="bottom"/>
            <w:tcBorders>
              <w:bottom w:val="single" w:sz="8" w:color="CCEEFF"/>
            </w:tcBorders>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600" w:type="dxa"/>
            <w:vAlign w:val="bottom"/>
            <w:tcBorders>
              <w:top w:val="single" w:sz="8" w:color="auto"/>
              <w:bottom w:val="single" w:sz="8" w:color="auto"/>
            </w:tcBorders>
          </w:tcPr>
          <w:p>
            <w:pPr>
              <w:ind w:left="60"/>
              <w:spacing w:after="0" w:line="142" w:lineRule="exact"/>
              <w:rPr>
                <w:sz w:val="20"/>
                <w:szCs w:val="20"/>
                <w:color w:val="auto"/>
              </w:rPr>
            </w:pPr>
            <w:r>
              <w:rPr>
                <w:rFonts w:ascii="Arial" w:cs="Arial" w:eastAsia="Arial" w:hAnsi="Arial"/>
                <w:sz w:val="14"/>
                <w:szCs w:val="14"/>
                <w:b w:val="1"/>
                <w:bCs w:val="1"/>
                <w:color w:val="auto"/>
              </w:rPr>
              <w:t>2021</w:t>
            </w:r>
          </w:p>
        </w:tc>
        <w:tc>
          <w:tcPr>
            <w:tcW w:w="620" w:type="dxa"/>
            <w:vAlign w:val="bottom"/>
            <w:tcBorders>
              <w:top w:val="single" w:sz="8" w:color="auto"/>
              <w:bottom w:val="single" w:sz="8" w:color="CCEEFF"/>
            </w:tcBorders>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620" w:type="dxa"/>
            <w:vAlign w:val="bottom"/>
            <w:tcBorders>
              <w:top w:val="single" w:sz="8" w:color="auto"/>
              <w:bottom w:val="single" w:sz="8" w:color="auto"/>
            </w:tcBorders>
          </w:tcPr>
          <w:p>
            <w:pPr>
              <w:jc w:val="right"/>
              <w:ind w:right="175"/>
              <w:spacing w:after="0" w:line="142" w:lineRule="exact"/>
              <w:rPr>
                <w:sz w:val="20"/>
                <w:szCs w:val="20"/>
                <w:color w:val="auto"/>
              </w:rPr>
            </w:pPr>
            <w:r>
              <w:rPr>
                <w:rFonts w:ascii="Arial" w:cs="Arial" w:eastAsia="Arial" w:hAnsi="Arial"/>
                <w:sz w:val="14"/>
                <w:szCs w:val="14"/>
                <w:b w:val="1"/>
                <w:bCs w:val="1"/>
                <w:color w:val="auto"/>
              </w:rPr>
              <w:t>2020</w:t>
            </w:r>
          </w:p>
        </w:tc>
        <w:tc>
          <w:tcPr>
            <w:tcW w:w="40" w:type="dxa"/>
            <w:vAlign w:val="bottom"/>
            <w:tcBorders>
              <w:bottom w:val="single" w:sz="8" w:color="CCEEFF"/>
            </w:tcBorders>
          </w:tcPr>
          <w:p>
            <w:pPr>
              <w:spacing w:after="0"/>
              <w:rPr>
                <w:sz w:val="12"/>
                <w:szCs w:val="12"/>
                <w:color w:val="auto"/>
              </w:rPr>
            </w:pPr>
          </w:p>
        </w:tc>
      </w:tr>
      <w:tr>
        <w:trPr>
          <w:trHeight w:val="209"/>
        </w:trPr>
        <w:tc>
          <w:tcPr>
            <w:tcW w:w="6160" w:type="dxa"/>
            <w:vAlign w:val="bottom"/>
            <w:shd w:val="clear" w:color="auto" w:fill="CCEEFF"/>
          </w:tcPr>
          <w:p>
            <w:pPr>
              <w:spacing w:after="0"/>
              <w:rPr>
                <w:sz w:val="20"/>
                <w:szCs w:val="20"/>
                <w:color w:val="auto"/>
              </w:rPr>
            </w:pPr>
            <w:r>
              <w:rPr>
                <w:rFonts w:ascii="Arial" w:cs="Arial" w:eastAsia="Arial" w:hAnsi="Arial"/>
                <w:sz w:val="18"/>
                <w:szCs w:val="18"/>
                <w:color w:val="auto"/>
              </w:rPr>
              <w:t>United States</w:t>
            </w:r>
          </w:p>
        </w:tc>
        <w:tc>
          <w:tcPr>
            <w:tcW w:w="160" w:type="dxa"/>
            <w:vAlign w:val="bottom"/>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74,186</w:t>
            </w:r>
          </w:p>
        </w:tc>
        <w:tc>
          <w:tcPr>
            <w:tcW w:w="620" w:type="dxa"/>
            <w:vAlign w:val="bottom"/>
            <w:shd w:val="clear" w:color="auto" w:fill="CCEEFF"/>
          </w:tcPr>
          <w:p>
            <w:pPr>
              <w:spacing w:after="0"/>
              <w:rPr>
                <w:sz w:val="18"/>
                <w:szCs w:val="18"/>
                <w:color w:val="auto"/>
              </w:rPr>
            </w:pPr>
          </w:p>
        </w:tc>
        <w:tc>
          <w:tcPr>
            <w:tcW w:w="160" w:type="dxa"/>
            <w:vAlign w:val="bottom"/>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54,586</w:t>
            </w:r>
          </w:p>
        </w:tc>
        <w:tc>
          <w:tcPr>
            <w:tcW w:w="40" w:type="dxa"/>
            <w:vAlign w:val="bottom"/>
            <w:shd w:val="clear" w:color="auto" w:fill="CCEEFF"/>
          </w:tcPr>
          <w:p>
            <w:pPr>
              <w:spacing w:after="0"/>
              <w:rPr>
                <w:sz w:val="18"/>
                <w:szCs w:val="18"/>
                <w:color w:val="auto"/>
              </w:rPr>
            </w:pPr>
          </w:p>
        </w:tc>
      </w:tr>
      <w:tr>
        <w:trPr>
          <w:trHeight w:val="223"/>
        </w:trPr>
        <w:tc>
          <w:tcPr>
            <w:tcW w:w="6160" w:type="dxa"/>
            <w:vAlign w:val="bottom"/>
          </w:tcPr>
          <w:p>
            <w:pPr>
              <w:spacing w:after="0"/>
              <w:rPr>
                <w:sz w:val="20"/>
                <w:szCs w:val="20"/>
                <w:color w:val="auto"/>
              </w:rPr>
            </w:pPr>
            <w:r>
              <w:rPr>
                <w:rFonts w:ascii="Arial" w:cs="Arial" w:eastAsia="Arial" w:hAnsi="Arial"/>
                <w:sz w:val="18"/>
                <w:szCs w:val="18"/>
                <w:color w:val="auto"/>
              </w:rPr>
              <w:t>Rest of world</w:t>
            </w:r>
          </w:p>
        </w:tc>
        <w:tc>
          <w:tcPr>
            <w:tcW w:w="16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2,571</w:t>
            </w:r>
          </w:p>
        </w:tc>
        <w:tc>
          <w:tcPr>
            <w:tcW w:w="62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ind w:right="15"/>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9"/>
                <w:szCs w:val="19"/>
                <w:color w:val="auto"/>
              </w:rPr>
            </w:pPr>
          </w:p>
        </w:tc>
      </w:tr>
      <w:tr>
        <w:trPr>
          <w:trHeight w:val="216"/>
        </w:trPr>
        <w:tc>
          <w:tcPr>
            <w:tcW w:w="61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Total revenue</w:t>
            </w:r>
          </w:p>
        </w:tc>
        <w:tc>
          <w:tcPr>
            <w:tcW w:w="160" w:type="dxa"/>
            <w:vAlign w:val="bottom"/>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122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76,757</w:t>
            </w:r>
          </w:p>
        </w:tc>
        <w:tc>
          <w:tcPr>
            <w:tcW w:w="160" w:type="dxa"/>
            <w:vAlign w:val="bottom"/>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54,586</w:t>
            </w:r>
          </w:p>
        </w:tc>
      </w:tr>
      <w:tr>
        <w:trPr>
          <w:trHeight w:val="20"/>
        </w:trPr>
        <w:tc>
          <w:tcPr>
            <w:tcW w:w="61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15" w:lineRule="exact"/>
        <w:rPr>
          <w:sz w:val="20"/>
          <w:szCs w:val="20"/>
          <w:color w:val="auto"/>
        </w:rPr>
      </w:pPr>
    </w:p>
    <w:p>
      <w:pPr>
        <w:ind w:left="560"/>
        <w:spacing w:after="0"/>
        <w:rPr>
          <w:sz w:val="20"/>
          <w:szCs w:val="20"/>
          <w:color w:val="auto"/>
        </w:rPr>
      </w:pPr>
      <w:r>
        <w:rPr>
          <w:rFonts w:ascii="Arial" w:cs="Arial" w:eastAsia="Arial" w:hAnsi="Arial"/>
          <w:sz w:val="18"/>
          <w:szCs w:val="18"/>
          <w:color w:val="auto"/>
        </w:rPr>
        <w:t xml:space="preserve">For a summary of our revenue disaggregated by service, refer to Note 4. </w:t>
      </w:r>
      <w:r>
        <w:rPr>
          <w:rFonts w:ascii="Arial" w:cs="Arial" w:eastAsia="Arial" w:hAnsi="Arial"/>
          <w:sz w:val="18"/>
          <w:szCs w:val="18"/>
          <w:i w:val="1"/>
          <w:iCs w:val="1"/>
          <w:color w:val="auto"/>
        </w:rPr>
        <w:t>Revenue</w:t>
      </w:r>
      <w:r>
        <w:rPr>
          <w:rFonts w:ascii="Arial" w:cs="Arial" w:eastAsia="Arial" w:hAnsi="Arial"/>
          <w:sz w:val="18"/>
          <w:szCs w:val="18"/>
          <w:color w:val="auto"/>
        </w:rPr>
        <w:t>.</w:t>
      </w:r>
    </w:p>
    <w:p>
      <w:pPr>
        <w:spacing w:after="0" w:line="225" w:lineRule="exact"/>
        <w:rPr>
          <w:sz w:val="20"/>
          <w:szCs w:val="20"/>
          <w:color w:val="auto"/>
        </w:rPr>
      </w:pPr>
    </w:p>
    <w:p>
      <w:pPr>
        <w:ind w:left="120" w:right="200" w:firstLine="440"/>
        <w:spacing w:after="0" w:line="277" w:lineRule="auto"/>
        <w:rPr>
          <w:sz w:val="20"/>
          <w:szCs w:val="20"/>
          <w:color w:val="auto"/>
        </w:rPr>
      </w:pPr>
      <w:r>
        <w:rPr>
          <w:rFonts w:ascii="Arial" w:cs="Arial" w:eastAsia="Arial" w:hAnsi="Arial"/>
          <w:sz w:val="18"/>
          <w:szCs w:val="18"/>
          <w:color w:val="auto"/>
        </w:rPr>
        <w:t>Long-lived assets by geographical region are based on the location of the legal entity that owns the assets. Long-lived assets by geographic area presented based upon the location of the assets are as follows (in thousands):</w:t>
      </w:r>
    </w:p>
    <w:p>
      <w:pPr>
        <w:spacing w:after="0" w:line="189" w:lineRule="exact"/>
        <w:rPr>
          <w:sz w:val="20"/>
          <w:szCs w:val="20"/>
          <w:color w:val="auto"/>
        </w:rPr>
      </w:pPr>
    </w:p>
    <w:tbl>
      <w:tblPr>
        <w:tblLayout w:type="fixed"/>
        <w:tblInd w:w="1440" w:type="dxa"/>
        <w:tblCellMar>
          <w:top w:w="0" w:type="dxa"/>
          <w:left w:w="0" w:type="dxa"/>
          <w:bottom w:w="0" w:type="dxa"/>
          <w:right w:w="0" w:type="dxa"/>
        </w:tblCellMar>
      </w:tblPr>
      <w:tr>
        <w:trPr>
          <w:trHeight w:val="171"/>
        </w:trPr>
        <w:tc>
          <w:tcPr>
            <w:tcW w:w="362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1880" w:type="dxa"/>
            <w:vAlign w:val="bottom"/>
            <w:gridSpan w:val="3"/>
          </w:tcPr>
          <w:p>
            <w:pPr>
              <w:spacing w:after="0"/>
              <w:rPr>
                <w:sz w:val="20"/>
                <w:szCs w:val="20"/>
                <w:color w:val="auto"/>
              </w:rPr>
            </w:pPr>
            <w:r>
              <w:rPr>
                <w:rFonts w:ascii="Arial" w:cs="Arial" w:eastAsia="Arial" w:hAnsi="Arial"/>
                <w:sz w:val="14"/>
                <w:szCs w:val="14"/>
                <w:b w:val="1"/>
                <w:bCs w:val="1"/>
                <w:color w:val="auto"/>
              </w:rPr>
              <w:t>June 30, 2021</w:t>
            </w:r>
          </w:p>
        </w:tc>
        <w:tc>
          <w:tcPr>
            <w:tcW w:w="1200" w:type="dxa"/>
            <w:vAlign w:val="bottom"/>
            <w:gridSpan w:val="3"/>
          </w:tcPr>
          <w:p>
            <w:pPr>
              <w:spacing w:after="0"/>
              <w:rPr>
                <w:sz w:val="20"/>
                <w:szCs w:val="20"/>
                <w:color w:val="auto"/>
              </w:rPr>
            </w:pPr>
            <w:r>
              <w:rPr>
                <w:rFonts w:ascii="Arial" w:cs="Arial" w:eastAsia="Arial" w:hAnsi="Arial"/>
                <w:sz w:val="14"/>
                <w:szCs w:val="14"/>
                <w:b w:val="1"/>
                <w:bCs w:val="1"/>
                <w:color w:val="auto"/>
                <w:w w:val="93"/>
              </w:rPr>
              <w:t>December 31, 2020</w:t>
            </w:r>
          </w:p>
        </w:tc>
      </w:tr>
      <w:tr>
        <w:trPr>
          <w:trHeight w:val="210"/>
        </w:trPr>
        <w:tc>
          <w:tcPr>
            <w:tcW w:w="36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United States</w:t>
            </w:r>
          </w:p>
        </w:tc>
        <w:tc>
          <w:tcPr>
            <w:tcW w:w="166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3,814</w:t>
            </w:r>
          </w:p>
        </w:tc>
        <w:tc>
          <w:tcPr>
            <w:tcW w:w="104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3,120</w:t>
            </w:r>
          </w:p>
        </w:tc>
        <w:tc>
          <w:tcPr>
            <w:tcW w:w="40" w:type="dxa"/>
            <w:vAlign w:val="bottom"/>
            <w:tcBorders>
              <w:top w:val="single" w:sz="8" w:color="CCEEFF"/>
            </w:tcBorders>
            <w:shd w:val="clear" w:color="auto" w:fill="CCEEFF"/>
          </w:tcPr>
          <w:p>
            <w:pPr>
              <w:spacing w:after="0"/>
              <w:rPr>
                <w:sz w:val="18"/>
                <w:szCs w:val="18"/>
                <w:color w:val="auto"/>
              </w:rPr>
            </w:pPr>
          </w:p>
        </w:tc>
      </w:tr>
      <w:tr>
        <w:trPr>
          <w:trHeight w:val="223"/>
        </w:trPr>
        <w:tc>
          <w:tcPr>
            <w:tcW w:w="3620" w:type="dxa"/>
            <w:vAlign w:val="bottom"/>
          </w:tcPr>
          <w:p>
            <w:pPr>
              <w:spacing w:after="0"/>
              <w:rPr>
                <w:sz w:val="20"/>
                <w:szCs w:val="20"/>
                <w:color w:val="auto"/>
              </w:rPr>
            </w:pPr>
            <w:r>
              <w:rPr>
                <w:rFonts w:ascii="Arial" w:cs="Arial" w:eastAsia="Arial" w:hAnsi="Arial"/>
                <w:sz w:val="18"/>
                <w:szCs w:val="18"/>
                <w:color w:val="auto"/>
              </w:rPr>
              <w:t>Rest of world</w:t>
            </w:r>
          </w:p>
        </w:tc>
        <w:tc>
          <w:tcPr>
            <w:tcW w:w="166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526</w:t>
            </w:r>
          </w:p>
        </w:tc>
        <w:tc>
          <w:tcPr>
            <w:tcW w:w="1040" w:type="dxa"/>
            <w:vAlign w:val="bottom"/>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128</w:t>
            </w:r>
          </w:p>
        </w:tc>
        <w:tc>
          <w:tcPr>
            <w:tcW w:w="40" w:type="dxa"/>
            <w:vAlign w:val="bottom"/>
          </w:tcPr>
          <w:p>
            <w:pPr>
              <w:spacing w:after="0"/>
              <w:rPr>
                <w:sz w:val="19"/>
                <w:szCs w:val="19"/>
                <w:color w:val="auto"/>
              </w:rPr>
            </w:pPr>
          </w:p>
        </w:tc>
      </w:tr>
      <w:tr>
        <w:trPr>
          <w:trHeight w:val="216"/>
        </w:trPr>
        <w:tc>
          <w:tcPr>
            <w:tcW w:w="36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Total long-lived assets</w:t>
            </w:r>
          </w:p>
        </w:tc>
        <w:tc>
          <w:tcPr>
            <w:tcW w:w="1920" w:type="dxa"/>
            <w:vAlign w:val="bottom"/>
            <w:gridSpan w:val="2"/>
            <w:shd w:val="clear" w:color="auto" w:fill="CCEEFF"/>
          </w:tcPr>
          <w:p>
            <w:pPr>
              <w:ind w:left="1660"/>
              <w:spacing w:after="0"/>
              <w:rPr>
                <w:sz w:val="20"/>
                <w:szCs w:val="20"/>
                <w:color w:val="auto"/>
              </w:rPr>
            </w:pPr>
            <w:r>
              <w:rPr>
                <w:rFonts w:ascii="Arial" w:cs="Arial" w:eastAsia="Arial" w:hAnsi="Arial"/>
                <w:sz w:val="18"/>
                <w:szCs w:val="18"/>
                <w:color w:val="auto"/>
              </w:rPr>
              <w:t>$</w:t>
            </w:r>
          </w:p>
        </w:tc>
        <w:tc>
          <w:tcPr>
            <w:tcW w:w="1620" w:type="dxa"/>
            <w:vAlign w:val="bottom"/>
            <w:gridSpan w:val="2"/>
            <w:shd w:val="clear" w:color="auto" w:fill="CCEEFF"/>
          </w:tcPr>
          <w:p>
            <w:pPr>
              <w:jc w:val="right"/>
              <w:ind w:right="1040"/>
              <w:spacing w:after="0"/>
              <w:rPr>
                <w:sz w:val="20"/>
                <w:szCs w:val="20"/>
                <w:color w:val="auto"/>
              </w:rPr>
            </w:pPr>
            <w:r>
              <w:rPr>
                <w:rFonts w:ascii="Arial" w:cs="Arial" w:eastAsia="Arial" w:hAnsi="Arial"/>
                <w:sz w:val="18"/>
                <w:szCs w:val="18"/>
                <w:color w:val="auto"/>
              </w:rPr>
              <w:t>4,340</w:t>
            </w:r>
          </w:p>
        </w:tc>
        <w:tc>
          <w:tcPr>
            <w:tcW w:w="4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3,248</w:t>
            </w:r>
          </w:p>
        </w:tc>
      </w:tr>
      <w:tr>
        <w:trPr>
          <w:trHeight w:val="20"/>
        </w:trPr>
        <w:tc>
          <w:tcPr>
            <w:tcW w:w="362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364" w:lineRule="exact"/>
        <w:rPr>
          <w:sz w:val="20"/>
          <w:szCs w:val="20"/>
          <w:color w:val="auto"/>
        </w:rPr>
      </w:pPr>
    </w:p>
    <w:p>
      <w:pPr>
        <w:ind w:left="540" w:hanging="424"/>
        <w:spacing w:after="0"/>
        <w:tabs>
          <w:tab w:leader="none" w:pos="540" w:val="left"/>
        </w:tabs>
        <w:numPr>
          <w:ilvl w:val="0"/>
          <w:numId w:val="219"/>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Related Parties</w:t>
      </w:r>
    </w:p>
    <w:p>
      <w:pPr>
        <w:spacing w:after="0" w:line="117" w:lineRule="exact"/>
        <w:rPr>
          <w:sz w:val="20"/>
          <w:szCs w:val="20"/>
          <w:color w:val="auto"/>
        </w:rPr>
      </w:pPr>
    </w:p>
    <w:p>
      <w:pPr>
        <w:jc w:val="both"/>
        <w:ind w:left="120" w:right="100" w:firstLine="440"/>
        <w:spacing w:after="0" w:line="259" w:lineRule="auto"/>
        <w:rPr>
          <w:sz w:val="20"/>
          <w:szCs w:val="20"/>
          <w:color w:val="auto"/>
        </w:rPr>
      </w:pPr>
      <w:r>
        <w:rPr>
          <w:rFonts w:ascii="Arial" w:cs="Arial" w:eastAsia="Arial" w:hAnsi="Arial"/>
          <w:sz w:val="18"/>
          <w:szCs w:val="18"/>
          <w:color w:val="auto"/>
        </w:rPr>
        <w:t>The Company has engaged in revenue transactions within the ordinary course of business with entities affiliated with its private equity sponsors and with members of the Company’s board of directors. During each of the six months ended June 30, 2021, and 2020 the Company generated revenue of $0.4 million and $0.4 million, respectively. The associated receivable for the revenue transactions was de minimis at June 30, 2021 and amounted to $0.1 million at December 31, 2020.</w:t>
      </w:r>
    </w:p>
    <w:p>
      <w:pPr>
        <w:spacing w:after="0" w:line="187" w:lineRule="exact"/>
        <w:rPr>
          <w:sz w:val="20"/>
          <w:szCs w:val="20"/>
          <w:color w:val="auto"/>
        </w:rPr>
      </w:pPr>
    </w:p>
    <w:p>
      <w:pPr>
        <w:ind w:left="120" w:right="20" w:firstLine="440"/>
        <w:spacing w:after="0" w:line="259" w:lineRule="auto"/>
        <w:rPr>
          <w:sz w:val="20"/>
          <w:szCs w:val="20"/>
          <w:color w:val="auto"/>
        </w:rPr>
      </w:pPr>
      <w:r>
        <w:rPr>
          <w:rFonts w:ascii="Arial" w:cs="Arial" w:eastAsia="Arial" w:hAnsi="Arial"/>
          <w:sz w:val="18"/>
          <w:szCs w:val="18"/>
          <w:color w:val="auto"/>
        </w:rPr>
        <w:t>The Company reimburses its private equity sponsors for services and any related travel and out-of-pocket expenses. During the six months ended June 30, 2021, the Company had expenses for services, travel and out-of-pocket expenses to its private equity sponsors of $0.2 million and was de minimis for the six months ended June 30, 2020. The associated payable for the service transactions was de minimis at June 30, 2021 and December 31, 2020.</w:t>
      </w:r>
    </w:p>
    <w:p>
      <w:pPr>
        <w:spacing w:after="0" w:line="187" w:lineRule="exact"/>
        <w:rPr>
          <w:sz w:val="20"/>
          <w:szCs w:val="20"/>
          <w:color w:val="auto"/>
        </w:rPr>
      </w:pPr>
    </w:p>
    <w:p>
      <w:pPr>
        <w:ind w:left="120" w:right="120" w:firstLine="440"/>
        <w:spacing w:after="0" w:line="277" w:lineRule="auto"/>
        <w:rPr>
          <w:sz w:val="20"/>
          <w:szCs w:val="20"/>
          <w:color w:val="auto"/>
        </w:rPr>
      </w:pPr>
      <w:r>
        <w:rPr>
          <w:rFonts w:ascii="Arial" w:cs="Arial" w:eastAsia="Arial" w:hAnsi="Arial"/>
          <w:sz w:val="18"/>
          <w:szCs w:val="18"/>
          <w:color w:val="auto"/>
        </w:rPr>
        <w:t>In addition, during the second quarter of 2021, the Company issued 363,516 new Class A units worth $6.6 million to members of the Company’s board of directors.</w:t>
      </w:r>
    </w:p>
    <w:p>
      <w:pPr>
        <w:spacing w:after="0" w:line="319" w:lineRule="exact"/>
        <w:rPr>
          <w:sz w:val="20"/>
          <w:szCs w:val="20"/>
          <w:color w:val="auto"/>
        </w:rPr>
      </w:pPr>
    </w:p>
    <w:p>
      <w:pPr>
        <w:ind w:left="540" w:hanging="424"/>
        <w:spacing w:after="0"/>
        <w:tabs>
          <w:tab w:leader="none" w:pos="540" w:val="left"/>
        </w:tabs>
        <w:numPr>
          <w:ilvl w:val="0"/>
          <w:numId w:val="220"/>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Subsequent Events</w:t>
      </w:r>
    </w:p>
    <w:p>
      <w:pPr>
        <w:spacing w:after="0" w:line="117" w:lineRule="exact"/>
        <w:rPr>
          <w:sz w:val="20"/>
          <w:szCs w:val="20"/>
          <w:color w:val="auto"/>
        </w:rPr>
      </w:pPr>
    </w:p>
    <w:p>
      <w:pPr>
        <w:ind w:left="120" w:right="360" w:firstLine="440"/>
        <w:spacing w:after="0" w:line="277" w:lineRule="auto"/>
        <w:rPr>
          <w:sz w:val="20"/>
          <w:szCs w:val="20"/>
          <w:color w:val="auto"/>
        </w:rPr>
      </w:pPr>
      <w:r>
        <w:rPr>
          <w:rFonts w:ascii="Arial" w:cs="Arial" w:eastAsia="Arial" w:hAnsi="Arial"/>
          <w:sz w:val="18"/>
          <w:szCs w:val="18"/>
          <w:color w:val="auto"/>
        </w:rPr>
        <w:t>The Company has evaluated subsequent events through August 5, 2021, the date which the condensed consolidated financial statements were issued and did not identify any additional matters that require disclosure.</w:t>
      </w:r>
    </w:p>
    <w:p>
      <w:pPr>
        <w:spacing w:after="0" w:line="103" w:lineRule="exact"/>
        <w:rPr>
          <w:sz w:val="20"/>
          <w:szCs w:val="20"/>
          <w:color w:val="auto"/>
        </w:rPr>
      </w:pPr>
    </w:p>
    <w:p>
      <w:pPr>
        <w:jc w:val="center"/>
        <w:ind w:right="-379"/>
        <w:spacing w:after="0"/>
        <w:rPr>
          <w:sz w:val="20"/>
          <w:szCs w:val="20"/>
          <w:color w:val="auto"/>
        </w:rPr>
      </w:pPr>
      <w:r>
        <w:rPr>
          <w:rFonts w:ascii="Arial" w:cs="Arial" w:eastAsia="Arial" w:hAnsi="Arial"/>
          <w:sz w:val="18"/>
          <w:szCs w:val="18"/>
          <w:color w:val="auto"/>
        </w:rPr>
        <w:t>F-74</w:t>
      </w:r>
    </w:p>
    <w:p>
      <w:pPr>
        <w:sectPr>
          <w:pgSz w:w="11900" w:h="16838" w:orient="portrait"/>
          <w:cols w:equalWidth="0" w:num="1">
            <w:col w:w="11100"/>
          </w:cols>
          <w:pgMar w:left="320" w:top="459" w:right="479" w:bottom="1440" w:gutter="0" w:footer="0" w:header="0"/>
        </w:sectPr>
      </w:pPr>
    </w:p>
    <w:bookmarkStart w:id="280" w:name="page281"/>
    <w:bookmarkEnd w:id="28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59" name="Picture 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
                    <pic:cNvPicPr>
                      <a:picLocks noChangeAspect="1" noChangeArrowheads="1"/>
                    </pic:cNvPicPr>
                  </pic:nvPicPr>
                  <pic:blipFill>
                    <a:blip r:embed="rId366">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20"/>
        <w:spacing w:after="0"/>
        <w:rPr>
          <w:sz w:val="20"/>
          <w:szCs w:val="20"/>
          <w:color w:val="auto"/>
        </w:rPr>
      </w:pPr>
      <w:r>
        <w:rPr>
          <w:rFonts w:ascii="Arial" w:cs="Arial" w:eastAsia="Arial" w:hAnsi="Arial"/>
          <w:sz w:val="16"/>
          <w:szCs w:val="16"/>
          <w:b w:val="1"/>
          <w:bCs w:val="1"/>
          <w:color w:val="auto"/>
        </w:rPr>
        <w:t>Confidential Treatment Requested by Definitive Healthcare Corp.</w:t>
      </w:r>
    </w:p>
    <w:p>
      <w:pPr>
        <w:spacing w:after="0" w:line="50" w:lineRule="exact"/>
        <w:rPr>
          <w:sz w:val="20"/>
          <w:szCs w:val="20"/>
          <w:color w:val="auto"/>
        </w:rPr>
      </w:pPr>
    </w:p>
    <w:p>
      <w:pPr>
        <w:jc w:val="center"/>
        <w:ind w:right="-1120"/>
        <w:spacing w:after="0"/>
        <w:rPr>
          <w:sz w:val="20"/>
          <w:szCs w:val="20"/>
          <w:color w:val="auto"/>
        </w:rPr>
      </w:pPr>
      <w:r>
        <w:rPr>
          <w:rFonts w:ascii="Arial" w:cs="Arial" w:eastAsia="Arial" w:hAnsi="Arial"/>
          <w:sz w:val="18"/>
          <w:szCs w:val="18"/>
          <w:b w:val="1"/>
          <w:bCs w:val="1"/>
          <w:color w:val="auto"/>
        </w:rPr>
        <w:t>Pursuant to 17 C.F.R. Section 200.83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117475</wp:posOffset>
            </wp:positionV>
            <wp:extent cx="6995160" cy="25400"/>
            <wp:wrapNone/>
            <wp:docPr id="360" name="Picture 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
                    <pic:cNvPicPr>
                      <a:picLocks noChangeAspect="1" noChangeArrowheads="1"/>
                    </pic:cNvPicPr>
                  </pic:nvPicPr>
                  <pic:blipFill>
                    <a:blip r:embed="rId367">
                      <a:extLst>
                        <a:ext uri="{28A0092B-C50C-407E-A947-70E740481C1C}"/>
                      </a:extLst>
                    </a:blip>
                    <a:srcRect/>
                    <a:stretch>
                      <a:fillRect/>
                    </a:stretch>
                  </pic:blipFill>
                  <pic:spPr bwMode="auto">
                    <a:xfrm>
                      <a:off x="0" y="0"/>
                      <a:ext cx="6995160" cy="25400"/>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177165</wp:posOffset>
            </wp:positionV>
            <wp:extent cx="6995160" cy="8255"/>
            <wp:wrapNone/>
            <wp:docPr id="361" name="Picture 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
                    <pic:cNvPicPr>
                      <a:picLocks noChangeAspect="1" noChangeArrowheads="1"/>
                    </pic:cNvPicPr>
                  </pic:nvPicPr>
                  <pic:blipFill>
                    <a:blip r:embed="rId368">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5640"/>
        <w:spacing w:after="0"/>
        <w:rPr>
          <w:sz w:val="20"/>
          <w:szCs w:val="20"/>
          <w:color w:val="auto"/>
        </w:rPr>
      </w:pPr>
      <w:r>
        <w:rPr>
          <w:rFonts w:ascii="Arial" w:cs="Arial" w:eastAsia="Arial" w:hAnsi="Arial"/>
          <w:sz w:val="29"/>
          <w:szCs w:val="29"/>
          <w:b w:val="1"/>
          <w:bCs w:val="1"/>
          <w:color w:val="auto"/>
        </w:rPr>
        <w:t>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2499360</wp:posOffset>
            </wp:positionH>
            <wp:positionV relativeFrom="paragraph">
              <wp:posOffset>340360</wp:posOffset>
            </wp:positionV>
            <wp:extent cx="2143125" cy="436880"/>
            <wp:wrapNone/>
            <wp:docPr id="362" name="Picture 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
                    <pic:cNvPicPr>
                      <a:picLocks noChangeAspect="1" noChangeArrowheads="1"/>
                    </pic:cNvPicPr>
                  </pic:nvPicPr>
                  <pic:blipFill>
                    <a:blip r:embed="rId369">
                      <a:extLst>
                        <a:ext uri="{28A0092B-C50C-407E-A947-70E740481C1C}"/>
                      </a:extLst>
                    </a:blip>
                    <a:srcRect/>
                    <a:stretch>
                      <a:fillRect/>
                    </a:stretch>
                  </pic:blipFill>
                  <pic:spPr bwMode="auto">
                    <a:xfrm>
                      <a:off x="0" y="0"/>
                      <a:ext cx="2143125" cy="4368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ind w:left="4360"/>
        <w:spacing w:after="0"/>
        <w:rPr>
          <w:sz w:val="20"/>
          <w:szCs w:val="20"/>
          <w:color w:val="auto"/>
        </w:rPr>
      </w:pPr>
      <w:r>
        <w:rPr>
          <w:rFonts w:ascii="Arial" w:cs="Arial" w:eastAsia="Arial" w:hAnsi="Arial"/>
          <w:sz w:val="25"/>
          <w:szCs w:val="25"/>
          <w:b w:val="1"/>
          <w:bCs w:val="1"/>
          <w:color w:val="auto"/>
        </w:rPr>
        <w:t>Class A 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2834005</wp:posOffset>
            </wp:positionH>
            <wp:positionV relativeFrom="paragraph">
              <wp:posOffset>406400</wp:posOffset>
            </wp:positionV>
            <wp:extent cx="1474470" cy="8255"/>
            <wp:wrapNone/>
            <wp:docPr id="363" name="Picture 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
                    <pic:cNvPicPr>
                      <a:picLocks noChangeAspect="1" noChangeArrowheads="1"/>
                    </pic:cNvPicPr>
                  </pic:nvPicPr>
                  <pic:blipFill>
                    <a:blip r:embed="rId37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ind w:left="5120"/>
        <w:spacing w:after="0"/>
        <w:rPr>
          <w:sz w:val="20"/>
          <w:szCs w:val="20"/>
          <w:color w:val="auto"/>
        </w:rPr>
      </w:pPr>
      <w:r>
        <w:rPr>
          <w:rFonts w:ascii="Arial" w:cs="Arial" w:eastAsia="Arial" w:hAnsi="Arial"/>
          <w:sz w:val="22"/>
          <w:szCs w:val="22"/>
          <w:b w:val="1"/>
          <w:bCs w:val="1"/>
          <w:color w:val="auto"/>
        </w:rPr>
        <w:t>Prospectus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2834005</wp:posOffset>
            </wp:positionH>
            <wp:positionV relativeFrom="paragraph">
              <wp:posOffset>242570</wp:posOffset>
            </wp:positionV>
            <wp:extent cx="1474470" cy="8255"/>
            <wp:wrapNone/>
            <wp:docPr id="364" name="Picture 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
                    <pic:cNvPicPr>
                      <a:picLocks noChangeAspect="1" noChangeArrowheads="1"/>
                    </pic:cNvPicPr>
                  </pic:nvPicPr>
                  <pic:blipFill>
                    <a:blip r:embed="rId37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jc w:val="center"/>
        <w:ind w:right="-1120"/>
        <w:spacing w:after="0"/>
        <w:rPr>
          <w:sz w:val="20"/>
          <w:szCs w:val="20"/>
          <w:color w:val="auto"/>
        </w:rPr>
      </w:pPr>
      <w:r>
        <w:rPr>
          <w:rFonts w:ascii="Arial" w:cs="Arial" w:eastAsia="Arial" w:hAnsi="Arial"/>
          <w:sz w:val="29"/>
          <w:szCs w:val="29"/>
          <w:b w:val="1"/>
          <w:bCs w:val="1"/>
          <w:color w:val="auto"/>
        </w:rPr>
        <w:t>Goldman Sachs &amp; Co. LLC</w:t>
      </w:r>
    </w:p>
    <w:p>
      <w:pPr>
        <w:spacing w:after="0" w:line="112" w:lineRule="exact"/>
        <w:rPr>
          <w:sz w:val="20"/>
          <w:szCs w:val="20"/>
          <w:color w:val="auto"/>
        </w:rPr>
      </w:pPr>
    </w:p>
    <w:p>
      <w:pPr>
        <w:jc w:val="center"/>
        <w:ind w:right="-1120"/>
        <w:spacing w:after="0"/>
        <w:rPr>
          <w:sz w:val="20"/>
          <w:szCs w:val="20"/>
          <w:color w:val="auto"/>
        </w:rPr>
      </w:pPr>
      <w:r>
        <w:rPr>
          <w:rFonts w:ascii="Arial" w:cs="Arial" w:eastAsia="Arial" w:hAnsi="Arial"/>
          <w:sz w:val="29"/>
          <w:szCs w:val="29"/>
          <w:b w:val="1"/>
          <w:bCs w:val="1"/>
          <w:color w:val="auto"/>
        </w:rPr>
        <w:t>J.P. Morgan</w:t>
      </w:r>
    </w:p>
    <w:p>
      <w:pPr>
        <w:spacing w:after="0" w:line="112" w:lineRule="exact"/>
        <w:rPr>
          <w:sz w:val="20"/>
          <w:szCs w:val="20"/>
          <w:color w:val="auto"/>
        </w:rPr>
      </w:pPr>
    </w:p>
    <w:p>
      <w:pPr>
        <w:jc w:val="center"/>
        <w:ind w:right="-1120"/>
        <w:spacing w:after="0"/>
        <w:rPr>
          <w:sz w:val="20"/>
          <w:szCs w:val="20"/>
          <w:color w:val="auto"/>
        </w:rPr>
      </w:pPr>
      <w:r>
        <w:rPr>
          <w:rFonts w:ascii="Arial" w:cs="Arial" w:eastAsia="Arial" w:hAnsi="Arial"/>
          <w:sz w:val="29"/>
          <w:szCs w:val="29"/>
          <w:b w:val="1"/>
          <w:bCs w:val="1"/>
          <w:color w:val="auto"/>
        </w:rPr>
        <w:t>Morgan Stanley</w:t>
      </w:r>
    </w:p>
    <w:p>
      <w:pPr>
        <w:spacing w:after="0" w:line="112" w:lineRule="exact"/>
        <w:rPr>
          <w:sz w:val="20"/>
          <w:szCs w:val="20"/>
          <w:color w:val="auto"/>
        </w:rPr>
      </w:pPr>
    </w:p>
    <w:p>
      <w:pPr>
        <w:jc w:val="center"/>
        <w:ind w:right="-1120"/>
        <w:spacing w:after="0"/>
        <w:rPr>
          <w:sz w:val="20"/>
          <w:szCs w:val="20"/>
          <w:color w:val="auto"/>
        </w:rPr>
      </w:pPr>
      <w:r>
        <w:rPr>
          <w:rFonts w:ascii="Arial" w:cs="Arial" w:eastAsia="Arial" w:hAnsi="Arial"/>
          <w:sz w:val="29"/>
          <w:szCs w:val="29"/>
          <w:b w:val="1"/>
          <w:bCs w:val="1"/>
          <w:color w:val="auto"/>
        </w:rPr>
        <w:t>Barclays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2834005</wp:posOffset>
            </wp:positionH>
            <wp:positionV relativeFrom="paragraph">
              <wp:posOffset>408940</wp:posOffset>
            </wp:positionV>
            <wp:extent cx="1474470" cy="8255"/>
            <wp:wrapNone/>
            <wp:docPr id="365" name="Picture 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5"/>
                    <pic:cNvPicPr>
                      <a:picLocks noChangeAspect="1" noChangeArrowheads="1"/>
                    </pic:cNvPicPr>
                  </pic:nvPicPr>
                  <pic:blipFill>
                    <a:blip r:embed="rId37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left="5840"/>
        <w:spacing w:after="0"/>
        <w:rPr>
          <w:sz w:val="20"/>
          <w:szCs w:val="20"/>
          <w:color w:val="auto"/>
        </w:rPr>
      </w:pPr>
      <w:r>
        <w:rPr>
          <w:rFonts w:ascii="Arial" w:cs="Arial" w:eastAsia="Arial" w:hAnsi="Arial"/>
          <w:sz w:val="18"/>
          <w:szCs w:val="18"/>
          <w:b w:val="1"/>
          <w:bCs w:val="1"/>
          <w:color w:val="auto"/>
        </w:rPr>
        <w:t>,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428625</wp:posOffset>
            </wp:positionV>
            <wp:extent cx="6995160" cy="8890"/>
            <wp:wrapNone/>
            <wp:docPr id="366" name="Picture 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6"/>
                    <pic:cNvPicPr>
                      <a:picLocks noChangeAspect="1" noChangeArrowheads="1"/>
                    </pic:cNvPicPr>
                  </pic:nvPicPr>
                  <pic:blipFill>
                    <a:blip r:embed="rId373">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488950</wp:posOffset>
            </wp:positionV>
            <wp:extent cx="6995160" cy="25400"/>
            <wp:wrapNone/>
            <wp:docPr id="367" name="Picture 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7"/>
                    <pic:cNvPicPr>
                      <a:picLocks noChangeAspect="1" noChangeArrowheads="1"/>
                    </pic:cNvPicPr>
                  </pic:nvPicPr>
                  <pic:blipFill>
                    <a:blip r:embed="rId374">
                      <a:extLst>
                        <a:ext uri="{28A0092B-C50C-407E-A947-70E740481C1C}"/>
                      </a:extLst>
                    </a:blip>
                    <a:srcRect/>
                    <a:stretch>
                      <a:fillRect/>
                    </a:stretch>
                  </pic:blipFill>
                  <pic:spPr bwMode="auto">
                    <a:xfrm>
                      <a:off x="0" y="0"/>
                      <a:ext cx="6995160" cy="25400"/>
                    </a:xfrm>
                    <a:prstGeom prst="rect">
                      <a:avLst/>
                    </a:prstGeom>
                    <a:noFill/>
                  </pic:spPr>
                </pic:pic>
              </a:graphicData>
            </a:graphic>
          </wp:anchor>
        </w:drawing>
      </w:r>
    </w:p>
    <w:p>
      <w:pPr>
        <w:sectPr>
          <w:pgSz w:w="11900" w:h="16838" w:orient="portrait"/>
          <w:cols w:equalWidth="0" w:num="1">
            <w:col w:w="10139"/>
          </w:cols>
          <w:pgMar w:left="320" w:top="459" w:right="1440" w:bottom="1440" w:gutter="0" w:footer="0" w:header="0"/>
        </w:sectPr>
      </w:pPr>
    </w:p>
    <w:bookmarkStart w:id="281" w:name="page282"/>
    <w:bookmarkEnd w:id="28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68" name="Picture 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8"/>
                    <pic:cNvPicPr>
                      <a:picLocks noChangeAspect="1" noChangeArrowheads="1"/>
                    </pic:cNvPicPr>
                  </pic:nvPicPr>
                  <pic:blipFill>
                    <a:blip r:embed="rId375">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Confidential Treatment Requested by Definitive Healthcare Corp.</w:t>
      </w:r>
    </w:p>
    <w:p>
      <w:pPr>
        <w:spacing w:after="0" w:line="27"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Pursuant to 17 C.F.R. Section 200.83</w:t>
      </w:r>
    </w:p>
    <w:p>
      <w:pPr>
        <w:spacing w:after="0" w:line="139" w:lineRule="exact"/>
        <w:rPr>
          <w:sz w:val="20"/>
          <w:szCs w:val="20"/>
          <w:color w:val="auto"/>
        </w:rPr>
      </w:pPr>
    </w:p>
    <w:p>
      <w:pPr>
        <w:ind w:left="3080"/>
        <w:spacing w:after="0"/>
        <w:rPr>
          <w:sz w:val="20"/>
          <w:szCs w:val="20"/>
          <w:color w:val="auto"/>
        </w:rPr>
      </w:pPr>
      <w:r>
        <w:rPr>
          <w:rFonts w:ascii="Arial" w:cs="Arial" w:eastAsia="Arial" w:hAnsi="Arial"/>
          <w:sz w:val="18"/>
          <w:szCs w:val="18"/>
          <w:b w:val="1"/>
          <w:bCs w:val="1"/>
          <w:color w:val="auto"/>
        </w:rPr>
        <w:t>PART II—INFORMATION NOT REQUIRED IN PROSPECTUS</w:t>
      </w:r>
    </w:p>
    <w:p>
      <w:pPr>
        <w:spacing w:after="0" w:line="22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Item 13. Other Expenses of Issuance and Distribution.</w:t>
      </w:r>
    </w:p>
    <w:p>
      <w:pPr>
        <w:spacing w:after="0" w:line="121" w:lineRule="exact"/>
        <w:rPr>
          <w:sz w:val="20"/>
          <w:szCs w:val="20"/>
          <w:color w:val="auto"/>
        </w:rPr>
      </w:pPr>
    </w:p>
    <w:p>
      <w:pPr>
        <w:ind w:left="120" w:right="220" w:firstLine="440"/>
        <w:spacing w:after="0" w:line="263" w:lineRule="auto"/>
        <w:rPr>
          <w:sz w:val="20"/>
          <w:szCs w:val="20"/>
          <w:color w:val="auto"/>
        </w:rPr>
      </w:pPr>
      <w:r>
        <w:rPr>
          <w:rFonts w:ascii="Arial" w:cs="Arial" w:eastAsia="Arial" w:hAnsi="Arial"/>
          <w:sz w:val="18"/>
          <w:szCs w:val="18"/>
          <w:color w:val="auto"/>
        </w:rPr>
        <w:t>The following table sets forth all costs and expenses, other than the underwriting discounts, paid or payable by us in connection with the sale of the Class A common stock being registered. All amounts shown are estimates except for the SEC registration fee, the Financial Industry Regulatory Authority (“FINRA”) filing fee and the listing fee for Nasdaq.</w:t>
      </w:r>
    </w:p>
    <w:p>
      <w:pPr>
        <w:spacing w:after="0" w:line="202" w:lineRule="exact"/>
        <w:rPr>
          <w:sz w:val="20"/>
          <w:szCs w:val="20"/>
          <w:color w:val="auto"/>
        </w:rPr>
      </w:pPr>
    </w:p>
    <w:p>
      <w:pPr>
        <w:jc w:val="center"/>
        <w:ind w:left="6040"/>
        <w:spacing w:after="0"/>
        <w:rPr>
          <w:sz w:val="20"/>
          <w:szCs w:val="20"/>
          <w:color w:val="auto"/>
        </w:rPr>
      </w:pPr>
      <w:r>
        <w:rPr>
          <w:rFonts w:ascii="Arial" w:cs="Arial" w:eastAsia="Arial" w:hAnsi="Arial"/>
          <w:sz w:val="14"/>
          <w:szCs w:val="14"/>
          <w:b w:val="1"/>
          <w:bCs w:val="1"/>
          <w:color w:val="auto"/>
        </w:rPr>
        <w:t>Amount Paid or to be</w:t>
      </w:r>
    </w:p>
    <w:p>
      <w:pPr>
        <w:jc w:val="center"/>
        <w:ind w:left="6040"/>
        <w:spacing w:after="0"/>
        <w:rPr>
          <w:sz w:val="20"/>
          <w:szCs w:val="20"/>
          <w:color w:val="auto"/>
        </w:rPr>
      </w:pPr>
      <w:r>
        <w:rPr>
          <w:rFonts w:ascii="Arial" w:cs="Arial" w:eastAsia="Arial" w:hAnsi="Arial"/>
          <w:sz w:val="14"/>
          <w:szCs w:val="14"/>
          <w:b w:val="1"/>
          <w:bCs w:val="1"/>
          <w:color w:val="auto"/>
        </w:rPr>
        <w:t>Paid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1196340</wp:posOffset>
            </wp:positionH>
            <wp:positionV relativeFrom="paragraph">
              <wp:posOffset>-635</wp:posOffset>
            </wp:positionV>
            <wp:extent cx="4749165" cy="137160"/>
            <wp:wrapNone/>
            <wp:docPr id="369" name="Picture 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9"/>
                    <pic:cNvPicPr>
                      <a:picLocks noChangeAspect="1" noChangeArrowheads="1"/>
                    </pic:cNvPicPr>
                  </pic:nvPicPr>
                  <pic:blipFill>
                    <a:blip r:embed="rId376">
                      <a:extLst>
                        <a:ext uri="{28A0092B-C50C-407E-A947-70E740481C1C}"/>
                      </a:extLst>
                    </a:blip>
                    <a:srcRect/>
                    <a:stretch>
                      <a:fillRect/>
                    </a:stretch>
                  </pic:blipFill>
                  <pic:spPr bwMode="auto">
                    <a:xfrm>
                      <a:off x="0" y="0"/>
                      <a:ext cx="4749165" cy="137160"/>
                    </a:xfrm>
                    <a:prstGeom prst="rect">
                      <a:avLst/>
                    </a:prstGeom>
                    <a:noFill/>
                  </pic:spPr>
                </pic:pic>
              </a:graphicData>
            </a:graphic>
          </wp:anchor>
        </w:drawing>
      </w:r>
    </w:p>
    <w:p>
      <w:pPr>
        <w:ind w:left="1880"/>
        <w:spacing w:after="0"/>
        <w:rPr>
          <w:sz w:val="20"/>
          <w:szCs w:val="20"/>
          <w:color w:val="auto"/>
        </w:rPr>
      </w:pPr>
      <w:r>
        <w:rPr>
          <w:rFonts w:ascii="Arial" w:cs="Arial" w:eastAsia="Arial" w:hAnsi="Arial"/>
          <w:sz w:val="18"/>
          <w:szCs w:val="18"/>
          <w:color w:val="auto"/>
        </w:rPr>
        <w:t>SEC registration fee</w:t>
      </w:r>
    </w:p>
    <w:p>
      <w:pPr>
        <w:spacing w:after="0" w:line="7" w:lineRule="exact"/>
        <w:rPr>
          <w:sz w:val="20"/>
          <w:szCs w:val="20"/>
          <w:color w:val="auto"/>
        </w:rPr>
      </w:pPr>
    </w:p>
    <w:p>
      <w:pPr>
        <w:ind w:left="1880"/>
        <w:spacing w:after="0"/>
        <w:rPr>
          <w:sz w:val="20"/>
          <w:szCs w:val="20"/>
          <w:color w:val="auto"/>
        </w:rPr>
      </w:pPr>
      <w:r>
        <w:rPr>
          <w:rFonts w:ascii="Arial" w:cs="Arial" w:eastAsia="Arial" w:hAnsi="Arial"/>
          <w:sz w:val="18"/>
          <w:szCs w:val="18"/>
          <w:color w:val="auto"/>
        </w:rPr>
        <w:t>FINRA filing fee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1196340</wp:posOffset>
            </wp:positionH>
            <wp:positionV relativeFrom="paragraph">
              <wp:posOffset>5715</wp:posOffset>
            </wp:positionV>
            <wp:extent cx="4749165" cy="137160"/>
            <wp:wrapNone/>
            <wp:docPr id="370" name="Picture 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0"/>
                    <pic:cNvPicPr>
                      <a:picLocks noChangeAspect="1" noChangeArrowheads="1"/>
                    </pic:cNvPicPr>
                  </pic:nvPicPr>
                  <pic:blipFill>
                    <a:blip r:embed="rId377">
                      <a:extLst>
                        <a:ext uri="{28A0092B-C50C-407E-A947-70E740481C1C}"/>
                      </a:extLst>
                    </a:blip>
                    <a:srcRect/>
                    <a:stretch>
                      <a:fillRect/>
                    </a:stretch>
                  </pic:blipFill>
                  <pic:spPr bwMode="auto">
                    <a:xfrm>
                      <a:off x="0" y="0"/>
                      <a:ext cx="4749165" cy="137160"/>
                    </a:xfrm>
                    <a:prstGeom prst="rect">
                      <a:avLst/>
                    </a:prstGeom>
                    <a:noFill/>
                  </pic:spPr>
                </pic:pic>
              </a:graphicData>
            </a:graphic>
          </wp:anchor>
        </w:drawing>
      </w:r>
    </w:p>
    <w:p>
      <w:pPr>
        <w:ind w:left="1880"/>
        <w:spacing w:after="0"/>
        <w:rPr>
          <w:sz w:val="20"/>
          <w:szCs w:val="20"/>
          <w:color w:val="auto"/>
        </w:rPr>
      </w:pPr>
      <w:r>
        <w:rPr>
          <w:rFonts w:ascii="Arial" w:cs="Arial" w:eastAsia="Arial" w:hAnsi="Arial"/>
          <w:sz w:val="18"/>
          <w:szCs w:val="18"/>
          <w:color w:val="auto"/>
        </w:rPr>
        <w:t>Blue sky qualification fees and expenses</w:t>
      </w:r>
    </w:p>
    <w:p>
      <w:pPr>
        <w:spacing w:after="0" w:line="9" w:lineRule="exact"/>
        <w:rPr>
          <w:sz w:val="20"/>
          <w:szCs w:val="20"/>
          <w:color w:val="auto"/>
        </w:rPr>
      </w:pPr>
    </w:p>
    <w:p>
      <w:pPr>
        <w:ind w:left="1880"/>
        <w:spacing w:after="0"/>
        <w:rPr>
          <w:sz w:val="20"/>
          <w:szCs w:val="20"/>
          <w:color w:val="auto"/>
        </w:rPr>
      </w:pPr>
      <w:r>
        <w:rPr>
          <w:rFonts w:ascii="Arial" w:cs="Arial" w:eastAsia="Arial" w:hAnsi="Arial"/>
          <w:sz w:val="18"/>
          <w:szCs w:val="18"/>
          <w:color w:val="auto"/>
        </w:rPr>
        <w:t>Printing and engraving expenses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1196340</wp:posOffset>
            </wp:positionH>
            <wp:positionV relativeFrom="paragraph">
              <wp:posOffset>5715</wp:posOffset>
            </wp:positionV>
            <wp:extent cx="4749165" cy="137160"/>
            <wp:wrapNone/>
            <wp:docPr id="371" name="Picture 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1"/>
                    <pic:cNvPicPr>
                      <a:picLocks noChangeAspect="1" noChangeArrowheads="1"/>
                    </pic:cNvPicPr>
                  </pic:nvPicPr>
                  <pic:blipFill>
                    <a:blip r:embed="rId378">
                      <a:extLst>
                        <a:ext uri="{28A0092B-C50C-407E-A947-70E740481C1C}"/>
                      </a:extLst>
                    </a:blip>
                    <a:srcRect/>
                    <a:stretch>
                      <a:fillRect/>
                    </a:stretch>
                  </pic:blipFill>
                  <pic:spPr bwMode="auto">
                    <a:xfrm>
                      <a:off x="0" y="0"/>
                      <a:ext cx="4749165" cy="137160"/>
                    </a:xfrm>
                    <a:prstGeom prst="rect">
                      <a:avLst/>
                    </a:prstGeom>
                    <a:noFill/>
                  </pic:spPr>
                </pic:pic>
              </a:graphicData>
            </a:graphic>
          </wp:anchor>
        </w:drawing>
      </w:r>
    </w:p>
    <w:p>
      <w:pPr>
        <w:ind w:left="1880"/>
        <w:spacing w:after="0"/>
        <w:rPr>
          <w:sz w:val="20"/>
          <w:szCs w:val="20"/>
          <w:color w:val="auto"/>
        </w:rPr>
      </w:pPr>
      <w:r>
        <w:rPr>
          <w:rFonts w:ascii="Arial" w:cs="Arial" w:eastAsia="Arial" w:hAnsi="Arial"/>
          <w:sz w:val="18"/>
          <w:szCs w:val="18"/>
          <w:color w:val="auto"/>
        </w:rPr>
        <w:t>Legal fees and expenses</w:t>
      </w:r>
    </w:p>
    <w:p>
      <w:pPr>
        <w:spacing w:after="0" w:line="9" w:lineRule="exact"/>
        <w:rPr>
          <w:sz w:val="20"/>
          <w:szCs w:val="20"/>
          <w:color w:val="auto"/>
        </w:rPr>
      </w:pPr>
    </w:p>
    <w:p>
      <w:pPr>
        <w:ind w:left="1880"/>
        <w:spacing w:after="0"/>
        <w:rPr>
          <w:sz w:val="20"/>
          <w:szCs w:val="20"/>
          <w:color w:val="auto"/>
        </w:rPr>
      </w:pPr>
      <w:r>
        <w:rPr>
          <w:rFonts w:ascii="Arial" w:cs="Arial" w:eastAsia="Arial" w:hAnsi="Arial"/>
          <w:sz w:val="18"/>
          <w:szCs w:val="18"/>
          <w:color w:val="auto"/>
        </w:rPr>
        <w:t>Accounting fees and expenses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1196340</wp:posOffset>
            </wp:positionH>
            <wp:positionV relativeFrom="paragraph">
              <wp:posOffset>5715</wp:posOffset>
            </wp:positionV>
            <wp:extent cx="4749165" cy="137160"/>
            <wp:wrapNone/>
            <wp:docPr id="372" name="Picture 3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2"/>
                    <pic:cNvPicPr>
                      <a:picLocks noChangeAspect="1" noChangeArrowheads="1"/>
                    </pic:cNvPicPr>
                  </pic:nvPicPr>
                  <pic:blipFill>
                    <a:blip r:embed="rId379">
                      <a:extLst>
                        <a:ext uri="{28A0092B-C50C-407E-A947-70E740481C1C}"/>
                      </a:extLst>
                    </a:blip>
                    <a:srcRect/>
                    <a:stretch>
                      <a:fillRect/>
                    </a:stretch>
                  </pic:blipFill>
                  <pic:spPr bwMode="auto">
                    <a:xfrm>
                      <a:off x="0" y="0"/>
                      <a:ext cx="4749165" cy="137160"/>
                    </a:xfrm>
                    <a:prstGeom prst="rect">
                      <a:avLst/>
                    </a:prstGeom>
                    <a:noFill/>
                  </pic:spPr>
                </pic:pic>
              </a:graphicData>
            </a:graphic>
          </wp:anchor>
        </w:drawing>
      </w:r>
    </w:p>
    <w:p>
      <w:pPr>
        <w:ind w:left="1880"/>
        <w:spacing w:after="0"/>
        <w:rPr>
          <w:sz w:val="20"/>
          <w:szCs w:val="20"/>
          <w:color w:val="auto"/>
        </w:rPr>
      </w:pPr>
      <w:r>
        <w:rPr>
          <w:rFonts w:ascii="Arial" w:cs="Arial" w:eastAsia="Arial" w:hAnsi="Arial"/>
          <w:sz w:val="18"/>
          <w:szCs w:val="18"/>
          <w:color w:val="auto"/>
        </w:rPr>
        <w:t>Transfer agent and registrar fees and expenses</w:t>
      </w:r>
    </w:p>
    <w:p>
      <w:pPr>
        <w:spacing w:after="0" w:line="9" w:lineRule="exact"/>
        <w:rPr>
          <w:sz w:val="20"/>
          <w:szCs w:val="20"/>
          <w:color w:val="auto"/>
        </w:rPr>
      </w:pPr>
    </w:p>
    <w:p>
      <w:pPr>
        <w:ind w:left="1880"/>
        <w:spacing w:after="0"/>
        <w:rPr>
          <w:sz w:val="20"/>
          <w:szCs w:val="20"/>
          <w:color w:val="auto"/>
        </w:rPr>
      </w:pPr>
      <w:r>
        <w:rPr>
          <w:rFonts w:ascii="Arial" w:cs="Arial" w:eastAsia="Arial" w:hAnsi="Arial"/>
          <w:sz w:val="18"/>
          <w:szCs w:val="18"/>
          <w:color w:val="auto"/>
        </w:rPr>
        <w:t>Miscellaneous expenses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5062855</wp:posOffset>
            </wp:positionH>
            <wp:positionV relativeFrom="paragraph">
              <wp:posOffset>5715</wp:posOffset>
            </wp:positionV>
            <wp:extent cx="848360" cy="8890"/>
            <wp:wrapNone/>
            <wp:docPr id="373" name="Picture 3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3"/>
                    <pic:cNvPicPr>
                      <a:picLocks noChangeAspect="1" noChangeArrowheads="1"/>
                    </pic:cNvPicPr>
                  </pic:nvPicPr>
                  <pic:blipFill>
                    <a:blip r:embed="rId380">
                      <a:extLst>
                        <a:ext uri="{28A0092B-C50C-407E-A947-70E740481C1C}"/>
                      </a:extLst>
                    </a:blip>
                    <a:srcRect/>
                    <a:stretch>
                      <a:fillRect/>
                    </a:stretch>
                  </pic:blipFill>
                  <pic:spPr bwMode="auto">
                    <a:xfrm>
                      <a:off x="0" y="0"/>
                      <a:ext cx="848360" cy="8890"/>
                    </a:xfrm>
                    <a:prstGeom prst="rect">
                      <a:avLst/>
                    </a:prstGeom>
                    <a:noFill/>
                  </pic:spPr>
                </pic:pic>
              </a:graphicData>
            </a:graphic>
          </wp:anchor>
        </w:drawing>
      </w:r>
    </w:p>
    <w:p>
      <w:pPr>
        <w:spacing w:after="0" w:line="2" w:lineRule="exact"/>
        <w:rPr>
          <w:sz w:val="20"/>
          <w:szCs w:val="20"/>
          <w:color w:val="auto"/>
        </w:rPr>
      </w:pPr>
    </w:p>
    <w:p>
      <w:pPr>
        <w:ind w:left="2240"/>
        <w:spacing w:after="0"/>
        <w:tabs>
          <w:tab w:leader="none" w:pos="7960" w:val="left"/>
        </w:tabs>
        <w:rPr>
          <w:sz w:val="20"/>
          <w:szCs w:val="20"/>
          <w:color w:val="auto"/>
        </w:rPr>
      </w:pPr>
      <w:r>
        <w:rPr>
          <w:rFonts w:ascii="Arial" w:cs="Arial" w:eastAsia="Arial" w:hAnsi="Arial"/>
          <w:sz w:val="18"/>
          <w:szCs w:val="18"/>
          <w:color w:val="auto"/>
        </w:rPr>
        <w:t>Total</w:t>
      </w:r>
      <w:r>
        <w:rPr>
          <w:sz w:val="20"/>
          <w:szCs w:val="20"/>
          <w:color w:val="auto"/>
        </w:rPr>
        <w:tab/>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1196340</wp:posOffset>
            </wp:positionH>
            <wp:positionV relativeFrom="paragraph">
              <wp:posOffset>-121920</wp:posOffset>
            </wp:positionV>
            <wp:extent cx="4749165" cy="163195"/>
            <wp:wrapNone/>
            <wp:docPr id="374" name="Picture 3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4"/>
                    <pic:cNvPicPr>
                      <a:picLocks noChangeAspect="1" noChangeArrowheads="1"/>
                    </pic:cNvPicPr>
                  </pic:nvPicPr>
                  <pic:blipFill>
                    <a:blip r:embed="rId381">
                      <a:extLst>
                        <a:ext uri="{28A0092B-C50C-407E-A947-70E740481C1C}"/>
                      </a:extLst>
                    </a:blip>
                    <a:srcRect/>
                    <a:stretch>
                      <a:fillRect/>
                    </a:stretch>
                  </pic:blipFill>
                  <pic:spPr bwMode="auto">
                    <a:xfrm>
                      <a:off x="0" y="0"/>
                      <a:ext cx="4749165" cy="163195"/>
                    </a:xfrm>
                    <a:prstGeom prst="rect">
                      <a:avLst/>
                    </a:prstGeom>
                    <a:noFill/>
                  </pic:spPr>
                </pic:pic>
              </a:graphicData>
            </a:graphic>
          </wp:anchor>
        </w:drawing>
      </w:r>
    </w:p>
    <w:p>
      <w:pPr>
        <w:spacing w:after="0" w:line="363"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Item 14. Indemnification of Officers and Directors.</w:t>
      </w:r>
    </w:p>
    <w:p>
      <w:pPr>
        <w:spacing w:after="0" w:line="121" w:lineRule="exact"/>
        <w:rPr>
          <w:sz w:val="20"/>
          <w:szCs w:val="20"/>
          <w:color w:val="auto"/>
        </w:rPr>
      </w:pPr>
    </w:p>
    <w:p>
      <w:pPr>
        <w:ind w:left="120" w:firstLine="440"/>
        <w:spacing w:after="0" w:line="286" w:lineRule="auto"/>
        <w:rPr>
          <w:sz w:val="20"/>
          <w:szCs w:val="20"/>
          <w:color w:val="auto"/>
        </w:rPr>
      </w:pPr>
      <w:r>
        <w:rPr>
          <w:rFonts w:ascii="Arial" w:cs="Arial" w:eastAsia="Arial" w:hAnsi="Arial"/>
          <w:sz w:val="16"/>
          <w:szCs w:val="16"/>
          <w:color w:val="auto"/>
        </w:rPr>
        <w:t>The Registrant is governed by the DGCL. Section 145 of the DGCL provides that a corporation may indemnify any person, including an officer or director, who was or is, or is threatened to be made, a party to any threatened, pending or completed legal action, suit or proceeding, whether civil, criminal, administrative or investigative (other than an action by or in the right of such corporation), by reason of the fact that such person was or is an officer, director, employee or agent of such corporation or is or was serving at the request of such corporation as a director, officer, employee or agent of another corporation or enterprise. The indemnity may include expenses (including attorneys’ fees), judgments, fines and amounts paid in settlement actually and reasonably incurred by such person in connection with such action, suit or proceeding, provided such officer, director, employee or agent acted in good faith and in a manner such person reasonably believed to be in, or not opposed to, the corporation’s best interest and, for criminal proceedings, had no reasonable cause to believe that such person’s conduct was unlawful. A Delaware corporation may indemnify any person, including an officer or director, who was or is, or is threatened to be made, a party to any threatened, pending or contemplated action or suit by or in the right of such corporation, under the same conditions, except that such indemnification is limited to expenses (including attorneys’ fees) actually and reasonably incurred by such person, and except that no indemnification is permitted without judicial approval if such person is adjudged to be liable to such corporation. Where an officer or director of a corporation is successful, on the merits or otherwise, in the defense of any action, suit or proceeding referred to above, or any claim, issue or matter therein, the corporation must indemnify that person against the expenses (including attorneys’ fees) which such officer or director actually and reasonably incurred in connection therewith.</w:t>
      </w:r>
    </w:p>
    <w:p>
      <w:pPr>
        <w:spacing w:after="0" w:line="171" w:lineRule="exact"/>
        <w:rPr>
          <w:sz w:val="20"/>
          <w:szCs w:val="20"/>
          <w:color w:val="auto"/>
        </w:rPr>
      </w:pPr>
    </w:p>
    <w:p>
      <w:pPr>
        <w:ind w:left="120" w:right="20" w:firstLine="440"/>
        <w:spacing w:after="0" w:line="255" w:lineRule="auto"/>
        <w:rPr>
          <w:sz w:val="20"/>
          <w:szCs w:val="20"/>
          <w:color w:val="auto"/>
        </w:rPr>
      </w:pPr>
      <w:r>
        <w:rPr>
          <w:rFonts w:ascii="Arial" w:cs="Arial" w:eastAsia="Arial" w:hAnsi="Arial"/>
          <w:sz w:val="18"/>
          <w:szCs w:val="18"/>
          <w:color w:val="auto"/>
        </w:rPr>
        <w:t>The Registrant’s amended and restated bylaws will authorize the indemnification of its officers and directors, consistent with Section 145 of the DGCL, as amended. The Registrant intends to enter into indemnification agreements with each of its executive officers and directors. These agreements, among other things, will require the Registrant to indemnify each executive officer and director to the fullest extent permitted by Delaware law, including indemnification of expenses such as attorneys’ fees, judgments, fines and settlement amounts incurred by the director or executive officer in any action or proceeding, including any action or proceeding by or in right of the Registrant, arising out of the person’s services as a director or executive officer.</w:t>
      </w:r>
    </w:p>
    <w:p>
      <w:pPr>
        <w:spacing w:after="0" w:line="125" w:lineRule="exact"/>
        <w:rPr>
          <w:sz w:val="20"/>
          <w:szCs w:val="20"/>
          <w:color w:val="auto"/>
        </w:rPr>
      </w:pPr>
    </w:p>
    <w:p>
      <w:pPr>
        <w:jc w:val="center"/>
        <w:ind w:right="-359"/>
        <w:spacing w:after="0"/>
        <w:rPr>
          <w:sz w:val="20"/>
          <w:szCs w:val="20"/>
          <w:color w:val="auto"/>
        </w:rPr>
      </w:pPr>
      <w:r>
        <w:rPr>
          <w:rFonts w:ascii="Arial" w:cs="Arial" w:eastAsia="Arial" w:hAnsi="Arial"/>
          <w:sz w:val="18"/>
          <w:szCs w:val="18"/>
          <w:color w:val="auto"/>
        </w:rPr>
        <w:t>II-1</w:t>
      </w:r>
    </w:p>
    <w:p>
      <w:pPr>
        <w:sectPr>
          <w:pgSz w:w="11900" w:h="16838" w:orient="portrait"/>
          <w:cols w:equalWidth="0" w:num="1">
            <w:col w:w="11120"/>
          </w:cols>
          <w:pgMar w:left="320" w:top="459" w:right="459" w:bottom="1440" w:gutter="0" w:footer="0" w:header="0"/>
        </w:sectPr>
      </w:pPr>
    </w:p>
    <w:bookmarkStart w:id="282" w:name="page283"/>
    <w:bookmarkEnd w:id="28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75" name="Picture 3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5"/>
                    <pic:cNvPicPr>
                      <a:picLocks noChangeAspect="1" noChangeArrowheads="1"/>
                    </pic:cNvPicPr>
                  </pic:nvPicPr>
                  <pic:blipFill>
                    <a:blip r:embed="rId382">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Confidential Treatment Requested by Definitive Healthcare Corp.</w:t>
      </w:r>
    </w:p>
    <w:p>
      <w:pPr>
        <w:spacing w:after="0" w:line="27"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Pursuant to 17 C.F.R. Section 200.83</w:t>
      </w:r>
    </w:p>
    <w:p>
      <w:pPr>
        <w:spacing w:after="0" w:line="143" w:lineRule="exact"/>
        <w:rPr>
          <w:sz w:val="20"/>
          <w:szCs w:val="20"/>
          <w:color w:val="auto"/>
        </w:rPr>
      </w:pPr>
    </w:p>
    <w:p>
      <w:pPr>
        <w:ind w:left="120" w:firstLine="440"/>
        <w:spacing w:after="0" w:line="296" w:lineRule="auto"/>
        <w:rPr>
          <w:sz w:val="20"/>
          <w:szCs w:val="20"/>
          <w:color w:val="auto"/>
        </w:rPr>
      </w:pPr>
      <w:r>
        <w:rPr>
          <w:rFonts w:ascii="Arial" w:cs="Arial" w:eastAsia="Arial" w:hAnsi="Arial"/>
          <w:sz w:val="16"/>
          <w:szCs w:val="16"/>
          <w:color w:val="auto"/>
        </w:rPr>
        <w:t>Reference is made to Section 102(b)(7) of the DGCL, which enables a corporation in its original amended and restated certificate of incorporation or an amendment thereto to eliminate or limit the personal liability of a director for violations of the director’s fiduciary duty, except (i) for any breach of the director’s duty of loyalty to the corporation or its stockholders, (ii) for acts or omissions not in good faith or which involve intentional misconduct or a knowing violation of law, (iii) pursuant to Section 174 of the DGCL, which provides for liability of directors for unlawful payments of dividends of unlawful stock purchase or redemptions, or (iv) for any transaction from which a director derived an improper personal benefit.</w:t>
      </w:r>
    </w:p>
    <w:p>
      <w:pPr>
        <w:spacing w:after="0" w:line="161" w:lineRule="exact"/>
        <w:rPr>
          <w:sz w:val="20"/>
          <w:szCs w:val="20"/>
          <w:color w:val="auto"/>
        </w:rPr>
      </w:pPr>
    </w:p>
    <w:p>
      <w:pPr>
        <w:ind w:left="120" w:right="240" w:firstLine="440"/>
        <w:spacing w:after="0" w:line="263" w:lineRule="auto"/>
        <w:rPr>
          <w:sz w:val="20"/>
          <w:szCs w:val="20"/>
          <w:color w:val="auto"/>
        </w:rPr>
      </w:pPr>
      <w:r>
        <w:rPr>
          <w:rFonts w:ascii="Arial" w:cs="Arial" w:eastAsia="Arial" w:hAnsi="Arial"/>
          <w:sz w:val="18"/>
          <w:szCs w:val="18"/>
          <w:color w:val="auto"/>
        </w:rPr>
        <w:t>The Registrant expects to maintain standard policies of insurance that provide coverage (i) to its directors and officers against loss rising from claims made by reason of breach of duty or other wrongful act and (ii) to the Registrant with respect to indemnification payments that it may make to such directors and officers.</w:t>
      </w:r>
    </w:p>
    <w:p>
      <w:pPr>
        <w:spacing w:after="0" w:line="184" w:lineRule="exact"/>
        <w:rPr>
          <w:sz w:val="20"/>
          <w:szCs w:val="20"/>
          <w:color w:val="auto"/>
        </w:rPr>
      </w:pPr>
    </w:p>
    <w:p>
      <w:pPr>
        <w:ind w:left="120" w:right="560" w:firstLine="440"/>
        <w:spacing w:after="0" w:line="277" w:lineRule="auto"/>
        <w:rPr>
          <w:sz w:val="20"/>
          <w:szCs w:val="20"/>
          <w:color w:val="auto"/>
        </w:rPr>
      </w:pPr>
      <w:r>
        <w:rPr>
          <w:rFonts w:ascii="Arial" w:cs="Arial" w:eastAsia="Arial" w:hAnsi="Arial"/>
          <w:sz w:val="18"/>
          <w:szCs w:val="18"/>
          <w:color w:val="auto"/>
        </w:rPr>
        <w:t>The proposed form of Underwriting Agreement to be filed as Exhibit 1.1 to this Registration Statement provides for indemnification to the Registrant’s directors and officers by the underwriters against certain liabilities.</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Item 15. Recent Sales of Unregistered Securities</w:t>
      </w:r>
    </w:p>
    <w:p>
      <w:pPr>
        <w:spacing w:after="0" w:line="121" w:lineRule="exact"/>
        <w:rPr>
          <w:sz w:val="20"/>
          <w:szCs w:val="20"/>
          <w:color w:val="auto"/>
        </w:rPr>
      </w:pPr>
    </w:p>
    <w:p>
      <w:pPr>
        <w:ind w:left="120" w:right="640" w:firstLine="440"/>
        <w:spacing w:after="0" w:line="277" w:lineRule="auto"/>
        <w:rPr>
          <w:sz w:val="20"/>
          <w:szCs w:val="20"/>
          <w:color w:val="auto"/>
        </w:rPr>
      </w:pPr>
      <w:r>
        <w:rPr>
          <w:rFonts w:ascii="Arial" w:cs="Arial" w:eastAsia="Arial" w:hAnsi="Arial"/>
          <w:sz w:val="18"/>
          <w:szCs w:val="18"/>
          <w:color w:val="auto"/>
        </w:rPr>
        <w:t>The following sets forth information regarding all unregistered securities sold by the Registrant in transactions that were exempt from the requirements of the Securities Act in the last three years</w:t>
      </w:r>
      <w:r>
        <w:rPr>
          <w:rFonts w:ascii="Arial" w:cs="Arial" w:eastAsia="Arial" w:hAnsi="Arial"/>
          <w:sz w:val="18"/>
          <w:szCs w:val="18"/>
          <w:b w:val="1"/>
          <w:bCs w:val="1"/>
          <w:color w:val="auto"/>
        </w:rPr>
        <w:t>:</w:t>
      </w:r>
    </w:p>
    <w:p>
      <w:pPr>
        <w:spacing w:after="0" w:line="76" w:lineRule="exact"/>
        <w:rPr>
          <w:sz w:val="20"/>
          <w:szCs w:val="20"/>
          <w:color w:val="auto"/>
        </w:rPr>
      </w:pPr>
    </w:p>
    <w:p>
      <w:pPr>
        <w:ind w:left="540" w:right="180" w:hanging="316"/>
        <w:spacing w:after="0" w:line="263" w:lineRule="auto"/>
        <w:tabs>
          <w:tab w:leader="none" w:pos="540" w:val="left"/>
        </w:tabs>
        <w:numPr>
          <w:ilvl w:val="0"/>
          <w:numId w:val="221"/>
        </w:numPr>
        <w:rPr>
          <w:rFonts w:ascii="Arial" w:cs="Arial" w:eastAsia="Arial" w:hAnsi="Arial"/>
          <w:sz w:val="18"/>
          <w:szCs w:val="18"/>
          <w:color w:val="auto"/>
        </w:rPr>
      </w:pPr>
      <w:r>
        <w:rPr>
          <w:rFonts w:ascii="Arial" w:cs="Arial" w:eastAsia="Arial" w:hAnsi="Arial"/>
          <w:sz w:val="18"/>
          <w:szCs w:val="18"/>
          <w:color w:val="auto"/>
        </w:rPr>
        <w:t>On July 19, 2019, in connection with the acquisition of the Registrant by funds managed by Advent International Corporation, the Registrant issued 126,725,743 Class A Units to its stockholders, comprising AIDH Holdings, Inc., funds affiliated with Spectrum Equity, Jason Krantz and AIDH Management Holdings, LLC, for $10.00 per unit for total consideration of $1,267,257,433.</w:t>
      </w:r>
    </w:p>
    <w:p>
      <w:pPr>
        <w:spacing w:after="0" w:line="89" w:lineRule="exact"/>
        <w:rPr>
          <w:rFonts w:ascii="Arial" w:cs="Arial" w:eastAsia="Arial" w:hAnsi="Arial"/>
          <w:sz w:val="18"/>
          <w:szCs w:val="18"/>
          <w:color w:val="auto"/>
        </w:rPr>
      </w:pPr>
    </w:p>
    <w:p>
      <w:pPr>
        <w:ind w:left="540" w:right="520" w:hanging="316"/>
        <w:spacing w:after="0" w:line="277" w:lineRule="auto"/>
        <w:tabs>
          <w:tab w:leader="none" w:pos="540" w:val="left"/>
        </w:tabs>
        <w:numPr>
          <w:ilvl w:val="0"/>
          <w:numId w:val="221"/>
        </w:numPr>
        <w:rPr>
          <w:rFonts w:ascii="Arial" w:cs="Arial" w:eastAsia="Arial" w:hAnsi="Arial"/>
          <w:sz w:val="18"/>
          <w:szCs w:val="18"/>
          <w:color w:val="auto"/>
        </w:rPr>
      </w:pPr>
      <w:r>
        <w:rPr>
          <w:rFonts w:ascii="Arial" w:cs="Arial" w:eastAsia="Arial" w:hAnsi="Arial"/>
          <w:sz w:val="18"/>
          <w:szCs w:val="18"/>
          <w:color w:val="auto"/>
        </w:rPr>
        <w:t>On September 13, 2019, the Registrant issued 1,348,146 Class B Units to Jason Krantz and 2,138,495 Class B Units to AIDH Management Holdings, LLC in connection with the adoption of and pursuant to the 2019 Plan.</w:t>
      </w:r>
    </w:p>
    <w:p>
      <w:pPr>
        <w:spacing w:after="0" w:line="75" w:lineRule="exact"/>
        <w:rPr>
          <w:rFonts w:ascii="Arial" w:cs="Arial" w:eastAsia="Arial" w:hAnsi="Arial"/>
          <w:sz w:val="18"/>
          <w:szCs w:val="18"/>
          <w:color w:val="auto"/>
        </w:rPr>
      </w:pPr>
    </w:p>
    <w:p>
      <w:pPr>
        <w:ind w:left="540" w:hanging="316"/>
        <w:spacing w:after="0" w:line="277" w:lineRule="auto"/>
        <w:tabs>
          <w:tab w:leader="none" w:pos="540" w:val="left"/>
        </w:tabs>
        <w:numPr>
          <w:ilvl w:val="0"/>
          <w:numId w:val="221"/>
        </w:numPr>
        <w:rPr>
          <w:rFonts w:ascii="Arial" w:cs="Arial" w:eastAsia="Arial" w:hAnsi="Arial"/>
          <w:sz w:val="18"/>
          <w:szCs w:val="18"/>
          <w:color w:val="auto"/>
        </w:rPr>
      </w:pPr>
      <w:r>
        <w:rPr>
          <w:rFonts w:ascii="Arial" w:cs="Arial" w:eastAsia="Arial" w:hAnsi="Arial"/>
          <w:sz w:val="18"/>
          <w:szCs w:val="18"/>
          <w:color w:val="auto"/>
        </w:rPr>
        <w:t>On December 2, 2019, in connection with the HSE acquisition, the Registrant issued 399,692 Class A Units to AIDH Management Holdings, LLC as indirect consideration for certain equity interests of Healthcare Sales Enablement, Inc.</w:t>
      </w:r>
    </w:p>
    <w:p>
      <w:pPr>
        <w:spacing w:after="0" w:line="75" w:lineRule="exact"/>
        <w:rPr>
          <w:rFonts w:ascii="Arial" w:cs="Arial" w:eastAsia="Arial" w:hAnsi="Arial"/>
          <w:sz w:val="18"/>
          <w:szCs w:val="18"/>
          <w:color w:val="auto"/>
        </w:rPr>
      </w:pPr>
    </w:p>
    <w:p>
      <w:pPr>
        <w:ind w:left="540" w:right="140" w:hanging="316"/>
        <w:spacing w:after="0" w:line="342" w:lineRule="auto"/>
        <w:tabs>
          <w:tab w:leader="none" w:pos="540" w:val="left"/>
        </w:tabs>
        <w:numPr>
          <w:ilvl w:val="0"/>
          <w:numId w:val="221"/>
        </w:numPr>
        <w:rPr>
          <w:rFonts w:ascii="Arial" w:cs="Arial" w:eastAsia="Arial" w:hAnsi="Arial"/>
          <w:sz w:val="16"/>
          <w:szCs w:val="16"/>
          <w:color w:val="auto"/>
        </w:rPr>
      </w:pPr>
      <w:r>
        <w:rPr>
          <w:rFonts w:ascii="Arial" w:cs="Arial" w:eastAsia="Arial" w:hAnsi="Arial"/>
          <w:sz w:val="16"/>
          <w:szCs w:val="16"/>
          <w:color w:val="auto"/>
        </w:rPr>
        <w:t>On October 12, 2020, Samuel Allen Hamood Trust U/A 8/27/2010 purchased 294,118 Class A Common Units of OpCo through his subscription for and purchase of 294,118 Class A Common Units of AIDH Management Holdings, LLC for an aggregate purchase price of $3,000,000.</w:t>
      </w:r>
    </w:p>
    <w:p>
      <w:pPr>
        <w:spacing w:after="0" w:line="29" w:lineRule="exact"/>
        <w:rPr>
          <w:rFonts w:ascii="Arial" w:cs="Arial" w:eastAsia="Arial" w:hAnsi="Arial"/>
          <w:sz w:val="16"/>
          <w:szCs w:val="16"/>
          <w:color w:val="auto"/>
        </w:rPr>
      </w:pPr>
    </w:p>
    <w:p>
      <w:pPr>
        <w:ind w:left="540" w:right="980" w:hanging="316"/>
        <w:spacing w:after="0" w:line="277" w:lineRule="auto"/>
        <w:tabs>
          <w:tab w:leader="none" w:pos="540" w:val="left"/>
        </w:tabs>
        <w:numPr>
          <w:ilvl w:val="0"/>
          <w:numId w:val="221"/>
        </w:numPr>
        <w:rPr>
          <w:rFonts w:ascii="Arial" w:cs="Arial" w:eastAsia="Arial" w:hAnsi="Arial"/>
          <w:sz w:val="18"/>
          <w:szCs w:val="18"/>
          <w:color w:val="auto"/>
        </w:rPr>
      </w:pPr>
      <w:r>
        <w:rPr>
          <w:rFonts w:ascii="Arial" w:cs="Arial" w:eastAsia="Arial" w:hAnsi="Arial"/>
          <w:sz w:val="18"/>
          <w:szCs w:val="18"/>
          <w:color w:val="auto"/>
        </w:rPr>
        <w:t>On October 26, 2020, the Registrant issued 624,118 Class A Units to AIDH Management Holdings, LLC for $10.19 per unit for total consideration of $6,366,000.00.</w:t>
      </w:r>
    </w:p>
    <w:p>
      <w:pPr>
        <w:spacing w:after="0" w:line="75" w:lineRule="exact"/>
        <w:rPr>
          <w:rFonts w:ascii="Arial" w:cs="Arial" w:eastAsia="Arial" w:hAnsi="Arial"/>
          <w:sz w:val="18"/>
          <w:szCs w:val="18"/>
          <w:color w:val="auto"/>
        </w:rPr>
      </w:pPr>
    </w:p>
    <w:p>
      <w:pPr>
        <w:ind w:left="540" w:right="100" w:hanging="316"/>
        <w:spacing w:after="0" w:line="277" w:lineRule="auto"/>
        <w:tabs>
          <w:tab w:leader="none" w:pos="540" w:val="left"/>
        </w:tabs>
        <w:numPr>
          <w:ilvl w:val="0"/>
          <w:numId w:val="221"/>
        </w:numPr>
        <w:rPr>
          <w:rFonts w:ascii="Arial" w:cs="Arial" w:eastAsia="Arial" w:hAnsi="Arial"/>
          <w:sz w:val="18"/>
          <w:szCs w:val="18"/>
          <w:color w:val="auto"/>
        </w:rPr>
      </w:pPr>
      <w:r>
        <w:rPr>
          <w:rFonts w:ascii="Arial" w:cs="Arial" w:eastAsia="Arial" w:hAnsi="Arial"/>
          <w:sz w:val="18"/>
          <w:szCs w:val="18"/>
          <w:color w:val="auto"/>
        </w:rPr>
        <w:t>On October 27, 2020, in connection with the Monocl acquisition, the Registrant issued 2,367,950 Class A Units to AIDH Management Holdings, LLC for $10.19 per unit for total consideration of $24,129,414.54.</w:t>
      </w:r>
    </w:p>
    <w:p>
      <w:pPr>
        <w:spacing w:after="0" w:line="75" w:lineRule="exact"/>
        <w:rPr>
          <w:rFonts w:ascii="Arial" w:cs="Arial" w:eastAsia="Arial" w:hAnsi="Arial"/>
          <w:sz w:val="18"/>
          <w:szCs w:val="18"/>
          <w:color w:val="auto"/>
        </w:rPr>
      </w:pPr>
    </w:p>
    <w:p>
      <w:pPr>
        <w:ind w:left="540" w:right="240" w:hanging="316"/>
        <w:spacing w:after="0" w:line="277" w:lineRule="auto"/>
        <w:tabs>
          <w:tab w:leader="none" w:pos="540" w:val="left"/>
        </w:tabs>
        <w:numPr>
          <w:ilvl w:val="0"/>
          <w:numId w:val="221"/>
        </w:numPr>
        <w:rPr>
          <w:rFonts w:ascii="Arial" w:cs="Arial" w:eastAsia="Arial" w:hAnsi="Arial"/>
          <w:sz w:val="18"/>
          <w:szCs w:val="18"/>
          <w:color w:val="auto"/>
        </w:rPr>
      </w:pPr>
      <w:r>
        <w:rPr>
          <w:rFonts w:ascii="Arial" w:cs="Arial" w:eastAsia="Arial" w:hAnsi="Arial"/>
          <w:sz w:val="18"/>
          <w:szCs w:val="18"/>
          <w:color w:val="auto"/>
        </w:rPr>
        <w:t>On October 27, 2020, in connection with the Monocl acquisition, the Registrant issued 128,487 Class A Units to AIDH Management Holdings, LLC as indirect consideration for certain equity interests of Monocl Holding Company.</w:t>
      </w:r>
    </w:p>
    <w:p>
      <w:pPr>
        <w:spacing w:after="0" w:line="75" w:lineRule="exact"/>
        <w:rPr>
          <w:rFonts w:ascii="Arial" w:cs="Arial" w:eastAsia="Arial" w:hAnsi="Arial"/>
          <w:sz w:val="18"/>
          <w:szCs w:val="18"/>
          <w:color w:val="auto"/>
        </w:rPr>
      </w:pPr>
    </w:p>
    <w:p>
      <w:pPr>
        <w:ind w:left="540" w:hanging="316"/>
        <w:spacing w:after="0"/>
        <w:tabs>
          <w:tab w:leader="none" w:pos="540" w:val="left"/>
        </w:tabs>
        <w:numPr>
          <w:ilvl w:val="0"/>
          <w:numId w:val="221"/>
        </w:numPr>
        <w:rPr>
          <w:rFonts w:ascii="Arial" w:cs="Arial" w:eastAsia="Arial" w:hAnsi="Arial"/>
          <w:sz w:val="17"/>
          <w:szCs w:val="17"/>
          <w:color w:val="auto"/>
        </w:rPr>
      </w:pPr>
      <w:r>
        <w:rPr>
          <w:rFonts w:ascii="Arial" w:cs="Arial" w:eastAsia="Arial" w:hAnsi="Arial"/>
          <w:sz w:val="17"/>
          <w:szCs w:val="17"/>
          <w:color w:val="auto"/>
        </w:rPr>
        <w:t>On November 2, 2020, Michael Liu purchased 330,000 Class A Common Units of OpCo for an aggregate purchase price of $3,366,000.</w:t>
      </w:r>
    </w:p>
    <w:p>
      <w:pPr>
        <w:spacing w:after="0" w:line="142" w:lineRule="exact"/>
        <w:rPr>
          <w:rFonts w:ascii="Arial" w:cs="Arial" w:eastAsia="Arial" w:hAnsi="Arial"/>
          <w:sz w:val="17"/>
          <w:szCs w:val="17"/>
          <w:color w:val="auto"/>
        </w:rPr>
      </w:pPr>
    </w:p>
    <w:p>
      <w:pPr>
        <w:ind w:left="540" w:right="140" w:hanging="316"/>
        <w:spacing w:after="0" w:line="277" w:lineRule="auto"/>
        <w:tabs>
          <w:tab w:leader="none" w:pos="540" w:val="left"/>
        </w:tabs>
        <w:numPr>
          <w:ilvl w:val="0"/>
          <w:numId w:val="221"/>
        </w:numPr>
        <w:rPr>
          <w:rFonts w:ascii="Arial" w:cs="Arial" w:eastAsia="Arial" w:hAnsi="Arial"/>
          <w:sz w:val="18"/>
          <w:szCs w:val="18"/>
          <w:color w:val="auto"/>
        </w:rPr>
      </w:pPr>
      <w:r>
        <w:rPr>
          <w:rFonts w:ascii="Arial" w:cs="Arial" w:eastAsia="Arial" w:hAnsi="Arial"/>
          <w:sz w:val="18"/>
          <w:szCs w:val="18"/>
          <w:color w:val="auto"/>
        </w:rPr>
        <w:t>On May 20, 2021, the Registrant issued 33,047 Class A units to AIDH Management Holdings, LLC for $15.13 per unit for total consideration of $500,000.</w:t>
      </w:r>
    </w:p>
    <w:p>
      <w:pPr>
        <w:spacing w:after="0" w:line="75" w:lineRule="exact"/>
        <w:rPr>
          <w:rFonts w:ascii="Arial" w:cs="Arial" w:eastAsia="Arial" w:hAnsi="Arial"/>
          <w:sz w:val="18"/>
          <w:szCs w:val="18"/>
          <w:color w:val="auto"/>
        </w:rPr>
      </w:pPr>
    </w:p>
    <w:p>
      <w:pPr>
        <w:ind w:left="540" w:right="320" w:hanging="316"/>
        <w:spacing w:after="0" w:line="277" w:lineRule="auto"/>
        <w:tabs>
          <w:tab w:leader="none" w:pos="540" w:val="left"/>
        </w:tabs>
        <w:numPr>
          <w:ilvl w:val="0"/>
          <w:numId w:val="221"/>
        </w:numPr>
        <w:rPr>
          <w:rFonts w:ascii="Arial" w:cs="Arial" w:eastAsia="Arial" w:hAnsi="Arial"/>
          <w:sz w:val="18"/>
          <w:szCs w:val="18"/>
          <w:color w:val="auto"/>
        </w:rPr>
      </w:pPr>
      <w:r>
        <w:rPr>
          <w:rFonts w:ascii="Arial" w:cs="Arial" w:eastAsia="Arial" w:hAnsi="Arial"/>
          <w:sz w:val="18"/>
          <w:szCs w:val="18"/>
          <w:color w:val="auto"/>
        </w:rPr>
        <w:t>On May 20, 2021 Ms. Larsen purchased 33,047 Class A Common Units of OpCo through her subscription for and purchase of 33,047 Class A Common Units of AIDH Management Holdings, LLC for an aggregate purchase price of $500,000.</w:t>
      </w:r>
    </w:p>
    <w:p>
      <w:pPr>
        <w:spacing w:after="0" w:line="103" w:lineRule="exact"/>
        <w:rPr>
          <w:sz w:val="20"/>
          <w:szCs w:val="20"/>
          <w:color w:val="auto"/>
        </w:rPr>
      </w:pPr>
    </w:p>
    <w:p>
      <w:pPr>
        <w:jc w:val="center"/>
        <w:ind w:right="-379"/>
        <w:spacing w:after="0"/>
        <w:rPr>
          <w:sz w:val="20"/>
          <w:szCs w:val="20"/>
          <w:color w:val="auto"/>
        </w:rPr>
      </w:pPr>
      <w:r>
        <w:rPr>
          <w:rFonts w:ascii="Arial" w:cs="Arial" w:eastAsia="Arial" w:hAnsi="Arial"/>
          <w:sz w:val="18"/>
          <w:szCs w:val="18"/>
          <w:color w:val="auto"/>
        </w:rPr>
        <w:t>II-2</w:t>
      </w:r>
    </w:p>
    <w:p>
      <w:pPr>
        <w:sectPr>
          <w:pgSz w:w="11900" w:h="16838" w:orient="portrait"/>
          <w:cols w:equalWidth="0" w:num="1">
            <w:col w:w="11100"/>
          </w:cols>
          <w:pgMar w:left="320" w:top="459" w:right="479" w:bottom="1440" w:gutter="0" w:footer="0" w:header="0"/>
        </w:sectPr>
      </w:pPr>
    </w:p>
    <w:bookmarkStart w:id="283" w:name="page284"/>
    <w:bookmarkEnd w:id="28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76" name="Picture 3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6"/>
                    <pic:cNvPicPr>
                      <a:picLocks noChangeAspect="1" noChangeArrowheads="1"/>
                    </pic:cNvPicPr>
                  </pic:nvPicPr>
                  <pic:blipFill>
                    <a:blip r:embed="rId383">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Confidential Treatment Requested by Definitive Healthcare Corp.</w:t>
      </w:r>
    </w:p>
    <w:p>
      <w:pPr>
        <w:spacing w:after="0" w:line="27"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Pursuant to 17 C.F.R. Section 200.83</w:t>
      </w:r>
    </w:p>
    <w:p>
      <w:pPr>
        <w:spacing w:after="0" w:line="143" w:lineRule="exact"/>
        <w:rPr>
          <w:sz w:val="20"/>
          <w:szCs w:val="20"/>
          <w:color w:val="auto"/>
        </w:rPr>
      </w:pPr>
    </w:p>
    <w:p>
      <w:pPr>
        <w:ind w:left="540" w:right="260" w:hanging="316"/>
        <w:spacing w:after="0" w:line="342" w:lineRule="auto"/>
        <w:tabs>
          <w:tab w:leader="none" w:pos="540" w:val="left"/>
        </w:tabs>
        <w:numPr>
          <w:ilvl w:val="0"/>
          <w:numId w:val="222"/>
        </w:numPr>
        <w:rPr>
          <w:rFonts w:ascii="Arial" w:cs="Arial" w:eastAsia="Arial" w:hAnsi="Arial"/>
          <w:sz w:val="16"/>
          <w:szCs w:val="16"/>
          <w:color w:val="auto"/>
        </w:rPr>
      </w:pPr>
      <w:r>
        <w:rPr>
          <w:rFonts w:ascii="Arial" w:cs="Arial" w:eastAsia="Arial" w:hAnsi="Arial"/>
          <w:sz w:val="16"/>
          <w:szCs w:val="16"/>
          <w:color w:val="auto"/>
        </w:rPr>
        <w:t>In June 2021, the Robert Musslewhite 2014 Family Trust purchased 330,469 Class A Common Units of OpCo through the subscription for and purchase of 330,469 Class A Common Units of AIDH Management Holdings, LLC, for an aggregate purchase price of $5,000,000.</w:t>
      </w:r>
    </w:p>
    <w:p>
      <w:pPr>
        <w:spacing w:after="0" w:line="124" w:lineRule="exact"/>
        <w:rPr>
          <w:sz w:val="20"/>
          <w:szCs w:val="20"/>
          <w:color w:val="auto"/>
        </w:rPr>
      </w:pPr>
    </w:p>
    <w:p>
      <w:pPr>
        <w:ind w:left="120" w:right="240" w:firstLine="440"/>
        <w:spacing w:after="0" w:line="296" w:lineRule="auto"/>
        <w:rPr>
          <w:sz w:val="20"/>
          <w:szCs w:val="20"/>
          <w:color w:val="auto"/>
        </w:rPr>
      </w:pPr>
      <w:r>
        <w:rPr>
          <w:rFonts w:ascii="Arial" w:cs="Arial" w:eastAsia="Arial" w:hAnsi="Arial"/>
          <w:sz w:val="16"/>
          <w:szCs w:val="16"/>
          <w:color w:val="auto"/>
        </w:rPr>
        <w:t>The shares of Class A common stock in all of the transactions listed above were issued or will be issued in reliance upon Section 4(2) of the Securities Act or Rule 701 promulgated under Section 3(b) of the Securities Act as the sale of such securities did not or will not involve a public offering. The recipients of the securities in each of these transactions represented their intentions to acquire the securities for investment only and not with a view to or for sale in connection with any distribution thereof, and appropriate legends were placed upon the stock certificates issued in these transactions. All recipients had adequate access, through their relationships with the Registrant, to information about the Registrant.</w:t>
      </w:r>
    </w:p>
    <w:p>
      <w:pPr>
        <w:spacing w:after="0" w:line="26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Item 16. Exhibits and Financial Statement Schedules</w:t>
      </w:r>
    </w:p>
    <w:p>
      <w:pPr>
        <w:spacing w:after="0" w:line="117"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(a) Exhibits:</w:t>
      </w:r>
    </w:p>
    <w:p>
      <w:pPr>
        <w:spacing w:after="0" w:line="248"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720" w:type="dxa"/>
            <w:vAlign w:val="bottom"/>
          </w:tcPr>
          <w:p>
            <w:pPr>
              <w:jc w:val="right"/>
              <w:spacing w:after="0"/>
              <w:rPr>
                <w:sz w:val="20"/>
                <w:szCs w:val="20"/>
                <w:color w:val="auto"/>
              </w:rPr>
            </w:pPr>
            <w:r>
              <w:rPr>
                <w:rFonts w:ascii="Arial" w:cs="Arial" w:eastAsia="Arial" w:hAnsi="Arial"/>
                <w:sz w:val="14"/>
                <w:szCs w:val="14"/>
                <w:b w:val="1"/>
                <w:bCs w:val="1"/>
                <w:color w:val="auto"/>
                <w:w w:val="92"/>
              </w:rPr>
              <w:t>Exhibit No.</w:t>
            </w:r>
          </w:p>
        </w:tc>
        <w:tc>
          <w:tcPr>
            <w:tcW w:w="10260" w:type="dxa"/>
            <w:vAlign w:val="bottom"/>
            <w:gridSpan w:val="3"/>
          </w:tcPr>
          <w:p>
            <w:pPr>
              <w:ind w:left="5220"/>
              <w:spacing w:after="0"/>
              <w:rPr>
                <w:sz w:val="20"/>
                <w:szCs w:val="20"/>
                <w:color w:val="auto"/>
              </w:rPr>
            </w:pPr>
            <w:r>
              <w:rPr>
                <w:rFonts w:ascii="Arial" w:cs="Arial" w:eastAsia="Arial" w:hAnsi="Arial"/>
                <w:sz w:val="14"/>
                <w:szCs w:val="14"/>
                <w:b w:val="1"/>
                <w:bCs w:val="1"/>
                <w:color w:val="auto"/>
              </w:rPr>
              <w:t>Description</w:t>
            </w:r>
          </w:p>
        </w:tc>
      </w:tr>
      <w:tr>
        <w:trPr>
          <w:trHeight w:val="318"/>
        </w:trPr>
        <w:tc>
          <w:tcPr>
            <w:tcW w:w="720" w:type="dxa"/>
            <w:vAlign w:val="bottom"/>
            <w:tcBorders>
              <w:top w:val="single" w:sz="8" w:color="auto"/>
            </w:tcBorders>
          </w:tcPr>
          <w:p>
            <w:pPr>
              <w:jc w:val="right"/>
              <w:ind w:right="311"/>
              <w:spacing w:after="0"/>
              <w:rPr>
                <w:sz w:val="20"/>
                <w:szCs w:val="20"/>
                <w:color w:val="auto"/>
              </w:rPr>
            </w:pPr>
            <w:r>
              <w:rPr>
                <w:rFonts w:ascii="Arial" w:cs="Arial" w:eastAsia="Arial" w:hAnsi="Arial"/>
                <w:sz w:val="18"/>
                <w:szCs w:val="18"/>
                <w:color w:val="auto"/>
              </w:rPr>
              <w:t>1.1</w:t>
            </w:r>
          </w:p>
        </w:tc>
        <w:tc>
          <w:tcPr>
            <w:tcW w:w="5220" w:type="dxa"/>
            <w:vAlign w:val="bottom"/>
          </w:tcPr>
          <w:p>
            <w:pPr>
              <w:ind w:left="840"/>
              <w:spacing w:after="0"/>
              <w:rPr>
                <w:sz w:val="20"/>
                <w:szCs w:val="20"/>
                <w:color w:val="auto"/>
              </w:rPr>
            </w:pPr>
            <w:r>
              <w:rPr>
                <w:rFonts w:ascii="Arial" w:cs="Arial" w:eastAsia="Arial" w:hAnsi="Arial"/>
                <w:sz w:val="18"/>
                <w:szCs w:val="18"/>
                <w:color w:val="auto"/>
              </w:rPr>
              <w:t>Form of Underwriting Agreement.**</w:t>
            </w:r>
          </w:p>
        </w:tc>
        <w:tc>
          <w:tcPr>
            <w:tcW w:w="720" w:type="dxa"/>
            <w:vAlign w:val="bottom"/>
            <w:tcBorders>
              <w:top w:val="single" w:sz="8" w:color="auto"/>
            </w:tcBorders>
          </w:tcPr>
          <w:p>
            <w:pPr>
              <w:spacing w:after="0"/>
              <w:rPr>
                <w:sz w:val="24"/>
                <w:szCs w:val="24"/>
                <w:color w:val="auto"/>
              </w:rPr>
            </w:pPr>
          </w:p>
        </w:tc>
        <w:tc>
          <w:tcPr>
            <w:tcW w:w="4320" w:type="dxa"/>
            <w:vAlign w:val="bottom"/>
          </w:tcPr>
          <w:p>
            <w:pPr>
              <w:spacing w:after="0"/>
              <w:rPr>
                <w:sz w:val="24"/>
                <w:szCs w:val="24"/>
                <w:color w:val="auto"/>
              </w:rPr>
            </w:pPr>
          </w:p>
        </w:tc>
      </w:tr>
      <w:tr>
        <w:trPr>
          <w:trHeight w:val="310"/>
        </w:trPr>
        <w:tc>
          <w:tcPr>
            <w:tcW w:w="720" w:type="dxa"/>
            <w:vAlign w:val="bottom"/>
          </w:tcPr>
          <w:p>
            <w:pPr>
              <w:jc w:val="right"/>
              <w:ind w:right="311"/>
              <w:spacing w:after="0"/>
              <w:rPr>
                <w:sz w:val="20"/>
                <w:szCs w:val="20"/>
                <w:color w:val="auto"/>
              </w:rPr>
            </w:pPr>
            <w:r>
              <w:rPr>
                <w:rFonts w:ascii="Arial" w:cs="Arial" w:eastAsia="Arial" w:hAnsi="Arial"/>
                <w:sz w:val="18"/>
                <w:szCs w:val="18"/>
                <w:color w:val="auto"/>
              </w:rPr>
              <w:t>3.1</w:t>
            </w:r>
          </w:p>
        </w:tc>
        <w:tc>
          <w:tcPr>
            <w:tcW w:w="10260" w:type="dxa"/>
            <w:vAlign w:val="bottom"/>
            <w:gridSpan w:val="3"/>
          </w:tcPr>
          <w:p>
            <w:pPr>
              <w:ind w:left="840"/>
              <w:spacing w:after="0"/>
              <w:rPr>
                <w:sz w:val="20"/>
                <w:szCs w:val="20"/>
                <w:color w:val="auto"/>
              </w:rPr>
            </w:pPr>
            <w:r>
              <w:rPr>
                <w:rFonts w:ascii="Arial" w:cs="Arial" w:eastAsia="Arial" w:hAnsi="Arial"/>
                <w:sz w:val="18"/>
                <w:szCs w:val="18"/>
                <w:color w:val="auto"/>
                <w:w w:val="98"/>
              </w:rPr>
              <w:t>Form of Amended and Restated Certificate of Incorporation of Definitive Healthcare Corp., (incorporated by reference to</w:t>
            </w:r>
          </w:p>
        </w:tc>
      </w:tr>
      <w:tr>
        <w:trPr>
          <w:trHeight w:val="230"/>
        </w:trPr>
        <w:tc>
          <w:tcPr>
            <w:tcW w:w="720" w:type="dxa"/>
            <w:vAlign w:val="bottom"/>
          </w:tcPr>
          <w:p>
            <w:pPr>
              <w:spacing w:after="0"/>
              <w:rPr>
                <w:sz w:val="20"/>
                <w:szCs w:val="20"/>
                <w:color w:val="auto"/>
              </w:rPr>
            </w:pPr>
          </w:p>
        </w:tc>
        <w:tc>
          <w:tcPr>
            <w:tcW w:w="10260" w:type="dxa"/>
            <w:vAlign w:val="bottom"/>
            <w:gridSpan w:val="3"/>
          </w:tcPr>
          <w:p>
            <w:pPr>
              <w:ind w:left="840"/>
              <w:spacing w:after="0"/>
              <w:rPr>
                <w:sz w:val="20"/>
                <w:szCs w:val="20"/>
                <w:color w:val="auto"/>
              </w:rPr>
            </w:pPr>
            <w:r>
              <w:rPr>
                <w:rFonts w:ascii="Arial" w:cs="Arial" w:eastAsia="Arial" w:hAnsi="Arial"/>
                <w:sz w:val="18"/>
                <w:szCs w:val="18"/>
                <w:color w:val="auto"/>
              </w:rPr>
              <w:t>Exhibit 3.1 to the Company’s registration statement (File No. 333-258990) filed with the SEC on August 20, 2021).</w:t>
            </w:r>
          </w:p>
        </w:tc>
      </w:tr>
      <w:tr>
        <w:trPr>
          <w:trHeight w:val="310"/>
        </w:trPr>
        <w:tc>
          <w:tcPr>
            <w:tcW w:w="720" w:type="dxa"/>
            <w:vAlign w:val="bottom"/>
          </w:tcPr>
          <w:p>
            <w:pPr>
              <w:jc w:val="right"/>
              <w:ind w:right="311"/>
              <w:spacing w:after="0"/>
              <w:rPr>
                <w:sz w:val="20"/>
                <w:szCs w:val="20"/>
                <w:color w:val="auto"/>
              </w:rPr>
            </w:pPr>
            <w:r>
              <w:rPr>
                <w:rFonts w:ascii="Arial" w:cs="Arial" w:eastAsia="Arial" w:hAnsi="Arial"/>
                <w:sz w:val="18"/>
                <w:szCs w:val="18"/>
                <w:color w:val="auto"/>
              </w:rPr>
              <w:t>3.2</w:t>
            </w:r>
          </w:p>
        </w:tc>
        <w:tc>
          <w:tcPr>
            <w:tcW w:w="10260" w:type="dxa"/>
            <w:vAlign w:val="bottom"/>
            <w:gridSpan w:val="3"/>
          </w:tcPr>
          <w:p>
            <w:pPr>
              <w:ind w:left="840"/>
              <w:spacing w:after="0"/>
              <w:rPr>
                <w:sz w:val="20"/>
                <w:szCs w:val="20"/>
                <w:color w:val="auto"/>
              </w:rPr>
            </w:pPr>
            <w:r>
              <w:rPr>
                <w:rFonts w:ascii="Arial" w:cs="Arial" w:eastAsia="Arial" w:hAnsi="Arial"/>
                <w:sz w:val="18"/>
                <w:szCs w:val="18"/>
                <w:color w:val="auto"/>
                <w:w w:val="91"/>
              </w:rPr>
              <w:t>Form of Amended and Restated Bylaws of Definitive Healthcare Corp. (incorporated by reference to Exhibit 3.2 to the Company’s</w:t>
            </w:r>
          </w:p>
        </w:tc>
      </w:tr>
      <w:tr>
        <w:trPr>
          <w:trHeight w:val="230"/>
        </w:trPr>
        <w:tc>
          <w:tcPr>
            <w:tcW w:w="720" w:type="dxa"/>
            <w:vAlign w:val="bottom"/>
          </w:tcPr>
          <w:p>
            <w:pPr>
              <w:spacing w:after="0"/>
              <w:rPr>
                <w:sz w:val="20"/>
                <w:szCs w:val="20"/>
                <w:color w:val="auto"/>
              </w:rPr>
            </w:pPr>
          </w:p>
        </w:tc>
        <w:tc>
          <w:tcPr>
            <w:tcW w:w="10260" w:type="dxa"/>
            <w:vAlign w:val="bottom"/>
            <w:gridSpan w:val="3"/>
          </w:tcPr>
          <w:p>
            <w:pPr>
              <w:ind w:left="840"/>
              <w:spacing w:after="0"/>
              <w:rPr>
                <w:sz w:val="20"/>
                <w:szCs w:val="20"/>
                <w:color w:val="auto"/>
              </w:rPr>
            </w:pPr>
            <w:r>
              <w:rPr>
                <w:rFonts w:ascii="Arial" w:cs="Arial" w:eastAsia="Arial" w:hAnsi="Arial"/>
                <w:sz w:val="18"/>
                <w:szCs w:val="18"/>
                <w:color w:val="auto"/>
              </w:rPr>
              <w:t>registration statement (File No. 333-258990) filed with the SEC on August 20, 2021).</w:t>
            </w:r>
          </w:p>
        </w:tc>
      </w:tr>
      <w:tr>
        <w:trPr>
          <w:trHeight w:val="310"/>
        </w:trPr>
        <w:tc>
          <w:tcPr>
            <w:tcW w:w="720" w:type="dxa"/>
            <w:vAlign w:val="bottom"/>
          </w:tcPr>
          <w:p>
            <w:pPr>
              <w:jc w:val="right"/>
              <w:ind w:right="311"/>
              <w:spacing w:after="0"/>
              <w:rPr>
                <w:sz w:val="20"/>
                <w:szCs w:val="20"/>
                <w:color w:val="auto"/>
              </w:rPr>
            </w:pPr>
            <w:r>
              <w:rPr>
                <w:rFonts w:ascii="Arial" w:cs="Arial" w:eastAsia="Arial" w:hAnsi="Arial"/>
                <w:sz w:val="18"/>
                <w:szCs w:val="18"/>
                <w:color w:val="auto"/>
              </w:rPr>
              <w:t>3.3</w:t>
            </w:r>
          </w:p>
        </w:tc>
        <w:tc>
          <w:tcPr>
            <w:tcW w:w="10260" w:type="dxa"/>
            <w:vAlign w:val="bottom"/>
            <w:gridSpan w:val="3"/>
          </w:tcPr>
          <w:p>
            <w:pPr>
              <w:ind w:left="840"/>
              <w:spacing w:after="0"/>
              <w:rPr>
                <w:sz w:val="20"/>
                <w:szCs w:val="20"/>
                <w:color w:val="auto"/>
              </w:rPr>
            </w:pPr>
            <w:r>
              <w:rPr>
                <w:rFonts w:ascii="Arial" w:cs="Arial" w:eastAsia="Arial" w:hAnsi="Arial"/>
                <w:sz w:val="18"/>
                <w:szCs w:val="18"/>
                <w:color w:val="auto"/>
                <w:w w:val="92"/>
              </w:rPr>
              <w:t>Form of Second Amended and Restated Limited Liability Company Agreement of AIDH TopCo, LLC, (incorporated by reference</w:t>
            </w:r>
          </w:p>
        </w:tc>
      </w:tr>
      <w:tr>
        <w:trPr>
          <w:trHeight w:val="230"/>
        </w:trPr>
        <w:tc>
          <w:tcPr>
            <w:tcW w:w="720" w:type="dxa"/>
            <w:vAlign w:val="bottom"/>
          </w:tcPr>
          <w:p>
            <w:pPr>
              <w:spacing w:after="0"/>
              <w:rPr>
                <w:sz w:val="20"/>
                <w:szCs w:val="20"/>
                <w:color w:val="auto"/>
              </w:rPr>
            </w:pPr>
          </w:p>
        </w:tc>
        <w:tc>
          <w:tcPr>
            <w:tcW w:w="10260" w:type="dxa"/>
            <w:vAlign w:val="bottom"/>
            <w:gridSpan w:val="3"/>
          </w:tcPr>
          <w:p>
            <w:pPr>
              <w:ind w:left="840"/>
              <w:spacing w:after="0"/>
              <w:rPr>
                <w:sz w:val="20"/>
                <w:szCs w:val="20"/>
                <w:color w:val="auto"/>
              </w:rPr>
            </w:pPr>
            <w:r>
              <w:rPr>
                <w:rFonts w:ascii="Arial" w:cs="Arial" w:eastAsia="Arial" w:hAnsi="Arial"/>
                <w:sz w:val="18"/>
                <w:szCs w:val="18"/>
                <w:color w:val="auto"/>
              </w:rPr>
              <w:t>to Exhibit 3.3 to the Company’s registration statement (File No. 333-258990) filed with the SEC on August 20, 2021).</w:t>
            </w:r>
          </w:p>
        </w:tc>
      </w:tr>
      <w:tr>
        <w:trPr>
          <w:trHeight w:val="310"/>
        </w:trPr>
        <w:tc>
          <w:tcPr>
            <w:tcW w:w="720" w:type="dxa"/>
            <w:vAlign w:val="bottom"/>
          </w:tcPr>
          <w:p>
            <w:pPr>
              <w:jc w:val="right"/>
              <w:ind w:right="311"/>
              <w:spacing w:after="0"/>
              <w:rPr>
                <w:sz w:val="20"/>
                <w:szCs w:val="20"/>
                <w:color w:val="auto"/>
              </w:rPr>
            </w:pPr>
            <w:r>
              <w:rPr>
                <w:rFonts w:ascii="Arial" w:cs="Arial" w:eastAsia="Arial" w:hAnsi="Arial"/>
                <w:sz w:val="18"/>
                <w:szCs w:val="18"/>
                <w:color w:val="auto"/>
              </w:rPr>
              <w:t>4.1</w:t>
            </w:r>
          </w:p>
        </w:tc>
        <w:tc>
          <w:tcPr>
            <w:tcW w:w="10260" w:type="dxa"/>
            <w:vAlign w:val="bottom"/>
            <w:gridSpan w:val="3"/>
          </w:tcPr>
          <w:p>
            <w:pPr>
              <w:ind w:left="840"/>
              <w:spacing w:after="0"/>
              <w:rPr>
                <w:sz w:val="20"/>
                <w:szCs w:val="20"/>
                <w:color w:val="auto"/>
              </w:rPr>
            </w:pPr>
            <w:r>
              <w:rPr>
                <w:rFonts w:ascii="Arial" w:cs="Arial" w:eastAsia="Arial" w:hAnsi="Arial"/>
                <w:sz w:val="18"/>
                <w:szCs w:val="18"/>
                <w:color w:val="auto"/>
                <w:w w:val="92"/>
              </w:rPr>
              <w:t>Form of Certificate of Class A Common Stock (incorporated by reference to Exhibit 10.1 to the Company’s registration statement</w:t>
            </w:r>
          </w:p>
        </w:tc>
      </w:tr>
      <w:tr>
        <w:trPr>
          <w:trHeight w:val="230"/>
        </w:trPr>
        <w:tc>
          <w:tcPr>
            <w:tcW w:w="720" w:type="dxa"/>
            <w:vAlign w:val="bottom"/>
          </w:tcPr>
          <w:p>
            <w:pPr>
              <w:spacing w:after="0"/>
              <w:rPr>
                <w:sz w:val="20"/>
                <w:szCs w:val="20"/>
                <w:color w:val="auto"/>
              </w:rPr>
            </w:pPr>
          </w:p>
        </w:tc>
        <w:tc>
          <w:tcPr>
            <w:tcW w:w="10260" w:type="dxa"/>
            <w:vAlign w:val="bottom"/>
            <w:gridSpan w:val="3"/>
          </w:tcPr>
          <w:p>
            <w:pPr>
              <w:ind w:left="840"/>
              <w:spacing w:after="0"/>
              <w:rPr>
                <w:sz w:val="20"/>
                <w:szCs w:val="20"/>
                <w:color w:val="auto"/>
              </w:rPr>
            </w:pPr>
            <w:r>
              <w:rPr>
                <w:rFonts w:ascii="Arial" w:cs="Arial" w:eastAsia="Arial" w:hAnsi="Arial"/>
                <w:sz w:val="18"/>
                <w:szCs w:val="18"/>
                <w:color w:val="auto"/>
              </w:rPr>
              <w:t>(File No. 333-258990) filed with the SEC on August 27, 2021).</w:t>
            </w:r>
          </w:p>
        </w:tc>
      </w:tr>
      <w:tr>
        <w:trPr>
          <w:trHeight w:val="324"/>
        </w:trPr>
        <w:tc>
          <w:tcPr>
            <w:tcW w:w="720" w:type="dxa"/>
            <w:vAlign w:val="bottom"/>
          </w:tcPr>
          <w:p>
            <w:pPr>
              <w:jc w:val="right"/>
              <w:ind w:right="311"/>
              <w:spacing w:after="0"/>
              <w:rPr>
                <w:sz w:val="20"/>
                <w:szCs w:val="20"/>
                <w:color w:val="auto"/>
              </w:rPr>
            </w:pPr>
            <w:r>
              <w:rPr>
                <w:rFonts w:ascii="Arial" w:cs="Arial" w:eastAsia="Arial" w:hAnsi="Arial"/>
                <w:sz w:val="18"/>
                <w:szCs w:val="18"/>
                <w:color w:val="auto"/>
              </w:rPr>
              <w:t>5.1</w:t>
            </w:r>
          </w:p>
        </w:tc>
        <w:tc>
          <w:tcPr>
            <w:tcW w:w="10260" w:type="dxa"/>
            <w:vAlign w:val="bottom"/>
            <w:gridSpan w:val="3"/>
          </w:tcPr>
          <w:p>
            <w:pPr>
              <w:ind w:left="840"/>
              <w:spacing w:after="0"/>
              <w:rPr>
                <w:sz w:val="20"/>
                <w:szCs w:val="20"/>
                <w:color w:val="auto"/>
              </w:rPr>
            </w:pPr>
            <w:r>
              <w:rPr>
                <w:rFonts w:ascii="Arial" w:cs="Arial" w:eastAsia="Arial" w:hAnsi="Arial"/>
                <w:sz w:val="18"/>
                <w:szCs w:val="18"/>
                <w:color w:val="auto"/>
              </w:rPr>
              <w:t>Opinion of Weil, Gotshal &amp; Manges LLP.**</w:t>
            </w:r>
          </w:p>
        </w:tc>
      </w:tr>
      <w:tr>
        <w:trPr>
          <w:trHeight w:val="310"/>
        </w:trPr>
        <w:tc>
          <w:tcPr>
            <w:tcW w:w="720" w:type="dxa"/>
            <w:vAlign w:val="bottom"/>
          </w:tcPr>
          <w:p>
            <w:pPr>
              <w:jc w:val="right"/>
              <w:ind w:right="311"/>
              <w:spacing w:after="0"/>
              <w:rPr>
                <w:sz w:val="20"/>
                <w:szCs w:val="20"/>
                <w:color w:val="auto"/>
              </w:rPr>
            </w:pPr>
            <w:r>
              <w:rPr>
                <w:rFonts w:ascii="Arial" w:cs="Arial" w:eastAsia="Arial" w:hAnsi="Arial"/>
                <w:sz w:val="18"/>
                <w:szCs w:val="18"/>
                <w:color w:val="auto"/>
                <w:w w:val="85"/>
              </w:rPr>
              <w:t>10.1</w:t>
            </w:r>
          </w:p>
        </w:tc>
        <w:tc>
          <w:tcPr>
            <w:tcW w:w="10260" w:type="dxa"/>
            <w:vAlign w:val="bottom"/>
            <w:gridSpan w:val="3"/>
          </w:tcPr>
          <w:p>
            <w:pPr>
              <w:ind w:left="840"/>
              <w:spacing w:after="0"/>
              <w:rPr>
                <w:sz w:val="20"/>
                <w:szCs w:val="20"/>
                <w:color w:val="auto"/>
              </w:rPr>
            </w:pPr>
            <w:r>
              <w:rPr>
                <w:rFonts w:ascii="Arial" w:cs="Arial" w:eastAsia="Arial" w:hAnsi="Arial"/>
                <w:sz w:val="18"/>
                <w:szCs w:val="18"/>
                <w:color w:val="auto"/>
                <w:w w:val="95"/>
              </w:rPr>
              <w:t>2019 Equity Incentive Plan (incorporated by reference to Exhibit 10.1 to the Company’s registration statement (File No. 333-</w:t>
            </w:r>
          </w:p>
        </w:tc>
      </w:tr>
      <w:tr>
        <w:trPr>
          <w:trHeight w:val="230"/>
        </w:trPr>
        <w:tc>
          <w:tcPr>
            <w:tcW w:w="720" w:type="dxa"/>
            <w:vAlign w:val="bottom"/>
          </w:tcPr>
          <w:p>
            <w:pPr>
              <w:spacing w:after="0"/>
              <w:rPr>
                <w:sz w:val="20"/>
                <w:szCs w:val="20"/>
                <w:color w:val="auto"/>
              </w:rPr>
            </w:pPr>
          </w:p>
        </w:tc>
        <w:tc>
          <w:tcPr>
            <w:tcW w:w="10260" w:type="dxa"/>
            <w:vAlign w:val="bottom"/>
            <w:gridSpan w:val="3"/>
          </w:tcPr>
          <w:p>
            <w:pPr>
              <w:ind w:left="840"/>
              <w:spacing w:after="0"/>
              <w:rPr>
                <w:sz w:val="20"/>
                <w:szCs w:val="20"/>
                <w:color w:val="auto"/>
              </w:rPr>
            </w:pPr>
            <w:r>
              <w:rPr>
                <w:rFonts w:ascii="Arial" w:cs="Arial" w:eastAsia="Arial" w:hAnsi="Arial"/>
                <w:sz w:val="18"/>
                <w:szCs w:val="18"/>
                <w:color w:val="auto"/>
              </w:rPr>
              <w:t>258990) filed with the SEC on August 20, 2021).</w:t>
            </w:r>
          </w:p>
        </w:tc>
      </w:tr>
      <w:tr>
        <w:trPr>
          <w:trHeight w:val="310"/>
        </w:trPr>
        <w:tc>
          <w:tcPr>
            <w:tcW w:w="720" w:type="dxa"/>
            <w:vAlign w:val="bottom"/>
          </w:tcPr>
          <w:p>
            <w:pPr>
              <w:jc w:val="right"/>
              <w:ind w:right="311"/>
              <w:spacing w:after="0"/>
              <w:rPr>
                <w:sz w:val="20"/>
                <w:szCs w:val="20"/>
                <w:color w:val="auto"/>
              </w:rPr>
            </w:pPr>
            <w:r>
              <w:rPr>
                <w:rFonts w:ascii="Arial" w:cs="Arial" w:eastAsia="Arial" w:hAnsi="Arial"/>
                <w:sz w:val="18"/>
                <w:szCs w:val="18"/>
                <w:color w:val="auto"/>
                <w:w w:val="85"/>
              </w:rPr>
              <w:t>10.2</w:t>
            </w:r>
          </w:p>
        </w:tc>
        <w:tc>
          <w:tcPr>
            <w:tcW w:w="10260" w:type="dxa"/>
            <w:vAlign w:val="bottom"/>
            <w:gridSpan w:val="3"/>
          </w:tcPr>
          <w:p>
            <w:pPr>
              <w:ind w:left="840"/>
              <w:spacing w:after="0"/>
              <w:rPr>
                <w:sz w:val="20"/>
                <w:szCs w:val="20"/>
                <w:color w:val="auto"/>
              </w:rPr>
            </w:pPr>
            <w:r>
              <w:rPr>
                <w:rFonts w:ascii="Arial" w:cs="Arial" w:eastAsia="Arial" w:hAnsi="Arial"/>
                <w:sz w:val="18"/>
                <w:szCs w:val="18"/>
                <w:color w:val="auto"/>
                <w:w w:val="95"/>
              </w:rPr>
              <w:t>2021 Equity Incentive Plan (incorporated by reference to Exhibit 10.2 to the Company’s registration statement (File No. 333-</w:t>
            </w:r>
          </w:p>
        </w:tc>
      </w:tr>
      <w:tr>
        <w:trPr>
          <w:trHeight w:val="230"/>
        </w:trPr>
        <w:tc>
          <w:tcPr>
            <w:tcW w:w="720" w:type="dxa"/>
            <w:vAlign w:val="bottom"/>
          </w:tcPr>
          <w:p>
            <w:pPr>
              <w:spacing w:after="0"/>
              <w:rPr>
                <w:sz w:val="20"/>
                <w:szCs w:val="20"/>
                <w:color w:val="auto"/>
              </w:rPr>
            </w:pPr>
          </w:p>
        </w:tc>
        <w:tc>
          <w:tcPr>
            <w:tcW w:w="10260" w:type="dxa"/>
            <w:vAlign w:val="bottom"/>
            <w:gridSpan w:val="3"/>
          </w:tcPr>
          <w:p>
            <w:pPr>
              <w:ind w:left="840"/>
              <w:spacing w:after="0"/>
              <w:rPr>
                <w:sz w:val="20"/>
                <w:szCs w:val="20"/>
                <w:color w:val="auto"/>
              </w:rPr>
            </w:pPr>
            <w:r>
              <w:rPr>
                <w:rFonts w:ascii="Arial" w:cs="Arial" w:eastAsia="Arial" w:hAnsi="Arial"/>
                <w:sz w:val="18"/>
                <w:szCs w:val="18"/>
                <w:color w:val="auto"/>
              </w:rPr>
              <w:t>258990) filed with the SEC on August 20, 2021).</w:t>
            </w:r>
          </w:p>
        </w:tc>
      </w:tr>
      <w:tr>
        <w:trPr>
          <w:trHeight w:val="310"/>
        </w:trPr>
        <w:tc>
          <w:tcPr>
            <w:tcW w:w="720" w:type="dxa"/>
            <w:vAlign w:val="bottom"/>
          </w:tcPr>
          <w:p>
            <w:pPr>
              <w:jc w:val="right"/>
              <w:ind w:right="311"/>
              <w:spacing w:after="0"/>
              <w:rPr>
                <w:sz w:val="20"/>
                <w:szCs w:val="20"/>
                <w:color w:val="auto"/>
              </w:rPr>
            </w:pPr>
            <w:r>
              <w:rPr>
                <w:rFonts w:ascii="Arial" w:cs="Arial" w:eastAsia="Arial" w:hAnsi="Arial"/>
                <w:sz w:val="18"/>
                <w:szCs w:val="18"/>
                <w:color w:val="auto"/>
                <w:w w:val="85"/>
              </w:rPr>
              <w:t>10.3</w:t>
            </w:r>
          </w:p>
        </w:tc>
        <w:tc>
          <w:tcPr>
            <w:tcW w:w="10260" w:type="dxa"/>
            <w:vAlign w:val="bottom"/>
            <w:gridSpan w:val="3"/>
          </w:tcPr>
          <w:p>
            <w:pPr>
              <w:ind w:left="840"/>
              <w:spacing w:after="0"/>
              <w:rPr>
                <w:sz w:val="20"/>
                <w:szCs w:val="20"/>
                <w:color w:val="auto"/>
              </w:rPr>
            </w:pPr>
            <w:r>
              <w:rPr>
                <w:rFonts w:ascii="Arial" w:cs="Arial" w:eastAsia="Arial" w:hAnsi="Arial"/>
                <w:sz w:val="18"/>
                <w:szCs w:val="18"/>
                <w:color w:val="auto"/>
                <w:w w:val="92"/>
              </w:rPr>
              <w:t>Form of equity award agreements under 2019 Equity Incentive Plan (incorporated by reference to Exhibit 10.3 to the Company’s</w:t>
            </w:r>
          </w:p>
        </w:tc>
      </w:tr>
      <w:tr>
        <w:trPr>
          <w:trHeight w:val="230"/>
        </w:trPr>
        <w:tc>
          <w:tcPr>
            <w:tcW w:w="720" w:type="dxa"/>
            <w:vAlign w:val="bottom"/>
          </w:tcPr>
          <w:p>
            <w:pPr>
              <w:spacing w:after="0"/>
              <w:rPr>
                <w:sz w:val="20"/>
                <w:szCs w:val="20"/>
                <w:color w:val="auto"/>
              </w:rPr>
            </w:pPr>
          </w:p>
        </w:tc>
        <w:tc>
          <w:tcPr>
            <w:tcW w:w="10260" w:type="dxa"/>
            <w:vAlign w:val="bottom"/>
            <w:gridSpan w:val="3"/>
          </w:tcPr>
          <w:p>
            <w:pPr>
              <w:ind w:left="840"/>
              <w:spacing w:after="0"/>
              <w:rPr>
                <w:sz w:val="20"/>
                <w:szCs w:val="20"/>
                <w:color w:val="auto"/>
              </w:rPr>
            </w:pPr>
            <w:r>
              <w:rPr>
                <w:rFonts w:ascii="Arial" w:cs="Arial" w:eastAsia="Arial" w:hAnsi="Arial"/>
                <w:sz w:val="18"/>
                <w:szCs w:val="18"/>
                <w:color w:val="auto"/>
              </w:rPr>
              <w:t>registration statement (File No. 333-258990) filed with the SEC on August 20, 2021).</w:t>
            </w:r>
          </w:p>
        </w:tc>
      </w:tr>
      <w:tr>
        <w:trPr>
          <w:trHeight w:val="310"/>
        </w:trPr>
        <w:tc>
          <w:tcPr>
            <w:tcW w:w="720" w:type="dxa"/>
            <w:vAlign w:val="bottom"/>
          </w:tcPr>
          <w:p>
            <w:pPr>
              <w:jc w:val="right"/>
              <w:ind w:right="311"/>
              <w:spacing w:after="0"/>
              <w:rPr>
                <w:sz w:val="20"/>
                <w:szCs w:val="20"/>
                <w:color w:val="auto"/>
              </w:rPr>
            </w:pPr>
            <w:r>
              <w:rPr>
                <w:rFonts w:ascii="Arial" w:cs="Arial" w:eastAsia="Arial" w:hAnsi="Arial"/>
                <w:sz w:val="18"/>
                <w:szCs w:val="18"/>
                <w:color w:val="auto"/>
                <w:w w:val="85"/>
              </w:rPr>
              <w:t>10.4</w:t>
            </w:r>
          </w:p>
        </w:tc>
        <w:tc>
          <w:tcPr>
            <w:tcW w:w="10260" w:type="dxa"/>
            <w:vAlign w:val="bottom"/>
            <w:gridSpan w:val="3"/>
          </w:tcPr>
          <w:p>
            <w:pPr>
              <w:ind w:left="840"/>
              <w:spacing w:after="0"/>
              <w:rPr>
                <w:sz w:val="20"/>
                <w:szCs w:val="20"/>
                <w:color w:val="auto"/>
              </w:rPr>
            </w:pPr>
            <w:r>
              <w:rPr>
                <w:rFonts w:ascii="Arial" w:cs="Arial" w:eastAsia="Arial" w:hAnsi="Arial"/>
                <w:sz w:val="18"/>
                <w:szCs w:val="18"/>
                <w:color w:val="auto"/>
                <w:w w:val="93"/>
              </w:rPr>
              <w:t>Form of executive equity award agreements under 2021 Equity Incentive Plan (incorporated by reference to Exhibit 10.4 to the</w:t>
            </w:r>
          </w:p>
        </w:tc>
      </w:tr>
      <w:tr>
        <w:trPr>
          <w:trHeight w:val="230"/>
        </w:trPr>
        <w:tc>
          <w:tcPr>
            <w:tcW w:w="720" w:type="dxa"/>
            <w:vAlign w:val="bottom"/>
          </w:tcPr>
          <w:p>
            <w:pPr>
              <w:spacing w:after="0"/>
              <w:rPr>
                <w:sz w:val="20"/>
                <w:szCs w:val="20"/>
                <w:color w:val="auto"/>
              </w:rPr>
            </w:pPr>
          </w:p>
        </w:tc>
        <w:tc>
          <w:tcPr>
            <w:tcW w:w="10260" w:type="dxa"/>
            <w:vAlign w:val="bottom"/>
            <w:gridSpan w:val="3"/>
          </w:tcPr>
          <w:p>
            <w:pPr>
              <w:ind w:left="840"/>
              <w:spacing w:after="0"/>
              <w:rPr>
                <w:sz w:val="20"/>
                <w:szCs w:val="20"/>
                <w:color w:val="auto"/>
              </w:rPr>
            </w:pPr>
            <w:r>
              <w:rPr>
                <w:rFonts w:ascii="Arial" w:cs="Arial" w:eastAsia="Arial" w:hAnsi="Arial"/>
                <w:sz w:val="18"/>
                <w:szCs w:val="18"/>
                <w:color w:val="auto"/>
              </w:rPr>
              <w:t>Company’s registration statement (File No. 333-258990) filed with the SEC on August 20, 2021).</w:t>
            </w:r>
          </w:p>
        </w:tc>
      </w:tr>
      <w:tr>
        <w:trPr>
          <w:trHeight w:val="310"/>
        </w:trPr>
        <w:tc>
          <w:tcPr>
            <w:tcW w:w="720" w:type="dxa"/>
            <w:vAlign w:val="bottom"/>
          </w:tcPr>
          <w:p>
            <w:pPr>
              <w:jc w:val="right"/>
              <w:ind w:right="311"/>
              <w:spacing w:after="0"/>
              <w:rPr>
                <w:sz w:val="20"/>
                <w:szCs w:val="20"/>
                <w:color w:val="auto"/>
              </w:rPr>
            </w:pPr>
            <w:r>
              <w:rPr>
                <w:rFonts w:ascii="Arial" w:cs="Arial" w:eastAsia="Arial" w:hAnsi="Arial"/>
                <w:sz w:val="18"/>
                <w:szCs w:val="18"/>
                <w:color w:val="auto"/>
                <w:w w:val="85"/>
              </w:rPr>
              <w:t>10.5</w:t>
            </w:r>
          </w:p>
        </w:tc>
        <w:tc>
          <w:tcPr>
            <w:tcW w:w="10260" w:type="dxa"/>
            <w:vAlign w:val="bottom"/>
            <w:gridSpan w:val="3"/>
          </w:tcPr>
          <w:p>
            <w:pPr>
              <w:ind w:left="840"/>
              <w:spacing w:after="0"/>
              <w:rPr>
                <w:sz w:val="20"/>
                <w:szCs w:val="20"/>
                <w:color w:val="auto"/>
              </w:rPr>
            </w:pPr>
            <w:r>
              <w:rPr>
                <w:rFonts w:ascii="Arial" w:cs="Arial" w:eastAsia="Arial" w:hAnsi="Arial"/>
                <w:sz w:val="18"/>
                <w:szCs w:val="18"/>
                <w:color w:val="auto"/>
                <w:w w:val="93"/>
              </w:rPr>
              <w:t>Form of employee equity award agreements under 2021 Equity Incentive Plan (incorporated by reference to Exhibit 10.5 to the</w:t>
            </w:r>
          </w:p>
        </w:tc>
      </w:tr>
      <w:tr>
        <w:trPr>
          <w:trHeight w:val="230"/>
        </w:trPr>
        <w:tc>
          <w:tcPr>
            <w:tcW w:w="720" w:type="dxa"/>
            <w:vAlign w:val="bottom"/>
          </w:tcPr>
          <w:p>
            <w:pPr>
              <w:spacing w:after="0"/>
              <w:rPr>
                <w:sz w:val="20"/>
                <w:szCs w:val="20"/>
                <w:color w:val="auto"/>
              </w:rPr>
            </w:pPr>
          </w:p>
        </w:tc>
        <w:tc>
          <w:tcPr>
            <w:tcW w:w="10260" w:type="dxa"/>
            <w:vAlign w:val="bottom"/>
            <w:gridSpan w:val="3"/>
          </w:tcPr>
          <w:p>
            <w:pPr>
              <w:ind w:left="840"/>
              <w:spacing w:after="0"/>
              <w:rPr>
                <w:sz w:val="20"/>
                <w:szCs w:val="20"/>
                <w:color w:val="auto"/>
              </w:rPr>
            </w:pPr>
            <w:r>
              <w:rPr>
                <w:rFonts w:ascii="Arial" w:cs="Arial" w:eastAsia="Arial" w:hAnsi="Arial"/>
                <w:sz w:val="18"/>
                <w:szCs w:val="18"/>
                <w:color w:val="auto"/>
              </w:rPr>
              <w:t>Company’s registration statement (File No. 333-258990) filed with the SEC on August 20, 2021).</w:t>
            </w:r>
          </w:p>
        </w:tc>
      </w:tr>
      <w:tr>
        <w:trPr>
          <w:trHeight w:val="310"/>
        </w:trPr>
        <w:tc>
          <w:tcPr>
            <w:tcW w:w="720" w:type="dxa"/>
            <w:vAlign w:val="bottom"/>
          </w:tcPr>
          <w:p>
            <w:pPr>
              <w:jc w:val="right"/>
              <w:ind w:right="311"/>
              <w:spacing w:after="0"/>
              <w:rPr>
                <w:sz w:val="20"/>
                <w:szCs w:val="20"/>
                <w:color w:val="auto"/>
              </w:rPr>
            </w:pPr>
            <w:r>
              <w:rPr>
                <w:rFonts w:ascii="Arial" w:cs="Arial" w:eastAsia="Arial" w:hAnsi="Arial"/>
                <w:sz w:val="18"/>
                <w:szCs w:val="18"/>
                <w:color w:val="auto"/>
                <w:w w:val="85"/>
              </w:rPr>
              <w:t>10.6</w:t>
            </w:r>
          </w:p>
        </w:tc>
        <w:tc>
          <w:tcPr>
            <w:tcW w:w="10260" w:type="dxa"/>
            <w:vAlign w:val="bottom"/>
            <w:gridSpan w:val="3"/>
          </w:tcPr>
          <w:p>
            <w:pPr>
              <w:ind w:left="840"/>
              <w:spacing w:after="0"/>
              <w:rPr>
                <w:sz w:val="20"/>
                <w:szCs w:val="20"/>
                <w:color w:val="auto"/>
              </w:rPr>
            </w:pPr>
            <w:r>
              <w:rPr>
                <w:rFonts w:ascii="Arial" w:cs="Arial" w:eastAsia="Arial" w:hAnsi="Arial"/>
                <w:sz w:val="18"/>
                <w:szCs w:val="18"/>
                <w:color w:val="auto"/>
                <w:w w:val="98"/>
              </w:rPr>
              <w:t>Form of 2021 Executive Officer and Director Indemnification Agreement for Definitive Healthcare Corp. (incorporated by</w:t>
            </w:r>
          </w:p>
        </w:tc>
      </w:tr>
      <w:tr>
        <w:trPr>
          <w:trHeight w:val="230"/>
        </w:trPr>
        <w:tc>
          <w:tcPr>
            <w:tcW w:w="720" w:type="dxa"/>
            <w:vAlign w:val="bottom"/>
          </w:tcPr>
          <w:p>
            <w:pPr>
              <w:spacing w:after="0"/>
              <w:rPr>
                <w:sz w:val="20"/>
                <w:szCs w:val="20"/>
                <w:color w:val="auto"/>
              </w:rPr>
            </w:pPr>
          </w:p>
        </w:tc>
        <w:tc>
          <w:tcPr>
            <w:tcW w:w="10260" w:type="dxa"/>
            <w:vAlign w:val="bottom"/>
            <w:gridSpan w:val="3"/>
          </w:tcPr>
          <w:p>
            <w:pPr>
              <w:ind w:left="840"/>
              <w:spacing w:after="0"/>
              <w:rPr>
                <w:sz w:val="20"/>
                <w:szCs w:val="20"/>
                <w:color w:val="auto"/>
              </w:rPr>
            </w:pPr>
            <w:r>
              <w:rPr>
                <w:rFonts w:ascii="Arial" w:cs="Arial" w:eastAsia="Arial" w:hAnsi="Arial"/>
                <w:sz w:val="18"/>
                <w:szCs w:val="18"/>
                <w:color w:val="auto"/>
                <w:w w:val="92"/>
              </w:rPr>
              <w:t>reference to Exhibit 10.6 to the Company’s registration statement (File No. 333-258990) filed with the SEC on August 20, 2021)</w:t>
            </w:r>
          </w:p>
        </w:tc>
      </w:tr>
      <w:tr>
        <w:trPr>
          <w:trHeight w:val="310"/>
        </w:trPr>
        <w:tc>
          <w:tcPr>
            <w:tcW w:w="720" w:type="dxa"/>
            <w:vAlign w:val="bottom"/>
          </w:tcPr>
          <w:p>
            <w:pPr>
              <w:jc w:val="right"/>
              <w:ind w:right="311"/>
              <w:spacing w:after="0"/>
              <w:rPr>
                <w:sz w:val="20"/>
                <w:szCs w:val="20"/>
                <w:color w:val="auto"/>
              </w:rPr>
            </w:pPr>
            <w:r>
              <w:rPr>
                <w:rFonts w:ascii="Arial" w:cs="Arial" w:eastAsia="Arial" w:hAnsi="Arial"/>
                <w:sz w:val="18"/>
                <w:szCs w:val="18"/>
                <w:color w:val="auto"/>
                <w:w w:val="85"/>
              </w:rPr>
              <w:t>10.7</w:t>
            </w:r>
          </w:p>
        </w:tc>
        <w:tc>
          <w:tcPr>
            <w:tcW w:w="10260" w:type="dxa"/>
            <w:vAlign w:val="bottom"/>
            <w:gridSpan w:val="3"/>
          </w:tcPr>
          <w:p>
            <w:pPr>
              <w:ind w:left="840"/>
              <w:spacing w:after="0"/>
              <w:rPr>
                <w:sz w:val="20"/>
                <w:szCs w:val="20"/>
                <w:color w:val="auto"/>
              </w:rPr>
            </w:pPr>
            <w:r>
              <w:rPr>
                <w:rFonts w:ascii="Arial" w:cs="Arial" w:eastAsia="Arial" w:hAnsi="Arial"/>
                <w:sz w:val="18"/>
                <w:szCs w:val="18"/>
                <w:color w:val="auto"/>
                <w:w w:val="91"/>
              </w:rPr>
              <w:t>2021 Employee Stock Purchase Plan (incorporated by reference to Exhibit 10.7 to the Company’s registration statement (File No.</w:t>
            </w:r>
          </w:p>
        </w:tc>
      </w:tr>
      <w:tr>
        <w:trPr>
          <w:trHeight w:val="230"/>
        </w:trPr>
        <w:tc>
          <w:tcPr>
            <w:tcW w:w="720" w:type="dxa"/>
            <w:vAlign w:val="bottom"/>
          </w:tcPr>
          <w:p>
            <w:pPr>
              <w:spacing w:after="0"/>
              <w:rPr>
                <w:sz w:val="20"/>
                <w:szCs w:val="20"/>
                <w:color w:val="auto"/>
              </w:rPr>
            </w:pPr>
          </w:p>
        </w:tc>
        <w:tc>
          <w:tcPr>
            <w:tcW w:w="10260" w:type="dxa"/>
            <w:vAlign w:val="bottom"/>
            <w:gridSpan w:val="3"/>
          </w:tcPr>
          <w:p>
            <w:pPr>
              <w:ind w:left="840"/>
              <w:spacing w:after="0"/>
              <w:rPr>
                <w:sz w:val="20"/>
                <w:szCs w:val="20"/>
                <w:color w:val="auto"/>
              </w:rPr>
            </w:pPr>
            <w:r>
              <w:rPr>
                <w:rFonts w:ascii="Arial" w:cs="Arial" w:eastAsia="Arial" w:hAnsi="Arial"/>
                <w:sz w:val="18"/>
                <w:szCs w:val="18"/>
                <w:color w:val="auto"/>
              </w:rPr>
              <w:t>333-258990) filed with the SEC on August 20, 2021).</w:t>
            </w:r>
          </w:p>
        </w:tc>
      </w:tr>
    </w:tbl>
    <w:p>
      <w:pPr>
        <w:spacing w:after="0" w:line="134" w:lineRule="exact"/>
        <w:rPr>
          <w:sz w:val="20"/>
          <w:szCs w:val="20"/>
          <w:color w:val="auto"/>
        </w:rPr>
      </w:pPr>
    </w:p>
    <w:p>
      <w:pPr>
        <w:jc w:val="center"/>
        <w:ind w:right="-379"/>
        <w:spacing w:after="0"/>
        <w:rPr>
          <w:sz w:val="20"/>
          <w:szCs w:val="20"/>
          <w:color w:val="auto"/>
        </w:rPr>
      </w:pPr>
      <w:r>
        <w:rPr>
          <w:rFonts w:ascii="Arial" w:cs="Arial" w:eastAsia="Arial" w:hAnsi="Arial"/>
          <w:sz w:val="18"/>
          <w:szCs w:val="18"/>
          <w:color w:val="auto"/>
        </w:rPr>
        <w:t>II-3</w:t>
      </w:r>
    </w:p>
    <w:p>
      <w:pPr>
        <w:sectPr>
          <w:pgSz w:w="11900" w:h="16838" w:orient="portrait"/>
          <w:cols w:equalWidth="0" w:num="1">
            <w:col w:w="11100"/>
          </w:cols>
          <w:pgMar w:left="320" w:top="459" w:right="479" w:bottom="1440" w:gutter="0" w:footer="0" w:header="0"/>
        </w:sectPr>
      </w:pPr>
    </w:p>
    <w:bookmarkStart w:id="284" w:name="page285"/>
    <w:bookmarkEnd w:id="28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77" name="Picture 3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7"/>
                    <pic:cNvPicPr>
                      <a:picLocks noChangeAspect="1" noChangeArrowheads="1"/>
                    </pic:cNvPicPr>
                  </pic:nvPicPr>
                  <pic:blipFill>
                    <a:blip r:embed="rId384">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tbl>
      <w:tblPr>
        <w:tblLayout w:type="fixed"/>
        <w:tblInd w:w="120" w:type="dxa"/>
        <w:tblCellMar>
          <w:top w:w="0" w:type="dxa"/>
          <w:left w:w="0" w:type="dxa"/>
          <w:bottom w:w="0" w:type="dxa"/>
          <w:right w:w="0" w:type="dxa"/>
        </w:tblCellMar>
      </w:tblPr>
      <w:tr>
        <w:trPr>
          <w:trHeight w:val="216"/>
        </w:trPr>
        <w:tc>
          <w:tcPr>
            <w:tcW w:w="720" w:type="dxa"/>
            <w:vAlign w:val="bottom"/>
          </w:tcPr>
          <w:p>
            <w:pPr>
              <w:spacing w:after="0"/>
              <w:rPr>
                <w:sz w:val="18"/>
                <w:szCs w:val="18"/>
                <w:color w:val="auto"/>
              </w:rPr>
            </w:pPr>
          </w:p>
        </w:tc>
        <w:tc>
          <w:tcPr>
            <w:tcW w:w="10220" w:type="dxa"/>
            <w:vAlign w:val="bottom"/>
            <w:gridSpan w:val="3"/>
          </w:tcPr>
          <w:p>
            <w:pPr>
              <w:ind w:left="2260"/>
              <w:spacing w:after="0"/>
              <w:rPr>
                <w:sz w:val="20"/>
                <w:szCs w:val="20"/>
                <w:color w:val="auto"/>
              </w:rPr>
            </w:pPr>
            <w:r>
              <w:rPr>
                <w:rFonts w:ascii="Arial" w:cs="Arial" w:eastAsia="Arial" w:hAnsi="Arial"/>
                <w:sz w:val="18"/>
                <w:szCs w:val="18"/>
                <w:b w:val="1"/>
                <w:bCs w:val="1"/>
                <w:color w:val="auto"/>
              </w:rPr>
              <w:t>Confidential Treatment Requested by Definitive Healthcare Corp.</w:t>
            </w:r>
          </w:p>
        </w:tc>
      </w:tr>
      <w:tr>
        <w:trPr>
          <w:trHeight w:val="234"/>
        </w:trPr>
        <w:tc>
          <w:tcPr>
            <w:tcW w:w="720" w:type="dxa"/>
            <w:vAlign w:val="bottom"/>
          </w:tcPr>
          <w:p>
            <w:pPr>
              <w:spacing w:after="0"/>
              <w:rPr>
                <w:sz w:val="20"/>
                <w:szCs w:val="20"/>
                <w:color w:val="auto"/>
              </w:rPr>
            </w:pPr>
          </w:p>
        </w:tc>
        <w:tc>
          <w:tcPr>
            <w:tcW w:w="10220" w:type="dxa"/>
            <w:vAlign w:val="bottom"/>
            <w:gridSpan w:val="3"/>
          </w:tcPr>
          <w:p>
            <w:pPr>
              <w:ind w:left="3380"/>
              <w:spacing w:after="0"/>
              <w:rPr>
                <w:sz w:val="20"/>
                <w:szCs w:val="20"/>
                <w:color w:val="auto"/>
              </w:rPr>
            </w:pPr>
            <w:r>
              <w:rPr>
                <w:rFonts w:ascii="Arial" w:cs="Arial" w:eastAsia="Arial" w:hAnsi="Arial"/>
                <w:sz w:val="18"/>
                <w:szCs w:val="18"/>
                <w:b w:val="1"/>
                <w:bCs w:val="1"/>
                <w:color w:val="auto"/>
              </w:rPr>
              <w:t>Pursuant to 17 C.F.R. Section 200.83</w:t>
            </w:r>
          </w:p>
        </w:tc>
      </w:tr>
      <w:tr>
        <w:trPr>
          <w:trHeight w:val="297"/>
        </w:trPr>
        <w:tc>
          <w:tcPr>
            <w:tcW w:w="72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5"/>
              </w:rPr>
              <w:t>Exhibit No.</w:t>
            </w:r>
          </w:p>
        </w:tc>
        <w:tc>
          <w:tcPr>
            <w:tcW w:w="5160" w:type="dxa"/>
            <w:vAlign w:val="bottom"/>
          </w:tcPr>
          <w:p>
            <w:pPr>
              <w:spacing w:after="0"/>
              <w:rPr>
                <w:sz w:val="24"/>
                <w:szCs w:val="24"/>
                <w:color w:val="auto"/>
              </w:rPr>
            </w:pPr>
          </w:p>
        </w:tc>
        <w:tc>
          <w:tcPr>
            <w:tcW w:w="72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0"/>
              </w:rPr>
              <w:t>Description</w:t>
            </w:r>
          </w:p>
        </w:tc>
        <w:tc>
          <w:tcPr>
            <w:tcW w:w="4340" w:type="dxa"/>
            <w:vAlign w:val="bottom"/>
          </w:tcPr>
          <w:p>
            <w:pPr>
              <w:spacing w:after="0"/>
              <w:rPr>
                <w:sz w:val="24"/>
                <w:szCs w:val="24"/>
                <w:color w:val="auto"/>
              </w:rPr>
            </w:pPr>
          </w:p>
        </w:tc>
      </w:tr>
      <w:tr>
        <w:trPr>
          <w:trHeight w:val="303"/>
        </w:trPr>
        <w:tc>
          <w:tcPr>
            <w:tcW w:w="720" w:type="dxa"/>
            <w:vAlign w:val="bottom"/>
          </w:tcPr>
          <w:p>
            <w:pPr>
              <w:spacing w:after="0"/>
              <w:rPr>
                <w:sz w:val="20"/>
                <w:szCs w:val="20"/>
                <w:color w:val="auto"/>
              </w:rPr>
            </w:pPr>
            <w:r>
              <w:rPr>
                <w:rFonts w:ascii="Arial" w:cs="Arial" w:eastAsia="Arial" w:hAnsi="Arial"/>
                <w:sz w:val="18"/>
                <w:szCs w:val="18"/>
                <w:color w:val="auto"/>
              </w:rPr>
              <w:t>10.8</w:t>
            </w:r>
          </w:p>
        </w:tc>
        <w:tc>
          <w:tcPr>
            <w:tcW w:w="10220" w:type="dxa"/>
            <w:vAlign w:val="bottom"/>
            <w:gridSpan w:val="3"/>
          </w:tcPr>
          <w:p>
            <w:pPr>
              <w:ind w:left="740"/>
              <w:spacing w:after="0"/>
              <w:rPr>
                <w:sz w:val="20"/>
                <w:szCs w:val="20"/>
                <w:color w:val="auto"/>
              </w:rPr>
            </w:pPr>
            <w:r>
              <w:rPr>
                <w:rFonts w:ascii="Arial" w:cs="Arial" w:eastAsia="Arial" w:hAnsi="Arial"/>
                <w:sz w:val="18"/>
                <w:szCs w:val="18"/>
                <w:color w:val="auto"/>
                <w:w w:val="91"/>
              </w:rPr>
              <w:t>Employment Agreement, dated February 18, 2015, by and between Definitive Healthcare, LLC and Jason Krantz (incorporated by</w:t>
            </w:r>
          </w:p>
        </w:tc>
      </w:tr>
      <w:tr>
        <w:trPr>
          <w:trHeight w:val="230"/>
        </w:trPr>
        <w:tc>
          <w:tcPr>
            <w:tcW w:w="720" w:type="dxa"/>
            <w:vAlign w:val="bottom"/>
          </w:tcPr>
          <w:p>
            <w:pPr>
              <w:spacing w:after="0"/>
              <w:rPr>
                <w:sz w:val="20"/>
                <w:szCs w:val="20"/>
                <w:color w:val="auto"/>
              </w:rPr>
            </w:pPr>
          </w:p>
        </w:tc>
        <w:tc>
          <w:tcPr>
            <w:tcW w:w="10220" w:type="dxa"/>
            <w:vAlign w:val="bottom"/>
            <w:gridSpan w:val="3"/>
          </w:tcPr>
          <w:p>
            <w:pPr>
              <w:ind w:left="740"/>
              <w:spacing w:after="0"/>
              <w:rPr>
                <w:sz w:val="20"/>
                <w:szCs w:val="20"/>
                <w:color w:val="auto"/>
              </w:rPr>
            </w:pPr>
            <w:r>
              <w:rPr>
                <w:rFonts w:ascii="Arial" w:cs="Arial" w:eastAsia="Arial" w:hAnsi="Arial"/>
                <w:sz w:val="18"/>
                <w:szCs w:val="18"/>
                <w:color w:val="auto"/>
                <w:w w:val="92"/>
              </w:rPr>
              <w:t>reference to Exhibit 10.8 to the Company’s registration statement (File No. 333-258990) filed with the SEC on August 20, 2021).</w:t>
            </w:r>
          </w:p>
        </w:tc>
      </w:tr>
      <w:tr>
        <w:trPr>
          <w:trHeight w:val="310"/>
        </w:trPr>
        <w:tc>
          <w:tcPr>
            <w:tcW w:w="720" w:type="dxa"/>
            <w:vAlign w:val="bottom"/>
          </w:tcPr>
          <w:p>
            <w:pPr>
              <w:spacing w:after="0"/>
              <w:rPr>
                <w:sz w:val="20"/>
                <w:szCs w:val="20"/>
                <w:color w:val="auto"/>
              </w:rPr>
            </w:pPr>
            <w:r>
              <w:rPr>
                <w:rFonts w:ascii="Arial" w:cs="Arial" w:eastAsia="Arial" w:hAnsi="Arial"/>
                <w:sz w:val="18"/>
                <w:szCs w:val="18"/>
                <w:color w:val="auto"/>
              </w:rPr>
              <w:t>10.9</w:t>
            </w:r>
          </w:p>
        </w:tc>
        <w:tc>
          <w:tcPr>
            <w:tcW w:w="10220" w:type="dxa"/>
            <w:vAlign w:val="bottom"/>
            <w:gridSpan w:val="3"/>
          </w:tcPr>
          <w:p>
            <w:pPr>
              <w:ind w:left="740"/>
              <w:spacing w:after="0"/>
              <w:rPr>
                <w:sz w:val="20"/>
                <w:szCs w:val="20"/>
                <w:color w:val="auto"/>
              </w:rPr>
            </w:pPr>
            <w:r>
              <w:rPr>
                <w:rFonts w:ascii="Arial" w:cs="Arial" w:eastAsia="Arial" w:hAnsi="Arial"/>
                <w:sz w:val="18"/>
                <w:szCs w:val="18"/>
                <w:color w:val="auto"/>
                <w:w w:val="91"/>
              </w:rPr>
              <w:t>Employment Agreement, dated January 29, 2021, by and between Definitive Healthcare, LLC and Richard Booth (incorporated by</w:t>
            </w:r>
          </w:p>
        </w:tc>
      </w:tr>
      <w:tr>
        <w:trPr>
          <w:trHeight w:val="230"/>
        </w:trPr>
        <w:tc>
          <w:tcPr>
            <w:tcW w:w="720" w:type="dxa"/>
            <w:vAlign w:val="bottom"/>
          </w:tcPr>
          <w:p>
            <w:pPr>
              <w:spacing w:after="0"/>
              <w:rPr>
                <w:sz w:val="20"/>
                <w:szCs w:val="20"/>
                <w:color w:val="auto"/>
              </w:rPr>
            </w:pPr>
          </w:p>
        </w:tc>
        <w:tc>
          <w:tcPr>
            <w:tcW w:w="10220" w:type="dxa"/>
            <w:vAlign w:val="bottom"/>
            <w:gridSpan w:val="3"/>
          </w:tcPr>
          <w:p>
            <w:pPr>
              <w:ind w:left="740"/>
              <w:spacing w:after="0"/>
              <w:rPr>
                <w:sz w:val="20"/>
                <w:szCs w:val="20"/>
                <w:color w:val="auto"/>
              </w:rPr>
            </w:pPr>
            <w:r>
              <w:rPr>
                <w:rFonts w:ascii="Arial" w:cs="Arial" w:eastAsia="Arial" w:hAnsi="Arial"/>
                <w:sz w:val="18"/>
                <w:szCs w:val="18"/>
                <w:color w:val="auto"/>
                <w:w w:val="92"/>
              </w:rPr>
              <w:t>reference to Exhibit 10.9 to the Company’s registration statement (File No. 333-258990) filed with the SEC on August 20, 2021).</w:t>
            </w:r>
          </w:p>
        </w:tc>
      </w:tr>
      <w:tr>
        <w:trPr>
          <w:trHeight w:val="310"/>
        </w:trPr>
        <w:tc>
          <w:tcPr>
            <w:tcW w:w="720" w:type="dxa"/>
            <w:vAlign w:val="bottom"/>
          </w:tcPr>
          <w:p>
            <w:pPr>
              <w:spacing w:after="0"/>
              <w:rPr>
                <w:sz w:val="20"/>
                <w:szCs w:val="20"/>
                <w:color w:val="auto"/>
              </w:rPr>
            </w:pPr>
            <w:r>
              <w:rPr>
                <w:rFonts w:ascii="Arial" w:cs="Arial" w:eastAsia="Arial" w:hAnsi="Arial"/>
                <w:sz w:val="18"/>
                <w:szCs w:val="18"/>
                <w:color w:val="auto"/>
              </w:rPr>
              <w:t>10.10</w:t>
            </w:r>
          </w:p>
        </w:tc>
        <w:tc>
          <w:tcPr>
            <w:tcW w:w="10220" w:type="dxa"/>
            <w:vAlign w:val="bottom"/>
            <w:gridSpan w:val="3"/>
          </w:tcPr>
          <w:p>
            <w:pPr>
              <w:ind w:left="740"/>
              <w:spacing w:after="0"/>
              <w:rPr>
                <w:sz w:val="20"/>
                <w:szCs w:val="20"/>
                <w:color w:val="auto"/>
              </w:rPr>
            </w:pPr>
            <w:r>
              <w:rPr>
                <w:rFonts w:ascii="Arial" w:cs="Arial" w:eastAsia="Arial" w:hAnsi="Arial"/>
                <w:sz w:val="18"/>
                <w:szCs w:val="18"/>
                <w:color w:val="auto"/>
                <w:w w:val="91"/>
              </w:rPr>
              <w:t>Employment Agreement, dated February 1, 2021, by and between Definitive Healthcare, LLC and David Samuels (incorporated by</w:t>
            </w:r>
          </w:p>
        </w:tc>
      </w:tr>
      <w:tr>
        <w:trPr>
          <w:trHeight w:val="230"/>
        </w:trPr>
        <w:tc>
          <w:tcPr>
            <w:tcW w:w="720" w:type="dxa"/>
            <w:vAlign w:val="bottom"/>
          </w:tcPr>
          <w:p>
            <w:pPr>
              <w:spacing w:after="0"/>
              <w:rPr>
                <w:sz w:val="20"/>
                <w:szCs w:val="20"/>
                <w:color w:val="auto"/>
              </w:rPr>
            </w:pPr>
          </w:p>
        </w:tc>
        <w:tc>
          <w:tcPr>
            <w:tcW w:w="10220" w:type="dxa"/>
            <w:vAlign w:val="bottom"/>
            <w:gridSpan w:val="3"/>
          </w:tcPr>
          <w:p>
            <w:pPr>
              <w:ind w:left="740"/>
              <w:spacing w:after="0"/>
              <w:rPr>
                <w:sz w:val="20"/>
                <w:szCs w:val="20"/>
                <w:color w:val="auto"/>
              </w:rPr>
            </w:pPr>
            <w:r>
              <w:rPr>
                <w:rFonts w:ascii="Arial" w:cs="Arial" w:eastAsia="Arial" w:hAnsi="Arial"/>
                <w:sz w:val="18"/>
                <w:szCs w:val="18"/>
                <w:color w:val="auto"/>
                <w:w w:val="92"/>
              </w:rPr>
              <w:t>reference to Exhibit 10.10 to the Company’s registration statement (File No. 333-258990) filed with the SEC on August 20, 2021).</w:t>
            </w:r>
          </w:p>
        </w:tc>
      </w:tr>
      <w:tr>
        <w:trPr>
          <w:trHeight w:val="310"/>
        </w:trPr>
        <w:tc>
          <w:tcPr>
            <w:tcW w:w="720" w:type="dxa"/>
            <w:vAlign w:val="bottom"/>
          </w:tcPr>
          <w:p>
            <w:pPr>
              <w:spacing w:after="0"/>
              <w:rPr>
                <w:sz w:val="20"/>
                <w:szCs w:val="20"/>
                <w:color w:val="auto"/>
              </w:rPr>
            </w:pPr>
            <w:r>
              <w:rPr>
                <w:rFonts w:ascii="Arial" w:cs="Arial" w:eastAsia="Arial" w:hAnsi="Arial"/>
                <w:sz w:val="18"/>
                <w:szCs w:val="18"/>
                <w:color w:val="auto"/>
              </w:rPr>
              <w:t>10.11</w:t>
            </w:r>
          </w:p>
        </w:tc>
        <w:tc>
          <w:tcPr>
            <w:tcW w:w="10220" w:type="dxa"/>
            <w:vAlign w:val="bottom"/>
            <w:gridSpan w:val="3"/>
          </w:tcPr>
          <w:p>
            <w:pPr>
              <w:ind w:left="740"/>
              <w:spacing w:after="0"/>
              <w:rPr>
                <w:sz w:val="20"/>
                <w:szCs w:val="20"/>
                <w:color w:val="auto"/>
              </w:rPr>
            </w:pPr>
            <w:r>
              <w:rPr>
                <w:rFonts w:ascii="Arial" w:cs="Arial" w:eastAsia="Arial" w:hAnsi="Arial"/>
                <w:sz w:val="18"/>
                <w:szCs w:val="18"/>
                <w:color w:val="auto"/>
                <w:w w:val="94"/>
              </w:rPr>
              <w:t>Credit Agreement, dated July 16, 2019, by and among DH Holdings, AIDH Buyer, LLC, Administrative Agent, the lenders party</w:t>
            </w:r>
          </w:p>
        </w:tc>
      </w:tr>
      <w:tr>
        <w:trPr>
          <w:trHeight w:val="216"/>
        </w:trPr>
        <w:tc>
          <w:tcPr>
            <w:tcW w:w="720" w:type="dxa"/>
            <w:vAlign w:val="bottom"/>
          </w:tcPr>
          <w:p>
            <w:pPr>
              <w:spacing w:after="0"/>
              <w:rPr>
                <w:sz w:val="18"/>
                <w:szCs w:val="18"/>
                <w:color w:val="auto"/>
              </w:rPr>
            </w:pPr>
          </w:p>
        </w:tc>
        <w:tc>
          <w:tcPr>
            <w:tcW w:w="10220" w:type="dxa"/>
            <w:vAlign w:val="bottom"/>
            <w:gridSpan w:val="3"/>
          </w:tcPr>
          <w:p>
            <w:pPr>
              <w:ind w:left="740"/>
              <w:spacing w:after="0"/>
              <w:rPr>
                <w:sz w:val="20"/>
                <w:szCs w:val="20"/>
                <w:color w:val="auto"/>
              </w:rPr>
            </w:pPr>
            <w:r>
              <w:rPr>
                <w:rFonts w:ascii="Arial" w:cs="Arial" w:eastAsia="Arial" w:hAnsi="Arial"/>
                <w:sz w:val="18"/>
                <w:szCs w:val="18"/>
                <w:color w:val="auto"/>
                <w:w w:val="97"/>
              </w:rPr>
              <w:t>thereto and the issuing banks from time to time party thereto (incorporated by reference to Exhibit 10.11 to the Company’s</w:t>
            </w:r>
          </w:p>
        </w:tc>
      </w:tr>
      <w:tr>
        <w:trPr>
          <w:trHeight w:val="230"/>
        </w:trPr>
        <w:tc>
          <w:tcPr>
            <w:tcW w:w="720" w:type="dxa"/>
            <w:vAlign w:val="bottom"/>
          </w:tcPr>
          <w:p>
            <w:pPr>
              <w:spacing w:after="0"/>
              <w:rPr>
                <w:sz w:val="20"/>
                <w:szCs w:val="20"/>
                <w:color w:val="auto"/>
              </w:rPr>
            </w:pPr>
          </w:p>
        </w:tc>
        <w:tc>
          <w:tcPr>
            <w:tcW w:w="10220" w:type="dxa"/>
            <w:vAlign w:val="bottom"/>
            <w:gridSpan w:val="3"/>
          </w:tcPr>
          <w:p>
            <w:pPr>
              <w:ind w:left="740"/>
              <w:spacing w:after="0"/>
              <w:rPr>
                <w:sz w:val="20"/>
                <w:szCs w:val="20"/>
                <w:color w:val="auto"/>
              </w:rPr>
            </w:pPr>
            <w:r>
              <w:rPr>
                <w:rFonts w:ascii="Arial" w:cs="Arial" w:eastAsia="Arial" w:hAnsi="Arial"/>
                <w:sz w:val="18"/>
                <w:szCs w:val="18"/>
                <w:color w:val="auto"/>
              </w:rPr>
              <w:t>registration statement (File No. 333-258990) filed with the SEC on August 20, 2021).</w:t>
            </w:r>
          </w:p>
        </w:tc>
      </w:tr>
      <w:tr>
        <w:trPr>
          <w:trHeight w:val="310"/>
        </w:trPr>
        <w:tc>
          <w:tcPr>
            <w:tcW w:w="720" w:type="dxa"/>
            <w:vAlign w:val="bottom"/>
          </w:tcPr>
          <w:p>
            <w:pPr>
              <w:spacing w:after="0"/>
              <w:rPr>
                <w:sz w:val="20"/>
                <w:szCs w:val="20"/>
                <w:color w:val="auto"/>
              </w:rPr>
            </w:pPr>
            <w:r>
              <w:rPr>
                <w:rFonts w:ascii="Arial" w:cs="Arial" w:eastAsia="Arial" w:hAnsi="Arial"/>
                <w:sz w:val="18"/>
                <w:szCs w:val="18"/>
                <w:color w:val="auto"/>
              </w:rPr>
              <w:t>10.12</w:t>
            </w:r>
          </w:p>
        </w:tc>
        <w:tc>
          <w:tcPr>
            <w:tcW w:w="10220" w:type="dxa"/>
            <w:vAlign w:val="bottom"/>
            <w:gridSpan w:val="3"/>
          </w:tcPr>
          <w:p>
            <w:pPr>
              <w:ind w:left="740"/>
              <w:spacing w:after="0"/>
              <w:rPr>
                <w:sz w:val="20"/>
                <w:szCs w:val="20"/>
                <w:color w:val="auto"/>
              </w:rPr>
            </w:pPr>
            <w:r>
              <w:rPr>
                <w:rFonts w:ascii="Arial" w:cs="Arial" w:eastAsia="Arial" w:hAnsi="Arial"/>
                <w:sz w:val="18"/>
                <w:szCs w:val="18"/>
                <w:color w:val="auto"/>
                <w:w w:val="90"/>
              </w:rPr>
              <w:t>Credit Agreement, dated September 17, 2021, by and among DH Holdings and Administrative Agent, the lenders party thereto and</w:t>
            </w:r>
          </w:p>
        </w:tc>
      </w:tr>
      <w:tr>
        <w:trPr>
          <w:trHeight w:val="216"/>
        </w:trPr>
        <w:tc>
          <w:tcPr>
            <w:tcW w:w="720" w:type="dxa"/>
            <w:vAlign w:val="bottom"/>
          </w:tcPr>
          <w:p>
            <w:pPr>
              <w:spacing w:after="0"/>
              <w:rPr>
                <w:sz w:val="18"/>
                <w:szCs w:val="18"/>
                <w:color w:val="auto"/>
              </w:rPr>
            </w:pPr>
          </w:p>
        </w:tc>
        <w:tc>
          <w:tcPr>
            <w:tcW w:w="10220" w:type="dxa"/>
            <w:vAlign w:val="bottom"/>
            <w:gridSpan w:val="3"/>
          </w:tcPr>
          <w:p>
            <w:pPr>
              <w:ind w:left="740"/>
              <w:spacing w:after="0"/>
              <w:rPr>
                <w:sz w:val="20"/>
                <w:szCs w:val="20"/>
                <w:color w:val="auto"/>
              </w:rPr>
            </w:pPr>
            <w:r>
              <w:rPr>
                <w:rFonts w:ascii="Arial" w:cs="Arial" w:eastAsia="Arial" w:hAnsi="Arial"/>
                <w:sz w:val="18"/>
                <w:szCs w:val="18"/>
                <w:color w:val="auto"/>
                <w:w w:val="94"/>
              </w:rPr>
              <w:t>the issuing banks from time to time party thereto (incorporated by reference to Exhibit 10.1 to the Company’s current report on</w:t>
            </w:r>
          </w:p>
        </w:tc>
      </w:tr>
      <w:tr>
        <w:trPr>
          <w:trHeight w:val="230"/>
        </w:trPr>
        <w:tc>
          <w:tcPr>
            <w:tcW w:w="720" w:type="dxa"/>
            <w:vAlign w:val="bottom"/>
          </w:tcPr>
          <w:p>
            <w:pPr>
              <w:spacing w:after="0"/>
              <w:rPr>
                <w:sz w:val="20"/>
                <w:szCs w:val="20"/>
                <w:color w:val="auto"/>
              </w:rPr>
            </w:pPr>
          </w:p>
        </w:tc>
        <w:tc>
          <w:tcPr>
            <w:tcW w:w="10220" w:type="dxa"/>
            <w:vAlign w:val="bottom"/>
            <w:gridSpan w:val="3"/>
          </w:tcPr>
          <w:p>
            <w:pPr>
              <w:ind w:left="740"/>
              <w:spacing w:after="0"/>
              <w:rPr>
                <w:sz w:val="20"/>
                <w:szCs w:val="20"/>
                <w:color w:val="auto"/>
              </w:rPr>
            </w:pPr>
            <w:r>
              <w:rPr>
                <w:rFonts w:ascii="Arial" w:cs="Arial" w:eastAsia="Arial" w:hAnsi="Arial"/>
                <w:sz w:val="18"/>
                <w:szCs w:val="18"/>
                <w:color w:val="auto"/>
              </w:rPr>
              <w:t>Form 8-K (File No. 001-40815), filed with the SEC on September 20, 2021).</w:t>
            </w:r>
          </w:p>
        </w:tc>
      </w:tr>
      <w:tr>
        <w:trPr>
          <w:trHeight w:val="310"/>
        </w:trPr>
        <w:tc>
          <w:tcPr>
            <w:tcW w:w="720" w:type="dxa"/>
            <w:vAlign w:val="bottom"/>
          </w:tcPr>
          <w:p>
            <w:pPr>
              <w:spacing w:after="0"/>
              <w:rPr>
                <w:sz w:val="20"/>
                <w:szCs w:val="20"/>
                <w:color w:val="auto"/>
              </w:rPr>
            </w:pPr>
            <w:r>
              <w:rPr>
                <w:rFonts w:ascii="Arial" w:cs="Arial" w:eastAsia="Arial" w:hAnsi="Arial"/>
                <w:sz w:val="18"/>
                <w:szCs w:val="18"/>
                <w:color w:val="auto"/>
              </w:rPr>
              <w:t>10.13</w:t>
            </w:r>
          </w:p>
        </w:tc>
        <w:tc>
          <w:tcPr>
            <w:tcW w:w="10220" w:type="dxa"/>
            <w:vAlign w:val="bottom"/>
            <w:gridSpan w:val="3"/>
          </w:tcPr>
          <w:p>
            <w:pPr>
              <w:ind w:left="740"/>
              <w:spacing w:after="0"/>
              <w:rPr>
                <w:sz w:val="20"/>
                <w:szCs w:val="20"/>
                <w:color w:val="auto"/>
              </w:rPr>
            </w:pPr>
            <w:r>
              <w:rPr>
                <w:rFonts w:ascii="Arial" w:cs="Arial" w:eastAsia="Arial" w:hAnsi="Arial"/>
                <w:sz w:val="18"/>
                <w:szCs w:val="18"/>
                <w:color w:val="auto"/>
                <w:w w:val="97"/>
              </w:rPr>
              <w:t>Form of Reorganization Agreement between Definitive Healthcare Corp., AIDH TopCo, LLC and the parties named therein</w:t>
            </w:r>
          </w:p>
        </w:tc>
      </w:tr>
      <w:tr>
        <w:trPr>
          <w:trHeight w:val="216"/>
        </w:trPr>
        <w:tc>
          <w:tcPr>
            <w:tcW w:w="720" w:type="dxa"/>
            <w:vAlign w:val="bottom"/>
          </w:tcPr>
          <w:p>
            <w:pPr>
              <w:spacing w:after="0"/>
              <w:rPr>
                <w:sz w:val="18"/>
                <w:szCs w:val="18"/>
                <w:color w:val="auto"/>
              </w:rPr>
            </w:pPr>
          </w:p>
        </w:tc>
        <w:tc>
          <w:tcPr>
            <w:tcW w:w="10220" w:type="dxa"/>
            <w:vAlign w:val="bottom"/>
            <w:gridSpan w:val="3"/>
          </w:tcPr>
          <w:p>
            <w:pPr>
              <w:ind w:left="740"/>
              <w:spacing w:after="0"/>
              <w:rPr>
                <w:sz w:val="20"/>
                <w:szCs w:val="20"/>
                <w:color w:val="auto"/>
              </w:rPr>
            </w:pPr>
            <w:r>
              <w:rPr>
                <w:rFonts w:ascii="Arial" w:cs="Arial" w:eastAsia="Arial" w:hAnsi="Arial"/>
                <w:sz w:val="18"/>
                <w:szCs w:val="18"/>
                <w:color w:val="auto"/>
                <w:w w:val="93"/>
              </w:rPr>
              <w:t>(incorporated by reference to Exhibit 10.12 to the Company’s registration statement (File No. 333-258990) filed with the SEC on</w:t>
            </w:r>
          </w:p>
        </w:tc>
      </w:tr>
      <w:tr>
        <w:trPr>
          <w:trHeight w:val="230"/>
        </w:trPr>
        <w:tc>
          <w:tcPr>
            <w:tcW w:w="720" w:type="dxa"/>
            <w:vAlign w:val="bottom"/>
          </w:tcPr>
          <w:p>
            <w:pPr>
              <w:spacing w:after="0"/>
              <w:rPr>
                <w:sz w:val="20"/>
                <w:szCs w:val="20"/>
                <w:color w:val="auto"/>
              </w:rPr>
            </w:pPr>
          </w:p>
        </w:tc>
        <w:tc>
          <w:tcPr>
            <w:tcW w:w="10220" w:type="dxa"/>
            <w:vAlign w:val="bottom"/>
            <w:gridSpan w:val="3"/>
          </w:tcPr>
          <w:p>
            <w:pPr>
              <w:ind w:left="740"/>
              <w:spacing w:after="0"/>
              <w:rPr>
                <w:sz w:val="20"/>
                <w:szCs w:val="20"/>
                <w:color w:val="auto"/>
              </w:rPr>
            </w:pPr>
            <w:r>
              <w:rPr>
                <w:rFonts w:ascii="Arial" w:cs="Arial" w:eastAsia="Arial" w:hAnsi="Arial"/>
                <w:sz w:val="18"/>
                <w:szCs w:val="18"/>
                <w:color w:val="auto"/>
              </w:rPr>
              <w:t>August 20, 2021).</w:t>
            </w:r>
          </w:p>
        </w:tc>
      </w:tr>
      <w:tr>
        <w:trPr>
          <w:trHeight w:val="310"/>
        </w:trPr>
        <w:tc>
          <w:tcPr>
            <w:tcW w:w="720" w:type="dxa"/>
            <w:vAlign w:val="bottom"/>
          </w:tcPr>
          <w:p>
            <w:pPr>
              <w:spacing w:after="0"/>
              <w:rPr>
                <w:sz w:val="20"/>
                <w:szCs w:val="20"/>
                <w:color w:val="auto"/>
              </w:rPr>
            </w:pPr>
            <w:r>
              <w:rPr>
                <w:rFonts w:ascii="Arial" w:cs="Arial" w:eastAsia="Arial" w:hAnsi="Arial"/>
                <w:sz w:val="18"/>
                <w:szCs w:val="18"/>
                <w:color w:val="auto"/>
              </w:rPr>
              <w:t>10.14</w:t>
            </w:r>
          </w:p>
        </w:tc>
        <w:tc>
          <w:tcPr>
            <w:tcW w:w="10220" w:type="dxa"/>
            <w:vAlign w:val="bottom"/>
            <w:gridSpan w:val="3"/>
          </w:tcPr>
          <w:p>
            <w:pPr>
              <w:ind w:left="740"/>
              <w:spacing w:after="0"/>
              <w:rPr>
                <w:sz w:val="20"/>
                <w:szCs w:val="20"/>
                <w:color w:val="auto"/>
              </w:rPr>
            </w:pPr>
            <w:r>
              <w:rPr>
                <w:rFonts w:ascii="Arial" w:cs="Arial" w:eastAsia="Arial" w:hAnsi="Arial"/>
                <w:sz w:val="18"/>
                <w:szCs w:val="18"/>
                <w:color w:val="auto"/>
                <w:w w:val="91"/>
              </w:rPr>
              <w:t>Form of Registration Rights Agreement by and among Definitive Healthcare Corp. and the Unitholders (incorporated by reference</w:t>
            </w:r>
          </w:p>
        </w:tc>
      </w:tr>
      <w:tr>
        <w:trPr>
          <w:trHeight w:val="230"/>
        </w:trPr>
        <w:tc>
          <w:tcPr>
            <w:tcW w:w="720" w:type="dxa"/>
            <w:vAlign w:val="bottom"/>
          </w:tcPr>
          <w:p>
            <w:pPr>
              <w:spacing w:after="0"/>
              <w:rPr>
                <w:sz w:val="20"/>
                <w:szCs w:val="20"/>
                <w:color w:val="auto"/>
              </w:rPr>
            </w:pPr>
          </w:p>
        </w:tc>
        <w:tc>
          <w:tcPr>
            <w:tcW w:w="10220" w:type="dxa"/>
            <w:vAlign w:val="bottom"/>
            <w:gridSpan w:val="3"/>
          </w:tcPr>
          <w:p>
            <w:pPr>
              <w:ind w:left="740"/>
              <w:spacing w:after="0"/>
              <w:rPr>
                <w:sz w:val="20"/>
                <w:szCs w:val="20"/>
                <w:color w:val="auto"/>
              </w:rPr>
            </w:pPr>
            <w:r>
              <w:rPr>
                <w:rFonts w:ascii="Arial" w:cs="Arial" w:eastAsia="Arial" w:hAnsi="Arial"/>
                <w:sz w:val="18"/>
                <w:szCs w:val="18"/>
                <w:color w:val="auto"/>
                <w:w w:val="99"/>
              </w:rPr>
              <w:t>to Exhibit 10.13 to the Company’s registration statement (File No. 333-258990) filed with the SEC on August 20, 2021).</w:t>
            </w:r>
          </w:p>
        </w:tc>
      </w:tr>
      <w:tr>
        <w:trPr>
          <w:trHeight w:val="310"/>
        </w:trPr>
        <w:tc>
          <w:tcPr>
            <w:tcW w:w="720" w:type="dxa"/>
            <w:vAlign w:val="bottom"/>
          </w:tcPr>
          <w:p>
            <w:pPr>
              <w:spacing w:after="0"/>
              <w:rPr>
                <w:sz w:val="20"/>
                <w:szCs w:val="20"/>
                <w:color w:val="auto"/>
              </w:rPr>
            </w:pPr>
            <w:r>
              <w:rPr>
                <w:rFonts w:ascii="Arial" w:cs="Arial" w:eastAsia="Arial" w:hAnsi="Arial"/>
                <w:sz w:val="18"/>
                <w:szCs w:val="18"/>
                <w:color w:val="auto"/>
              </w:rPr>
              <w:t>10.15</w:t>
            </w:r>
          </w:p>
        </w:tc>
        <w:tc>
          <w:tcPr>
            <w:tcW w:w="10220" w:type="dxa"/>
            <w:vAlign w:val="bottom"/>
            <w:gridSpan w:val="3"/>
          </w:tcPr>
          <w:p>
            <w:pPr>
              <w:ind w:left="740"/>
              <w:spacing w:after="0"/>
              <w:rPr>
                <w:sz w:val="20"/>
                <w:szCs w:val="20"/>
                <w:color w:val="auto"/>
              </w:rPr>
            </w:pPr>
            <w:r>
              <w:rPr>
                <w:rFonts w:ascii="Arial" w:cs="Arial" w:eastAsia="Arial" w:hAnsi="Arial"/>
                <w:sz w:val="18"/>
                <w:szCs w:val="18"/>
                <w:color w:val="auto"/>
                <w:w w:val="96"/>
              </w:rPr>
              <w:t>Form of Tax Receivable Agreement between Definitive Healthcare Corp. and the TRA Parties (incorporated by reference to</w:t>
            </w:r>
          </w:p>
        </w:tc>
      </w:tr>
      <w:tr>
        <w:trPr>
          <w:trHeight w:val="230"/>
        </w:trPr>
        <w:tc>
          <w:tcPr>
            <w:tcW w:w="720" w:type="dxa"/>
            <w:vAlign w:val="bottom"/>
          </w:tcPr>
          <w:p>
            <w:pPr>
              <w:spacing w:after="0"/>
              <w:rPr>
                <w:sz w:val="20"/>
                <w:szCs w:val="20"/>
                <w:color w:val="auto"/>
              </w:rPr>
            </w:pPr>
          </w:p>
        </w:tc>
        <w:tc>
          <w:tcPr>
            <w:tcW w:w="10220" w:type="dxa"/>
            <w:vAlign w:val="bottom"/>
            <w:gridSpan w:val="3"/>
          </w:tcPr>
          <w:p>
            <w:pPr>
              <w:ind w:left="740"/>
              <w:spacing w:after="0"/>
              <w:rPr>
                <w:sz w:val="20"/>
                <w:szCs w:val="20"/>
                <w:color w:val="auto"/>
              </w:rPr>
            </w:pPr>
            <w:r>
              <w:rPr>
                <w:rFonts w:ascii="Arial" w:cs="Arial" w:eastAsia="Arial" w:hAnsi="Arial"/>
                <w:sz w:val="18"/>
                <w:szCs w:val="18"/>
                <w:color w:val="auto"/>
              </w:rPr>
              <w:t>Exhibit 10.14 to the Company’s registration statement (File No. 333- 258990) filed with the SEC on August 20, 2021).</w:t>
            </w:r>
          </w:p>
        </w:tc>
      </w:tr>
      <w:tr>
        <w:trPr>
          <w:trHeight w:val="310"/>
        </w:trPr>
        <w:tc>
          <w:tcPr>
            <w:tcW w:w="720" w:type="dxa"/>
            <w:vAlign w:val="bottom"/>
          </w:tcPr>
          <w:p>
            <w:pPr>
              <w:spacing w:after="0"/>
              <w:rPr>
                <w:sz w:val="20"/>
                <w:szCs w:val="20"/>
                <w:color w:val="auto"/>
              </w:rPr>
            </w:pPr>
            <w:r>
              <w:rPr>
                <w:rFonts w:ascii="Arial" w:cs="Arial" w:eastAsia="Arial" w:hAnsi="Arial"/>
                <w:sz w:val="18"/>
                <w:szCs w:val="18"/>
                <w:color w:val="auto"/>
              </w:rPr>
              <w:t>10.16</w:t>
            </w:r>
          </w:p>
        </w:tc>
        <w:tc>
          <w:tcPr>
            <w:tcW w:w="10220" w:type="dxa"/>
            <w:vAlign w:val="bottom"/>
            <w:gridSpan w:val="3"/>
          </w:tcPr>
          <w:p>
            <w:pPr>
              <w:ind w:left="740"/>
              <w:spacing w:after="0"/>
              <w:rPr>
                <w:sz w:val="20"/>
                <w:szCs w:val="20"/>
                <w:color w:val="auto"/>
              </w:rPr>
            </w:pPr>
            <w:r>
              <w:rPr>
                <w:rFonts w:ascii="Arial" w:cs="Arial" w:eastAsia="Arial" w:hAnsi="Arial"/>
                <w:sz w:val="18"/>
                <w:szCs w:val="18"/>
                <w:color w:val="auto"/>
                <w:w w:val="92"/>
              </w:rPr>
              <w:t>Form of Nominating Agreement between the Company and Advent (incorporated by reference to Exhibit 10.15 to the Company’s</w:t>
            </w:r>
          </w:p>
        </w:tc>
      </w:tr>
      <w:tr>
        <w:trPr>
          <w:trHeight w:val="230"/>
        </w:trPr>
        <w:tc>
          <w:tcPr>
            <w:tcW w:w="720" w:type="dxa"/>
            <w:vAlign w:val="bottom"/>
          </w:tcPr>
          <w:p>
            <w:pPr>
              <w:spacing w:after="0"/>
              <w:rPr>
                <w:sz w:val="20"/>
                <w:szCs w:val="20"/>
                <w:color w:val="auto"/>
              </w:rPr>
            </w:pPr>
          </w:p>
        </w:tc>
        <w:tc>
          <w:tcPr>
            <w:tcW w:w="10220" w:type="dxa"/>
            <w:vAlign w:val="bottom"/>
            <w:gridSpan w:val="3"/>
          </w:tcPr>
          <w:p>
            <w:pPr>
              <w:ind w:left="740"/>
              <w:spacing w:after="0"/>
              <w:rPr>
                <w:sz w:val="20"/>
                <w:szCs w:val="20"/>
                <w:color w:val="auto"/>
              </w:rPr>
            </w:pPr>
            <w:r>
              <w:rPr>
                <w:rFonts w:ascii="Arial" w:cs="Arial" w:eastAsia="Arial" w:hAnsi="Arial"/>
                <w:sz w:val="18"/>
                <w:szCs w:val="18"/>
                <w:color w:val="auto"/>
              </w:rPr>
              <w:t>registration statement (File No. 333-258990) filed with the SEC on August 20, 2021).</w:t>
            </w:r>
          </w:p>
        </w:tc>
      </w:tr>
      <w:tr>
        <w:trPr>
          <w:trHeight w:val="310"/>
        </w:trPr>
        <w:tc>
          <w:tcPr>
            <w:tcW w:w="720" w:type="dxa"/>
            <w:vAlign w:val="bottom"/>
          </w:tcPr>
          <w:p>
            <w:pPr>
              <w:spacing w:after="0"/>
              <w:rPr>
                <w:sz w:val="20"/>
                <w:szCs w:val="20"/>
                <w:color w:val="auto"/>
              </w:rPr>
            </w:pPr>
            <w:r>
              <w:rPr>
                <w:rFonts w:ascii="Arial" w:cs="Arial" w:eastAsia="Arial" w:hAnsi="Arial"/>
                <w:sz w:val="18"/>
                <w:szCs w:val="18"/>
                <w:color w:val="auto"/>
              </w:rPr>
              <w:t>10.17</w:t>
            </w:r>
          </w:p>
        </w:tc>
        <w:tc>
          <w:tcPr>
            <w:tcW w:w="10220" w:type="dxa"/>
            <w:vAlign w:val="bottom"/>
            <w:gridSpan w:val="3"/>
          </w:tcPr>
          <w:p>
            <w:pPr>
              <w:ind w:left="740"/>
              <w:spacing w:after="0"/>
              <w:rPr>
                <w:sz w:val="20"/>
                <w:szCs w:val="20"/>
                <w:color w:val="auto"/>
              </w:rPr>
            </w:pPr>
            <w:r>
              <w:rPr>
                <w:rFonts w:ascii="Arial" w:cs="Arial" w:eastAsia="Arial" w:hAnsi="Arial"/>
                <w:sz w:val="18"/>
                <w:szCs w:val="18"/>
                <w:color w:val="auto"/>
                <w:w w:val="93"/>
              </w:rPr>
              <w:t>Form of Nominating Agreement between the Company and SE VII DHC AIV, L.P (incorporated by reference to Exhibit 10.16 to</w:t>
            </w:r>
          </w:p>
        </w:tc>
      </w:tr>
      <w:tr>
        <w:trPr>
          <w:trHeight w:val="230"/>
        </w:trPr>
        <w:tc>
          <w:tcPr>
            <w:tcW w:w="720" w:type="dxa"/>
            <w:vAlign w:val="bottom"/>
          </w:tcPr>
          <w:p>
            <w:pPr>
              <w:spacing w:after="0"/>
              <w:rPr>
                <w:sz w:val="20"/>
                <w:szCs w:val="20"/>
                <w:color w:val="auto"/>
              </w:rPr>
            </w:pPr>
          </w:p>
        </w:tc>
        <w:tc>
          <w:tcPr>
            <w:tcW w:w="10220" w:type="dxa"/>
            <w:vAlign w:val="bottom"/>
            <w:gridSpan w:val="3"/>
          </w:tcPr>
          <w:p>
            <w:pPr>
              <w:ind w:left="740"/>
              <w:spacing w:after="0"/>
              <w:rPr>
                <w:sz w:val="20"/>
                <w:szCs w:val="20"/>
                <w:color w:val="auto"/>
              </w:rPr>
            </w:pPr>
            <w:r>
              <w:rPr>
                <w:rFonts w:ascii="Arial" w:cs="Arial" w:eastAsia="Arial" w:hAnsi="Arial"/>
                <w:sz w:val="18"/>
                <w:szCs w:val="18"/>
                <w:color w:val="auto"/>
              </w:rPr>
              <w:t>the Company’s registration statement (File No. 333-258990) filed with the SEC on August 20, 2021).</w:t>
            </w:r>
          </w:p>
        </w:tc>
      </w:tr>
      <w:tr>
        <w:trPr>
          <w:trHeight w:val="310"/>
        </w:trPr>
        <w:tc>
          <w:tcPr>
            <w:tcW w:w="720" w:type="dxa"/>
            <w:vAlign w:val="bottom"/>
          </w:tcPr>
          <w:p>
            <w:pPr>
              <w:spacing w:after="0"/>
              <w:rPr>
                <w:sz w:val="20"/>
                <w:szCs w:val="20"/>
                <w:color w:val="auto"/>
              </w:rPr>
            </w:pPr>
            <w:r>
              <w:rPr>
                <w:rFonts w:ascii="Arial" w:cs="Arial" w:eastAsia="Arial" w:hAnsi="Arial"/>
                <w:sz w:val="18"/>
                <w:szCs w:val="18"/>
                <w:color w:val="auto"/>
              </w:rPr>
              <w:t>10.18</w:t>
            </w:r>
          </w:p>
        </w:tc>
        <w:tc>
          <w:tcPr>
            <w:tcW w:w="10220" w:type="dxa"/>
            <w:vAlign w:val="bottom"/>
            <w:gridSpan w:val="3"/>
          </w:tcPr>
          <w:p>
            <w:pPr>
              <w:ind w:left="740"/>
              <w:spacing w:after="0"/>
              <w:rPr>
                <w:sz w:val="20"/>
                <w:szCs w:val="20"/>
                <w:color w:val="auto"/>
              </w:rPr>
            </w:pPr>
            <w:r>
              <w:rPr>
                <w:rFonts w:ascii="Arial" w:cs="Arial" w:eastAsia="Arial" w:hAnsi="Arial"/>
                <w:sz w:val="18"/>
                <w:szCs w:val="18"/>
                <w:color w:val="auto"/>
                <w:w w:val="96"/>
              </w:rPr>
              <w:t>Form of Nominating Agreement between the Company and Jason Krantz (incorporated by reference to Exhibit 10.17 to the</w:t>
            </w:r>
          </w:p>
        </w:tc>
      </w:tr>
      <w:tr>
        <w:trPr>
          <w:trHeight w:val="230"/>
        </w:trPr>
        <w:tc>
          <w:tcPr>
            <w:tcW w:w="720" w:type="dxa"/>
            <w:vAlign w:val="bottom"/>
          </w:tcPr>
          <w:p>
            <w:pPr>
              <w:spacing w:after="0"/>
              <w:rPr>
                <w:sz w:val="20"/>
                <w:szCs w:val="20"/>
                <w:color w:val="auto"/>
              </w:rPr>
            </w:pPr>
          </w:p>
        </w:tc>
        <w:tc>
          <w:tcPr>
            <w:tcW w:w="10220" w:type="dxa"/>
            <w:vAlign w:val="bottom"/>
            <w:gridSpan w:val="3"/>
          </w:tcPr>
          <w:p>
            <w:pPr>
              <w:ind w:left="740"/>
              <w:spacing w:after="0"/>
              <w:rPr>
                <w:sz w:val="20"/>
                <w:szCs w:val="20"/>
                <w:color w:val="auto"/>
              </w:rPr>
            </w:pPr>
            <w:r>
              <w:rPr>
                <w:rFonts w:ascii="Arial" w:cs="Arial" w:eastAsia="Arial" w:hAnsi="Arial"/>
                <w:sz w:val="18"/>
                <w:szCs w:val="18"/>
                <w:color w:val="auto"/>
              </w:rPr>
              <w:t>Company’s registration statement (File No. 333-258990) filed with the SEC on August 20, 2021).</w:t>
            </w:r>
          </w:p>
        </w:tc>
      </w:tr>
      <w:tr>
        <w:trPr>
          <w:trHeight w:val="310"/>
        </w:trPr>
        <w:tc>
          <w:tcPr>
            <w:tcW w:w="720" w:type="dxa"/>
            <w:vAlign w:val="bottom"/>
          </w:tcPr>
          <w:p>
            <w:pPr>
              <w:spacing w:after="0"/>
              <w:rPr>
                <w:sz w:val="20"/>
                <w:szCs w:val="20"/>
                <w:color w:val="auto"/>
              </w:rPr>
            </w:pPr>
            <w:r>
              <w:rPr>
                <w:rFonts w:ascii="Arial" w:cs="Arial" w:eastAsia="Arial" w:hAnsi="Arial"/>
                <w:sz w:val="18"/>
                <w:szCs w:val="18"/>
                <w:color w:val="auto"/>
              </w:rPr>
              <w:t>10.19</w:t>
            </w:r>
          </w:p>
        </w:tc>
        <w:tc>
          <w:tcPr>
            <w:tcW w:w="10220" w:type="dxa"/>
            <w:vAlign w:val="bottom"/>
            <w:gridSpan w:val="3"/>
          </w:tcPr>
          <w:p>
            <w:pPr>
              <w:ind w:left="740"/>
              <w:spacing w:after="0"/>
              <w:rPr>
                <w:sz w:val="20"/>
                <w:szCs w:val="20"/>
                <w:color w:val="auto"/>
              </w:rPr>
            </w:pPr>
            <w:r>
              <w:rPr>
                <w:rFonts w:ascii="Arial" w:cs="Arial" w:eastAsia="Arial" w:hAnsi="Arial"/>
                <w:sz w:val="18"/>
                <w:szCs w:val="18"/>
                <w:color w:val="auto"/>
                <w:w w:val="97"/>
              </w:rPr>
              <w:t>Form of Reimbursement Agreement between Definitive Healthcare Corp. and Jason Krantz and certain other stockholders</w:t>
            </w:r>
          </w:p>
        </w:tc>
      </w:tr>
      <w:tr>
        <w:trPr>
          <w:trHeight w:val="216"/>
        </w:trPr>
        <w:tc>
          <w:tcPr>
            <w:tcW w:w="720" w:type="dxa"/>
            <w:vAlign w:val="bottom"/>
          </w:tcPr>
          <w:p>
            <w:pPr>
              <w:spacing w:after="0"/>
              <w:rPr>
                <w:sz w:val="18"/>
                <w:szCs w:val="18"/>
                <w:color w:val="auto"/>
              </w:rPr>
            </w:pPr>
          </w:p>
        </w:tc>
        <w:tc>
          <w:tcPr>
            <w:tcW w:w="10220" w:type="dxa"/>
            <w:vAlign w:val="bottom"/>
            <w:gridSpan w:val="3"/>
          </w:tcPr>
          <w:p>
            <w:pPr>
              <w:ind w:left="740"/>
              <w:spacing w:after="0"/>
              <w:rPr>
                <w:sz w:val="20"/>
                <w:szCs w:val="20"/>
                <w:color w:val="auto"/>
              </w:rPr>
            </w:pPr>
            <w:r>
              <w:rPr>
                <w:rFonts w:ascii="Arial" w:cs="Arial" w:eastAsia="Arial" w:hAnsi="Arial"/>
                <w:sz w:val="18"/>
                <w:szCs w:val="18"/>
                <w:color w:val="auto"/>
                <w:w w:val="93"/>
              </w:rPr>
              <w:t>(incorporated by reference to Exhibit 10.18 to the Company’s registration statement (File No. 333-258990) filed with the SEC on</w:t>
            </w:r>
          </w:p>
        </w:tc>
      </w:tr>
      <w:tr>
        <w:trPr>
          <w:trHeight w:val="230"/>
        </w:trPr>
        <w:tc>
          <w:tcPr>
            <w:tcW w:w="720" w:type="dxa"/>
            <w:vAlign w:val="bottom"/>
          </w:tcPr>
          <w:p>
            <w:pPr>
              <w:spacing w:after="0"/>
              <w:rPr>
                <w:sz w:val="20"/>
                <w:szCs w:val="20"/>
                <w:color w:val="auto"/>
              </w:rPr>
            </w:pPr>
          </w:p>
        </w:tc>
        <w:tc>
          <w:tcPr>
            <w:tcW w:w="10220" w:type="dxa"/>
            <w:vAlign w:val="bottom"/>
            <w:gridSpan w:val="3"/>
          </w:tcPr>
          <w:p>
            <w:pPr>
              <w:ind w:left="740"/>
              <w:spacing w:after="0"/>
              <w:rPr>
                <w:sz w:val="20"/>
                <w:szCs w:val="20"/>
                <w:color w:val="auto"/>
              </w:rPr>
            </w:pPr>
            <w:r>
              <w:rPr>
                <w:rFonts w:ascii="Arial" w:cs="Arial" w:eastAsia="Arial" w:hAnsi="Arial"/>
                <w:sz w:val="18"/>
                <w:szCs w:val="18"/>
                <w:color w:val="auto"/>
              </w:rPr>
              <w:t>August 20, 2021).</w:t>
            </w:r>
          </w:p>
        </w:tc>
      </w:tr>
      <w:tr>
        <w:trPr>
          <w:trHeight w:val="310"/>
        </w:trPr>
        <w:tc>
          <w:tcPr>
            <w:tcW w:w="720" w:type="dxa"/>
            <w:vAlign w:val="bottom"/>
          </w:tcPr>
          <w:p>
            <w:pPr>
              <w:spacing w:after="0"/>
              <w:rPr>
                <w:sz w:val="20"/>
                <w:szCs w:val="20"/>
                <w:color w:val="auto"/>
              </w:rPr>
            </w:pPr>
            <w:r>
              <w:rPr>
                <w:rFonts w:ascii="Arial" w:cs="Arial" w:eastAsia="Arial" w:hAnsi="Arial"/>
                <w:sz w:val="18"/>
                <w:szCs w:val="18"/>
                <w:color w:val="auto"/>
              </w:rPr>
              <w:t>10.20</w:t>
            </w:r>
          </w:p>
        </w:tc>
        <w:tc>
          <w:tcPr>
            <w:tcW w:w="10220" w:type="dxa"/>
            <w:vAlign w:val="bottom"/>
            <w:gridSpan w:val="3"/>
          </w:tcPr>
          <w:p>
            <w:pPr>
              <w:ind w:left="740"/>
              <w:spacing w:after="0"/>
              <w:rPr>
                <w:sz w:val="20"/>
                <w:szCs w:val="20"/>
                <w:color w:val="auto"/>
              </w:rPr>
            </w:pPr>
            <w:r>
              <w:rPr>
                <w:rFonts w:ascii="Arial" w:cs="Arial" w:eastAsia="Arial" w:hAnsi="Arial"/>
                <w:sz w:val="18"/>
                <w:szCs w:val="18"/>
                <w:color w:val="auto"/>
                <w:w w:val="92"/>
              </w:rPr>
              <w:t>Stock and Unit Purchase Agreement by and among Definitive Health Care Corp. and the parties named therein (incorporated by</w:t>
            </w:r>
          </w:p>
        </w:tc>
      </w:tr>
      <w:tr>
        <w:trPr>
          <w:trHeight w:val="230"/>
        </w:trPr>
        <w:tc>
          <w:tcPr>
            <w:tcW w:w="720" w:type="dxa"/>
            <w:vAlign w:val="bottom"/>
          </w:tcPr>
          <w:p>
            <w:pPr>
              <w:spacing w:after="0"/>
              <w:rPr>
                <w:sz w:val="20"/>
                <w:szCs w:val="20"/>
                <w:color w:val="auto"/>
              </w:rPr>
            </w:pPr>
          </w:p>
        </w:tc>
        <w:tc>
          <w:tcPr>
            <w:tcW w:w="10220" w:type="dxa"/>
            <w:vAlign w:val="bottom"/>
            <w:gridSpan w:val="3"/>
          </w:tcPr>
          <w:p>
            <w:pPr>
              <w:ind w:left="740"/>
              <w:spacing w:after="0"/>
              <w:rPr>
                <w:sz w:val="20"/>
                <w:szCs w:val="20"/>
                <w:color w:val="auto"/>
              </w:rPr>
            </w:pPr>
            <w:r>
              <w:rPr>
                <w:rFonts w:ascii="Arial" w:cs="Arial" w:eastAsia="Arial" w:hAnsi="Arial"/>
                <w:sz w:val="18"/>
                <w:szCs w:val="18"/>
                <w:color w:val="auto"/>
                <w:w w:val="92"/>
              </w:rPr>
              <w:t>reference to Exhibit 10.19 to the Company’s registration statement (File No. 333-258990) filed with the SEC on August 20, 2021).</w:t>
            </w:r>
          </w:p>
        </w:tc>
      </w:tr>
      <w:tr>
        <w:trPr>
          <w:trHeight w:val="310"/>
        </w:trPr>
        <w:tc>
          <w:tcPr>
            <w:tcW w:w="720" w:type="dxa"/>
            <w:vAlign w:val="bottom"/>
          </w:tcPr>
          <w:p>
            <w:pPr>
              <w:spacing w:after="0"/>
              <w:rPr>
                <w:sz w:val="20"/>
                <w:szCs w:val="20"/>
                <w:color w:val="auto"/>
              </w:rPr>
            </w:pPr>
            <w:r>
              <w:rPr>
                <w:rFonts w:ascii="Arial" w:cs="Arial" w:eastAsia="Arial" w:hAnsi="Arial"/>
                <w:sz w:val="18"/>
                <w:szCs w:val="18"/>
                <w:color w:val="auto"/>
              </w:rPr>
              <w:t>21.1</w:t>
            </w:r>
          </w:p>
        </w:tc>
        <w:tc>
          <w:tcPr>
            <w:tcW w:w="10220" w:type="dxa"/>
            <w:vAlign w:val="bottom"/>
            <w:gridSpan w:val="3"/>
          </w:tcPr>
          <w:p>
            <w:pPr>
              <w:ind w:left="740"/>
              <w:spacing w:after="0"/>
              <w:rPr>
                <w:sz w:val="20"/>
                <w:szCs w:val="20"/>
                <w:color w:val="auto"/>
              </w:rPr>
            </w:pPr>
            <w:r>
              <w:rPr>
                <w:rFonts w:ascii="Arial" w:cs="Arial" w:eastAsia="Arial" w:hAnsi="Arial"/>
                <w:sz w:val="18"/>
                <w:szCs w:val="18"/>
                <w:color w:val="auto"/>
                <w:w w:val="92"/>
              </w:rPr>
              <w:t>List of subsidiaries (incorporated by reference to Exhibit 21.1 to the Company’s registration statement on Form S-1 (File No. 333-</w:t>
            </w:r>
          </w:p>
        </w:tc>
      </w:tr>
      <w:tr>
        <w:trPr>
          <w:trHeight w:val="230"/>
        </w:trPr>
        <w:tc>
          <w:tcPr>
            <w:tcW w:w="720" w:type="dxa"/>
            <w:vAlign w:val="bottom"/>
          </w:tcPr>
          <w:p>
            <w:pPr>
              <w:spacing w:after="0"/>
              <w:rPr>
                <w:sz w:val="20"/>
                <w:szCs w:val="20"/>
                <w:color w:val="auto"/>
              </w:rPr>
            </w:pPr>
          </w:p>
        </w:tc>
        <w:tc>
          <w:tcPr>
            <w:tcW w:w="10220" w:type="dxa"/>
            <w:vAlign w:val="bottom"/>
            <w:gridSpan w:val="3"/>
          </w:tcPr>
          <w:p>
            <w:pPr>
              <w:ind w:left="740"/>
              <w:spacing w:after="0"/>
              <w:rPr>
                <w:sz w:val="20"/>
                <w:szCs w:val="20"/>
                <w:color w:val="auto"/>
              </w:rPr>
            </w:pPr>
            <w:r>
              <w:rPr>
                <w:rFonts w:ascii="Arial" w:cs="Arial" w:eastAsia="Arial" w:hAnsi="Arial"/>
                <w:sz w:val="18"/>
                <w:szCs w:val="18"/>
                <w:color w:val="auto"/>
              </w:rPr>
              <w:t>258990), filed with the SEC on August 20, 2021).</w:t>
            </w:r>
          </w:p>
        </w:tc>
      </w:tr>
      <w:tr>
        <w:trPr>
          <w:trHeight w:val="324"/>
        </w:trPr>
        <w:tc>
          <w:tcPr>
            <w:tcW w:w="720" w:type="dxa"/>
            <w:vAlign w:val="bottom"/>
          </w:tcPr>
          <w:p>
            <w:pPr>
              <w:spacing w:after="0"/>
              <w:rPr>
                <w:sz w:val="20"/>
                <w:szCs w:val="20"/>
                <w:color w:val="auto"/>
              </w:rPr>
            </w:pPr>
            <w:r>
              <w:rPr>
                <w:rFonts w:ascii="Arial" w:cs="Arial" w:eastAsia="Arial" w:hAnsi="Arial"/>
                <w:sz w:val="18"/>
                <w:szCs w:val="18"/>
                <w:color w:val="auto"/>
              </w:rPr>
              <w:t>23.1</w:t>
            </w:r>
          </w:p>
        </w:tc>
        <w:tc>
          <w:tcPr>
            <w:tcW w:w="10220" w:type="dxa"/>
            <w:vAlign w:val="bottom"/>
            <w:gridSpan w:val="3"/>
          </w:tcPr>
          <w:p>
            <w:pPr>
              <w:ind w:left="740"/>
              <w:spacing w:after="0"/>
              <w:rPr>
                <w:sz w:val="20"/>
                <w:szCs w:val="20"/>
                <w:color w:val="auto"/>
              </w:rPr>
            </w:pPr>
            <w:r>
              <w:rPr>
                <w:rFonts w:ascii="Arial" w:cs="Arial" w:eastAsia="Arial" w:hAnsi="Arial"/>
                <w:sz w:val="18"/>
                <w:szCs w:val="18"/>
                <w:color w:val="auto"/>
                <w:w w:val="99"/>
              </w:rPr>
              <w:t>Consent of Deloitte &amp; Touche LLP, Independent Registered Public Accounting Firm, as to Definitive Healthcare Corp.**</w:t>
            </w:r>
          </w:p>
        </w:tc>
      </w:tr>
      <w:tr>
        <w:trPr>
          <w:trHeight w:val="365"/>
        </w:trPr>
        <w:tc>
          <w:tcPr>
            <w:tcW w:w="720" w:type="dxa"/>
            <w:vAlign w:val="bottom"/>
          </w:tcPr>
          <w:p>
            <w:pPr>
              <w:spacing w:after="0"/>
              <w:rPr>
                <w:sz w:val="24"/>
                <w:szCs w:val="24"/>
                <w:color w:val="auto"/>
              </w:rPr>
            </w:pPr>
          </w:p>
        </w:tc>
        <w:tc>
          <w:tcPr>
            <w:tcW w:w="10220" w:type="dxa"/>
            <w:vAlign w:val="bottom"/>
            <w:gridSpan w:val="3"/>
          </w:tcPr>
          <w:p>
            <w:pPr>
              <w:ind w:left="4760"/>
              <w:spacing w:after="0"/>
              <w:rPr>
                <w:sz w:val="20"/>
                <w:szCs w:val="20"/>
                <w:color w:val="auto"/>
              </w:rPr>
            </w:pPr>
            <w:r>
              <w:rPr>
                <w:rFonts w:ascii="Arial" w:cs="Arial" w:eastAsia="Arial" w:hAnsi="Arial"/>
                <w:sz w:val="18"/>
                <w:szCs w:val="18"/>
                <w:color w:val="auto"/>
              </w:rPr>
              <w:t>II-4</w:t>
            </w:r>
          </w:p>
        </w:tc>
      </w:tr>
    </w:tbl>
    <w:p>
      <w:pPr>
        <w:sectPr>
          <w:pgSz w:w="11900" w:h="16838" w:orient="portrait"/>
          <w:cols w:equalWidth="0" w:num="1">
            <w:col w:w="11060"/>
          </w:cols>
          <w:pgMar w:left="320" w:top="459" w:right="519" w:bottom="1440" w:gutter="0" w:footer="0" w:header="0"/>
        </w:sectPr>
      </w:pPr>
    </w:p>
    <w:bookmarkStart w:id="285" w:name="page286"/>
    <w:bookmarkEnd w:id="28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78" name="Picture 3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8"/>
                    <pic:cNvPicPr>
                      <a:picLocks noChangeAspect="1" noChangeArrowheads="1"/>
                    </pic:cNvPicPr>
                  </pic:nvPicPr>
                  <pic:blipFill>
                    <a:blip r:embed="rId385">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tbl>
      <w:tblPr>
        <w:tblLayout w:type="fixed"/>
        <w:tblInd w:w="120" w:type="dxa"/>
        <w:tblCellMar>
          <w:top w:w="0" w:type="dxa"/>
          <w:left w:w="0" w:type="dxa"/>
          <w:bottom w:w="0" w:type="dxa"/>
          <w:right w:w="0" w:type="dxa"/>
        </w:tblCellMar>
      </w:tblPr>
      <w:tr>
        <w:trPr>
          <w:trHeight w:val="216"/>
        </w:trPr>
        <w:tc>
          <w:tcPr>
            <w:tcW w:w="720" w:type="dxa"/>
            <w:vAlign w:val="bottom"/>
          </w:tcPr>
          <w:p>
            <w:pPr>
              <w:spacing w:after="0"/>
              <w:rPr>
                <w:sz w:val="18"/>
                <w:szCs w:val="18"/>
                <w:color w:val="auto"/>
              </w:rPr>
            </w:pPr>
          </w:p>
        </w:tc>
        <w:tc>
          <w:tcPr>
            <w:tcW w:w="9040" w:type="dxa"/>
            <w:vAlign w:val="bottom"/>
            <w:gridSpan w:val="3"/>
          </w:tcPr>
          <w:p>
            <w:pPr>
              <w:jc w:val="center"/>
              <w:ind w:left="453"/>
              <w:spacing w:after="0"/>
              <w:rPr>
                <w:sz w:val="20"/>
                <w:szCs w:val="20"/>
                <w:color w:val="auto"/>
              </w:rPr>
            </w:pPr>
            <w:r>
              <w:rPr>
                <w:rFonts w:ascii="Arial" w:cs="Arial" w:eastAsia="Arial" w:hAnsi="Arial"/>
                <w:sz w:val="18"/>
                <w:szCs w:val="18"/>
                <w:b w:val="1"/>
                <w:bCs w:val="1"/>
                <w:color w:val="auto"/>
                <w:w w:val="91"/>
              </w:rPr>
              <w:t>Confidential Treatment Requested by Definitive Healthcare Corp.</w:t>
            </w:r>
          </w:p>
        </w:tc>
      </w:tr>
      <w:tr>
        <w:trPr>
          <w:trHeight w:val="234"/>
        </w:trPr>
        <w:tc>
          <w:tcPr>
            <w:tcW w:w="720" w:type="dxa"/>
            <w:vAlign w:val="bottom"/>
          </w:tcPr>
          <w:p>
            <w:pPr>
              <w:spacing w:after="0"/>
              <w:rPr>
                <w:sz w:val="20"/>
                <w:szCs w:val="20"/>
                <w:color w:val="auto"/>
              </w:rPr>
            </w:pPr>
          </w:p>
        </w:tc>
        <w:tc>
          <w:tcPr>
            <w:tcW w:w="9040" w:type="dxa"/>
            <w:vAlign w:val="bottom"/>
            <w:gridSpan w:val="3"/>
          </w:tcPr>
          <w:p>
            <w:pPr>
              <w:jc w:val="center"/>
              <w:ind w:left="433"/>
              <w:spacing w:after="0"/>
              <w:rPr>
                <w:sz w:val="20"/>
                <w:szCs w:val="20"/>
                <w:color w:val="auto"/>
              </w:rPr>
            </w:pPr>
            <w:r>
              <w:rPr>
                <w:rFonts w:ascii="Arial" w:cs="Arial" w:eastAsia="Arial" w:hAnsi="Arial"/>
                <w:sz w:val="18"/>
                <w:szCs w:val="18"/>
                <w:b w:val="1"/>
                <w:bCs w:val="1"/>
                <w:color w:val="auto"/>
                <w:w w:val="89"/>
              </w:rPr>
              <w:t>Pursuant to 17 C.F.R. Section 200.83</w:t>
            </w:r>
          </w:p>
        </w:tc>
      </w:tr>
      <w:tr>
        <w:trPr>
          <w:trHeight w:val="297"/>
        </w:trPr>
        <w:tc>
          <w:tcPr>
            <w:tcW w:w="720" w:type="dxa"/>
            <w:vAlign w:val="bottom"/>
          </w:tcPr>
          <w:p>
            <w:pPr>
              <w:spacing w:after="0"/>
              <w:rPr>
                <w:sz w:val="20"/>
                <w:szCs w:val="20"/>
                <w:color w:val="auto"/>
              </w:rPr>
            </w:pPr>
            <w:r>
              <w:rPr>
                <w:rFonts w:ascii="Arial" w:cs="Arial" w:eastAsia="Arial" w:hAnsi="Arial"/>
                <w:sz w:val="14"/>
                <w:szCs w:val="14"/>
                <w:b w:val="1"/>
                <w:bCs w:val="1"/>
                <w:color w:val="auto"/>
                <w:w w:val="95"/>
              </w:rPr>
              <w:t>Exhibit No.</w:t>
            </w:r>
          </w:p>
        </w:tc>
        <w:tc>
          <w:tcPr>
            <w:tcW w:w="9040" w:type="dxa"/>
            <w:vAlign w:val="bottom"/>
            <w:gridSpan w:val="3"/>
          </w:tcPr>
          <w:p>
            <w:pPr>
              <w:ind w:left="5220"/>
              <w:spacing w:after="0"/>
              <w:rPr>
                <w:sz w:val="20"/>
                <w:szCs w:val="20"/>
                <w:color w:val="auto"/>
              </w:rPr>
            </w:pPr>
            <w:r>
              <w:rPr>
                <w:rFonts w:ascii="Arial" w:cs="Arial" w:eastAsia="Arial" w:hAnsi="Arial"/>
                <w:sz w:val="14"/>
                <w:szCs w:val="14"/>
                <w:b w:val="1"/>
                <w:bCs w:val="1"/>
                <w:color w:val="auto"/>
              </w:rPr>
              <w:t>Description</w:t>
            </w:r>
          </w:p>
        </w:tc>
      </w:tr>
      <w:tr>
        <w:trPr>
          <w:trHeight w:val="20"/>
        </w:trPr>
        <w:tc>
          <w:tcPr>
            <w:tcW w:w="720" w:type="dxa"/>
            <w:vAlign w:val="bottom"/>
            <w:shd w:val="clear" w:color="auto" w:fill="000000"/>
          </w:tcPr>
          <w:p>
            <w:pPr>
              <w:spacing w:after="0" w:line="20" w:lineRule="exact"/>
              <w:rPr>
                <w:sz w:val="1"/>
                <w:szCs w:val="1"/>
                <w:color w:val="auto"/>
              </w:rPr>
            </w:pPr>
          </w:p>
        </w:tc>
        <w:tc>
          <w:tcPr>
            <w:tcW w:w="522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3100" w:type="dxa"/>
            <w:vAlign w:val="bottom"/>
          </w:tcPr>
          <w:p>
            <w:pPr>
              <w:spacing w:after="0" w:line="20" w:lineRule="exact"/>
              <w:rPr>
                <w:sz w:val="1"/>
                <w:szCs w:val="1"/>
                <w:color w:val="auto"/>
              </w:rPr>
            </w:pPr>
          </w:p>
        </w:tc>
      </w:tr>
      <w:tr>
        <w:trPr>
          <w:trHeight w:val="318"/>
        </w:trPr>
        <w:tc>
          <w:tcPr>
            <w:tcW w:w="720" w:type="dxa"/>
            <w:vAlign w:val="bottom"/>
          </w:tcPr>
          <w:p>
            <w:pPr>
              <w:spacing w:after="0"/>
              <w:rPr>
                <w:sz w:val="20"/>
                <w:szCs w:val="20"/>
                <w:color w:val="auto"/>
              </w:rPr>
            </w:pPr>
            <w:r>
              <w:rPr>
                <w:rFonts w:ascii="Arial" w:cs="Arial" w:eastAsia="Arial" w:hAnsi="Arial"/>
                <w:sz w:val="18"/>
                <w:szCs w:val="18"/>
                <w:color w:val="auto"/>
              </w:rPr>
              <w:t>23.2</w:t>
            </w:r>
          </w:p>
        </w:tc>
        <w:tc>
          <w:tcPr>
            <w:tcW w:w="9040" w:type="dxa"/>
            <w:vAlign w:val="bottom"/>
            <w:gridSpan w:val="3"/>
          </w:tcPr>
          <w:p>
            <w:pPr>
              <w:ind w:left="840"/>
              <w:spacing w:after="0"/>
              <w:rPr>
                <w:sz w:val="20"/>
                <w:szCs w:val="20"/>
                <w:color w:val="auto"/>
              </w:rPr>
            </w:pPr>
            <w:r>
              <w:rPr>
                <w:rFonts w:ascii="Arial" w:cs="Arial" w:eastAsia="Arial" w:hAnsi="Arial"/>
                <w:sz w:val="18"/>
                <w:szCs w:val="18"/>
                <w:color w:val="auto"/>
                <w:w w:val="92"/>
              </w:rPr>
              <w:t>Consent of Deloitte &amp; Touche LLP, Independent Registered Public Accounting Firm, as to AIDH TopCo, LLC.**</w:t>
            </w:r>
          </w:p>
        </w:tc>
      </w:tr>
      <w:tr>
        <w:trPr>
          <w:trHeight w:val="324"/>
        </w:trPr>
        <w:tc>
          <w:tcPr>
            <w:tcW w:w="720" w:type="dxa"/>
            <w:vAlign w:val="bottom"/>
          </w:tcPr>
          <w:p>
            <w:pPr>
              <w:spacing w:after="0"/>
              <w:rPr>
                <w:sz w:val="20"/>
                <w:szCs w:val="20"/>
                <w:color w:val="auto"/>
              </w:rPr>
            </w:pPr>
            <w:r>
              <w:rPr>
                <w:rFonts w:ascii="Arial" w:cs="Arial" w:eastAsia="Arial" w:hAnsi="Arial"/>
                <w:sz w:val="18"/>
                <w:szCs w:val="18"/>
                <w:color w:val="auto"/>
              </w:rPr>
              <w:t>23.3</w:t>
            </w:r>
          </w:p>
        </w:tc>
        <w:tc>
          <w:tcPr>
            <w:tcW w:w="9040" w:type="dxa"/>
            <w:vAlign w:val="bottom"/>
            <w:gridSpan w:val="3"/>
          </w:tcPr>
          <w:p>
            <w:pPr>
              <w:ind w:left="840"/>
              <w:spacing w:after="0"/>
              <w:rPr>
                <w:sz w:val="20"/>
                <w:szCs w:val="20"/>
                <w:color w:val="auto"/>
              </w:rPr>
            </w:pPr>
            <w:r>
              <w:rPr>
                <w:rFonts w:ascii="Arial" w:cs="Arial" w:eastAsia="Arial" w:hAnsi="Arial"/>
                <w:sz w:val="18"/>
                <w:szCs w:val="18"/>
                <w:color w:val="auto"/>
              </w:rPr>
              <w:t>Consent of Weil, Gotshal &amp; Manges LLP (included in Exhibit 5.1).**</w:t>
            </w:r>
          </w:p>
        </w:tc>
      </w:tr>
      <w:tr>
        <w:trPr>
          <w:trHeight w:val="324"/>
        </w:trPr>
        <w:tc>
          <w:tcPr>
            <w:tcW w:w="720" w:type="dxa"/>
            <w:vAlign w:val="bottom"/>
          </w:tcPr>
          <w:p>
            <w:pPr>
              <w:spacing w:after="0"/>
              <w:rPr>
                <w:sz w:val="20"/>
                <w:szCs w:val="20"/>
                <w:color w:val="auto"/>
              </w:rPr>
            </w:pPr>
            <w:r>
              <w:rPr>
                <w:rFonts w:ascii="Arial" w:cs="Arial" w:eastAsia="Arial" w:hAnsi="Arial"/>
                <w:sz w:val="18"/>
                <w:szCs w:val="18"/>
                <w:color w:val="auto"/>
              </w:rPr>
              <w:t>24.1</w:t>
            </w:r>
          </w:p>
        </w:tc>
        <w:tc>
          <w:tcPr>
            <w:tcW w:w="9040" w:type="dxa"/>
            <w:vAlign w:val="bottom"/>
            <w:gridSpan w:val="3"/>
          </w:tcPr>
          <w:p>
            <w:pPr>
              <w:ind w:left="840"/>
              <w:spacing w:after="0"/>
              <w:rPr>
                <w:sz w:val="20"/>
                <w:szCs w:val="20"/>
                <w:color w:val="auto"/>
              </w:rPr>
            </w:pPr>
            <w:r>
              <w:rPr>
                <w:rFonts w:ascii="Arial" w:cs="Arial" w:eastAsia="Arial" w:hAnsi="Arial"/>
                <w:sz w:val="18"/>
                <w:szCs w:val="18"/>
                <w:color w:val="auto"/>
              </w:rPr>
              <w:t>Power of Attorney (included on signature page).**</w:t>
            </w:r>
          </w:p>
        </w:tc>
      </w:tr>
    </w:tbl>
    <w:p>
      <w:pPr>
        <w:spacing w:after="0" w:line="229" w:lineRule="exact"/>
        <w:rPr>
          <w:sz w:val="20"/>
          <w:szCs w:val="20"/>
          <w:color w:val="auto"/>
        </w:rPr>
      </w:pPr>
    </w:p>
    <w:p>
      <w:pPr>
        <w:ind w:left="540" w:hanging="424"/>
        <w:spacing w:after="0"/>
        <w:tabs>
          <w:tab w:leader="none" w:pos="540" w:val="left"/>
        </w:tabs>
        <w:numPr>
          <w:ilvl w:val="0"/>
          <w:numId w:val="223"/>
        </w:numPr>
        <w:rPr>
          <w:rFonts w:ascii="Arial" w:cs="Arial" w:eastAsia="Arial" w:hAnsi="Arial"/>
          <w:sz w:val="18"/>
          <w:szCs w:val="18"/>
          <w:color w:val="auto"/>
        </w:rPr>
      </w:pPr>
      <w:r>
        <w:rPr>
          <w:rFonts w:ascii="Arial" w:cs="Arial" w:eastAsia="Arial" w:hAnsi="Arial"/>
          <w:sz w:val="18"/>
          <w:szCs w:val="18"/>
          <w:color w:val="auto"/>
        </w:rPr>
        <w:t>To be filed by amendment.</w:t>
      </w:r>
    </w:p>
    <w:p>
      <w:pPr>
        <w:spacing w:after="0" w:line="221" w:lineRule="exact"/>
        <w:rPr>
          <w:sz w:val="20"/>
          <w:szCs w:val="20"/>
          <w:color w:val="auto"/>
        </w:rPr>
      </w:pPr>
    </w:p>
    <w:p>
      <w:pPr>
        <w:ind w:left="560" w:right="8300" w:hanging="444"/>
        <w:spacing w:after="0" w:line="407" w:lineRule="auto"/>
        <w:tabs>
          <w:tab w:leader="none" w:pos="384" w:val="left"/>
        </w:tabs>
        <w:numPr>
          <w:ilvl w:val="0"/>
          <w:numId w:val="224"/>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Financial Statement Schedules: </w:t>
      </w:r>
      <w:r>
        <w:rPr>
          <w:rFonts w:ascii="Arial" w:cs="Arial" w:eastAsia="Arial" w:hAnsi="Arial"/>
          <w:sz w:val="18"/>
          <w:szCs w:val="18"/>
          <w:color w:val="auto"/>
        </w:rPr>
        <w:t>None.</w:t>
      </w:r>
    </w:p>
    <w:p>
      <w:pPr>
        <w:spacing w:after="0" w:line="16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Item 17. Undertakings</w:t>
      </w:r>
    </w:p>
    <w:p>
      <w:pPr>
        <w:spacing w:after="0" w:line="121" w:lineRule="exact"/>
        <w:rPr>
          <w:sz w:val="20"/>
          <w:szCs w:val="20"/>
          <w:color w:val="auto"/>
        </w:rPr>
      </w:pPr>
    </w:p>
    <w:p>
      <w:pPr>
        <w:ind w:left="120" w:right="20" w:firstLine="440"/>
        <w:spacing w:after="0" w:line="308" w:lineRule="auto"/>
        <w:rPr>
          <w:sz w:val="20"/>
          <w:szCs w:val="20"/>
          <w:color w:val="auto"/>
        </w:rPr>
      </w:pPr>
      <w:r>
        <w:rPr>
          <w:rFonts w:ascii="Arial" w:cs="Arial" w:eastAsia="Arial" w:hAnsi="Arial"/>
          <w:sz w:val="17"/>
          <w:szCs w:val="17"/>
          <w:color w:val="auto"/>
        </w:rPr>
        <w:t>The undersigned registrant hereby undertakes to provide to the underwriters at the closing specified in the underwriting agreements, certificates in such denominations and registered in such names as required by the underwriters to permit prompt delivery to each purchaser.</w:t>
      </w:r>
    </w:p>
    <w:p>
      <w:pPr>
        <w:spacing w:after="0" w:line="146" w:lineRule="exact"/>
        <w:rPr>
          <w:sz w:val="20"/>
          <w:szCs w:val="20"/>
          <w:color w:val="auto"/>
        </w:rPr>
      </w:pPr>
    </w:p>
    <w:p>
      <w:pPr>
        <w:ind w:left="120" w:right="200" w:firstLine="440"/>
        <w:spacing w:after="0" w:line="271" w:lineRule="auto"/>
        <w:rPr>
          <w:sz w:val="20"/>
          <w:szCs w:val="20"/>
          <w:color w:val="auto"/>
        </w:rPr>
      </w:pPr>
      <w:r>
        <w:rPr>
          <w:rFonts w:ascii="Arial" w:cs="Arial" w:eastAsia="Arial" w:hAnsi="Arial"/>
          <w:sz w:val="17"/>
          <w:szCs w:val="17"/>
          <w:color w:val="auto"/>
        </w:rPr>
        <w:t>Insofar as indemnification for liabilities arising under the Securities Act may be permitted to directors, officers and controlling persons of the registrant pursuant to the foregoing provisions, or otherwise, the registrant has been advised that in the opinion of the SEC such indemnification is against public policy as expressed in the Securities Act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of whether such indemnification by it is against public policy as expressed in the Securities Act and will be governed by the final adjudication of such issue.</w:t>
      </w:r>
    </w:p>
    <w:p>
      <w:pPr>
        <w:spacing w:after="0" w:line="178"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undersigned registrant hereby undertakes that:</w:t>
      </w:r>
    </w:p>
    <w:p>
      <w:pPr>
        <w:spacing w:after="0" w:line="131" w:lineRule="exact"/>
        <w:rPr>
          <w:sz w:val="20"/>
          <w:szCs w:val="20"/>
          <w:color w:val="auto"/>
        </w:rPr>
      </w:pPr>
    </w:p>
    <w:p>
      <w:pPr>
        <w:ind w:left="540" w:hanging="424"/>
        <w:spacing w:after="0" w:line="286" w:lineRule="auto"/>
        <w:tabs>
          <w:tab w:leader="none" w:pos="540" w:val="left"/>
        </w:tabs>
        <w:numPr>
          <w:ilvl w:val="0"/>
          <w:numId w:val="225"/>
        </w:numPr>
        <w:rPr>
          <w:rFonts w:ascii="Arial" w:cs="Arial" w:eastAsia="Arial" w:hAnsi="Arial"/>
          <w:sz w:val="17"/>
          <w:szCs w:val="17"/>
          <w:color w:val="auto"/>
        </w:rPr>
      </w:pPr>
      <w:r>
        <w:rPr>
          <w:rFonts w:ascii="Arial" w:cs="Arial" w:eastAsia="Arial" w:hAnsi="Arial"/>
          <w:sz w:val="17"/>
          <w:szCs w:val="17"/>
          <w:color w:val="auto"/>
        </w:rPr>
        <w:t>For purposes of determining any liability under the Securities Act, the information omitted from the form of prospectus filed as part of this registration statement in reliance upon Rule 430A and contained in a form of prospectus filed by the registrant pursuant to Rule 424(b)(1) or (4) or 497(h) under the Securities Act shall be deemed to be part of this registration statement as of the time it was declared effective.</w:t>
      </w:r>
    </w:p>
    <w:p>
      <w:pPr>
        <w:spacing w:after="0" w:line="70" w:lineRule="exact"/>
        <w:rPr>
          <w:rFonts w:ascii="Arial" w:cs="Arial" w:eastAsia="Arial" w:hAnsi="Arial"/>
          <w:sz w:val="17"/>
          <w:szCs w:val="17"/>
          <w:color w:val="auto"/>
        </w:rPr>
      </w:pPr>
    </w:p>
    <w:p>
      <w:pPr>
        <w:ind w:left="540" w:right="60" w:hanging="424"/>
        <w:spacing w:after="0" w:line="263" w:lineRule="auto"/>
        <w:tabs>
          <w:tab w:leader="none" w:pos="540" w:val="left"/>
        </w:tabs>
        <w:numPr>
          <w:ilvl w:val="0"/>
          <w:numId w:val="225"/>
        </w:numPr>
        <w:rPr>
          <w:rFonts w:ascii="Arial" w:cs="Arial" w:eastAsia="Arial" w:hAnsi="Arial"/>
          <w:sz w:val="18"/>
          <w:szCs w:val="18"/>
          <w:color w:val="auto"/>
        </w:rPr>
      </w:pPr>
      <w:r>
        <w:rPr>
          <w:rFonts w:ascii="Arial" w:cs="Arial" w:eastAsia="Arial" w:hAnsi="Arial"/>
          <w:sz w:val="18"/>
          <w:szCs w:val="18"/>
          <w:color w:val="auto"/>
        </w:rPr>
        <w:t>For the purpose of determining any liability under the Securities Act, each post-effective amendment that contains a form of prospectus shall be deemed to be a new registration statement relating to the securities offered therein, and the offering of such securities at that time shall be deemed to be the initial bona fide offering thereof.</w:t>
      </w:r>
    </w:p>
    <w:p>
      <w:pPr>
        <w:spacing w:after="0" w:line="116" w:lineRule="exact"/>
        <w:rPr>
          <w:sz w:val="20"/>
          <w:szCs w:val="20"/>
          <w:color w:val="auto"/>
        </w:rPr>
      </w:pPr>
    </w:p>
    <w:p>
      <w:pPr>
        <w:jc w:val="center"/>
        <w:ind w:right="-379"/>
        <w:spacing w:after="0"/>
        <w:rPr>
          <w:sz w:val="20"/>
          <w:szCs w:val="20"/>
          <w:color w:val="auto"/>
        </w:rPr>
      </w:pPr>
      <w:r>
        <w:rPr>
          <w:rFonts w:ascii="Arial" w:cs="Arial" w:eastAsia="Arial" w:hAnsi="Arial"/>
          <w:sz w:val="18"/>
          <w:szCs w:val="18"/>
          <w:color w:val="auto"/>
        </w:rPr>
        <w:t>II-5</w:t>
      </w:r>
    </w:p>
    <w:p>
      <w:pPr>
        <w:sectPr>
          <w:pgSz w:w="11900" w:h="16838" w:orient="portrait"/>
          <w:cols w:equalWidth="0" w:num="1">
            <w:col w:w="11100"/>
          </w:cols>
          <w:pgMar w:left="320" w:top="459" w:right="479" w:bottom="1440" w:gutter="0" w:footer="0" w:header="0"/>
        </w:sectPr>
      </w:pPr>
    </w:p>
    <w:bookmarkStart w:id="286" w:name="page287"/>
    <w:bookmarkEnd w:id="28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79" name="Picture 3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9"/>
                    <pic:cNvPicPr>
                      <a:picLocks noChangeAspect="1" noChangeArrowheads="1"/>
                    </pic:cNvPicPr>
                  </pic:nvPicPr>
                  <pic:blipFill>
                    <a:blip r:embed="rId386">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Confidential Treatment Requested by Definitive Healthcare Corp.</w:t>
      </w:r>
    </w:p>
    <w:p>
      <w:pPr>
        <w:spacing w:after="0" w:line="27"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Pursuant to 17 C.F.R. Section 200.83</w:t>
      </w:r>
    </w:p>
    <w:p>
      <w:pPr>
        <w:spacing w:after="0" w:line="139"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left="560"/>
        <w:spacing w:after="0"/>
        <w:rPr>
          <w:sz w:val="20"/>
          <w:szCs w:val="20"/>
          <w:color w:val="auto"/>
        </w:rPr>
      </w:pPr>
      <w:r>
        <w:rPr>
          <w:rFonts w:ascii="Arial" w:cs="Arial" w:eastAsia="Arial" w:hAnsi="Arial"/>
          <w:sz w:val="16"/>
          <w:szCs w:val="16"/>
          <w:color w:val="auto"/>
        </w:rPr>
        <w:t>Pursuant to the requirements of the Securities Act of 1933, the registrant has duly caused this registration statement to be signed on its behalf by</w:t>
      </w:r>
    </w:p>
    <w:p>
      <w:pPr>
        <w:spacing w:after="0" w:line="46" w:lineRule="exact"/>
        <w:rPr>
          <w:sz w:val="20"/>
          <w:szCs w:val="20"/>
          <w:color w:val="auto"/>
        </w:rPr>
      </w:pPr>
    </w:p>
    <w:tbl>
      <w:tblPr>
        <w:tblLayout w:type="fixed"/>
        <w:tblInd w:w="120" w:type="dxa"/>
        <w:tblCellMar>
          <w:top w:w="0" w:type="dxa"/>
          <w:left w:w="0" w:type="dxa"/>
          <w:bottom w:w="0" w:type="dxa"/>
          <w:right w:w="0" w:type="dxa"/>
        </w:tblCellMar>
      </w:tblPr>
      <w:tr>
        <w:trPr>
          <w:trHeight w:val="230"/>
        </w:trPr>
        <w:tc>
          <w:tcPr>
            <w:tcW w:w="7480" w:type="dxa"/>
            <w:vAlign w:val="bottom"/>
            <w:gridSpan w:val="2"/>
          </w:tcPr>
          <w:p>
            <w:pPr>
              <w:spacing w:after="0"/>
              <w:rPr>
                <w:sz w:val="20"/>
                <w:szCs w:val="20"/>
                <w:color w:val="auto"/>
              </w:rPr>
            </w:pPr>
            <w:r>
              <w:rPr>
                <w:rFonts w:ascii="Arial" w:cs="Arial" w:eastAsia="Arial" w:hAnsi="Arial"/>
                <w:sz w:val="18"/>
                <w:szCs w:val="18"/>
                <w:color w:val="auto"/>
                <w:w w:val="95"/>
              </w:rPr>
              <w:t>the undersigned, thereunto duly authorized in the City of Framingham, State of Massachusetts, on</w:t>
            </w:r>
          </w:p>
        </w:tc>
        <w:tc>
          <w:tcPr>
            <w:tcW w:w="3540" w:type="dxa"/>
            <w:vAlign w:val="bottom"/>
          </w:tcPr>
          <w:p>
            <w:pPr>
              <w:jc w:val="right"/>
              <w:ind w:right="2450"/>
              <w:spacing w:after="0"/>
              <w:rPr>
                <w:sz w:val="20"/>
                <w:szCs w:val="20"/>
                <w:color w:val="auto"/>
              </w:rPr>
            </w:pPr>
            <w:r>
              <w:rPr>
                <w:rFonts w:ascii="Arial" w:cs="Arial" w:eastAsia="Arial" w:hAnsi="Arial"/>
                <w:sz w:val="18"/>
                <w:szCs w:val="18"/>
                <w:color w:val="auto"/>
              </w:rPr>
              <w:t>, 2021.</w:t>
            </w:r>
          </w:p>
        </w:tc>
      </w:tr>
      <w:tr>
        <w:trPr>
          <w:trHeight w:val="445"/>
        </w:trPr>
        <w:tc>
          <w:tcPr>
            <w:tcW w:w="11020" w:type="dxa"/>
            <w:vAlign w:val="bottom"/>
            <w:gridSpan w:val="3"/>
          </w:tcPr>
          <w:p>
            <w:pPr>
              <w:ind w:left="6620"/>
              <w:spacing w:after="0"/>
              <w:rPr>
                <w:sz w:val="20"/>
                <w:szCs w:val="20"/>
                <w:color w:val="auto"/>
              </w:rPr>
            </w:pPr>
            <w:r>
              <w:rPr>
                <w:rFonts w:ascii="Arial" w:cs="Arial" w:eastAsia="Arial" w:hAnsi="Arial"/>
                <w:sz w:val="18"/>
                <w:szCs w:val="18"/>
                <w:b w:val="1"/>
                <w:bCs w:val="1"/>
                <w:color w:val="auto"/>
              </w:rPr>
              <w:t>Definitive Healthcare Corp.</w:t>
            </w:r>
          </w:p>
        </w:tc>
      </w:tr>
      <w:tr>
        <w:trPr>
          <w:trHeight w:val="432"/>
        </w:trPr>
        <w:tc>
          <w:tcPr>
            <w:tcW w:w="7480" w:type="dxa"/>
            <w:vAlign w:val="bottom"/>
            <w:gridSpan w:val="2"/>
          </w:tcPr>
          <w:p>
            <w:pPr>
              <w:ind w:left="6620"/>
              <w:spacing w:after="0"/>
              <w:rPr>
                <w:sz w:val="20"/>
                <w:szCs w:val="20"/>
                <w:color w:val="auto"/>
              </w:rPr>
            </w:pPr>
            <w:r>
              <w:rPr>
                <w:rFonts w:ascii="Arial" w:cs="Arial" w:eastAsia="Arial" w:hAnsi="Arial"/>
                <w:sz w:val="18"/>
                <w:szCs w:val="18"/>
                <w:color w:val="auto"/>
              </w:rPr>
              <w:t>By:</w:t>
            </w:r>
          </w:p>
        </w:tc>
        <w:tc>
          <w:tcPr>
            <w:tcW w:w="3540" w:type="dxa"/>
            <w:vAlign w:val="bottom"/>
          </w:tcPr>
          <w:p>
            <w:pPr>
              <w:spacing w:after="0"/>
              <w:rPr>
                <w:sz w:val="24"/>
                <w:szCs w:val="24"/>
                <w:color w:val="auto"/>
              </w:rPr>
            </w:pPr>
          </w:p>
        </w:tc>
      </w:tr>
      <w:tr>
        <w:trPr>
          <w:trHeight w:val="209"/>
        </w:trPr>
        <w:tc>
          <w:tcPr>
            <w:tcW w:w="6960" w:type="dxa"/>
            <w:vAlign w:val="bottom"/>
          </w:tcPr>
          <w:p>
            <w:pPr>
              <w:spacing w:after="0"/>
              <w:rPr>
                <w:sz w:val="18"/>
                <w:szCs w:val="18"/>
                <w:color w:val="auto"/>
              </w:rPr>
            </w:pPr>
          </w:p>
        </w:tc>
        <w:tc>
          <w:tcPr>
            <w:tcW w:w="52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Name</w:t>
            </w:r>
          </w:p>
        </w:tc>
        <w:tc>
          <w:tcPr>
            <w:tcW w:w="3540" w:type="dxa"/>
            <w:vAlign w:val="bottom"/>
            <w:tcBorders>
              <w:top w:val="single" w:sz="8" w:color="auto"/>
            </w:tcBorders>
          </w:tcPr>
          <w:p>
            <w:pPr>
              <w:ind w:left="100"/>
              <w:spacing w:after="0"/>
              <w:rPr>
                <w:sz w:val="20"/>
                <w:szCs w:val="20"/>
                <w:color w:val="auto"/>
              </w:rPr>
            </w:pPr>
            <w:r>
              <w:rPr>
                <w:rFonts w:ascii="Arial" w:cs="Arial" w:eastAsia="Arial" w:hAnsi="Arial"/>
                <w:sz w:val="18"/>
                <w:szCs w:val="18"/>
                <w:color w:val="auto"/>
              </w:rPr>
              <w:t>Richard Booth</w:t>
            </w:r>
          </w:p>
        </w:tc>
      </w:tr>
      <w:tr>
        <w:trPr>
          <w:trHeight w:val="230"/>
        </w:trPr>
        <w:tc>
          <w:tcPr>
            <w:tcW w:w="6960" w:type="dxa"/>
            <w:vAlign w:val="bottom"/>
          </w:tcPr>
          <w:p>
            <w:pPr>
              <w:spacing w:after="0"/>
              <w:rPr>
                <w:sz w:val="20"/>
                <w:szCs w:val="20"/>
                <w:color w:val="auto"/>
              </w:rPr>
            </w:pPr>
          </w:p>
        </w:tc>
        <w:tc>
          <w:tcPr>
            <w:tcW w:w="520" w:type="dxa"/>
            <w:vAlign w:val="bottom"/>
          </w:tcPr>
          <w:p>
            <w:pPr>
              <w:spacing w:after="0"/>
              <w:rPr>
                <w:sz w:val="20"/>
                <w:szCs w:val="20"/>
                <w:color w:val="auto"/>
              </w:rPr>
            </w:pPr>
            <w:r>
              <w:rPr>
                <w:rFonts w:ascii="Arial" w:cs="Arial" w:eastAsia="Arial" w:hAnsi="Arial"/>
                <w:sz w:val="18"/>
                <w:szCs w:val="18"/>
                <w:color w:val="auto"/>
              </w:rPr>
              <w:t>Title:</w:t>
            </w:r>
          </w:p>
        </w:tc>
        <w:tc>
          <w:tcPr>
            <w:tcW w:w="3540" w:type="dxa"/>
            <w:vAlign w:val="bottom"/>
          </w:tcPr>
          <w:p>
            <w:pPr>
              <w:ind w:left="100"/>
              <w:spacing w:after="0"/>
              <w:rPr>
                <w:sz w:val="20"/>
                <w:szCs w:val="20"/>
                <w:color w:val="auto"/>
              </w:rPr>
            </w:pPr>
            <w:r>
              <w:rPr>
                <w:rFonts w:ascii="Arial" w:cs="Arial" w:eastAsia="Arial" w:hAnsi="Arial"/>
                <w:sz w:val="18"/>
                <w:szCs w:val="18"/>
                <w:color w:val="auto"/>
              </w:rPr>
              <w:t>Chief Financial Officer</w:t>
            </w:r>
          </w:p>
        </w:tc>
      </w:tr>
    </w:tbl>
    <w:p>
      <w:pPr>
        <w:spacing w:after="0" w:line="202" w:lineRule="exact"/>
        <w:rPr>
          <w:sz w:val="20"/>
          <w:szCs w:val="20"/>
          <w:color w:val="auto"/>
        </w:rPr>
      </w:pPr>
    </w:p>
    <w:p>
      <w:pPr>
        <w:ind w:left="120" w:right="40" w:firstLine="440"/>
        <w:spacing w:after="0" w:line="254" w:lineRule="auto"/>
        <w:rPr>
          <w:sz w:val="20"/>
          <w:szCs w:val="20"/>
          <w:color w:val="auto"/>
        </w:rPr>
      </w:pPr>
      <w:r>
        <w:rPr>
          <w:rFonts w:ascii="Arial" w:cs="Arial" w:eastAsia="Arial" w:hAnsi="Arial"/>
          <w:sz w:val="18"/>
          <w:szCs w:val="18"/>
          <w:color w:val="auto"/>
        </w:rPr>
        <w:t>KNOW ALL MEN BY THESE PRESENTS, that each of the undersigned constitutes and appoints each of Jason Krantz or Richard Booth, or any of them, each acting alone, his true and lawful attorney-in-fact and agent, with full power of substitution and resubstitution, for such person and in his name, place and stead, in any and all capacities, to sign this Registration Statement on Form S-1 (including all pre-effective and post-effective amendments and registration statements filed pursuant to Rule 462(b) under the Securities Act of 1933), and to file the same, with all exhibits thereto, and other documents in connection therewith, with the SEC, granting unto said attorneys-in-fact and agents, each acting alone, full power and authority to do and perform each and every act and thing requisite and necessary to be done in and about the premises, as fully to all intents and purposes as he might or could do in person, hereby ratifying and confirming that any such attorney-in-fact and agent, or his substitute or substitutes, may lawfully do or cause to be done by virtue hereof.</w:t>
      </w:r>
    </w:p>
    <w:p>
      <w:pPr>
        <w:spacing w:after="0" w:line="192" w:lineRule="exact"/>
        <w:rPr>
          <w:sz w:val="20"/>
          <w:szCs w:val="20"/>
          <w:color w:val="auto"/>
        </w:rPr>
      </w:pPr>
    </w:p>
    <w:p>
      <w:pPr>
        <w:ind w:left="560"/>
        <w:spacing w:after="0"/>
        <w:rPr>
          <w:sz w:val="20"/>
          <w:szCs w:val="20"/>
          <w:color w:val="auto"/>
        </w:rPr>
      </w:pPr>
      <w:r>
        <w:rPr>
          <w:rFonts w:ascii="Arial" w:cs="Arial" w:eastAsia="Arial" w:hAnsi="Arial"/>
          <w:sz w:val="16"/>
          <w:szCs w:val="16"/>
          <w:color w:val="auto"/>
        </w:rPr>
        <w:t>Pursuant to the requirements of the Securities Act of 1933, this registration statement has been signed by the following persons in the capacities</w:t>
      </w:r>
    </w:p>
    <w:p>
      <w:pPr>
        <w:spacing w:after="0" w:line="46" w:lineRule="exact"/>
        <w:rPr>
          <w:sz w:val="20"/>
          <w:szCs w:val="20"/>
          <w:color w:val="auto"/>
        </w:rPr>
      </w:pPr>
    </w:p>
    <w:tbl>
      <w:tblPr>
        <w:tblLayout w:type="fixed"/>
        <w:tblInd w:w="120" w:type="dxa"/>
        <w:tblCellMar>
          <w:top w:w="0" w:type="dxa"/>
          <w:left w:w="0" w:type="dxa"/>
          <w:bottom w:w="0" w:type="dxa"/>
          <w:right w:w="0" w:type="dxa"/>
        </w:tblCellMar>
      </w:tblPr>
      <w:tr>
        <w:trPr>
          <w:trHeight w:val="230"/>
        </w:trPr>
        <w:tc>
          <w:tcPr>
            <w:tcW w:w="1180" w:type="dxa"/>
            <w:vAlign w:val="bottom"/>
          </w:tcPr>
          <w:p>
            <w:pPr>
              <w:spacing w:after="0"/>
              <w:rPr>
                <w:sz w:val="20"/>
                <w:szCs w:val="20"/>
                <w:color w:val="auto"/>
              </w:rPr>
            </w:pPr>
            <w:r>
              <w:rPr>
                <w:rFonts w:ascii="Arial" w:cs="Arial" w:eastAsia="Arial" w:hAnsi="Arial"/>
                <w:sz w:val="18"/>
                <w:szCs w:val="18"/>
                <w:color w:val="auto"/>
              </w:rPr>
              <w:t>indicated on</w:t>
            </w:r>
          </w:p>
        </w:tc>
        <w:tc>
          <w:tcPr>
            <w:tcW w:w="1340" w:type="dxa"/>
            <w:vAlign w:val="bottom"/>
            <w:gridSpan w:val="2"/>
          </w:tcPr>
          <w:p>
            <w:pPr>
              <w:jc w:val="right"/>
              <w:ind w:right="200"/>
              <w:spacing w:after="0"/>
              <w:rPr>
                <w:sz w:val="20"/>
                <w:szCs w:val="20"/>
                <w:color w:val="auto"/>
              </w:rPr>
            </w:pPr>
            <w:r>
              <w:rPr>
                <w:rFonts w:ascii="Arial" w:cs="Arial" w:eastAsia="Arial" w:hAnsi="Arial"/>
                <w:sz w:val="18"/>
                <w:szCs w:val="18"/>
                <w:color w:val="auto"/>
              </w:rPr>
              <w:t>, 2021.</w:t>
            </w:r>
          </w:p>
        </w:tc>
        <w:tc>
          <w:tcPr>
            <w:tcW w:w="1900" w:type="dxa"/>
            <w:vAlign w:val="bottom"/>
          </w:tcPr>
          <w:p>
            <w:pPr>
              <w:spacing w:after="0"/>
              <w:rPr>
                <w:sz w:val="20"/>
                <w:szCs w:val="20"/>
                <w:color w:val="auto"/>
              </w:rPr>
            </w:pPr>
          </w:p>
        </w:tc>
        <w:tc>
          <w:tcPr>
            <w:tcW w:w="32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420" w:type="dxa"/>
            <w:vAlign w:val="bottom"/>
          </w:tcPr>
          <w:p>
            <w:pPr>
              <w:spacing w:after="0"/>
              <w:rPr>
                <w:sz w:val="20"/>
                <w:szCs w:val="20"/>
                <w:color w:val="auto"/>
              </w:rPr>
            </w:pPr>
          </w:p>
        </w:tc>
      </w:tr>
      <w:tr>
        <w:trPr>
          <w:trHeight w:val="377"/>
        </w:trPr>
        <w:tc>
          <w:tcPr>
            <w:tcW w:w="1180" w:type="dxa"/>
            <w:vAlign w:val="bottom"/>
          </w:tcPr>
          <w:p>
            <w:pPr>
              <w:spacing w:after="0"/>
              <w:rPr>
                <w:sz w:val="24"/>
                <w:szCs w:val="24"/>
                <w:color w:val="auto"/>
              </w:rPr>
            </w:pPr>
          </w:p>
        </w:tc>
        <w:tc>
          <w:tcPr>
            <w:tcW w:w="3240" w:type="dxa"/>
            <w:vAlign w:val="bottom"/>
            <w:gridSpan w:val="3"/>
          </w:tcPr>
          <w:p>
            <w:pPr>
              <w:jc w:val="center"/>
              <w:ind w:right="1180"/>
              <w:spacing w:after="0"/>
              <w:rPr>
                <w:sz w:val="20"/>
                <w:szCs w:val="20"/>
                <w:color w:val="auto"/>
              </w:rPr>
            </w:pPr>
            <w:r>
              <w:rPr>
                <w:rFonts w:ascii="Arial" w:cs="Arial" w:eastAsia="Arial" w:hAnsi="Arial"/>
                <w:sz w:val="14"/>
                <w:szCs w:val="14"/>
                <w:b w:val="1"/>
                <w:bCs w:val="1"/>
                <w:color w:val="auto"/>
                <w:w w:val="89"/>
              </w:rPr>
              <w:t>Signature</w:t>
            </w:r>
          </w:p>
        </w:tc>
        <w:tc>
          <w:tcPr>
            <w:tcW w:w="3260" w:type="dxa"/>
            <w:vAlign w:val="bottom"/>
          </w:tcPr>
          <w:p>
            <w:pPr>
              <w:spacing w:after="0"/>
              <w:rPr>
                <w:sz w:val="24"/>
                <w:szCs w:val="24"/>
                <w:color w:val="auto"/>
              </w:rPr>
            </w:pPr>
          </w:p>
        </w:tc>
        <w:tc>
          <w:tcPr>
            <w:tcW w:w="1720" w:type="dxa"/>
            <w:vAlign w:val="bottom"/>
            <w:gridSpan w:val="2"/>
          </w:tcPr>
          <w:p>
            <w:pPr>
              <w:jc w:val="center"/>
              <w:ind w:right="1440"/>
              <w:spacing w:after="0"/>
              <w:rPr>
                <w:sz w:val="20"/>
                <w:szCs w:val="20"/>
                <w:color w:val="auto"/>
              </w:rPr>
            </w:pPr>
            <w:r>
              <w:rPr>
                <w:rFonts w:ascii="Arial" w:cs="Arial" w:eastAsia="Arial" w:hAnsi="Arial"/>
                <w:sz w:val="14"/>
                <w:szCs w:val="14"/>
                <w:b w:val="1"/>
                <w:bCs w:val="1"/>
                <w:color w:val="auto"/>
                <w:w w:val="97"/>
              </w:rPr>
              <w:t>Title</w:t>
            </w:r>
          </w:p>
        </w:tc>
      </w:tr>
      <w:tr>
        <w:trPr>
          <w:trHeight w:val="20"/>
        </w:trPr>
        <w:tc>
          <w:tcPr>
            <w:tcW w:w="11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326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r>
      <w:tr>
        <w:trPr>
          <w:trHeight w:val="425"/>
        </w:trPr>
        <w:tc>
          <w:tcPr>
            <w:tcW w:w="118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1900" w:type="dxa"/>
            <w:vAlign w:val="bottom"/>
            <w:tcBorders>
              <w:bottom w:val="single" w:sz="8" w:color="auto"/>
            </w:tcBorders>
          </w:tcPr>
          <w:p>
            <w:pPr>
              <w:spacing w:after="0"/>
              <w:rPr>
                <w:sz w:val="24"/>
                <w:szCs w:val="24"/>
                <w:color w:val="auto"/>
              </w:rPr>
            </w:pPr>
          </w:p>
        </w:tc>
        <w:tc>
          <w:tcPr>
            <w:tcW w:w="4980" w:type="dxa"/>
            <w:vAlign w:val="bottom"/>
            <w:gridSpan w:val="3"/>
          </w:tcPr>
          <w:p>
            <w:pPr>
              <w:jc w:val="center"/>
              <w:ind w:left="1730"/>
              <w:spacing w:after="0"/>
              <w:rPr>
                <w:sz w:val="20"/>
                <w:szCs w:val="20"/>
                <w:color w:val="auto"/>
              </w:rPr>
            </w:pPr>
            <w:r>
              <w:rPr>
                <w:rFonts w:ascii="Arial" w:cs="Arial" w:eastAsia="Arial" w:hAnsi="Arial"/>
                <w:sz w:val="18"/>
                <w:szCs w:val="18"/>
                <w:color w:val="auto"/>
                <w:w w:val="93"/>
              </w:rPr>
              <w:t>Chief Executive Officer and Director</w:t>
            </w:r>
          </w:p>
        </w:tc>
      </w:tr>
      <w:tr>
        <w:trPr>
          <w:trHeight w:val="224"/>
        </w:trPr>
        <w:tc>
          <w:tcPr>
            <w:tcW w:w="1180" w:type="dxa"/>
            <w:vAlign w:val="bottom"/>
          </w:tcPr>
          <w:p>
            <w:pPr>
              <w:spacing w:after="0"/>
              <w:rPr>
                <w:sz w:val="19"/>
                <w:szCs w:val="19"/>
                <w:color w:val="auto"/>
              </w:rPr>
            </w:pPr>
          </w:p>
        </w:tc>
        <w:tc>
          <w:tcPr>
            <w:tcW w:w="3240" w:type="dxa"/>
            <w:vAlign w:val="bottom"/>
            <w:gridSpan w:val="3"/>
          </w:tcPr>
          <w:p>
            <w:pPr>
              <w:jc w:val="center"/>
              <w:ind w:right="1180"/>
              <w:spacing w:after="0"/>
              <w:rPr>
                <w:sz w:val="20"/>
                <w:szCs w:val="20"/>
                <w:color w:val="auto"/>
              </w:rPr>
            </w:pPr>
            <w:r>
              <w:rPr>
                <w:rFonts w:ascii="Arial" w:cs="Arial" w:eastAsia="Arial" w:hAnsi="Arial"/>
                <w:sz w:val="18"/>
                <w:szCs w:val="18"/>
                <w:color w:val="auto"/>
                <w:w w:val="89"/>
              </w:rPr>
              <w:t>Jason Krantz</w:t>
            </w:r>
          </w:p>
        </w:tc>
        <w:tc>
          <w:tcPr>
            <w:tcW w:w="4980" w:type="dxa"/>
            <w:vAlign w:val="bottom"/>
            <w:gridSpan w:val="3"/>
          </w:tcPr>
          <w:p>
            <w:pPr>
              <w:jc w:val="center"/>
              <w:ind w:left="1750"/>
              <w:spacing w:after="0"/>
              <w:rPr>
                <w:sz w:val="20"/>
                <w:szCs w:val="20"/>
                <w:color w:val="auto"/>
              </w:rPr>
            </w:pPr>
            <w:r>
              <w:rPr>
                <w:rFonts w:ascii="Arial" w:cs="Arial" w:eastAsia="Arial" w:hAnsi="Arial"/>
                <w:sz w:val="18"/>
                <w:szCs w:val="18"/>
                <w:color w:val="auto"/>
                <w:w w:val="94"/>
              </w:rPr>
              <w:t>(Principal Executive Officer)</w:t>
            </w:r>
          </w:p>
        </w:tc>
      </w:tr>
      <w:tr>
        <w:trPr>
          <w:trHeight w:val="431"/>
        </w:trPr>
        <w:tc>
          <w:tcPr>
            <w:tcW w:w="118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1900" w:type="dxa"/>
            <w:vAlign w:val="bottom"/>
            <w:tcBorders>
              <w:bottom w:val="single" w:sz="8" w:color="auto"/>
            </w:tcBorders>
          </w:tcPr>
          <w:p>
            <w:pPr>
              <w:spacing w:after="0"/>
              <w:rPr>
                <w:sz w:val="24"/>
                <w:szCs w:val="24"/>
                <w:color w:val="auto"/>
              </w:rPr>
            </w:pPr>
          </w:p>
        </w:tc>
        <w:tc>
          <w:tcPr>
            <w:tcW w:w="4980" w:type="dxa"/>
            <w:vAlign w:val="bottom"/>
            <w:gridSpan w:val="3"/>
          </w:tcPr>
          <w:p>
            <w:pPr>
              <w:jc w:val="center"/>
              <w:ind w:left="1750"/>
              <w:spacing w:after="0"/>
              <w:rPr>
                <w:sz w:val="20"/>
                <w:szCs w:val="20"/>
                <w:color w:val="auto"/>
              </w:rPr>
            </w:pPr>
            <w:r>
              <w:rPr>
                <w:rFonts w:ascii="Arial" w:cs="Arial" w:eastAsia="Arial" w:hAnsi="Arial"/>
                <w:sz w:val="18"/>
                <w:szCs w:val="18"/>
                <w:color w:val="auto"/>
                <w:w w:val="90"/>
              </w:rPr>
              <w:t>President and Director</w:t>
            </w:r>
          </w:p>
        </w:tc>
      </w:tr>
      <w:tr>
        <w:trPr>
          <w:trHeight w:val="224"/>
        </w:trPr>
        <w:tc>
          <w:tcPr>
            <w:tcW w:w="1180" w:type="dxa"/>
            <w:vAlign w:val="bottom"/>
          </w:tcPr>
          <w:p>
            <w:pPr>
              <w:spacing w:after="0"/>
              <w:rPr>
                <w:sz w:val="19"/>
                <w:szCs w:val="19"/>
                <w:color w:val="auto"/>
              </w:rPr>
            </w:pPr>
          </w:p>
        </w:tc>
        <w:tc>
          <w:tcPr>
            <w:tcW w:w="3240" w:type="dxa"/>
            <w:vAlign w:val="bottom"/>
            <w:gridSpan w:val="3"/>
          </w:tcPr>
          <w:p>
            <w:pPr>
              <w:jc w:val="center"/>
              <w:ind w:right="1180"/>
              <w:spacing w:after="0"/>
              <w:rPr>
                <w:sz w:val="20"/>
                <w:szCs w:val="20"/>
                <w:color w:val="auto"/>
              </w:rPr>
            </w:pPr>
            <w:r>
              <w:rPr>
                <w:rFonts w:ascii="Arial" w:cs="Arial" w:eastAsia="Arial" w:hAnsi="Arial"/>
                <w:sz w:val="18"/>
                <w:szCs w:val="18"/>
                <w:color w:val="auto"/>
                <w:w w:val="92"/>
              </w:rPr>
              <w:t>Robert Musslewhite</w:t>
            </w:r>
          </w:p>
        </w:tc>
        <w:tc>
          <w:tcPr>
            <w:tcW w:w="32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420" w:type="dxa"/>
            <w:vAlign w:val="bottom"/>
          </w:tcPr>
          <w:p>
            <w:pPr>
              <w:spacing w:after="0"/>
              <w:rPr>
                <w:sz w:val="19"/>
                <w:szCs w:val="19"/>
                <w:color w:val="auto"/>
              </w:rPr>
            </w:pPr>
          </w:p>
        </w:tc>
      </w:tr>
      <w:tr>
        <w:trPr>
          <w:trHeight w:val="431"/>
        </w:trPr>
        <w:tc>
          <w:tcPr>
            <w:tcW w:w="118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1900" w:type="dxa"/>
            <w:vAlign w:val="bottom"/>
            <w:tcBorders>
              <w:bottom w:val="single" w:sz="8" w:color="auto"/>
            </w:tcBorders>
          </w:tcPr>
          <w:p>
            <w:pPr>
              <w:spacing w:after="0"/>
              <w:rPr>
                <w:sz w:val="24"/>
                <w:szCs w:val="24"/>
                <w:color w:val="auto"/>
              </w:rPr>
            </w:pPr>
          </w:p>
        </w:tc>
        <w:tc>
          <w:tcPr>
            <w:tcW w:w="4980" w:type="dxa"/>
            <w:vAlign w:val="bottom"/>
            <w:gridSpan w:val="3"/>
          </w:tcPr>
          <w:p>
            <w:pPr>
              <w:jc w:val="center"/>
              <w:ind w:left="1750"/>
              <w:spacing w:after="0"/>
              <w:rPr>
                <w:sz w:val="20"/>
                <w:szCs w:val="20"/>
                <w:color w:val="auto"/>
              </w:rPr>
            </w:pPr>
            <w:r>
              <w:rPr>
                <w:rFonts w:ascii="Arial" w:cs="Arial" w:eastAsia="Arial" w:hAnsi="Arial"/>
                <w:sz w:val="18"/>
                <w:szCs w:val="18"/>
                <w:color w:val="auto"/>
                <w:w w:val="93"/>
              </w:rPr>
              <w:t>Chief Financial Officer (Principal Financial</w:t>
            </w:r>
          </w:p>
        </w:tc>
      </w:tr>
      <w:tr>
        <w:trPr>
          <w:trHeight w:val="224"/>
        </w:trPr>
        <w:tc>
          <w:tcPr>
            <w:tcW w:w="1180" w:type="dxa"/>
            <w:vAlign w:val="bottom"/>
          </w:tcPr>
          <w:p>
            <w:pPr>
              <w:spacing w:after="0"/>
              <w:rPr>
                <w:sz w:val="19"/>
                <w:szCs w:val="19"/>
                <w:color w:val="auto"/>
              </w:rPr>
            </w:pPr>
          </w:p>
        </w:tc>
        <w:tc>
          <w:tcPr>
            <w:tcW w:w="3240" w:type="dxa"/>
            <w:vAlign w:val="bottom"/>
            <w:gridSpan w:val="3"/>
          </w:tcPr>
          <w:p>
            <w:pPr>
              <w:jc w:val="center"/>
              <w:ind w:right="1180"/>
              <w:spacing w:after="0"/>
              <w:rPr>
                <w:sz w:val="20"/>
                <w:szCs w:val="20"/>
                <w:color w:val="auto"/>
              </w:rPr>
            </w:pPr>
            <w:r>
              <w:rPr>
                <w:rFonts w:ascii="Arial" w:cs="Arial" w:eastAsia="Arial" w:hAnsi="Arial"/>
                <w:sz w:val="18"/>
                <w:szCs w:val="18"/>
                <w:color w:val="auto"/>
                <w:w w:val="92"/>
              </w:rPr>
              <w:t>Richard Booth</w:t>
            </w:r>
          </w:p>
        </w:tc>
        <w:tc>
          <w:tcPr>
            <w:tcW w:w="4980" w:type="dxa"/>
            <w:vAlign w:val="bottom"/>
            <w:gridSpan w:val="3"/>
          </w:tcPr>
          <w:p>
            <w:pPr>
              <w:jc w:val="center"/>
              <w:ind w:left="1750"/>
              <w:spacing w:after="0"/>
              <w:rPr>
                <w:sz w:val="20"/>
                <w:szCs w:val="20"/>
                <w:color w:val="auto"/>
              </w:rPr>
            </w:pPr>
            <w:r>
              <w:rPr>
                <w:rFonts w:ascii="Arial" w:cs="Arial" w:eastAsia="Arial" w:hAnsi="Arial"/>
                <w:sz w:val="18"/>
                <w:szCs w:val="18"/>
                <w:color w:val="auto"/>
                <w:w w:val="94"/>
              </w:rPr>
              <w:t>Officer and Principal Accounting Officer)</w:t>
            </w:r>
          </w:p>
        </w:tc>
      </w:tr>
      <w:tr>
        <w:trPr>
          <w:trHeight w:val="431"/>
        </w:trPr>
        <w:tc>
          <w:tcPr>
            <w:tcW w:w="118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1900" w:type="dxa"/>
            <w:vAlign w:val="bottom"/>
            <w:tcBorders>
              <w:bottom w:val="single" w:sz="8" w:color="auto"/>
            </w:tcBorders>
          </w:tcPr>
          <w:p>
            <w:pPr>
              <w:spacing w:after="0"/>
              <w:rPr>
                <w:sz w:val="24"/>
                <w:szCs w:val="24"/>
                <w:color w:val="auto"/>
              </w:rPr>
            </w:pPr>
          </w:p>
        </w:tc>
        <w:tc>
          <w:tcPr>
            <w:tcW w:w="4980" w:type="dxa"/>
            <w:vAlign w:val="bottom"/>
            <w:gridSpan w:val="3"/>
          </w:tcPr>
          <w:p>
            <w:pPr>
              <w:jc w:val="center"/>
              <w:ind w:left="1730"/>
              <w:spacing w:after="0"/>
              <w:rPr>
                <w:sz w:val="20"/>
                <w:szCs w:val="20"/>
                <w:color w:val="auto"/>
              </w:rPr>
            </w:pPr>
            <w:r>
              <w:rPr>
                <w:rFonts w:ascii="Arial" w:cs="Arial" w:eastAsia="Arial" w:hAnsi="Arial"/>
                <w:sz w:val="18"/>
                <w:szCs w:val="18"/>
                <w:color w:val="auto"/>
                <w:w w:val="95"/>
              </w:rPr>
              <w:t>Director</w:t>
            </w:r>
          </w:p>
        </w:tc>
      </w:tr>
      <w:tr>
        <w:trPr>
          <w:trHeight w:val="224"/>
        </w:trPr>
        <w:tc>
          <w:tcPr>
            <w:tcW w:w="1180" w:type="dxa"/>
            <w:vAlign w:val="bottom"/>
          </w:tcPr>
          <w:p>
            <w:pPr>
              <w:spacing w:after="0"/>
              <w:rPr>
                <w:sz w:val="19"/>
                <w:szCs w:val="19"/>
                <w:color w:val="auto"/>
              </w:rPr>
            </w:pPr>
          </w:p>
        </w:tc>
        <w:tc>
          <w:tcPr>
            <w:tcW w:w="3240" w:type="dxa"/>
            <w:vAlign w:val="bottom"/>
            <w:gridSpan w:val="3"/>
          </w:tcPr>
          <w:p>
            <w:pPr>
              <w:jc w:val="center"/>
              <w:ind w:right="1180"/>
              <w:spacing w:after="0"/>
              <w:rPr>
                <w:sz w:val="20"/>
                <w:szCs w:val="20"/>
                <w:color w:val="auto"/>
              </w:rPr>
            </w:pPr>
            <w:r>
              <w:rPr>
                <w:rFonts w:ascii="Arial" w:cs="Arial" w:eastAsia="Arial" w:hAnsi="Arial"/>
                <w:sz w:val="18"/>
                <w:szCs w:val="18"/>
                <w:color w:val="auto"/>
                <w:w w:val="91"/>
              </w:rPr>
              <w:t>Jill Larsen</w:t>
            </w:r>
          </w:p>
        </w:tc>
        <w:tc>
          <w:tcPr>
            <w:tcW w:w="32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420" w:type="dxa"/>
            <w:vAlign w:val="bottom"/>
          </w:tcPr>
          <w:p>
            <w:pPr>
              <w:spacing w:after="0"/>
              <w:rPr>
                <w:sz w:val="19"/>
                <w:szCs w:val="19"/>
                <w:color w:val="auto"/>
              </w:rPr>
            </w:pPr>
          </w:p>
        </w:tc>
      </w:tr>
      <w:tr>
        <w:trPr>
          <w:trHeight w:val="431"/>
        </w:trPr>
        <w:tc>
          <w:tcPr>
            <w:tcW w:w="118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1900" w:type="dxa"/>
            <w:vAlign w:val="bottom"/>
            <w:tcBorders>
              <w:bottom w:val="single" w:sz="8" w:color="auto"/>
            </w:tcBorders>
          </w:tcPr>
          <w:p>
            <w:pPr>
              <w:spacing w:after="0"/>
              <w:rPr>
                <w:sz w:val="24"/>
                <w:szCs w:val="24"/>
                <w:color w:val="auto"/>
              </w:rPr>
            </w:pPr>
          </w:p>
        </w:tc>
        <w:tc>
          <w:tcPr>
            <w:tcW w:w="4980" w:type="dxa"/>
            <w:vAlign w:val="bottom"/>
            <w:gridSpan w:val="3"/>
          </w:tcPr>
          <w:p>
            <w:pPr>
              <w:jc w:val="center"/>
              <w:ind w:left="1730"/>
              <w:spacing w:after="0"/>
              <w:rPr>
                <w:sz w:val="20"/>
                <w:szCs w:val="20"/>
                <w:color w:val="auto"/>
              </w:rPr>
            </w:pPr>
            <w:r>
              <w:rPr>
                <w:rFonts w:ascii="Arial" w:cs="Arial" w:eastAsia="Arial" w:hAnsi="Arial"/>
                <w:sz w:val="18"/>
                <w:szCs w:val="18"/>
                <w:color w:val="auto"/>
                <w:w w:val="95"/>
              </w:rPr>
              <w:t>Director</w:t>
            </w:r>
          </w:p>
        </w:tc>
      </w:tr>
      <w:tr>
        <w:trPr>
          <w:trHeight w:val="224"/>
        </w:trPr>
        <w:tc>
          <w:tcPr>
            <w:tcW w:w="1180" w:type="dxa"/>
            <w:vAlign w:val="bottom"/>
          </w:tcPr>
          <w:p>
            <w:pPr>
              <w:spacing w:after="0"/>
              <w:rPr>
                <w:sz w:val="19"/>
                <w:szCs w:val="19"/>
                <w:color w:val="auto"/>
              </w:rPr>
            </w:pPr>
          </w:p>
        </w:tc>
        <w:tc>
          <w:tcPr>
            <w:tcW w:w="3240" w:type="dxa"/>
            <w:vAlign w:val="bottom"/>
            <w:gridSpan w:val="3"/>
          </w:tcPr>
          <w:p>
            <w:pPr>
              <w:jc w:val="center"/>
              <w:ind w:right="1180"/>
              <w:spacing w:after="0"/>
              <w:rPr>
                <w:sz w:val="20"/>
                <w:szCs w:val="20"/>
                <w:color w:val="auto"/>
              </w:rPr>
            </w:pPr>
            <w:r>
              <w:rPr>
                <w:rFonts w:ascii="Arial" w:cs="Arial" w:eastAsia="Arial" w:hAnsi="Arial"/>
                <w:sz w:val="18"/>
                <w:szCs w:val="18"/>
                <w:color w:val="auto"/>
                <w:w w:val="98"/>
              </w:rPr>
              <w:t>Chris Mitchell</w:t>
            </w:r>
          </w:p>
        </w:tc>
        <w:tc>
          <w:tcPr>
            <w:tcW w:w="32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420" w:type="dxa"/>
            <w:vAlign w:val="bottom"/>
          </w:tcPr>
          <w:p>
            <w:pPr>
              <w:spacing w:after="0"/>
              <w:rPr>
                <w:sz w:val="19"/>
                <w:szCs w:val="19"/>
                <w:color w:val="auto"/>
              </w:rPr>
            </w:pPr>
          </w:p>
        </w:tc>
      </w:tr>
      <w:tr>
        <w:trPr>
          <w:trHeight w:val="431"/>
        </w:trPr>
        <w:tc>
          <w:tcPr>
            <w:tcW w:w="118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1900" w:type="dxa"/>
            <w:vAlign w:val="bottom"/>
            <w:tcBorders>
              <w:bottom w:val="single" w:sz="8" w:color="auto"/>
            </w:tcBorders>
          </w:tcPr>
          <w:p>
            <w:pPr>
              <w:spacing w:after="0"/>
              <w:rPr>
                <w:sz w:val="24"/>
                <w:szCs w:val="24"/>
                <w:color w:val="auto"/>
              </w:rPr>
            </w:pPr>
          </w:p>
        </w:tc>
        <w:tc>
          <w:tcPr>
            <w:tcW w:w="4980" w:type="dxa"/>
            <w:vAlign w:val="bottom"/>
            <w:gridSpan w:val="3"/>
          </w:tcPr>
          <w:p>
            <w:pPr>
              <w:jc w:val="center"/>
              <w:ind w:left="1730"/>
              <w:spacing w:after="0"/>
              <w:rPr>
                <w:sz w:val="20"/>
                <w:szCs w:val="20"/>
                <w:color w:val="auto"/>
              </w:rPr>
            </w:pPr>
            <w:r>
              <w:rPr>
                <w:rFonts w:ascii="Arial" w:cs="Arial" w:eastAsia="Arial" w:hAnsi="Arial"/>
                <w:sz w:val="18"/>
                <w:szCs w:val="18"/>
                <w:color w:val="auto"/>
                <w:w w:val="95"/>
              </w:rPr>
              <w:t>Director</w:t>
            </w:r>
          </w:p>
        </w:tc>
      </w:tr>
      <w:tr>
        <w:trPr>
          <w:trHeight w:val="224"/>
        </w:trPr>
        <w:tc>
          <w:tcPr>
            <w:tcW w:w="1180" w:type="dxa"/>
            <w:vAlign w:val="bottom"/>
          </w:tcPr>
          <w:p>
            <w:pPr>
              <w:spacing w:after="0"/>
              <w:rPr>
                <w:sz w:val="19"/>
                <w:szCs w:val="19"/>
                <w:color w:val="auto"/>
              </w:rPr>
            </w:pPr>
          </w:p>
        </w:tc>
        <w:tc>
          <w:tcPr>
            <w:tcW w:w="3240" w:type="dxa"/>
            <w:vAlign w:val="bottom"/>
            <w:gridSpan w:val="3"/>
          </w:tcPr>
          <w:p>
            <w:pPr>
              <w:jc w:val="center"/>
              <w:ind w:right="1180"/>
              <w:spacing w:after="0"/>
              <w:rPr>
                <w:sz w:val="20"/>
                <w:szCs w:val="20"/>
                <w:color w:val="auto"/>
              </w:rPr>
            </w:pPr>
            <w:r>
              <w:rPr>
                <w:rFonts w:ascii="Arial" w:cs="Arial" w:eastAsia="Arial" w:hAnsi="Arial"/>
                <w:sz w:val="18"/>
                <w:szCs w:val="18"/>
                <w:color w:val="auto"/>
                <w:w w:val="93"/>
              </w:rPr>
              <w:t>Jeff Haywood</w:t>
            </w:r>
          </w:p>
        </w:tc>
        <w:tc>
          <w:tcPr>
            <w:tcW w:w="32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420" w:type="dxa"/>
            <w:vAlign w:val="bottom"/>
          </w:tcPr>
          <w:p>
            <w:pPr>
              <w:spacing w:after="0"/>
              <w:rPr>
                <w:sz w:val="19"/>
                <w:szCs w:val="19"/>
                <w:color w:val="auto"/>
              </w:rPr>
            </w:pPr>
          </w:p>
        </w:tc>
      </w:tr>
      <w:tr>
        <w:trPr>
          <w:trHeight w:val="431"/>
        </w:trPr>
        <w:tc>
          <w:tcPr>
            <w:tcW w:w="118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1900" w:type="dxa"/>
            <w:vAlign w:val="bottom"/>
            <w:tcBorders>
              <w:bottom w:val="single" w:sz="8" w:color="auto"/>
            </w:tcBorders>
          </w:tcPr>
          <w:p>
            <w:pPr>
              <w:spacing w:after="0"/>
              <w:rPr>
                <w:sz w:val="24"/>
                <w:szCs w:val="24"/>
                <w:color w:val="auto"/>
              </w:rPr>
            </w:pPr>
          </w:p>
        </w:tc>
        <w:tc>
          <w:tcPr>
            <w:tcW w:w="4980" w:type="dxa"/>
            <w:vAlign w:val="bottom"/>
            <w:gridSpan w:val="3"/>
          </w:tcPr>
          <w:p>
            <w:pPr>
              <w:jc w:val="center"/>
              <w:ind w:left="1730"/>
              <w:spacing w:after="0"/>
              <w:rPr>
                <w:sz w:val="20"/>
                <w:szCs w:val="20"/>
                <w:color w:val="auto"/>
              </w:rPr>
            </w:pPr>
            <w:r>
              <w:rPr>
                <w:rFonts w:ascii="Arial" w:cs="Arial" w:eastAsia="Arial" w:hAnsi="Arial"/>
                <w:sz w:val="18"/>
                <w:szCs w:val="18"/>
                <w:color w:val="auto"/>
                <w:w w:val="95"/>
              </w:rPr>
              <w:t>Director</w:t>
            </w:r>
          </w:p>
        </w:tc>
      </w:tr>
      <w:tr>
        <w:trPr>
          <w:trHeight w:val="224"/>
        </w:trPr>
        <w:tc>
          <w:tcPr>
            <w:tcW w:w="1180" w:type="dxa"/>
            <w:vAlign w:val="bottom"/>
          </w:tcPr>
          <w:p>
            <w:pPr>
              <w:spacing w:after="0"/>
              <w:rPr>
                <w:sz w:val="19"/>
                <w:szCs w:val="19"/>
                <w:color w:val="auto"/>
              </w:rPr>
            </w:pPr>
          </w:p>
        </w:tc>
        <w:tc>
          <w:tcPr>
            <w:tcW w:w="3240" w:type="dxa"/>
            <w:vAlign w:val="bottom"/>
            <w:gridSpan w:val="3"/>
          </w:tcPr>
          <w:p>
            <w:pPr>
              <w:jc w:val="center"/>
              <w:ind w:right="1180"/>
              <w:spacing w:after="0"/>
              <w:rPr>
                <w:sz w:val="20"/>
                <w:szCs w:val="20"/>
                <w:color w:val="auto"/>
              </w:rPr>
            </w:pPr>
            <w:r>
              <w:rPr>
                <w:rFonts w:ascii="Arial" w:cs="Arial" w:eastAsia="Arial" w:hAnsi="Arial"/>
                <w:sz w:val="18"/>
                <w:szCs w:val="18"/>
                <w:color w:val="auto"/>
                <w:w w:val="90"/>
              </w:rPr>
              <w:t>Lauren Young</w:t>
            </w:r>
          </w:p>
        </w:tc>
        <w:tc>
          <w:tcPr>
            <w:tcW w:w="32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420" w:type="dxa"/>
            <w:vAlign w:val="bottom"/>
          </w:tcPr>
          <w:p>
            <w:pPr>
              <w:spacing w:after="0"/>
              <w:rPr>
                <w:sz w:val="19"/>
                <w:szCs w:val="19"/>
                <w:color w:val="auto"/>
              </w:rPr>
            </w:pPr>
          </w:p>
        </w:tc>
      </w:tr>
      <w:tr>
        <w:trPr>
          <w:trHeight w:val="431"/>
        </w:trPr>
        <w:tc>
          <w:tcPr>
            <w:tcW w:w="118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1900" w:type="dxa"/>
            <w:vAlign w:val="bottom"/>
            <w:tcBorders>
              <w:bottom w:val="single" w:sz="8" w:color="auto"/>
            </w:tcBorders>
          </w:tcPr>
          <w:p>
            <w:pPr>
              <w:spacing w:after="0"/>
              <w:rPr>
                <w:sz w:val="24"/>
                <w:szCs w:val="24"/>
                <w:color w:val="auto"/>
              </w:rPr>
            </w:pPr>
          </w:p>
        </w:tc>
        <w:tc>
          <w:tcPr>
            <w:tcW w:w="4980" w:type="dxa"/>
            <w:vAlign w:val="bottom"/>
            <w:gridSpan w:val="3"/>
          </w:tcPr>
          <w:p>
            <w:pPr>
              <w:jc w:val="center"/>
              <w:ind w:left="1730"/>
              <w:spacing w:after="0"/>
              <w:rPr>
                <w:sz w:val="20"/>
                <w:szCs w:val="20"/>
                <w:color w:val="auto"/>
              </w:rPr>
            </w:pPr>
            <w:r>
              <w:rPr>
                <w:rFonts w:ascii="Arial" w:cs="Arial" w:eastAsia="Arial" w:hAnsi="Arial"/>
                <w:sz w:val="18"/>
                <w:szCs w:val="18"/>
                <w:color w:val="auto"/>
                <w:w w:val="95"/>
              </w:rPr>
              <w:t>Director</w:t>
            </w:r>
          </w:p>
        </w:tc>
      </w:tr>
      <w:tr>
        <w:trPr>
          <w:trHeight w:val="224"/>
        </w:trPr>
        <w:tc>
          <w:tcPr>
            <w:tcW w:w="1180" w:type="dxa"/>
            <w:vAlign w:val="bottom"/>
          </w:tcPr>
          <w:p>
            <w:pPr>
              <w:spacing w:after="0"/>
              <w:rPr>
                <w:sz w:val="19"/>
                <w:szCs w:val="19"/>
                <w:color w:val="auto"/>
              </w:rPr>
            </w:pPr>
          </w:p>
        </w:tc>
        <w:tc>
          <w:tcPr>
            <w:tcW w:w="3240" w:type="dxa"/>
            <w:vAlign w:val="bottom"/>
            <w:gridSpan w:val="3"/>
          </w:tcPr>
          <w:p>
            <w:pPr>
              <w:jc w:val="center"/>
              <w:ind w:right="1180"/>
              <w:spacing w:after="0"/>
              <w:rPr>
                <w:sz w:val="20"/>
                <w:szCs w:val="20"/>
                <w:color w:val="auto"/>
              </w:rPr>
            </w:pPr>
            <w:r>
              <w:rPr>
                <w:rFonts w:ascii="Arial" w:cs="Arial" w:eastAsia="Arial" w:hAnsi="Arial"/>
                <w:sz w:val="18"/>
                <w:szCs w:val="18"/>
                <w:color w:val="auto"/>
                <w:w w:val="92"/>
              </w:rPr>
              <w:t>Chris Egan</w:t>
            </w:r>
          </w:p>
        </w:tc>
        <w:tc>
          <w:tcPr>
            <w:tcW w:w="32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420" w:type="dxa"/>
            <w:vAlign w:val="bottom"/>
          </w:tcPr>
          <w:p>
            <w:pPr>
              <w:spacing w:after="0"/>
              <w:rPr>
                <w:sz w:val="19"/>
                <w:szCs w:val="19"/>
                <w:color w:val="auto"/>
              </w:rPr>
            </w:pPr>
          </w:p>
        </w:tc>
      </w:tr>
    </w:tbl>
    <w:p>
      <w:pPr>
        <w:sectPr>
          <w:pgSz w:w="11900" w:h="16838" w:orient="portrait"/>
          <w:cols w:equalWidth="0" w:num="1">
            <w:col w:w="11140"/>
          </w:cols>
          <w:pgMar w:left="320" w:top="459" w:right="439" w:bottom="1440" w:gutter="0" w:footer="0" w:header="0"/>
        </w:sectPr>
      </w:pPr>
    </w:p>
    <w:bookmarkStart w:id="287" w:name="page288"/>
    <w:bookmarkEnd w:id="28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80" name="Picture 3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0"/>
                    <pic:cNvPicPr>
                      <a:picLocks noChangeAspect="1" noChangeArrowheads="1"/>
                    </pic:cNvPicPr>
                  </pic:nvPicPr>
                  <pic:blipFill>
                    <a:blip r:embed="rId387">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00"/>
        <w:spacing w:after="0"/>
        <w:rPr>
          <w:sz w:val="20"/>
          <w:szCs w:val="20"/>
          <w:color w:val="auto"/>
        </w:rPr>
      </w:pPr>
      <w:r>
        <w:rPr>
          <w:rFonts w:ascii="Arial" w:cs="Arial" w:eastAsia="Arial" w:hAnsi="Arial"/>
          <w:sz w:val="17"/>
          <w:szCs w:val="17"/>
          <w:b w:val="1"/>
          <w:bCs w:val="1"/>
          <w:color w:val="auto"/>
        </w:rPr>
        <w:t>Confidential Treatment Requested by Definitive Healthcare Corp.</w:t>
      </w:r>
    </w:p>
    <w:p>
      <w:pPr>
        <w:spacing w:after="0" w:line="39" w:lineRule="exact"/>
        <w:rPr>
          <w:sz w:val="20"/>
          <w:szCs w:val="20"/>
          <w:color w:val="auto"/>
        </w:rPr>
      </w:pPr>
    </w:p>
    <w:p>
      <w:pPr>
        <w:jc w:val="center"/>
        <w:ind w:right="-1100"/>
        <w:spacing w:after="0"/>
        <w:rPr>
          <w:sz w:val="20"/>
          <w:szCs w:val="20"/>
          <w:color w:val="auto"/>
        </w:rPr>
      </w:pPr>
      <w:r>
        <w:rPr>
          <w:rFonts w:ascii="Arial" w:cs="Arial" w:eastAsia="Arial" w:hAnsi="Arial"/>
          <w:sz w:val="18"/>
          <w:szCs w:val="18"/>
          <w:b w:val="1"/>
          <w:bCs w:val="1"/>
          <w:color w:val="auto"/>
        </w:rPr>
        <w:t>Pursuant to 17 C.F.R. Section 200.83</w:t>
      </w:r>
    </w:p>
    <w:p>
      <w:pPr>
        <w:spacing w:after="0" w:line="135" w:lineRule="exact"/>
        <w:rPr>
          <w:sz w:val="20"/>
          <w:szCs w:val="20"/>
          <w:color w:val="auto"/>
        </w:rPr>
      </w:pPr>
    </w:p>
    <w:p>
      <w:pPr>
        <w:ind w:left="2040"/>
        <w:spacing w:after="0"/>
        <w:tabs>
          <w:tab w:leader="none" w:pos="7780" w:val="left"/>
        </w:tabs>
        <w:rPr>
          <w:sz w:val="20"/>
          <w:szCs w:val="20"/>
          <w:color w:val="auto"/>
        </w:rPr>
      </w:pPr>
      <w:r>
        <w:rPr>
          <w:rFonts w:ascii="Arial" w:cs="Arial" w:eastAsia="Arial" w:hAnsi="Arial"/>
          <w:sz w:val="14"/>
          <w:szCs w:val="14"/>
          <w:b w:val="1"/>
          <w:bCs w:val="1"/>
          <w:u w:val="single" w:color="auto"/>
          <w:color w:val="auto"/>
        </w:rPr>
        <w:t>Signature</w:t>
      </w:r>
      <w:r>
        <w:rPr>
          <w:sz w:val="20"/>
          <w:szCs w:val="20"/>
          <w:color w:val="auto"/>
        </w:rPr>
        <w:tab/>
      </w:r>
      <w:r>
        <w:rPr>
          <w:rFonts w:ascii="Arial" w:cs="Arial" w:eastAsia="Arial" w:hAnsi="Arial"/>
          <w:sz w:val="14"/>
          <w:szCs w:val="14"/>
          <w:b w:val="1"/>
          <w:bCs w:val="1"/>
          <w:u w:val="single" w:color="auto"/>
          <w:color w:val="auto"/>
        </w:rPr>
        <w:t>Title</w:t>
      </w:r>
    </w:p>
    <w:p>
      <w:pPr>
        <w:spacing w:after="0" w:line="225" w:lineRule="exact"/>
        <w:rPr>
          <w:sz w:val="20"/>
          <w:szCs w:val="20"/>
          <w:color w:val="auto"/>
        </w:rPr>
      </w:pPr>
    </w:p>
    <w:p>
      <w:pPr>
        <w:jc w:val="right"/>
        <w:ind w:right="1899"/>
        <w:spacing w:after="0"/>
        <w:rPr>
          <w:sz w:val="20"/>
          <w:szCs w:val="20"/>
          <w:color w:val="auto"/>
        </w:rPr>
      </w:pPr>
      <w:r>
        <w:rPr>
          <w:rFonts w:ascii="Arial" w:cs="Arial" w:eastAsia="Arial" w:hAnsi="Arial"/>
          <w:sz w:val="18"/>
          <w:szCs w:val="18"/>
          <w:color w:val="auto"/>
        </w:rPr>
        <w:t>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14605</wp:posOffset>
            </wp:positionV>
            <wp:extent cx="2811780" cy="8890"/>
            <wp:wrapNone/>
            <wp:docPr id="381" name="Picture 3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1"/>
                    <pic:cNvPicPr>
                      <a:picLocks noChangeAspect="1" noChangeArrowheads="1"/>
                    </pic:cNvPicPr>
                  </pic:nvPicPr>
                  <pic:blipFill>
                    <a:blip r:embed="rId388">
                      <a:extLst>
                        <a:ext uri="{28A0092B-C50C-407E-A947-70E740481C1C}"/>
                      </a:extLst>
                    </a:blip>
                    <a:srcRect/>
                    <a:stretch>
                      <a:fillRect/>
                    </a:stretch>
                  </pic:blipFill>
                  <pic:spPr bwMode="auto">
                    <a:xfrm>
                      <a:off x="0" y="0"/>
                      <a:ext cx="2811780" cy="8890"/>
                    </a:xfrm>
                    <a:prstGeom prst="rect">
                      <a:avLst/>
                    </a:prstGeom>
                    <a:noFill/>
                  </pic:spPr>
                </pic:pic>
              </a:graphicData>
            </a:graphic>
          </wp:anchor>
        </w:drawing>
      </w:r>
    </w:p>
    <w:p>
      <w:pPr>
        <w:spacing w:after="0" w:line="16" w:lineRule="exact"/>
        <w:rPr>
          <w:sz w:val="20"/>
          <w:szCs w:val="20"/>
          <w:color w:val="auto"/>
        </w:rPr>
      </w:pPr>
    </w:p>
    <w:p>
      <w:pPr>
        <w:ind w:left="1720"/>
        <w:spacing w:after="0"/>
        <w:rPr>
          <w:sz w:val="20"/>
          <w:szCs w:val="20"/>
          <w:color w:val="auto"/>
        </w:rPr>
      </w:pPr>
      <w:r>
        <w:rPr>
          <w:rFonts w:ascii="Arial" w:cs="Arial" w:eastAsia="Arial" w:hAnsi="Arial"/>
          <w:sz w:val="18"/>
          <w:szCs w:val="18"/>
          <w:color w:val="auto"/>
        </w:rPr>
        <w:t>D. Randall Winn</w:t>
      </w:r>
    </w:p>
    <w:p>
      <w:pPr>
        <w:spacing w:after="0" w:line="225" w:lineRule="exact"/>
        <w:rPr>
          <w:sz w:val="20"/>
          <w:szCs w:val="20"/>
          <w:color w:val="auto"/>
        </w:rPr>
      </w:pPr>
    </w:p>
    <w:p>
      <w:pPr>
        <w:jc w:val="right"/>
        <w:ind w:right="1899"/>
        <w:spacing w:after="0"/>
        <w:rPr>
          <w:sz w:val="20"/>
          <w:szCs w:val="20"/>
          <w:color w:val="auto"/>
        </w:rPr>
      </w:pPr>
      <w:r>
        <w:rPr>
          <w:rFonts w:ascii="Arial" w:cs="Arial" w:eastAsia="Arial" w:hAnsi="Arial"/>
          <w:sz w:val="18"/>
          <w:szCs w:val="18"/>
          <w:color w:val="auto"/>
        </w:rPr>
        <w:t>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14605</wp:posOffset>
            </wp:positionV>
            <wp:extent cx="2811780" cy="8890"/>
            <wp:wrapNone/>
            <wp:docPr id="382" name="Picture 3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2"/>
                    <pic:cNvPicPr>
                      <a:picLocks noChangeAspect="1" noChangeArrowheads="1"/>
                    </pic:cNvPicPr>
                  </pic:nvPicPr>
                  <pic:blipFill>
                    <a:blip r:embed="rId389">
                      <a:extLst>
                        <a:ext uri="{28A0092B-C50C-407E-A947-70E740481C1C}"/>
                      </a:extLst>
                    </a:blip>
                    <a:srcRect/>
                    <a:stretch>
                      <a:fillRect/>
                    </a:stretch>
                  </pic:blipFill>
                  <pic:spPr bwMode="auto">
                    <a:xfrm>
                      <a:off x="0" y="0"/>
                      <a:ext cx="2811780" cy="8890"/>
                    </a:xfrm>
                    <a:prstGeom prst="rect">
                      <a:avLst/>
                    </a:prstGeom>
                    <a:noFill/>
                  </pic:spPr>
                </pic:pic>
              </a:graphicData>
            </a:graphic>
          </wp:anchor>
        </w:drawing>
      </w:r>
    </w:p>
    <w:p>
      <w:pPr>
        <w:spacing w:after="0" w:line="16" w:lineRule="exact"/>
        <w:rPr>
          <w:sz w:val="20"/>
          <w:szCs w:val="20"/>
          <w:color w:val="auto"/>
        </w:rPr>
      </w:pPr>
    </w:p>
    <w:p>
      <w:pPr>
        <w:ind w:left="1500"/>
        <w:spacing w:after="0"/>
        <w:rPr>
          <w:sz w:val="20"/>
          <w:szCs w:val="20"/>
          <w:color w:val="auto"/>
        </w:rPr>
      </w:pPr>
      <w:r>
        <w:rPr>
          <w:rFonts w:ascii="Arial" w:cs="Arial" w:eastAsia="Arial" w:hAnsi="Arial"/>
          <w:sz w:val="18"/>
          <w:szCs w:val="18"/>
          <w:color w:val="auto"/>
        </w:rPr>
        <w:t>Samuel Allen Hamood</w:t>
      </w:r>
    </w:p>
    <w:p>
      <w:pPr>
        <w:spacing w:after="0" w:line="225" w:lineRule="exact"/>
        <w:rPr>
          <w:sz w:val="20"/>
          <w:szCs w:val="20"/>
          <w:color w:val="auto"/>
        </w:rPr>
      </w:pPr>
    </w:p>
    <w:p>
      <w:pPr>
        <w:jc w:val="right"/>
        <w:ind w:right="1899"/>
        <w:spacing w:after="0"/>
        <w:rPr>
          <w:sz w:val="20"/>
          <w:szCs w:val="20"/>
          <w:color w:val="auto"/>
        </w:rPr>
      </w:pPr>
      <w:r>
        <w:rPr>
          <w:rFonts w:ascii="Arial" w:cs="Arial" w:eastAsia="Arial" w:hAnsi="Arial"/>
          <w:sz w:val="18"/>
          <w:szCs w:val="18"/>
          <w:color w:val="auto"/>
        </w:rPr>
        <w:t>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14605</wp:posOffset>
            </wp:positionV>
            <wp:extent cx="2811780" cy="8255"/>
            <wp:wrapNone/>
            <wp:docPr id="383" name="Picture 3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3"/>
                    <pic:cNvPicPr>
                      <a:picLocks noChangeAspect="1" noChangeArrowheads="1"/>
                    </pic:cNvPicPr>
                  </pic:nvPicPr>
                  <pic:blipFill>
                    <a:blip r:embed="rId390">
                      <a:extLst>
                        <a:ext uri="{28A0092B-C50C-407E-A947-70E740481C1C}"/>
                      </a:extLst>
                    </a:blip>
                    <a:srcRect/>
                    <a:stretch>
                      <a:fillRect/>
                    </a:stretch>
                  </pic:blipFill>
                  <pic:spPr bwMode="auto">
                    <a:xfrm>
                      <a:off x="0" y="0"/>
                      <a:ext cx="2811780" cy="8255"/>
                    </a:xfrm>
                    <a:prstGeom prst="rect">
                      <a:avLst/>
                    </a:prstGeom>
                    <a:noFill/>
                  </pic:spPr>
                </pic:pic>
              </a:graphicData>
            </a:graphic>
          </wp:anchor>
        </w:drawing>
      </w:r>
    </w:p>
    <w:p>
      <w:pPr>
        <w:spacing w:after="0" w:line="16" w:lineRule="exact"/>
        <w:rPr>
          <w:sz w:val="20"/>
          <w:szCs w:val="20"/>
          <w:color w:val="auto"/>
        </w:rPr>
      </w:pPr>
    </w:p>
    <w:p>
      <w:pPr>
        <w:ind w:left="1600"/>
        <w:spacing w:after="0"/>
        <w:rPr>
          <w:sz w:val="20"/>
          <w:szCs w:val="20"/>
          <w:color w:val="auto"/>
        </w:rPr>
      </w:pPr>
      <w:r>
        <w:rPr>
          <w:rFonts w:ascii="Arial" w:cs="Arial" w:eastAsia="Arial" w:hAnsi="Arial"/>
          <w:sz w:val="18"/>
          <w:szCs w:val="18"/>
          <w:color w:val="auto"/>
        </w:rPr>
        <w:t>Kathleen A. Winters</w:t>
      </w:r>
    </w:p>
    <w:sectPr>
      <w:pgSz w:w="11900" w:h="16838" w:orient="portrait"/>
      <w:cols w:equalWidth="0" w:num="1">
        <w:col w:w="10139"/>
      </w:cols>
      <w:pgMar w:left="320" w:top="459"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5E6D486"/>
    <w:multiLevelType w:val="hybridMultilevel"/>
    <w:lvl w:ilvl="0">
      <w:lvlJc w:val="left"/>
      <w:lvlText w:val="(%1)"/>
      <w:numFmt w:val="decimal"/>
      <w:start w:val="2"/>
    </w:lvl>
  </w:abstractNum>
  <w:abstractNum w:abstractNumId="1">
    <w:nsid w:val="5C10FE21"/>
    <w:multiLevelType w:val="hybridMultilevel"/>
    <w:lvl w:ilvl="0">
      <w:lvlJc w:val="left"/>
      <w:lvlText w:val="(%1)"/>
      <w:numFmt w:val="lowerRoman"/>
      <w:start w:val="3"/>
    </w:lvl>
  </w:abstractNum>
  <w:abstractNum w:abstractNumId="2">
    <w:nsid w:val="E7FFA2B"/>
    <w:multiLevelType w:val="hybridMultilevel"/>
    <w:lvl w:ilvl="0">
      <w:lvlJc w:val="left"/>
      <w:lvlText w:val="(%1)"/>
      <w:numFmt w:val="decimal"/>
      <w:start w:val="1"/>
    </w:lvl>
  </w:abstractNum>
  <w:abstractNum w:abstractNumId="3">
    <w:nsid w:val="3C5991AA"/>
    <w:multiLevelType w:val="hybridMultilevel"/>
    <w:lvl w:ilvl="0">
      <w:lvlJc w:val="left"/>
      <w:lvlText w:val="•"/>
      <w:numFmt w:val="bullet"/>
      <w:start w:val="1"/>
    </w:lvl>
  </w:abstractNum>
  <w:abstractNum w:abstractNumId="4">
    <w:nsid w:val="4BD8591A"/>
    <w:multiLevelType w:val="hybridMultilevel"/>
    <w:lvl w:ilvl="0">
      <w:lvlJc w:val="left"/>
      <w:lvlText w:val="•"/>
      <w:numFmt w:val="bullet"/>
      <w:start w:val="1"/>
    </w:lvl>
  </w:abstractNum>
  <w:abstractNum w:abstractNumId="5">
    <w:nsid w:val="78DF6A55"/>
    <w:multiLevelType w:val="hybridMultilevel"/>
    <w:lvl w:ilvl="0">
      <w:lvlJc w:val="left"/>
      <w:lvlText w:val="•"/>
      <w:numFmt w:val="bullet"/>
      <w:start w:val="1"/>
    </w:lvl>
  </w:abstractNum>
  <w:abstractNum w:abstractNumId="6">
    <w:nsid w:val="39B7AAA2"/>
    <w:multiLevelType w:val="hybridMultilevel"/>
    <w:lvl w:ilvl="0">
      <w:lvlJc w:val="left"/>
      <w:lvlText w:val="•"/>
      <w:numFmt w:val="bullet"/>
      <w:start w:val="1"/>
    </w:lvl>
  </w:abstractNum>
  <w:abstractNum w:abstractNumId="7">
    <w:nsid w:val="2B0D8DBE"/>
    <w:multiLevelType w:val="hybridMultilevel"/>
    <w:lvl w:ilvl="0">
      <w:lvlJc w:val="left"/>
      <w:lvlText w:val="•"/>
      <w:numFmt w:val="bullet"/>
      <w:start w:val="1"/>
    </w:lvl>
  </w:abstractNum>
  <w:abstractNum w:abstractNumId="8">
    <w:nsid w:val="6C80EC70"/>
    <w:multiLevelType w:val="hybridMultilevel"/>
    <w:lvl w:ilvl="0">
      <w:lvlJc w:val="left"/>
      <w:lvlText w:val="•"/>
      <w:numFmt w:val="bullet"/>
      <w:start w:val="1"/>
    </w:lvl>
  </w:abstractNum>
  <w:abstractNum w:abstractNumId="9">
    <w:nsid w:val="379E21B5"/>
    <w:multiLevelType w:val="hybridMultilevel"/>
    <w:lvl w:ilvl="0">
      <w:lvlJc w:val="left"/>
      <w:lvlText w:val="•"/>
      <w:numFmt w:val="bullet"/>
      <w:start w:val="1"/>
    </w:lvl>
  </w:abstractNum>
  <w:abstractNum w:abstractNumId="10">
    <w:nsid w:val="69E373"/>
    <w:multiLevelType w:val="hybridMultilevel"/>
    <w:lvl w:ilvl="0">
      <w:lvlJc w:val="left"/>
      <w:lvlText w:val="•"/>
      <w:numFmt w:val="bullet"/>
      <w:start w:val="1"/>
    </w:lvl>
  </w:abstractNum>
  <w:abstractNum w:abstractNumId="11">
    <w:nsid w:val="2C27173B"/>
    <w:multiLevelType w:val="hybridMultilevel"/>
    <w:lvl w:ilvl="0">
      <w:lvlJc w:val="left"/>
      <w:lvlText w:val="•"/>
      <w:numFmt w:val="bullet"/>
      <w:start w:val="1"/>
    </w:lvl>
  </w:abstractNum>
  <w:abstractNum w:abstractNumId="12">
    <w:nsid w:val="4C9B0904"/>
    <w:multiLevelType w:val="hybridMultilevel"/>
    <w:lvl w:ilvl="0">
      <w:lvlJc w:val="left"/>
      <w:lvlText w:val="•"/>
      <w:numFmt w:val="bullet"/>
      <w:start w:val="1"/>
    </w:lvl>
  </w:abstractNum>
  <w:abstractNum w:abstractNumId="13">
    <w:nsid w:val="6AA7B75C"/>
    <w:multiLevelType w:val="hybridMultilevel"/>
    <w:lvl w:ilvl="0">
      <w:lvlJc w:val="left"/>
      <w:lvlText w:val="•"/>
      <w:numFmt w:val="bullet"/>
      <w:start w:val="1"/>
    </w:lvl>
  </w:abstractNum>
  <w:abstractNum w:abstractNumId="14">
    <w:nsid w:val="1DF029D3"/>
    <w:multiLevelType w:val="hybridMultilevel"/>
    <w:lvl w:ilvl="0">
      <w:lvlJc w:val="left"/>
      <w:lvlText w:val="•"/>
      <w:numFmt w:val="bullet"/>
      <w:start w:val="1"/>
    </w:lvl>
  </w:abstractNum>
  <w:abstractNum w:abstractNumId="15">
    <w:nsid w:val="5675FF36"/>
    <w:multiLevelType w:val="hybridMultilevel"/>
    <w:lvl w:ilvl="0">
      <w:lvlJc w:val="left"/>
      <w:lvlText w:val="•"/>
      <w:numFmt w:val="bullet"/>
      <w:start w:val="1"/>
    </w:lvl>
  </w:abstractNum>
  <w:abstractNum w:abstractNumId="16">
    <w:nsid w:val="3DD15094"/>
    <w:multiLevelType w:val="hybridMultilevel"/>
    <w:lvl w:ilvl="0">
      <w:lvlJc w:val="left"/>
      <w:lvlText w:val="•"/>
      <w:numFmt w:val="bullet"/>
      <w:start w:val="1"/>
    </w:lvl>
  </w:abstractNum>
  <w:abstractNum w:abstractNumId="17">
    <w:nsid w:val="3DB012B3"/>
    <w:multiLevelType w:val="hybridMultilevel"/>
    <w:lvl w:ilvl="0">
      <w:lvlJc w:val="left"/>
      <w:lvlText w:val="•"/>
      <w:numFmt w:val="bullet"/>
      <w:start w:val="1"/>
    </w:lvl>
  </w:abstractNum>
  <w:abstractNum w:abstractNumId="18">
    <w:nsid w:val="2708C9AF"/>
    <w:multiLevelType w:val="hybridMultilevel"/>
    <w:lvl w:ilvl="0">
      <w:lvlJc w:val="left"/>
      <w:lvlText w:val="•"/>
      <w:numFmt w:val="bullet"/>
      <w:start w:val="1"/>
    </w:lvl>
  </w:abstractNum>
  <w:abstractNum w:abstractNumId="19">
    <w:nsid w:val="5B25ACE2"/>
    <w:multiLevelType w:val="hybridMultilevel"/>
    <w:lvl w:ilvl="0">
      <w:lvlJc w:val="left"/>
      <w:lvlText w:val="•"/>
      <w:numFmt w:val="bullet"/>
      <w:start w:val="1"/>
    </w:lvl>
  </w:abstractNum>
  <w:abstractNum w:abstractNumId="20">
    <w:nsid w:val="175DFCF0"/>
    <w:multiLevelType w:val="hybridMultilevel"/>
    <w:lvl w:ilvl="0">
      <w:lvlJc w:val="left"/>
      <w:lvlText w:val="•"/>
      <w:numFmt w:val="bullet"/>
      <w:start w:val="1"/>
    </w:lvl>
  </w:abstractNum>
  <w:abstractNum w:abstractNumId="21">
    <w:nsid w:val="4F97E3E4"/>
    <w:multiLevelType w:val="hybridMultilevel"/>
    <w:lvl w:ilvl="0">
      <w:lvlJc w:val="left"/>
      <w:lvlText w:val="•"/>
      <w:numFmt w:val="bullet"/>
      <w:start w:val="1"/>
    </w:lvl>
  </w:abstractNum>
  <w:abstractNum w:abstractNumId="22">
    <w:nsid w:val="53B0A9E"/>
    <w:multiLevelType w:val="hybridMultilevel"/>
    <w:lvl w:ilvl="0">
      <w:lvlJc w:val="left"/>
      <w:lvlText w:val="•"/>
      <w:numFmt w:val="bullet"/>
      <w:start w:val="1"/>
    </w:lvl>
  </w:abstractNum>
  <w:abstractNum w:abstractNumId="23">
    <w:nsid w:val="34FD6B4F"/>
    <w:multiLevelType w:val="hybridMultilevel"/>
    <w:lvl w:ilvl="0">
      <w:lvlJc w:val="left"/>
      <w:lvlText w:val="•"/>
      <w:numFmt w:val="bullet"/>
      <w:start w:val="1"/>
    </w:lvl>
  </w:abstractNum>
  <w:abstractNum w:abstractNumId="24">
    <w:nsid w:val="5915FF32"/>
    <w:multiLevelType w:val="hybridMultilevel"/>
    <w:lvl w:ilvl="0">
      <w:lvlJc w:val="left"/>
      <w:lvlText w:val="(%1)"/>
      <w:numFmt w:val="lowerRoman"/>
      <w:start w:val="3"/>
    </w:lvl>
  </w:abstractNum>
  <w:abstractNum w:abstractNumId="25">
    <w:nsid w:val="56438D15"/>
    <w:multiLevelType w:val="hybridMultilevel"/>
    <w:lvl w:ilvl="0">
      <w:lvlJc w:val="left"/>
      <w:lvlText w:val="•"/>
      <w:numFmt w:val="bullet"/>
      <w:start w:val="1"/>
    </w:lvl>
  </w:abstractNum>
  <w:abstractNum w:abstractNumId="26">
    <w:nsid w:val="519E3149"/>
    <w:multiLevelType w:val="hybridMultilevel"/>
    <w:lvl w:ilvl="0">
      <w:lvlJc w:val="left"/>
      <w:lvlText w:val="(%1)"/>
      <w:numFmt w:val="decimal"/>
      <w:start w:val="1"/>
    </w:lvl>
  </w:abstractNum>
  <w:abstractNum w:abstractNumId="27">
    <w:nsid w:val="2C6E4AFD"/>
    <w:multiLevelType w:val="hybridMultilevel"/>
    <w:lvl w:ilvl="0">
      <w:lvlJc w:val="left"/>
      <w:lvlText w:val="(%1)"/>
      <w:numFmt w:val="decimal"/>
      <w:start w:val="1"/>
    </w:lvl>
  </w:abstractNum>
  <w:abstractNum w:abstractNumId="28">
    <w:nsid w:val="17A1B582"/>
    <w:multiLevelType w:val="hybridMultilevel"/>
    <w:lvl w:ilvl="0">
      <w:lvlJc w:val="left"/>
      <w:lvlText w:val="(%1)"/>
      <w:numFmt w:val="decimal"/>
      <w:start w:val="1"/>
    </w:lvl>
  </w:abstractNum>
  <w:abstractNum w:abstractNumId="29">
    <w:nsid w:val="4DF72E4E"/>
    <w:multiLevelType w:val="hybridMultilevel"/>
    <w:lvl w:ilvl="0">
      <w:lvlJc w:val="left"/>
      <w:lvlText w:val="(%1)"/>
      <w:numFmt w:val="decimal"/>
      <w:start w:val="2"/>
    </w:lvl>
  </w:abstractNum>
  <w:abstractNum w:abstractNumId="30">
    <w:nsid w:val="5046B5A9"/>
    <w:multiLevelType w:val="hybridMultilevel"/>
    <w:lvl w:ilvl="0">
      <w:lvlJc w:val="left"/>
      <w:lvlText w:val="•"/>
      <w:numFmt w:val="bullet"/>
      <w:start w:val="1"/>
    </w:lvl>
  </w:abstractNum>
  <w:abstractNum w:abstractNumId="31">
    <w:nsid w:val="5D888A08"/>
    <w:multiLevelType w:val="hybridMultilevel"/>
    <w:lvl w:ilvl="0">
      <w:lvlJc w:val="left"/>
      <w:lvlText w:val="•"/>
      <w:numFmt w:val="bullet"/>
      <w:start w:val="1"/>
    </w:lvl>
  </w:abstractNum>
  <w:abstractNum w:abstractNumId="32">
    <w:nsid w:val="2A082C70"/>
    <w:multiLevelType w:val="hybridMultilevel"/>
    <w:lvl w:ilvl="0">
      <w:lvlJc w:val="left"/>
      <w:lvlText w:val="•"/>
      <w:numFmt w:val="bullet"/>
      <w:start w:val="1"/>
    </w:lvl>
  </w:abstractNum>
  <w:abstractNum w:abstractNumId="33">
    <w:nsid w:val="5EC6AFD4"/>
    <w:multiLevelType w:val="hybridMultilevel"/>
    <w:lvl w:ilvl="0">
      <w:lvlJc w:val="left"/>
      <w:lvlText w:val="(%1)"/>
      <w:numFmt w:val="decimal"/>
      <w:start w:val="1"/>
    </w:lvl>
  </w:abstractNum>
  <w:abstractNum w:abstractNumId="34">
    <w:nsid w:val="19E21BB2"/>
    <w:multiLevelType w:val="hybridMultilevel"/>
    <w:lvl w:ilvl="0">
      <w:lvlJc w:val="left"/>
      <w:lvlText w:val="(%1)"/>
      <w:numFmt w:val="decimal"/>
      <w:start w:val="1"/>
    </w:lvl>
  </w:abstractNum>
  <w:abstractNum w:abstractNumId="35">
    <w:nsid w:val="75E0858A"/>
    <w:multiLevelType w:val="hybridMultilevel"/>
    <w:lvl w:ilvl="0">
      <w:lvlJc w:val="left"/>
      <w:lvlText w:val="(%1)"/>
      <w:numFmt w:val="decimal"/>
      <w:start w:val="2"/>
    </w:lvl>
  </w:abstractNum>
  <w:abstractNum w:abstractNumId="36">
    <w:nsid w:val="57A61A29"/>
    <w:multiLevelType w:val="hybridMultilevel"/>
    <w:lvl w:ilvl="0">
      <w:lvlJc w:val="left"/>
      <w:lvlText w:val="(%1)"/>
      <w:numFmt w:val="lowerLetter"/>
      <w:start w:val="1"/>
    </w:lvl>
  </w:abstractNum>
  <w:abstractNum w:abstractNumId="37">
    <w:nsid w:val="5399C654"/>
    <w:multiLevelType w:val="hybridMultilevel"/>
    <w:lvl w:ilvl="0">
      <w:lvlJc w:val="left"/>
      <w:lvlText w:val="(%1)"/>
      <w:numFmt w:val="lowerLetter"/>
      <w:start w:val="1"/>
    </w:lvl>
  </w:abstractNum>
  <w:abstractNum w:abstractNumId="38">
    <w:nsid w:val="20EE1348"/>
    <w:multiLevelType w:val="hybridMultilevel"/>
    <w:lvl w:ilvl="0">
      <w:lvlJc w:val="left"/>
      <w:lvlText w:val="(%1)"/>
      <w:numFmt w:val="lowerLetter"/>
      <w:start w:val="1"/>
    </w:lvl>
  </w:abstractNum>
  <w:abstractNum w:abstractNumId="39">
    <w:nsid w:val="4427069A"/>
    <w:multiLevelType w:val="hybridMultilevel"/>
    <w:lvl w:ilvl="0">
      <w:lvlJc w:val="left"/>
      <w:lvlText w:val="(%1)"/>
      <w:numFmt w:val="lowerLetter"/>
      <w:start w:val="1"/>
    </w:lvl>
  </w:abstractNum>
  <w:abstractNum w:abstractNumId="40">
    <w:nsid w:val="B37E80A"/>
    <w:multiLevelType w:val="hybridMultilevel"/>
    <w:lvl w:ilvl="0">
      <w:lvlJc w:val="left"/>
      <w:lvlText w:val="•"/>
      <w:numFmt w:val="bullet"/>
      <w:start w:val="1"/>
    </w:lvl>
  </w:abstractNum>
  <w:abstractNum w:abstractNumId="41">
    <w:nsid w:val="2157F6BC"/>
    <w:multiLevelType w:val="hybridMultilevel"/>
    <w:lvl w:ilvl="0">
      <w:lvlJc w:val="left"/>
      <w:lvlText w:val="•"/>
      <w:numFmt w:val="bullet"/>
      <w:start w:val="1"/>
    </w:lvl>
  </w:abstractNum>
  <w:abstractNum w:abstractNumId="42">
    <w:nsid w:val="704E1DD5"/>
    <w:multiLevelType w:val="hybridMultilevel"/>
    <w:lvl w:ilvl="0">
      <w:lvlJc w:val="left"/>
      <w:lvlText w:val="•"/>
      <w:numFmt w:val="bullet"/>
      <w:start w:val="1"/>
    </w:lvl>
  </w:abstractNum>
  <w:abstractNum w:abstractNumId="43">
    <w:nsid w:val="57D2F10E"/>
    <w:multiLevelType w:val="hybridMultilevel"/>
    <w:lvl w:ilvl="0">
      <w:lvlJc w:val="left"/>
      <w:lvlText w:val="•"/>
      <w:numFmt w:val="bullet"/>
      <w:start w:val="1"/>
    </w:lvl>
  </w:abstractNum>
  <w:abstractNum w:abstractNumId="44">
    <w:nsid w:val="BFFAE18"/>
    <w:multiLevelType w:val="hybridMultilevel"/>
    <w:lvl w:ilvl="0">
      <w:lvlJc w:val="left"/>
      <w:lvlText w:val="•"/>
      <w:numFmt w:val="bullet"/>
      <w:start w:val="1"/>
    </w:lvl>
  </w:abstractNum>
  <w:abstractNum w:abstractNumId="45">
    <w:nsid w:val="E3E47A8"/>
    <w:multiLevelType w:val="hybridMultilevel"/>
    <w:lvl w:ilvl="0">
      <w:lvlJc w:val="left"/>
      <w:lvlText w:val="•"/>
      <w:numFmt w:val="bullet"/>
      <w:start w:val="1"/>
    </w:lvl>
  </w:abstractNum>
  <w:abstractNum w:abstractNumId="46">
    <w:nsid w:val="2E48F044"/>
    <w:multiLevelType w:val="hybridMultilevel"/>
    <w:lvl w:ilvl="0">
      <w:lvlJc w:val="left"/>
      <w:lvlText w:val="•"/>
      <w:numFmt w:val="bullet"/>
      <w:start w:val="1"/>
    </w:lvl>
  </w:abstractNum>
  <w:abstractNum w:abstractNumId="47">
    <w:nsid w:val="49D0FEAC"/>
    <w:multiLevelType w:val="hybridMultilevel"/>
    <w:lvl w:ilvl="0">
      <w:lvlJc w:val="left"/>
      <w:lvlText w:val="•"/>
      <w:numFmt w:val="bullet"/>
      <w:start w:val="1"/>
    </w:lvl>
  </w:abstractNum>
  <w:abstractNum w:abstractNumId="48">
    <w:nsid w:val="4BEE5A5B"/>
    <w:multiLevelType w:val="hybridMultilevel"/>
    <w:lvl w:ilvl="0">
      <w:lvlJc w:val="left"/>
      <w:lvlText w:val="•"/>
      <w:numFmt w:val="bullet"/>
      <w:start w:val="1"/>
    </w:lvl>
  </w:abstractNum>
  <w:abstractNum w:abstractNumId="49">
    <w:nsid w:val="5551B9F3"/>
    <w:multiLevelType w:val="hybridMultilevel"/>
    <w:lvl w:ilvl="0">
      <w:lvlJc w:val="left"/>
      <w:lvlText w:val="•"/>
      <w:numFmt w:val="bullet"/>
      <w:start w:val="1"/>
    </w:lvl>
  </w:abstractNum>
  <w:abstractNum w:abstractNumId="50">
    <w:nsid w:val="24F6AB8E"/>
    <w:multiLevelType w:val="hybridMultilevel"/>
    <w:lvl w:ilvl="0">
      <w:lvlJc w:val="left"/>
      <w:lvlText w:val="•"/>
      <w:numFmt w:val="bullet"/>
      <w:start w:val="1"/>
    </w:lvl>
  </w:abstractNum>
  <w:abstractNum w:abstractNumId="51">
    <w:nsid w:val="634C574C"/>
    <w:multiLevelType w:val="hybridMultilevel"/>
    <w:lvl w:ilvl="0">
      <w:lvlJc w:val="left"/>
      <w:lvlText w:val="•"/>
      <w:numFmt w:val="bullet"/>
      <w:start w:val="1"/>
    </w:lvl>
  </w:abstractNum>
  <w:abstractNum w:abstractNumId="52">
    <w:nsid w:val="24E99DD7"/>
    <w:multiLevelType w:val="hybridMultilevel"/>
    <w:lvl w:ilvl="0">
      <w:lvlJc w:val="left"/>
      <w:lvlText w:val="(%1)"/>
      <w:numFmt w:val="lowerRoman"/>
      <w:start w:val="4"/>
    </w:lvl>
  </w:abstractNum>
  <w:abstractNum w:abstractNumId="53">
    <w:nsid w:val="2A31B62D"/>
    <w:multiLevelType w:val="hybridMultilevel"/>
    <w:lvl w:ilvl="0">
      <w:lvlJc w:val="left"/>
      <w:lvlText w:val="•"/>
      <w:numFmt w:val="bullet"/>
      <w:start w:val="1"/>
    </w:lvl>
  </w:abstractNum>
  <w:abstractNum w:abstractNumId="54">
    <w:nsid w:val="1849C29B"/>
    <w:multiLevelType w:val="hybridMultilevel"/>
    <w:lvl w:ilvl="0">
      <w:lvlJc w:val="left"/>
      <w:lvlText w:val="(%1)"/>
      <w:numFmt w:val="lowerRoman"/>
      <w:start w:val="1"/>
    </w:lvl>
  </w:abstractNum>
  <w:abstractNum w:abstractNumId="55">
    <w:nsid w:val="7DFF9D09"/>
    <w:multiLevelType w:val="hybridMultilevel"/>
    <w:lvl w:ilvl="0">
      <w:lvlJc w:val="left"/>
      <w:lvlText w:val="•"/>
      <w:numFmt w:val="bullet"/>
      <w:start w:val="1"/>
    </w:lvl>
  </w:abstractNum>
  <w:abstractNum w:abstractNumId="56">
    <w:nsid w:val="754342"/>
    <w:multiLevelType w:val="hybridMultilevel"/>
    <w:lvl w:ilvl="0">
      <w:lvlJc w:val="left"/>
      <w:lvlText w:val="(%1)"/>
      <w:numFmt w:val="decimal"/>
      <w:start w:val="1"/>
    </w:lvl>
  </w:abstractNum>
  <w:abstractNum w:abstractNumId="57">
    <w:nsid w:val="69E7F3E5"/>
    <w:multiLevelType w:val="hybridMultilevel"/>
    <w:lvl w:ilvl="0">
      <w:lvlJc w:val="left"/>
      <w:lvlText w:val="(%1)"/>
      <w:numFmt w:val="decimal"/>
      <w:start w:val="2"/>
    </w:lvl>
  </w:abstractNum>
  <w:abstractNum w:abstractNumId="58">
    <w:nsid w:val="2A6DE806"/>
    <w:multiLevelType w:val="hybridMultilevel"/>
    <w:lvl w:ilvl="0">
      <w:lvlJc w:val="left"/>
      <w:lvlText w:val="•"/>
      <w:numFmt w:val="bullet"/>
      <w:start w:val="1"/>
    </w:lvl>
  </w:abstractNum>
  <w:abstractNum w:abstractNumId="59">
    <w:nsid w:val="1816F8C4"/>
    <w:multiLevelType w:val="hybridMultilevel"/>
    <w:lvl w:ilvl="0">
      <w:lvlJc w:val="left"/>
      <w:lvlText w:val="•"/>
      <w:numFmt w:val="bullet"/>
      <w:start w:val="1"/>
    </w:lvl>
  </w:abstractNum>
  <w:abstractNum w:abstractNumId="60">
    <w:nsid w:val="37DF2233"/>
    <w:multiLevelType w:val="hybridMultilevel"/>
    <w:lvl w:ilvl="0">
      <w:lvlJc w:val="left"/>
      <w:lvlText w:val="•"/>
      <w:numFmt w:val="bullet"/>
      <w:start w:val="1"/>
    </w:lvl>
  </w:abstractNum>
  <w:abstractNum w:abstractNumId="61">
    <w:nsid w:val="7AB49DAF"/>
    <w:multiLevelType w:val="hybridMultilevel"/>
    <w:lvl w:ilvl="0">
      <w:lvlJc w:val="left"/>
      <w:lvlText w:val="(%1)"/>
      <w:numFmt w:val="decimal"/>
      <w:start w:val="1"/>
    </w:lvl>
  </w:abstractNum>
  <w:abstractNum w:abstractNumId="62">
    <w:nsid w:val="759F82CD"/>
    <w:multiLevelType w:val="hybridMultilevel"/>
    <w:lvl w:ilvl="0">
      <w:lvlJc w:val="left"/>
      <w:lvlText w:val="(%1)"/>
      <w:numFmt w:val="decimal"/>
      <w:start w:val="2"/>
    </w:lvl>
  </w:abstractNum>
  <w:abstractNum w:abstractNumId="63">
    <w:nsid w:val="61E74EA3"/>
    <w:multiLevelType w:val="hybridMultilevel"/>
    <w:lvl w:ilvl="0">
      <w:lvlJc w:val="left"/>
      <w:lvlText w:val="(%1)"/>
      <w:numFmt w:val="decimal"/>
      <w:start w:val="3"/>
    </w:lvl>
  </w:abstractNum>
  <w:abstractNum w:abstractNumId="64">
    <w:nsid w:val="597B4D84"/>
    <w:multiLevelType w:val="hybridMultilevel"/>
    <w:lvl w:ilvl="0">
      <w:lvlJc w:val="left"/>
      <w:lvlText w:val="(%1)"/>
      <w:numFmt w:val="decimal"/>
      <w:start w:val="4"/>
    </w:lvl>
  </w:abstractNum>
  <w:abstractNum w:abstractNumId="65">
    <w:nsid w:val="F819E7F"/>
    <w:multiLevelType w:val="hybridMultilevel"/>
    <w:lvl w:ilvl="0">
      <w:lvlJc w:val="left"/>
      <w:lvlText w:val="•"/>
      <w:numFmt w:val="bullet"/>
      <w:start w:val="1"/>
    </w:lvl>
  </w:abstractNum>
  <w:abstractNum w:abstractNumId="66">
    <w:nsid w:val="57C7D42D"/>
    <w:multiLevelType w:val="hybridMultilevel"/>
    <w:lvl w:ilvl="0">
      <w:lvlJc w:val="left"/>
      <w:lvlText w:val="$"/>
      <w:numFmt w:val="bullet"/>
      <w:start w:val="1"/>
    </w:lvl>
  </w:abstractNum>
  <w:abstractNum w:abstractNumId="67">
    <w:nsid w:val="312167AD"/>
    <w:multiLevelType w:val="hybridMultilevel"/>
    <w:lvl w:ilvl="0">
      <w:lvlJc w:val="left"/>
      <w:lvlText w:val="•"/>
      <w:numFmt w:val="bullet"/>
      <w:start w:val="1"/>
    </w:lvl>
  </w:abstractNum>
  <w:abstractNum w:abstractNumId="68">
    <w:nsid w:val="631B64D4"/>
    <w:multiLevelType w:val="hybridMultilevel"/>
    <w:lvl w:ilvl="0">
      <w:lvlJc w:val="left"/>
      <w:lvlText w:val="2"/>
      <w:numFmt w:val="bullet"/>
      <w:start w:val="1"/>
    </w:lvl>
  </w:abstractNum>
  <w:abstractNum w:abstractNumId="69">
    <w:nsid w:val="78B5E776"/>
    <w:multiLevelType w:val="hybridMultilevel"/>
    <w:lvl w:ilvl="0">
      <w:lvlJc w:val="left"/>
      <w:lvlText w:val="•"/>
      <w:numFmt w:val="bullet"/>
      <w:start w:val="1"/>
    </w:lvl>
  </w:abstractNum>
  <w:abstractNum w:abstractNumId="70">
    <w:nsid w:val="75486E47"/>
    <w:multiLevelType w:val="hybridMultilevel"/>
    <w:lvl w:ilvl="0">
      <w:lvlJc w:val="left"/>
      <w:lvlText w:val="(%1)"/>
      <w:numFmt w:val="lowerLetter"/>
      <w:start w:val="1"/>
    </w:lvl>
  </w:abstractNum>
  <w:abstractNum w:abstractNumId="71">
    <w:nsid w:val="6E534CDE"/>
    <w:multiLevelType w:val="hybridMultilevel"/>
    <w:lvl w:ilvl="0">
      <w:lvlJc w:val="left"/>
      <w:lvlText w:val="(%1)"/>
      <w:numFmt w:val="lowerRoman"/>
      <w:start w:val="4"/>
    </w:lvl>
  </w:abstractNum>
  <w:abstractNum w:abstractNumId="72">
    <w:nsid w:val="1A0DDE32"/>
    <w:multiLevelType w:val="hybridMultilevel"/>
    <w:lvl w:ilvl="0">
      <w:lvlJc w:val="left"/>
      <w:lvlText w:val="(%1)"/>
      <w:numFmt w:val="lowerLetter"/>
      <w:start w:val="1"/>
    </w:lvl>
  </w:abstractNum>
  <w:abstractNum w:abstractNumId="73">
    <w:nsid w:val="65968C1C"/>
    <w:multiLevelType w:val="hybridMultilevel"/>
    <w:lvl w:ilvl="0">
      <w:lvlJc w:val="left"/>
      <w:lvlText w:val="•"/>
      <w:numFmt w:val="bullet"/>
      <w:start w:val="1"/>
    </w:lvl>
  </w:abstractNum>
  <w:abstractNum w:abstractNumId="74">
    <w:nsid w:val="46263DEC"/>
    <w:multiLevelType w:val="hybridMultilevel"/>
    <w:lvl w:ilvl="0">
      <w:lvlJc w:val="left"/>
      <w:lvlText w:val="•"/>
      <w:numFmt w:val="bullet"/>
      <w:start w:val="1"/>
    </w:lvl>
  </w:abstractNum>
  <w:abstractNum w:abstractNumId="75">
    <w:nsid w:val="260D8C4A"/>
    <w:multiLevelType w:val="hybridMultilevel"/>
    <w:lvl w:ilvl="0">
      <w:lvlJc w:val="left"/>
      <w:lvlText w:val="•"/>
      <w:numFmt w:val="bullet"/>
      <w:start w:val="1"/>
    </w:lvl>
  </w:abstractNum>
  <w:abstractNum w:abstractNumId="76">
    <w:nsid w:val="73D4D3C4"/>
    <w:multiLevelType w:val="hybridMultilevel"/>
    <w:lvl w:ilvl="0">
      <w:lvlJc w:val="left"/>
      <w:lvlText w:val="•"/>
      <w:numFmt w:val="bullet"/>
      <w:start w:val="1"/>
    </w:lvl>
  </w:abstractNum>
  <w:abstractNum w:abstractNumId="77">
    <w:nsid w:val="746F2E30"/>
    <w:multiLevelType w:val="hybridMultilevel"/>
    <w:lvl w:ilvl="0">
      <w:lvlJc w:val="left"/>
      <w:lvlText w:val="•"/>
      <w:numFmt w:val="bullet"/>
      <w:start w:val="1"/>
    </w:lvl>
  </w:abstractNum>
  <w:abstractNum w:abstractNumId="78">
    <w:nsid w:val="6FDE8AF6"/>
    <w:multiLevelType w:val="hybridMultilevel"/>
    <w:lvl w:ilvl="0">
      <w:lvlJc w:val="left"/>
      <w:lvlText w:val="•"/>
      <w:numFmt w:val="bullet"/>
      <w:start w:val="1"/>
    </w:lvl>
  </w:abstractNum>
  <w:abstractNum w:abstractNumId="79">
    <w:nsid w:val="3FC32E20"/>
    <w:multiLevelType w:val="hybridMultilevel"/>
    <w:lvl w:ilvl="0">
      <w:lvlJc w:val="left"/>
      <w:lvlText w:val="•"/>
      <w:numFmt w:val="bullet"/>
      <w:start w:val="1"/>
    </w:lvl>
  </w:abstractNum>
  <w:abstractNum w:abstractNumId="80">
    <w:nsid w:val="49C0E823"/>
    <w:multiLevelType w:val="hybridMultilevel"/>
    <w:lvl w:ilvl="0">
      <w:lvlJc w:val="left"/>
      <w:lvlText w:val="•"/>
      <w:numFmt w:val="bullet"/>
      <w:start w:val="1"/>
    </w:lvl>
  </w:abstractNum>
  <w:abstractNum w:abstractNumId="81">
    <w:nsid w:val="14D53685"/>
    <w:multiLevelType w:val="hybridMultilevel"/>
    <w:lvl w:ilvl="0">
      <w:lvlJc w:val="left"/>
      <w:lvlText w:val="(%1)"/>
      <w:numFmt w:val="decimal"/>
      <w:start w:val="1"/>
    </w:lvl>
  </w:abstractNum>
  <w:abstractNum w:abstractNumId="82">
    <w:nsid w:val="230F856C"/>
    <w:multiLevelType w:val="hybridMultilevel"/>
    <w:lvl w:ilvl="0">
      <w:lvlJc w:val="left"/>
      <w:lvlText w:val="(%1)"/>
      <w:numFmt w:val="decimal"/>
      <w:start w:val="1"/>
    </w:lvl>
  </w:abstractNum>
  <w:abstractNum w:abstractNumId="83">
    <w:nsid w:val="6EAA85FB"/>
    <w:multiLevelType w:val="hybridMultilevel"/>
    <w:lvl w:ilvl="0">
      <w:lvlJc w:val="left"/>
      <w:lvlText w:val="(%1)"/>
      <w:numFmt w:val="decimal"/>
      <w:start w:val="1"/>
    </w:lvl>
  </w:abstractNum>
  <w:abstractNum w:abstractNumId="84">
    <w:nsid w:val="3F06ECB2"/>
    <w:multiLevelType w:val="hybridMultilevel"/>
    <w:lvl w:ilvl="0">
      <w:lvlJc w:val="left"/>
      <w:lvlText w:val="(%1)"/>
      <w:numFmt w:val="decimal"/>
      <w:start w:val="1"/>
    </w:lvl>
  </w:abstractNum>
  <w:abstractNum w:abstractNumId="85">
    <w:nsid w:val="3B594807"/>
    <w:multiLevelType w:val="hybridMultilevel"/>
    <w:lvl w:ilvl="0">
      <w:lvlJc w:val="left"/>
      <w:lvlText w:val="(%1)"/>
      <w:numFmt w:val="decimal"/>
      <w:start w:val="1"/>
    </w:lvl>
  </w:abstractNum>
  <w:abstractNum w:abstractNumId="86">
    <w:nsid w:val="6CAA2304"/>
    <w:multiLevelType w:val="hybridMultilevel"/>
    <w:lvl w:ilvl="0">
      <w:lvlJc w:val="left"/>
      <w:lvlText w:val="(%1)"/>
      <w:numFmt w:val="decimal"/>
      <w:start w:val="2"/>
    </w:lvl>
  </w:abstractNum>
  <w:abstractNum w:abstractNumId="87">
    <w:nsid w:val="3F7C2FF4"/>
    <w:multiLevelType w:val="hybridMultilevel"/>
    <w:lvl w:ilvl="0">
      <w:lvlJc w:val="left"/>
      <w:lvlText w:val="(%1)"/>
      <w:numFmt w:val="decimal"/>
      <w:start w:val="3"/>
    </w:lvl>
  </w:abstractNum>
  <w:abstractNum w:abstractNumId="88">
    <w:nsid w:val="25413BEC"/>
    <w:multiLevelType w:val="hybridMultilevel"/>
    <w:lvl w:ilvl="0">
      <w:lvlJc w:val="left"/>
      <w:lvlText w:val="•"/>
      <w:numFmt w:val="bullet"/>
      <w:start w:val="1"/>
    </w:lvl>
  </w:abstractNum>
  <w:abstractNum w:abstractNumId="89">
    <w:nsid w:val="17180B0B"/>
    <w:multiLevelType w:val="hybridMultilevel"/>
    <w:lvl w:ilvl="0">
      <w:lvlJc w:val="left"/>
      <w:lvlText w:val="(%1)"/>
      <w:numFmt w:val="decimal"/>
      <w:start w:val="1"/>
    </w:lvl>
  </w:abstractNum>
  <w:abstractNum w:abstractNumId="90">
    <w:nsid w:val="579328B9"/>
    <w:multiLevelType w:val="hybridMultilevel"/>
    <w:lvl w:ilvl="0">
      <w:lvlJc w:val="left"/>
      <w:lvlText w:val="•"/>
      <w:numFmt w:val="bullet"/>
      <w:start w:val="1"/>
    </w:lvl>
  </w:abstractNum>
  <w:abstractNum w:abstractNumId="91">
    <w:nsid w:val="5D205E20"/>
    <w:multiLevelType w:val="hybridMultilevel"/>
    <w:lvl w:ilvl="0">
      <w:lvlJc w:val="left"/>
      <w:lvlText w:val="•"/>
      <w:numFmt w:val="bullet"/>
      <w:start w:val="1"/>
    </w:lvl>
  </w:abstractNum>
  <w:abstractNum w:abstractNumId="92">
    <w:nsid w:val="11CCA8BA"/>
    <w:multiLevelType w:val="hybridMultilevel"/>
    <w:lvl w:ilvl="0">
      <w:lvlJc w:val="left"/>
      <w:lvlText w:val="•"/>
      <w:numFmt w:val="bullet"/>
      <w:start w:val="1"/>
    </w:lvl>
  </w:abstractNum>
  <w:abstractNum w:abstractNumId="93">
    <w:nsid w:val="4D32AB86"/>
    <w:multiLevelType w:val="hybridMultilevel"/>
    <w:lvl w:ilvl="0">
      <w:lvlJc w:val="left"/>
      <w:lvlText w:val="•"/>
      <w:numFmt w:val="bullet"/>
      <w:start w:val="1"/>
    </w:lvl>
  </w:abstractNum>
  <w:abstractNum w:abstractNumId="94">
    <w:nsid w:val="3F07ACC3"/>
    <w:multiLevelType w:val="hybridMultilevel"/>
    <w:lvl w:ilvl="0">
      <w:lvlJc w:val="left"/>
      <w:lvlText w:val="•"/>
      <w:numFmt w:val="bullet"/>
      <w:start w:val="1"/>
    </w:lvl>
  </w:abstractNum>
  <w:abstractNum w:abstractNumId="95">
    <w:nsid w:val="6B47F63E"/>
    <w:multiLevelType w:val="hybridMultilevel"/>
    <w:lvl w:ilvl="0">
      <w:lvlJc w:val="left"/>
      <w:lvlText w:val="•"/>
      <w:numFmt w:val="bullet"/>
      <w:start w:val="1"/>
    </w:lvl>
  </w:abstractNum>
  <w:abstractNum w:abstractNumId="96">
    <w:nsid w:val="5CB44A05"/>
    <w:multiLevelType w:val="hybridMultilevel"/>
    <w:lvl w:ilvl="0">
      <w:lvlJc w:val="left"/>
      <w:lvlText w:val="•"/>
      <w:numFmt w:val="bullet"/>
      <w:start w:val="1"/>
    </w:lvl>
  </w:abstractNum>
  <w:abstractNum w:abstractNumId="97">
    <w:nsid w:val="16CF80F1"/>
    <w:multiLevelType w:val="hybridMultilevel"/>
    <w:lvl w:ilvl="0">
      <w:lvlJc w:val="left"/>
      <w:lvlText w:val="•"/>
      <w:numFmt w:val="bullet"/>
      <w:start w:val="1"/>
    </w:lvl>
  </w:abstractNum>
  <w:abstractNum w:abstractNumId="98">
    <w:nsid w:val="1C695DEC"/>
    <w:multiLevelType w:val="hybridMultilevel"/>
    <w:lvl w:ilvl="0">
      <w:lvlJc w:val="left"/>
      <w:lvlText w:val="•"/>
      <w:numFmt w:val="bullet"/>
      <w:start w:val="1"/>
    </w:lvl>
  </w:abstractNum>
  <w:abstractNum w:abstractNumId="99">
    <w:nsid w:val="3FCFAED9"/>
    <w:multiLevelType w:val="hybridMultilevel"/>
    <w:lvl w:ilvl="0">
      <w:lvlJc w:val="left"/>
      <w:lvlText w:val="•"/>
      <w:numFmt w:val="bullet"/>
      <w:start w:val="1"/>
    </w:lvl>
  </w:abstractNum>
  <w:abstractNum w:abstractNumId="100">
    <w:nsid w:val="F856867"/>
    <w:multiLevelType w:val="hybridMultilevel"/>
    <w:lvl w:ilvl="0">
      <w:lvlJc w:val="left"/>
      <w:lvlText w:val="•"/>
      <w:numFmt w:val="bullet"/>
      <w:start w:val="1"/>
    </w:lvl>
  </w:abstractNum>
  <w:abstractNum w:abstractNumId="101">
    <w:nsid w:val="11B1CC33"/>
    <w:multiLevelType w:val="hybridMultilevel"/>
    <w:lvl w:ilvl="0">
      <w:lvlJc w:val="left"/>
      <w:lvlText w:val="•"/>
      <w:numFmt w:val="bullet"/>
      <w:start w:val="1"/>
    </w:lvl>
  </w:abstractNum>
  <w:abstractNum w:abstractNumId="102">
    <w:nsid w:val="2E22FBB7"/>
    <w:multiLevelType w:val="hybridMultilevel"/>
    <w:lvl w:ilvl="0">
      <w:lvlJc w:val="left"/>
      <w:lvlText w:val="•"/>
      <w:numFmt w:val="bullet"/>
      <w:start w:val="1"/>
    </w:lvl>
  </w:abstractNum>
  <w:abstractNum w:abstractNumId="103">
    <w:nsid w:val="29934699"/>
    <w:multiLevelType w:val="hybridMultilevel"/>
    <w:lvl w:ilvl="0">
      <w:lvlJc w:val="left"/>
      <w:lvlText w:val="•"/>
      <w:numFmt w:val="bullet"/>
      <w:start w:val="1"/>
    </w:lvl>
  </w:abstractNum>
  <w:abstractNum w:abstractNumId="104">
    <w:nsid w:val="77485850"/>
    <w:multiLevelType w:val="hybridMultilevel"/>
    <w:lvl w:ilvl="0">
      <w:lvlJc w:val="left"/>
      <w:lvlText w:val="•"/>
      <w:numFmt w:val="bullet"/>
      <w:start w:val="1"/>
    </w:lvl>
  </w:abstractNum>
  <w:abstractNum w:abstractNumId="105">
    <w:nsid w:val="744939A3"/>
    <w:multiLevelType w:val="hybridMultilevel"/>
    <w:lvl w:ilvl="0">
      <w:lvlJc w:val="left"/>
      <w:lvlText w:val="•"/>
      <w:numFmt w:val="bullet"/>
      <w:start w:val="1"/>
    </w:lvl>
  </w:abstractNum>
  <w:abstractNum w:abstractNumId="106">
    <w:nsid w:val="4FA0D2E3"/>
    <w:multiLevelType w:val="hybridMultilevel"/>
    <w:lvl w:ilvl="0">
      <w:lvlJc w:val="left"/>
      <w:lvlText w:val="•"/>
      <w:numFmt w:val="bullet"/>
      <w:start w:val="1"/>
    </w:lvl>
    <w:lvl w:ilvl="1">
      <w:lvlJc w:val="left"/>
      <w:lvlText w:val="•"/>
      <w:numFmt w:val="bullet"/>
      <w:start w:val="1"/>
    </w:lvl>
  </w:abstractNum>
  <w:abstractNum w:abstractNumId="107">
    <w:nsid w:val="6B1D2C14"/>
    <w:multiLevelType w:val="hybridMultilevel"/>
    <w:lvl w:ilvl="0">
      <w:lvlJc w:val="left"/>
      <w:lvlText w:val="•"/>
      <w:numFmt w:val="bullet"/>
      <w:start w:val="1"/>
    </w:lvl>
    <w:lvl w:ilvl="1">
      <w:lvlJc w:val="left"/>
      <w:lvlText w:val="•"/>
      <w:numFmt w:val="bullet"/>
      <w:start w:val="1"/>
    </w:lvl>
  </w:abstractNum>
  <w:abstractNum w:abstractNumId="108">
    <w:nsid w:val="68B867D3"/>
    <w:multiLevelType w:val="hybridMultilevel"/>
    <w:lvl w:ilvl="0">
      <w:lvlJc w:val="left"/>
      <w:lvlText w:val="•"/>
      <w:numFmt w:val="bullet"/>
      <w:start w:val="1"/>
    </w:lvl>
  </w:abstractNum>
  <w:abstractNum w:abstractNumId="109">
    <w:nsid w:val="3F7F5DD9"/>
    <w:multiLevelType w:val="hybridMultilevel"/>
    <w:lvl w:ilvl="0">
      <w:lvlJc w:val="left"/>
      <w:lvlText w:val="•"/>
      <w:numFmt w:val="bullet"/>
      <w:start w:val="1"/>
    </w:lvl>
  </w:abstractNum>
  <w:abstractNum w:abstractNumId="110">
    <w:nsid w:val="2AE05A34"/>
    <w:multiLevelType w:val="hybridMultilevel"/>
    <w:lvl w:ilvl="0">
      <w:lvlJc w:val="left"/>
      <w:lvlText w:val="•"/>
      <w:numFmt w:val="bullet"/>
      <w:start w:val="1"/>
    </w:lvl>
    <w:lvl w:ilvl="1">
      <w:lvlJc w:val="left"/>
      <w:lvlText w:val="○"/>
      <w:numFmt w:val="bullet"/>
      <w:start w:val="1"/>
    </w:lvl>
  </w:abstractNum>
  <w:abstractNum w:abstractNumId="111">
    <w:nsid w:val="32794FF7"/>
    <w:multiLevelType w:val="hybridMultilevel"/>
    <w:lvl w:ilvl="0">
      <w:lvlJc w:val="left"/>
      <w:lvlText w:val="•"/>
      <w:numFmt w:val="bullet"/>
      <w:start w:val="1"/>
    </w:lvl>
    <w:lvl w:ilvl="1">
      <w:lvlJc w:val="left"/>
      <w:lvlText w:val="○"/>
      <w:numFmt w:val="bullet"/>
      <w:start w:val="1"/>
    </w:lvl>
  </w:abstractNum>
  <w:abstractNum w:abstractNumId="112">
    <w:nsid w:val="5454945E"/>
    <w:multiLevelType w:val="hybridMultilevel"/>
    <w:lvl w:ilvl="0">
      <w:lvlJc w:val="left"/>
      <w:lvlText w:val="•"/>
      <w:numFmt w:val="bullet"/>
      <w:start w:val="1"/>
    </w:lvl>
    <w:lvl w:ilvl="1">
      <w:lvlJc w:val="left"/>
      <w:lvlText w:val="○"/>
      <w:numFmt w:val="bullet"/>
      <w:start w:val="1"/>
    </w:lvl>
  </w:abstractNum>
  <w:abstractNum w:abstractNumId="113">
    <w:nsid w:val="4DEFDFA0"/>
    <w:multiLevelType w:val="hybridMultilevel"/>
    <w:lvl w:ilvl="0">
      <w:lvlJc w:val="left"/>
      <w:lvlText w:val="•"/>
      <w:numFmt w:val="bullet"/>
      <w:start w:val="1"/>
    </w:lvl>
    <w:lvl w:ilvl="1">
      <w:lvlJc w:val="left"/>
      <w:lvlText w:val="○"/>
      <w:numFmt w:val="bullet"/>
      <w:start w:val="1"/>
    </w:lvl>
  </w:abstractNum>
  <w:abstractNum w:abstractNumId="114">
    <w:nsid w:val="2123D5F2"/>
    <w:multiLevelType w:val="hybridMultilevel"/>
    <w:lvl w:ilvl="0">
      <w:lvlJc w:val="left"/>
      <w:lvlText w:val="•"/>
      <w:numFmt w:val="bullet"/>
      <w:start w:val="1"/>
    </w:lvl>
    <w:lvl w:ilvl="1">
      <w:lvlJc w:val="left"/>
      <w:lvlText w:val="○"/>
      <w:numFmt w:val="bullet"/>
      <w:start w:val="1"/>
    </w:lvl>
  </w:abstractNum>
  <w:abstractNum w:abstractNumId="115">
    <w:nsid w:val="135B8110"/>
    <w:multiLevelType w:val="hybridMultilevel"/>
    <w:lvl w:ilvl="0">
      <w:lvlJc w:val="left"/>
      <w:lvlText w:val="•"/>
      <w:numFmt w:val="bullet"/>
      <w:start w:val="1"/>
    </w:lvl>
    <w:lvl w:ilvl="1">
      <w:lvlJc w:val="left"/>
      <w:lvlText w:val="○"/>
      <w:numFmt w:val="bullet"/>
      <w:start w:val="1"/>
    </w:lvl>
  </w:abstractNum>
  <w:abstractNum w:abstractNumId="116">
    <w:nsid w:val="94927A8"/>
    <w:multiLevelType w:val="hybridMultilevel"/>
    <w:lvl w:ilvl="0">
      <w:lvlJc w:val="left"/>
      <w:lvlText w:val="•"/>
      <w:numFmt w:val="bullet"/>
      <w:start w:val="1"/>
    </w:lvl>
  </w:abstractNum>
  <w:abstractNum w:abstractNumId="117">
    <w:nsid w:val="DCDF8F6"/>
    <w:multiLevelType w:val="hybridMultilevel"/>
    <w:lvl w:ilvl="0">
      <w:lvlJc w:val="left"/>
      <w:lvlText w:val="•"/>
      <w:numFmt w:val="bullet"/>
      <w:start w:val="1"/>
    </w:lvl>
  </w:abstractNum>
  <w:abstractNum w:abstractNumId="118">
    <w:nsid w:val="52D7B105"/>
    <w:multiLevelType w:val="hybridMultilevel"/>
    <w:lvl w:ilvl="0">
      <w:lvlJc w:val="left"/>
      <w:lvlText w:val="•"/>
      <w:numFmt w:val="bullet"/>
      <w:start w:val="1"/>
    </w:lvl>
  </w:abstractNum>
  <w:abstractNum w:abstractNumId="119">
    <w:nsid w:val="2E8A6394"/>
    <w:multiLevelType w:val="hybridMultilevel"/>
    <w:lvl w:ilvl="0">
      <w:lvlJc w:val="left"/>
      <w:lvlText w:val="•"/>
      <w:numFmt w:val="bullet"/>
      <w:start w:val="1"/>
    </w:lvl>
  </w:abstractNum>
  <w:abstractNum w:abstractNumId="120">
    <w:nsid w:val="24E60401"/>
    <w:multiLevelType w:val="hybridMultilevel"/>
    <w:lvl w:ilvl="0">
      <w:lvlJc w:val="left"/>
      <w:lvlText w:val="•"/>
      <w:numFmt w:val="bullet"/>
      <w:start w:val="1"/>
    </w:lvl>
  </w:abstractNum>
  <w:abstractNum w:abstractNumId="121">
    <w:nsid w:val="2A6AD9BE"/>
    <w:multiLevelType w:val="hybridMultilevel"/>
    <w:lvl w:ilvl="0">
      <w:lvlJc w:val="left"/>
      <w:lvlText w:val="•"/>
      <w:numFmt w:val="bullet"/>
      <w:start w:val="1"/>
    </w:lvl>
  </w:abstractNum>
  <w:abstractNum w:abstractNumId="122">
    <w:nsid w:val="BAAC1B4"/>
    <w:multiLevelType w:val="hybridMultilevel"/>
    <w:lvl w:ilvl="0">
      <w:lvlJc w:val="left"/>
      <w:lvlText w:val="•"/>
      <w:numFmt w:val="bullet"/>
      <w:start w:val="1"/>
    </w:lvl>
  </w:abstractNum>
  <w:abstractNum w:abstractNumId="123">
    <w:nsid w:val="36B2ACBC"/>
    <w:multiLevelType w:val="hybridMultilevel"/>
    <w:lvl w:ilvl="0">
      <w:lvlJc w:val="left"/>
      <w:lvlText w:val="•"/>
      <w:numFmt w:val="bullet"/>
      <w:start w:val="1"/>
    </w:lvl>
  </w:abstractNum>
  <w:abstractNum w:abstractNumId="124">
    <w:nsid w:val="779D8544"/>
    <w:multiLevelType w:val="hybridMultilevel"/>
    <w:lvl w:ilvl="0">
      <w:lvlJc w:val="left"/>
      <w:lvlText w:val="•"/>
      <w:numFmt w:val="bullet"/>
      <w:start w:val="1"/>
    </w:lvl>
  </w:abstractNum>
  <w:abstractNum w:abstractNumId="125">
    <w:nsid w:val="4AB26E78"/>
    <w:multiLevelType w:val="hybridMultilevel"/>
    <w:lvl w:ilvl="0">
      <w:lvlJc w:val="left"/>
      <w:lvlText w:val="•"/>
      <w:numFmt w:val="bullet"/>
      <w:start w:val="1"/>
    </w:lvl>
  </w:abstractNum>
  <w:abstractNum w:abstractNumId="126">
    <w:nsid w:val="21FAA2FA"/>
    <w:multiLevelType w:val="hybridMultilevel"/>
    <w:lvl w:ilvl="0">
      <w:lvlJc w:val="left"/>
      <w:lvlText w:val="•"/>
      <w:numFmt w:val="bullet"/>
      <w:start w:val="1"/>
    </w:lvl>
  </w:abstractNum>
  <w:abstractNum w:abstractNumId="127">
    <w:nsid w:val="5451CF49"/>
    <w:multiLevelType w:val="hybridMultilevel"/>
    <w:lvl w:ilvl="0">
      <w:lvlJc w:val="left"/>
      <w:lvlText w:val="•"/>
      <w:numFmt w:val="bullet"/>
      <w:start w:val="1"/>
    </w:lvl>
  </w:abstractNum>
  <w:abstractNum w:abstractNumId="128">
    <w:nsid w:val="6181EF69"/>
    <w:multiLevelType w:val="hybridMultilevel"/>
    <w:lvl w:ilvl="0">
      <w:lvlJc w:val="left"/>
      <w:lvlText w:val="•"/>
      <w:numFmt w:val="bullet"/>
      <w:start w:val="1"/>
    </w:lvl>
  </w:abstractNum>
  <w:abstractNum w:abstractNumId="129">
    <w:nsid w:val="3E6400E6"/>
    <w:multiLevelType w:val="hybridMultilevel"/>
    <w:lvl w:ilvl="0">
      <w:lvlJc w:val="left"/>
      <w:lvlText w:val="•"/>
      <w:numFmt w:val="bullet"/>
      <w:start w:val="1"/>
    </w:lvl>
  </w:abstractNum>
  <w:abstractNum w:abstractNumId="130">
    <w:nsid w:val="14217E23"/>
    <w:multiLevelType w:val="hybridMultilevel"/>
    <w:lvl w:ilvl="0">
      <w:lvlJc w:val="left"/>
      <w:lvlText w:val="(%1)"/>
      <w:numFmt w:val="decimal"/>
      <w:start w:val="1"/>
    </w:lvl>
  </w:abstractNum>
  <w:abstractNum w:abstractNumId="131">
    <w:nsid w:val="710757D0"/>
    <w:multiLevelType w:val="hybridMultilevel"/>
    <w:lvl w:ilvl="0">
      <w:lvlJc w:val="left"/>
      <w:lvlText w:val="(%1)"/>
      <w:numFmt w:val="lowerRoman"/>
      <w:start w:val="3"/>
    </w:lvl>
  </w:abstractNum>
  <w:abstractNum w:abstractNumId="132">
    <w:nsid w:val="5015CD1A"/>
    <w:multiLevelType w:val="hybridMultilevel"/>
    <w:lvl w:ilvl="0">
      <w:lvlJc w:val="left"/>
      <w:lvlText w:val="(%1)"/>
      <w:numFmt w:val="decimal"/>
      <w:start w:val="1"/>
    </w:lvl>
  </w:abstractNum>
  <w:abstractNum w:abstractNumId="133">
    <w:nsid w:val="424479DA"/>
    <w:multiLevelType w:val="hybridMultilevel"/>
    <w:lvl w:ilvl="0">
      <w:lvlJc w:val="left"/>
      <w:lvlText w:val="(%1)"/>
      <w:numFmt w:val="decimal"/>
      <w:start w:val="3"/>
    </w:lvl>
  </w:abstractNum>
  <w:abstractNum w:abstractNumId="134">
    <w:nsid w:val="1A9A9E69"/>
    <w:multiLevelType w:val="hybridMultilevel"/>
    <w:lvl w:ilvl="0">
      <w:lvlJc w:val="left"/>
      <w:lvlText w:val="(%1)"/>
      <w:numFmt w:val="lowerLetter"/>
      <w:start w:val="1"/>
    </w:lvl>
  </w:abstractNum>
  <w:abstractNum w:abstractNumId="135">
    <w:nsid w:val="475E256A"/>
    <w:multiLevelType w:val="hybridMultilevel"/>
    <w:lvl w:ilvl="0">
      <w:lvlJc w:val="left"/>
      <w:lvlText w:val="(%1)"/>
      <w:numFmt w:val="lowerRoman"/>
      <w:start w:val="1"/>
    </w:lvl>
  </w:abstractNum>
  <w:abstractNum w:abstractNumId="136">
    <w:nsid w:val="368DB37E"/>
    <w:multiLevelType w:val="hybridMultilevel"/>
    <w:lvl w:ilvl="0">
      <w:lvlJc w:val="left"/>
      <w:lvlText w:val="(%1)"/>
      <w:numFmt w:val="lowerRoman"/>
      <w:start w:val="3"/>
    </w:lvl>
  </w:abstractNum>
  <w:abstractNum w:abstractNumId="137">
    <w:nsid w:val="6A3B714C"/>
    <w:multiLevelType w:val="hybridMultilevel"/>
    <w:lvl w:ilvl="0">
      <w:lvlJc w:val="left"/>
      <w:lvlText w:val="•"/>
      <w:numFmt w:val="bullet"/>
      <w:start w:val="1"/>
    </w:lvl>
  </w:abstractNum>
  <w:abstractNum w:abstractNumId="138">
    <w:nsid w:val="327B517E"/>
    <w:multiLevelType w:val="hybridMultilevel"/>
    <w:lvl w:ilvl="0">
      <w:lvlJc w:val="left"/>
      <w:lvlText w:val="(%1)"/>
      <w:numFmt w:val="lowerRoman"/>
      <w:start w:val="3"/>
    </w:lvl>
  </w:abstractNum>
  <w:abstractNum w:abstractNumId="139">
    <w:nsid w:val="1F461B51"/>
    <w:multiLevelType w:val="hybridMultilevel"/>
    <w:lvl w:ilvl="0">
      <w:lvlJc w:val="left"/>
      <w:lvlText w:val="(%1)"/>
      <w:numFmt w:val="decimal"/>
      <w:start w:val="1"/>
    </w:lvl>
  </w:abstractNum>
  <w:abstractNum w:abstractNumId="140">
    <w:nsid w:val="29BACF25"/>
    <w:multiLevelType w:val="hybridMultilevel"/>
    <w:lvl w:ilvl="0">
      <w:lvlJc w:val="left"/>
      <w:lvlText w:val="*"/>
      <w:numFmt w:val="bullet"/>
      <w:start w:val="1"/>
    </w:lvl>
  </w:abstractNum>
  <w:abstractNum w:abstractNumId="141">
    <w:nsid w:val="5D5BABB3"/>
    <w:multiLevelType w:val="hybridMultilevel"/>
    <w:lvl w:ilvl="0">
      <w:lvlJc w:val="left"/>
      <w:lvlText w:val="(%1)"/>
      <w:numFmt w:val="decimal"/>
      <w:start w:val="1"/>
    </w:lvl>
  </w:abstractNum>
  <w:abstractNum w:abstractNumId="142">
    <w:nsid w:val="51BF6B48"/>
    <w:multiLevelType w:val="hybridMultilevel"/>
    <w:lvl w:ilvl="0">
      <w:lvlJc w:val="left"/>
      <w:lvlText w:val="%1"/>
      <w:numFmt w:val="decimal"/>
      <w:start w:val="1"/>
    </w:lvl>
    <w:lvl w:ilvl="1">
      <w:lvlJc w:val="left"/>
      <w:lvlText w:val="(%2)"/>
      <w:numFmt w:val="lowerRoman"/>
      <w:start w:val="8"/>
    </w:lvl>
  </w:abstractNum>
  <w:abstractNum w:abstractNumId="143">
    <w:nsid w:val="7E0F6384"/>
    <w:multiLevelType w:val="hybridMultilevel"/>
    <w:lvl w:ilvl="0">
      <w:lvlJc w:val="left"/>
      <w:lvlText w:val="%1"/>
      <w:numFmt w:val="decimal"/>
      <w:start w:val="1"/>
    </w:lvl>
    <w:lvl w:ilvl="1">
      <w:lvlJc w:val="left"/>
      <w:lvlText w:val="(%2)"/>
      <w:numFmt w:val="lowerRoman"/>
      <w:start w:val="19"/>
    </w:lvl>
  </w:abstractNum>
  <w:abstractNum w:abstractNumId="144">
    <w:nsid w:val="2B4B8B53"/>
    <w:multiLevelType w:val="hybridMultilevel"/>
    <w:lvl w:ilvl="0">
      <w:lvlJc w:val="left"/>
      <w:lvlText w:val="(%1)"/>
      <w:numFmt w:val="decimal"/>
      <w:start w:val="2"/>
    </w:lvl>
    <w:lvl w:ilvl="1">
      <w:lvlJc w:val="left"/>
      <w:lvlText w:val="(%2)"/>
      <w:numFmt w:val="lowerRoman"/>
      <w:start w:val="4"/>
    </w:lvl>
  </w:abstractNum>
  <w:abstractNum w:abstractNumId="145">
    <w:nsid w:val="72E3413A"/>
    <w:multiLevelType w:val="hybridMultilevel"/>
    <w:lvl w:ilvl="0">
      <w:lvlJc w:val="left"/>
      <w:lvlText w:val="(%1)"/>
      <w:numFmt w:val="decimal"/>
      <w:start w:val="6"/>
    </w:lvl>
  </w:abstractNum>
  <w:abstractNum w:abstractNumId="146">
    <w:nsid w:val="116AE494"/>
    <w:multiLevelType w:val="hybridMultilevel"/>
    <w:lvl w:ilvl="0">
      <w:lvlJc w:val="left"/>
      <w:lvlText w:val="•"/>
      <w:numFmt w:val="bullet"/>
      <w:start w:val="1"/>
    </w:lvl>
  </w:abstractNum>
  <w:abstractNum w:abstractNumId="147">
    <w:nsid w:val="3494B2FB"/>
    <w:multiLevelType w:val="hybridMultilevel"/>
    <w:lvl w:ilvl="0">
      <w:lvlJc w:val="left"/>
      <w:lvlText w:val="•"/>
      <w:numFmt w:val="bullet"/>
      <w:start w:val="1"/>
    </w:lvl>
  </w:abstractNum>
  <w:abstractNum w:abstractNumId="148">
    <w:nsid w:val="B13A31"/>
    <w:multiLevelType w:val="hybridMultilevel"/>
    <w:lvl w:ilvl="0">
      <w:lvlJc w:val="left"/>
      <w:lvlText w:val="•"/>
      <w:numFmt w:val="bullet"/>
      <w:start w:val="1"/>
    </w:lvl>
  </w:abstractNum>
  <w:abstractNum w:abstractNumId="149">
    <w:nsid w:val="64429599"/>
    <w:multiLevelType w:val="hybridMultilevel"/>
    <w:lvl w:ilvl="0">
      <w:lvlJc w:val="left"/>
      <w:lvlText w:val="•"/>
      <w:numFmt w:val="bullet"/>
      <w:start w:val="1"/>
    </w:lvl>
  </w:abstractNum>
  <w:abstractNum w:abstractNumId="150">
    <w:nsid w:val="631F1690"/>
    <w:multiLevelType w:val="hybridMultilevel"/>
    <w:lvl w:ilvl="0">
      <w:lvlJc w:val="left"/>
      <w:lvlText w:val="•"/>
      <w:numFmt w:val="bullet"/>
      <w:start w:val="1"/>
    </w:lvl>
  </w:abstractNum>
  <w:abstractNum w:abstractNumId="151">
    <w:nsid w:val="25973E32"/>
    <w:multiLevelType w:val="hybridMultilevel"/>
    <w:lvl w:ilvl="0">
      <w:lvlJc w:val="left"/>
      <w:lvlText w:val="•"/>
      <w:numFmt w:val="bullet"/>
      <w:start w:val="1"/>
    </w:lvl>
  </w:abstractNum>
  <w:abstractNum w:abstractNumId="152">
    <w:nsid w:val="EAD6F57"/>
    <w:multiLevelType w:val="hybridMultilevel"/>
    <w:lvl w:ilvl="0">
      <w:lvlJc w:val="left"/>
      <w:lvlText w:val="•"/>
      <w:numFmt w:val="bullet"/>
      <w:start w:val="1"/>
    </w:lvl>
  </w:abstractNum>
  <w:abstractNum w:abstractNumId="153">
    <w:nsid w:val="6EC9D844"/>
    <w:multiLevelType w:val="hybridMultilevel"/>
    <w:lvl w:ilvl="0">
      <w:lvlJc w:val="left"/>
      <w:lvlText w:val="•"/>
      <w:numFmt w:val="bullet"/>
      <w:start w:val="1"/>
    </w:lvl>
  </w:abstractNum>
  <w:abstractNum w:abstractNumId="154">
    <w:nsid w:val="5C49EAEE"/>
    <w:multiLevelType w:val="hybridMultilevel"/>
    <w:lvl w:ilvl="0">
      <w:lvlJc w:val="left"/>
      <w:lvlText w:val="(%1)"/>
      <w:numFmt w:val="lowerRoman"/>
      <w:start w:val="1"/>
    </w:lvl>
  </w:abstractNum>
  <w:abstractNum w:abstractNumId="155">
    <w:nsid w:val="64AF49B"/>
    <w:multiLevelType w:val="hybridMultilevel"/>
    <w:lvl w:ilvl="0">
      <w:lvlJc w:val="left"/>
      <w:lvlText w:val="•"/>
      <w:numFmt w:val="bullet"/>
      <w:start w:val="1"/>
    </w:lvl>
  </w:abstractNum>
  <w:abstractNum w:abstractNumId="156">
    <w:nsid w:val="397C46BC"/>
    <w:multiLevelType w:val="hybridMultilevel"/>
    <w:lvl w:ilvl="0">
      <w:lvlJc w:val="left"/>
      <w:lvlText w:val="•"/>
      <w:numFmt w:val="bullet"/>
      <w:start w:val="1"/>
    </w:lvl>
  </w:abstractNum>
  <w:abstractNum w:abstractNumId="157">
    <w:nsid w:val="7E448DE9"/>
    <w:multiLevelType w:val="hybridMultilevel"/>
    <w:lvl w:ilvl="0">
      <w:lvlJc w:val="left"/>
      <w:lvlText w:val="•"/>
      <w:numFmt w:val="bullet"/>
      <w:start w:val="1"/>
    </w:lvl>
  </w:abstractNum>
  <w:abstractNum w:abstractNumId="158">
    <w:nsid w:val="5A9CC3E5"/>
    <w:multiLevelType w:val="hybridMultilevel"/>
    <w:lvl w:ilvl="0">
      <w:lvlJc w:val="left"/>
      <w:lvlText w:val="•"/>
      <w:numFmt w:val="bullet"/>
      <w:start w:val="1"/>
    </w:lvl>
  </w:abstractNum>
  <w:abstractNum w:abstractNumId="159">
    <w:nsid w:val="1AFE3625"/>
    <w:multiLevelType w:val="hybridMultilevel"/>
    <w:lvl w:ilvl="0">
      <w:lvlJc w:val="left"/>
      <w:lvlText w:val="$"/>
      <w:numFmt w:val="bullet"/>
      <w:start w:val="1"/>
    </w:lvl>
  </w:abstractNum>
  <w:abstractNum w:abstractNumId="160">
    <w:nsid w:val="3CA88ECF"/>
    <w:multiLevelType w:val="hybridMultilevel"/>
    <w:lvl w:ilvl="0">
      <w:lvlJc w:val="left"/>
      <w:lvlText w:val="(%1)"/>
      <w:numFmt w:val="lowerRoman"/>
      <w:start w:val="1"/>
    </w:lvl>
  </w:abstractNum>
  <w:abstractNum w:abstractNumId="161">
    <w:nsid w:val="6EBE4208"/>
    <w:multiLevelType w:val="hybridMultilevel"/>
    <w:lvl w:ilvl="0">
      <w:lvlJc w:val="left"/>
      <w:lvlText w:val="(%1)"/>
      <w:numFmt w:val="lowerRoman"/>
      <w:start w:val="4"/>
    </w:lvl>
  </w:abstractNum>
  <w:abstractNum w:abstractNumId="162">
    <w:nsid w:val="C058DF5"/>
    <w:multiLevelType w:val="hybridMultilevel"/>
    <w:lvl w:ilvl="0">
      <w:lvlJc w:val="left"/>
      <w:lvlText w:val="%1)"/>
      <w:numFmt w:val="lowerLetter"/>
      <w:start w:val="1"/>
    </w:lvl>
  </w:abstractNum>
  <w:abstractNum w:abstractNumId="163">
    <w:nsid w:val="CBE5BE9"/>
    <w:multiLevelType w:val="hybridMultilevel"/>
    <w:lvl w:ilvl="0">
      <w:lvlJc w:val="left"/>
      <w:lvlText w:val="%1)"/>
      <w:numFmt w:val="lowerLetter"/>
      <w:start w:val="1"/>
    </w:lvl>
  </w:abstractNum>
  <w:abstractNum w:abstractNumId="164">
    <w:nsid w:val="3102BBE2"/>
    <w:multiLevelType w:val="hybridMultilevel"/>
    <w:lvl w:ilvl="0">
      <w:lvlJc w:val="left"/>
      <w:lvlText w:val="%1)"/>
      <w:numFmt w:val="lowerLetter"/>
      <w:start w:val="1"/>
    </w:lvl>
  </w:abstractNum>
  <w:abstractNum w:abstractNumId="165">
    <w:nsid w:val="26A02C5E"/>
    <w:multiLevelType w:val="hybridMultilevel"/>
    <w:lvl w:ilvl="0">
      <w:lvlJc w:val="left"/>
      <w:lvlText w:val="%1)"/>
      <w:numFmt w:val="lowerLetter"/>
      <w:start w:val="2"/>
    </w:lvl>
  </w:abstractNum>
  <w:abstractNum w:abstractNumId="166">
    <w:nsid w:val="541C8153"/>
    <w:multiLevelType w:val="hybridMultilevel"/>
    <w:lvl w:ilvl="0">
      <w:lvlJc w:val="left"/>
      <w:lvlText w:val="(%1)"/>
      <w:numFmt w:val="lowerRoman"/>
      <w:start w:val="3"/>
    </w:lvl>
  </w:abstractNum>
  <w:abstractNum w:abstractNumId="167">
    <w:nsid w:val="67906F60"/>
    <w:multiLevelType w:val="hybridMultilevel"/>
    <w:lvl w:ilvl="0">
      <w:lvlJc w:val="left"/>
      <w:lvlText w:val="(%1)"/>
      <w:numFmt w:val="lowerRoman"/>
      <w:start w:val="2"/>
    </w:lvl>
  </w:abstractNum>
  <w:abstractNum w:abstractNumId="168">
    <w:nsid w:val="10DB9DAA"/>
    <w:multiLevelType w:val="hybridMultilevel"/>
    <w:lvl w:ilvl="0">
      <w:lvlJc w:val="left"/>
      <w:lvlText w:val="%1)"/>
      <w:numFmt w:val="lowerLetter"/>
      <w:start w:val="1"/>
    </w:lvl>
  </w:abstractNum>
  <w:abstractNum w:abstractNumId="169">
    <w:nsid w:val="697D2D2"/>
    <w:multiLevelType w:val="hybridMultilevel"/>
    <w:lvl w:ilvl="0">
      <w:lvlJc w:val="left"/>
      <w:lvlText w:val="%1)"/>
      <w:numFmt w:val="lowerLetter"/>
      <w:start w:val="1"/>
    </w:lvl>
  </w:abstractNum>
  <w:abstractNum w:abstractNumId="170">
    <w:nsid w:val="6D68AB2"/>
    <w:multiLevelType w:val="hybridMultilevel"/>
    <w:lvl w:ilvl="0">
      <w:lvlJc w:val="left"/>
      <w:lvlText w:val="(%1)"/>
      <w:numFmt w:val="lowerRoman"/>
      <w:start w:val="1"/>
    </w:lvl>
  </w:abstractNum>
  <w:abstractNum w:abstractNumId="171">
    <w:nsid w:val="3A966CD0"/>
    <w:multiLevelType w:val="hybridMultilevel"/>
    <w:lvl w:ilvl="0">
      <w:lvlJc w:val="left"/>
      <w:lvlText w:val="%1)"/>
      <w:numFmt w:val="lowerLetter"/>
      <w:start w:val="1"/>
    </w:lvl>
    <w:lvl w:ilvl="1">
      <w:lvlJc w:val="left"/>
      <w:lvlText w:val="%2)"/>
      <w:numFmt w:val="lowerLetter"/>
      <w:start w:val="9"/>
    </w:lvl>
  </w:abstractNum>
  <w:abstractNum w:abstractNumId="172">
    <w:nsid w:val="63F37E85"/>
    <w:multiLevelType w:val="hybridMultilevel"/>
    <w:lvl w:ilvl="0">
      <w:lvlJc w:val="left"/>
      <w:lvlText w:val="%1"/>
      <w:numFmt w:val="lowerLetter"/>
      <w:start w:val="1"/>
    </w:lvl>
    <w:lvl w:ilvl="1">
      <w:lvlJc w:val="left"/>
      <w:lvlText w:val="%2)"/>
      <w:numFmt w:val="lowerLetter"/>
      <w:start w:val="35"/>
    </w:lvl>
  </w:abstractNum>
  <w:abstractNum w:abstractNumId="173">
    <w:nsid w:val="5895F5FA"/>
    <w:multiLevelType w:val="hybridMultilevel"/>
    <w:lvl w:ilvl="0">
      <w:lvlJc w:val="left"/>
      <w:lvlText w:val="%1)"/>
      <w:numFmt w:val="lowerLetter"/>
      <w:start w:val="4"/>
    </w:lvl>
    <w:lvl w:ilvl="1">
      <w:lvlJc w:val="left"/>
      <w:lvlText w:val="%2"/>
      <w:numFmt w:val="lowerLetter"/>
      <w:start w:val="1"/>
    </w:lvl>
  </w:abstractNum>
  <w:abstractNum w:abstractNumId="174">
    <w:nsid w:val="38A5D054"/>
    <w:multiLevelType w:val="hybridMultilevel"/>
    <w:lvl w:ilvl="0">
      <w:lvlJc w:val="left"/>
      <w:lvlText w:val="%1."/>
      <w:numFmt w:val="decimal"/>
      <w:start w:val="2"/>
    </w:lvl>
    <w:lvl w:ilvl="1">
      <w:lvlJc w:val="left"/>
      <w:lvlText w:val="%2)"/>
      <w:numFmt w:val="lowerLetter"/>
      <w:start w:val="1"/>
    </w:lvl>
  </w:abstractNum>
  <w:abstractNum w:abstractNumId="175">
    <w:nsid w:val="F3F09D8"/>
    <w:multiLevelType w:val="hybridMultilevel"/>
    <w:lvl w:ilvl="0">
      <w:lvlJc w:val="left"/>
      <w:lvlText w:val="%1."/>
      <w:numFmt w:val="decimal"/>
      <w:start w:val="1"/>
    </w:lvl>
  </w:abstractNum>
  <w:abstractNum w:abstractNumId="176">
    <w:nsid w:val="4B793735"/>
    <w:multiLevelType w:val="hybridMultilevel"/>
    <w:lvl w:ilvl="0">
      <w:lvlJc w:val="left"/>
      <w:lvlText w:val="%1."/>
      <w:numFmt w:val="decimal"/>
      <w:start w:val="2"/>
    </w:lvl>
  </w:abstractNum>
  <w:abstractNum w:abstractNumId="177">
    <w:nsid w:val="4A10B4E8"/>
    <w:multiLevelType w:val="hybridMultilevel"/>
    <w:lvl w:ilvl="0">
      <w:lvlJc w:val="left"/>
      <w:lvlText w:val="%1."/>
      <w:numFmt w:val="decimal"/>
      <w:start w:val="3"/>
    </w:lvl>
  </w:abstractNum>
  <w:abstractNum w:abstractNumId="178">
    <w:nsid w:val="43D3BCD4"/>
    <w:multiLevelType w:val="hybridMultilevel"/>
    <w:lvl w:ilvl="0">
      <w:lvlJc w:val="left"/>
      <w:lvlText w:val="%1."/>
      <w:numFmt w:val="decimal"/>
      <w:start w:val="4"/>
    </w:lvl>
  </w:abstractNum>
  <w:abstractNum w:abstractNumId="179">
    <w:nsid w:val="4C2A7166"/>
    <w:multiLevelType w:val="hybridMultilevel"/>
    <w:lvl w:ilvl="0">
      <w:lvlJc w:val="left"/>
      <w:lvlText w:val="%1."/>
      <w:numFmt w:val="decimal"/>
      <w:start w:val="1"/>
    </w:lvl>
  </w:abstractNum>
  <w:abstractNum w:abstractNumId="180">
    <w:nsid w:val="2E534A82"/>
    <w:multiLevelType w:val="hybridMultilevel"/>
    <w:lvl w:ilvl="0">
      <w:lvlJc w:val="left"/>
      <w:lvlText w:val="%1."/>
      <w:numFmt w:val="decimal"/>
      <w:start w:val="2"/>
    </w:lvl>
  </w:abstractNum>
  <w:abstractNum w:abstractNumId="181">
    <w:nsid w:val="26F2D364"/>
    <w:multiLevelType w:val="hybridMultilevel"/>
    <w:lvl w:ilvl="0">
      <w:lvlJc w:val="left"/>
      <w:lvlText w:val="%1."/>
      <w:numFmt w:val="decimal"/>
      <w:start w:val="3"/>
    </w:lvl>
  </w:abstractNum>
  <w:abstractNum w:abstractNumId="182">
    <w:nsid w:val="71C1AF98"/>
    <w:multiLevelType w:val="hybridMultilevel"/>
    <w:lvl w:ilvl="0">
      <w:lvlJc w:val="left"/>
      <w:lvlText w:val="%1."/>
      <w:numFmt w:val="decimal"/>
      <w:start w:val="1"/>
    </w:lvl>
  </w:abstractNum>
  <w:abstractNum w:abstractNumId="183">
    <w:nsid w:val="3D00B9D9"/>
    <w:multiLevelType w:val="hybridMultilevel"/>
    <w:lvl w:ilvl="0">
      <w:lvlJc w:val="left"/>
      <w:lvlText w:val="%1."/>
      <w:numFmt w:val="decimal"/>
      <w:start w:val="2"/>
    </w:lvl>
  </w:abstractNum>
  <w:abstractNum w:abstractNumId="184">
    <w:nsid w:val="15BCABA8"/>
    <w:multiLevelType w:val="hybridMultilevel"/>
    <w:lvl w:ilvl="0">
      <w:lvlJc w:val="left"/>
      <w:lvlText w:val="%1."/>
      <w:numFmt w:val="decimal"/>
      <w:start w:val="4"/>
    </w:lvl>
  </w:abstractNum>
  <w:abstractNum w:abstractNumId="185">
    <w:nsid w:val="4E0B9A87"/>
    <w:multiLevelType w:val="hybridMultilevel"/>
    <w:lvl w:ilvl="0">
      <w:lvlJc w:val="left"/>
      <w:lvlText w:val="1"/>
      <w:numFmt w:val="bullet"/>
      <w:start w:val="1"/>
    </w:lvl>
  </w:abstractNum>
  <w:abstractNum w:abstractNumId="186">
    <w:nsid w:val="434BAE75"/>
    <w:multiLevelType w:val="hybridMultilevel"/>
    <w:lvl w:ilvl="0">
      <w:lvlJc w:val="left"/>
      <w:lvlText w:val="(%1)"/>
      <w:numFmt w:val="decimal"/>
      <w:start w:val="1"/>
    </w:lvl>
  </w:abstractNum>
  <w:abstractNum w:abstractNumId="187">
    <w:nsid w:val="4F38F265"/>
    <w:multiLevelType w:val="hybridMultilevel"/>
    <w:lvl w:ilvl="0">
      <w:lvlJc w:val="left"/>
      <w:lvlText w:val="%1."/>
      <w:numFmt w:val="decimal"/>
      <w:start w:val="5"/>
    </w:lvl>
  </w:abstractNum>
  <w:abstractNum w:abstractNumId="188">
    <w:nsid w:val="4C502870"/>
    <w:multiLevelType w:val="hybridMultilevel"/>
    <w:lvl w:ilvl="0">
      <w:lvlJc w:val="left"/>
      <w:lvlText w:val="%1."/>
      <w:numFmt w:val="decimal"/>
      <w:start w:val="6"/>
    </w:lvl>
  </w:abstractNum>
  <w:abstractNum w:abstractNumId="189">
    <w:nsid w:val="1DE8725A"/>
    <w:multiLevelType w:val="hybridMultilevel"/>
    <w:lvl w:ilvl="0">
      <w:lvlJc w:val="left"/>
      <w:lvlText w:val="%1."/>
      <w:numFmt w:val="decimal"/>
      <w:start w:val="7"/>
    </w:lvl>
  </w:abstractNum>
  <w:abstractNum w:abstractNumId="190">
    <w:nsid w:val="6A37288A"/>
    <w:multiLevelType w:val="hybridMultilevel"/>
    <w:lvl w:ilvl="0">
      <w:lvlJc w:val="left"/>
      <w:lvlText w:val="%1."/>
      <w:numFmt w:val="decimal"/>
      <w:start w:val="8"/>
    </w:lvl>
  </w:abstractNum>
  <w:abstractNum w:abstractNumId="191">
    <w:nsid w:val="8F8B73F"/>
    <w:multiLevelType w:val="hybridMultilevel"/>
    <w:lvl w:ilvl="0">
      <w:lvlJc w:val="left"/>
      <w:lvlText w:val="%1."/>
      <w:numFmt w:val="decimal"/>
      <w:start w:val="9"/>
    </w:lvl>
  </w:abstractNum>
  <w:abstractNum w:abstractNumId="192">
    <w:nsid w:val="CA6B462"/>
    <w:multiLevelType w:val="hybridMultilevel"/>
    <w:lvl w:ilvl="0">
      <w:lvlJc w:val="left"/>
      <w:lvlText w:val="%1."/>
      <w:numFmt w:val="decimal"/>
      <w:start w:val="10"/>
    </w:lvl>
  </w:abstractNum>
  <w:abstractNum w:abstractNumId="193">
    <w:nsid w:val="763CB680"/>
    <w:multiLevelType w:val="hybridMultilevel"/>
    <w:lvl w:ilvl="0">
      <w:lvlJc w:val="left"/>
      <w:lvlText w:val="%1."/>
      <w:numFmt w:val="decimal"/>
      <w:start w:val="11"/>
    </w:lvl>
  </w:abstractNum>
  <w:abstractNum w:abstractNumId="194">
    <w:nsid w:val="15B71329"/>
    <w:multiLevelType w:val="hybridMultilevel"/>
    <w:lvl w:ilvl="0">
      <w:lvlJc w:val="left"/>
      <w:lvlText w:val="%1."/>
      <w:numFmt w:val="decimal"/>
      <w:start w:val="12"/>
    </w:lvl>
  </w:abstractNum>
  <w:abstractNum w:abstractNumId="195">
    <w:nsid w:val="3DA97044"/>
    <w:multiLevelType w:val="hybridMultilevel"/>
    <w:lvl w:ilvl="0">
      <w:lvlJc w:val="left"/>
      <w:lvlText w:val="%1."/>
      <w:numFmt w:val="decimal"/>
      <w:start w:val="13"/>
    </w:lvl>
  </w:abstractNum>
  <w:abstractNum w:abstractNumId="196">
    <w:nsid w:val="1CDCE2DE"/>
    <w:multiLevelType w:val="hybridMultilevel"/>
    <w:lvl w:ilvl="0">
      <w:lvlJc w:val="left"/>
      <w:lvlText w:val="%1."/>
      <w:numFmt w:val="decimal"/>
      <w:start w:val="14"/>
    </w:lvl>
  </w:abstractNum>
  <w:abstractNum w:abstractNumId="197">
    <w:nsid w:val="69D3947C"/>
    <w:multiLevelType w:val="hybridMultilevel"/>
    <w:lvl w:ilvl="0">
      <w:lvlJc w:val="left"/>
      <w:lvlText w:val="%1."/>
      <w:numFmt w:val="decimal"/>
      <w:start w:val="15"/>
    </w:lvl>
  </w:abstractNum>
  <w:abstractNum w:abstractNumId="198">
    <w:nsid w:val="2539DFA5"/>
    <w:multiLevelType w:val="hybridMultilevel"/>
    <w:lvl w:ilvl="0">
      <w:lvlJc w:val="left"/>
      <w:lvlText w:val="%1."/>
      <w:numFmt w:val="decimal"/>
      <w:start w:val="16"/>
    </w:lvl>
  </w:abstractNum>
  <w:abstractNum w:abstractNumId="199">
    <w:nsid w:val="2DB88089"/>
    <w:multiLevelType w:val="hybridMultilevel"/>
    <w:lvl w:ilvl="0">
      <w:lvlJc w:val="left"/>
      <w:lvlText w:val="%1."/>
      <w:numFmt w:val="decimal"/>
      <w:start w:val="17"/>
    </w:lvl>
  </w:abstractNum>
  <w:abstractNum w:abstractNumId="200">
    <w:nsid w:val="706B674E"/>
    <w:multiLevelType w:val="hybridMultilevel"/>
    <w:lvl w:ilvl="0">
      <w:lvlJc w:val="left"/>
      <w:lvlText w:val="%1."/>
      <w:numFmt w:val="decimal"/>
      <w:start w:val="18"/>
    </w:lvl>
  </w:abstractNum>
  <w:abstractNum w:abstractNumId="201">
    <w:nsid w:val="2C106A57"/>
    <w:multiLevelType w:val="hybridMultilevel"/>
    <w:lvl w:ilvl="0">
      <w:lvlJc w:val="left"/>
      <w:lvlText w:val="%1."/>
      <w:numFmt w:val="decimal"/>
      <w:start w:val="19"/>
    </w:lvl>
  </w:abstractNum>
  <w:abstractNum w:abstractNumId="202">
    <w:nsid w:val="684EED59"/>
    <w:multiLevelType w:val="hybridMultilevel"/>
    <w:lvl w:ilvl="0">
      <w:lvlJc w:val="left"/>
      <w:lvlText w:val="%1."/>
      <w:numFmt w:val="decimal"/>
      <w:start w:val="1"/>
    </w:lvl>
  </w:abstractNum>
  <w:abstractNum w:abstractNumId="203">
    <w:nsid w:val="545EE5D3"/>
    <w:multiLevelType w:val="hybridMultilevel"/>
    <w:lvl w:ilvl="0">
      <w:lvlJc w:val="left"/>
      <w:lvlText w:val="%1."/>
      <w:numFmt w:val="decimal"/>
      <w:start w:val="2"/>
    </w:lvl>
  </w:abstractNum>
  <w:abstractNum w:abstractNumId="204">
    <w:nsid w:val="4A66051"/>
    <w:multiLevelType w:val="hybridMultilevel"/>
    <w:lvl w:ilvl="0">
      <w:lvlJc w:val="left"/>
      <w:lvlText w:val="%1."/>
      <w:numFmt w:val="decimal"/>
      <w:start w:val="3"/>
    </w:lvl>
  </w:abstractNum>
  <w:abstractNum w:abstractNumId="205">
    <w:nsid w:val="20F4BDAD"/>
    <w:multiLevelType w:val="hybridMultilevel"/>
    <w:lvl w:ilvl="0">
      <w:lvlJc w:val="left"/>
      <w:lvlText w:val="%1."/>
      <w:numFmt w:val="decimal"/>
      <w:start w:val="4"/>
    </w:lvl>
  </w:abstractNum>
  <w:abstractNum w:abstractNumId="206">
    <w:nsid w:val="639DEFAC"/>
    <w:multiLevelType w:val="hybridMultilevel"/>
    <w:lvl w:ilvl="0">
      <w:lvlJc w:val="left"/>
      <w:lvlText w:val="%1."/>
      <w:numFmt w:val="decimal"/>
      <w:start w:val="5"/>
    </w:lvl>
  </w:abstractNum>
  <w:abstractNum w:abstractNumId="207">
    <w:nsid w:val="501F9786"/>
    <w:multiLevelType w:val="hybridMultilevel"/>
    <w:lvl w:ilvl="0">
      <w:lvlJc w:val="left"/>
      <w:lvlText w:val="%1."/>
      <w:numFmt w:val="decimal"/>
      <w:start w:val="7"/>
    </w:lvl>
  </w:abstractNum>
  <w:abstractNum w:abstractNumId="208">
    <w:nsid w:val="6B057295"/>
    <w:multiLevelType w:val="hybridMultilevel"/>
    <w:lvl w:ilvl="0">
      <w:lvlJc w:val="left"/>
      <w:lvlText w:val="%1."/>
      <w:numFmt w:val="decimal"/>
      <w:start w:val="8"/>
    </w:lvl>
  </w:abstractNum>
  <w:abstractNum w:abstractNumId="209">
    <w:nsid w:val="2771AC80"/>
    <w:multiLevelType w:val="hybridMultilevel"/>
    <w:lvl w:ilvl="0">
      <w:lvlJc w:val="left"/>
      <w:lvlText w:val="%1."/>
      <w:numFmt w:val="decimal"/>
      <w:start w:val="9"/>
    </w:lvl>
  </w:abstractNum>
  <w:abstractNum w:abstractNumId="210">
    <w:nsid w:val="1C4A08EC"/>
    <w:multiLevelType w:val="hybridMultilevel"/>
    <w:lvl w:ilvl="0">
      <w:lvlJc w:val="left"/>
      <w:lvlText w:val="%1."/>
      <w:numFmt w:val="decimal"/>
      <w:start w:val="10"/>
    </w:lvl>
  </w:abstractNum>
  <w:abstractNum w:abstractNumId="211">
    <w:nsid w:val="1958BD17"/>
    <w:multiLevelType w:val="hybridMultilevel"/>
    <w:lvl w:ilvl="0">
      <w:lvlJc w:val="left"/>
      <w:lvlText w:val="%1."/>
      <w:numFmt w:val="decimal"/>
      <w:start w:val="11"/>
    </w:lvl>
  </w:abstractNum>
  <w:abstractNum w:abstractNumId="212">
    <w:nsid w:val="4E647FE4"/>
    <w:multiLevelType w:val="hybridMultilevel"/>
    <w:lvl w:ilvl="0">
      <w:lvlJc w:val="left"/>
      <w:lvlText w:val="%1."/>
      <w:numFmt w:val="decimal"/>
      <w:start w:val="12"/>
    </w:lvl>
  </w:abstractNum>
  <w:abstractNum w:abstractNumId="213">
    <w:nsid w:val="E0BB885"/>
    <w:multiLevelType w:val="hybridMultilevel"/>
    <w:lvl w:ilvl="0">
      <w:lvlJc w:val="left"/>
      <w:lvlText w:val="%1."/>
      <w:numFmt w:val="decimal"/>
      <w:start w:val="13"/>
    </w:lvl>
  </w:abstractNum>
  <w:abstractNum w:abstractNumId="214">
    <w:nsid w:val="565976F1"/>
    <w:multiLevelType w:val="hybridMultilevel"/>
    <w:lvl w:ilvl="0">
      <w:lvlJc w:val="left"/>
      <w:lvlText w:val="%1."/>
      <w:numFmt w:val="decimal"/>
      <w:start w:val="14"/>
    </w:lvl>
  </w:abstractNum>
  <w:abstractNum w:abstractNumId="215">
    <w:nsid w:val="64212B8C"/>
    <w:multiLevelType w:val="hybridMultilevel"/>
    <w:lvl w:ilvl="0">
      <w:lvlJc w:val="left"/>
      <w:lvlText w:val="%1."/>
      <w:numFmt w:val="decimal"/>
      <w:start w:val="15"/>
    </w:lvl>
  </w:abstractNum>
  <w:abstractNum w:abstractNumId="216">
    <w:nsid w:val="5C17530C"/>
    <w:multiLevelType w:val="hybridMultilevel"/>
    <w:lvl w:ilvl="0">
      <w:lvlJc w:val="left"/>
      <w:lvlText w:val="%1."/>
      <w:numFmt w:val="decimal"/>
      <w:start w:val="16"/>
    </w:lvl>
  </w:abstractNum>
  <w:abstractNum w:abstractNumId="217">
    <w:nsid w:val="19A52566"/>
    <w:multiLevelType w:val="hybridMultilevel"/>
    <w:lvl w:ilvl="0">
      <w:lvlJc w:val="left"/>
      <w:lvlText w:val="%1."/>
      <w:numFmt w:val="decimal"/>
      <w:start w:val="17"/>
    </w:lvl>
  </w:abstractNum>
  <w:abstractNum w:abstractNumId="218">
    <w:nsid w:val="335A1DF1"/>
    <w:multiLevelType w:val="hybridMultilevel"/>
    <w:lvl w:ilvl="0">
      <w:lvlJc w:val="left"/>
      <w:lvlText w:val="%1."/>
      <w:numFmt w:val="decimal"/>
      <w:start w:val="18"/>
    </w:lvl>
  </w:abstractNum>
  <w:abstractNum w:abstractNumId="219">
    <w:nsid w:val="28677B7C"/>
    <w:multiLevelType w:val="hybridMultilevel"/>
    <w:lvl w:ilvl="0">
      <w:lvlJc w:val="left"/>
      <w:lvlText w:val="%1."/>
      <w:numFmt w:val="decimal"/>
      <w:start w:val="19"/>
    </w:lvl>
  </w:abstractNum>
  <w:abstractNum w:abstractNumId="220">
    <w:nsid w:val="378D97C0"/>
    <w:multiLevelType w:val="hybridMultilevel"/>
    <w:lvl w:ilvl="0">
      <w:lvlJc w:val="left"/>
      <w:lvlText w:val="•"/>
      <w:numFmt w:val="bullet"/>
      <w:start w:val="1"/>
    </w:lvl>
  </w:abstractNum>
  <w:abstractNum w:abstractNumId="221">
    <w:nsid w:val="1D91467C"/>
    <w:multiLevelType w:val="hybridMultilevel"/>
    <w:lvl w:ilvl="0">
      <w:lvlJc w:val="left"/>
      <w:lvlText w:val="•"/>
      <w:numFmt w:val="bullet"/>
      <w:start w:val="1"/>
    </w:lvl>
  </w:abstractNum>
  <w:abstractNum w:abstractNumId="222">
    <w:nsid w:val="316032BB"/>
    <w:multiLevelType w:val="hybridMultilevel"/>
    <w:lvl w:ilvl="0">
      <w:lvlJc w:val="left"/>
      <w:lvlText w:val="**"/>
      <w:numFmt w:val="bullet"/>
      <w:start w:val="1"/>
    </w:lvl>
  </w:abstractNum>
  <w:abstractNum w:abstractNumId="223">
    <w:nsid w:val="44344C22"/>
    <w:multiLevelType w:val="hybridMultilevel"/>
    <w:lvl w:ilvl="0">
      <w:lvlJc w:val="left"/>
      <w:lvlText w:val="(%1)"/>
      <w:numFmt w:val="lowerLetter"/>
      <w:start w:val="2"/>
    </w:lvl>
  </w:abstractNum>
  <w:abstractNum w:abstractNumId="224">
    <w:nsid w:val="13CDFCFC"/>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 w:numId="186">
    <w:abstractNumId w:val="185"/>
  </w:num>
  <w:num w:numId="187">
    <w:abstractNumId w:val="186"/>
  </w:num>
  <w:num w:numId="188">
    <w:abstractNumId w:val="187"/>
  </w:num>
  <w:num w:numId="189">
    <w:abstractNumId w:val="188"/>
  </w:num>
  <w:num w:numId="190">
    <w:abstractNumId w:val="189"/>
  </w:num>
  <w:num w:numId="191">
    <w:abstractNumId w:val="190"/>
  </w:num>
  <w:num w:numId="192">
    <w:abstractNumId w:val="191"/>
  </w:num>
  <w:num w:numId="193">
    <w:abstractNumId w:val="192"/>
  </w:num>
  <w:num w:numId="194">
    <w:abstractNumId w:val="193"/>
  </w:num>
  <w:num w:numId="195">
    <w:abstractNumId w:val="194"/>
  </w:num>
  <w:num w:numId="196">
    <w:abstractNumId w:val="195"/>
  </w:num>
  <w:num w:numId="197">
    <w:abstractNumId w:val="196"/>
  </w:num>
  <w:num w:numId="198">
    <w:abstractNumId w:val="197"/>
  </w:num>
  <w:num w:numId="199">
    <w:abstractNumId w:val="198"/>
  </w:num>
  <w:num w:numId="200">
    <w:abstractNumId w:val="199"/>
  </w:num>
  <w:num w:numId="201">
    <w:abstractNumId w:val="200"/>
  </w:num>
  <w:num w:numId="202">
    <w:abstractNumId w:val="201"/>
  </w:num>
  <w:num w:numId="203">
    <w:abstractNumId w:val="202"/>
  </w:num>
  <w:num w:numId="204">
    <w:abstractNumId w:val="203"/>
  </w:num>
  <w:num w:numId="205">
    <w:abstractNumId w:val="204"/>
  </w:num>
  <w:num w:numId="206">
    <w:abstractNumId w:val="205"/>
  </w:num>
  <w:num w:numId="207">
    <w:abstractNumId w:val="206"/>
  </w:num>
  <w:num w:numId="208">
    <w:abstractNumId w:val="207"/>
  </w:num>
  <w:num w:numId="209">
    <w:abstractNumId w:val="208"/>
  </w:num>
  <w:num w:numId="210">
    <w:abstractNumId w:val="209"/>
  </w:num>
  <w:num w:numId="211">
    <w:abstractNumId w:val="210"/>
  </w:num>
  <w:num w:numId="212">
    <w:abstractNumId w:val="211"/>
  </w:num>
  <w:num w:numId="213">
    <w:abstractNumId w:val="212"/>
  </w:num>
  <w:num w:numId="214">
    <w:abstractNumId w:val="213"/>
  </w:num>
  <w:num w:numId="215">
    <w:abstractNumId w:val="214"/>
  </w:num>
  <w:num w:numId="216">
    <w:abstractNumId w:val="215"/>
  </w:num>
  <w:num w:numId="217">
    <w:abstractNumId w:val="216"/>
  </w:num>
  <w:num w:numId="218">
    <w:abstractNumId w:val="217"/>
  </w:num>
  <w:num w:numId="219">
    <w:abstractNumId w:val="218"/>
  </w:num>
  <w:num w:numId="220">
    <w:abstractNumId w:val="219"/>
  </w:num>
  <w:num w:numId="221">
    <w:abstractNumId w:val="220"/>
  </w:num>
  <w:num w:numId="222">
    <w:abstractNumId w:val="221"/>
  </w:num>
  <w:num w:numId="223">
    <w:abstractNumId w:val="222"/>
  </w:num>
  <w:num w:numId="224">
    <w:abstractNumId w:val="223"/>
  </w:num>
  <w:num w:numId="225">
    <w:abstractNumId w:val="22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jpe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jpe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jpe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jpe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jpeg"/><Relationship Id="rId195" Type="http://schemas.openxmlformats.org/officeDocument/2006/relationships/image" Target="media/image188.png"/><Relationship Id="rId196" Type="http://schemas.openxmlformats.org/officeDocument/2006/relationships/image" Target="media/image189.jpeg"/><Relationship Id="rId197" Type="http://schemas.openxmlformats.org/officeDocument/2006/relationships/image" Target="media/image190.png"/><Relationship Id="rId198" Type="http://schemas.openxmlformats.org/officeDocument/2006/relationships/image" Target="media/image191.jpeg"/><Relationship Id="rId199" Type="http://schemas.openxmlformats.org/officeDocument/2006/relationships/image" Target="media/image192.png"/><Relationship Id="rId200" Type="http://schemas.openxmlformats.org/officeDocument/2006/relationships/image" Target="media/image193.jpeg"/><Relationship Id="rId201" Type="http://schemas.openxmlformats.org/officeDocument/2006/relationships/image" Target="media/image194.jpe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jpe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png"/><Relationship Id="rId291" Type="http://schemas.openxmlformats.org/officeDocument/2006/relationships/image" Target="media/image284.png"/><Relationship Id="rId292" Type="http://schemas.openxmlformats.org/officeDocument/2006/relationships/image" Target="media/image285.png"/><Relationship Id="rId293" Type="http://schemas.openxmlformats.org/officeDocument/2006/relationships/image" Target="media/image286.png"/><Relationship Id="rId294" Type="http://schemas.openxmlformats.org/officeDocument/2006/relationships/image" Target="media/image287.png"/><Relationship Id="rId295" Type="http://schemas.openxmlformats.org/officeDocument/2006/relationships/image" Target="media/image288.png"/><Relationship Id="rId296" Type="http://schemas.openxmlformats.org/officeDocument/2006/relationships/image" Target="media/image289.png"/><Relationship Id="rId297" Type="http://schemas.openxmlformats.org/officeDocument/2006/relationships/image" Target="media/image290.png"/><Relationship Id="rId298" Type="http://schemas.openxmlformats.org/officeDocument/2006/relationships/image" Target="media/image291.png"/><Relationship Id="rId299" Type="http://schemas.openxmlformats.org/officeDocument/2006/relationships/image" Target="media/image292.png"/><Relationship Id="rId300" Type="http://schemas.openxmlformats.org/officeDocument/2006/relationships/image" Target="media/image293.png"/><Relationship Id="rId301" Type="http://schemas.openxmlformats.org/officeDocument/2006/relationships/image" Target="media/image294.png"/><Relationship Id="rId302" Type="http://schemas.openxmlformats.org/officeDocument/2006/relationships/image" Target="media/image295.png"/><Relationship Id="rId303" Type="http://schemas.openxmlformats.org/officeDocument/2006/relationships/image" Target="media/image296.png"/><Relationship Id="rId304" Type="http://schemas.openxmlformats.org/officeDocument/2006/relationships/image" Target="media/image297.png"/><Relationship Id="rId305" Type="http://schemas.openxmlformats.org/officeDocument/2006/relationships/image" Target="media/image298.png"/><Relationship Id="rId306" Type="http://schemas.openxmlformats.org/officeDocument/2006/relationships/image" Target="media/image299.png"/><Relationship Id="rId307" Type="http://schemas.openxmlformats.org/officeDocument/2006/relationships/image" Target="media/image300.png"/><Relationship Id="rId308" Type="http://schemas.openxmlformats.org/officeDocument/2006/relationships/image" Target="media/image301.png"/><Relationship Id="rId309" Type="http://schemas.openxmlformats.org/officeDocument/2006/relationships/image" Target="media/image302.png"/><Relationship Id="rId310" Type="http://schemas.openxmlformats.org/officeDocument/2006/relationships/image" Target="media/image303.png"/><Relationship Id="rId311" Type="http://schemas.openxmlformats.org/officeDocument/2006/relationships/image" Target="media/image304.png"/><Relationship Id="rId312" Type="http://schemas.openxmlformats.org/officeDocument/2006/relationships/image" Target="media/image305.png"/><Relationship Id="rId313" Type="http://schemas.openxmlformats.org/officeDocument/2006/relationships/image" Target="media/image306.png"/><Relationship Id="rId314" Type="http://schemas.openxmlformats.org/officeDocument/2006/relationships/image" Target="media/image307.png"/><Relationship Id="rId315" Type="http://schemas.openxmlformats.org/officeDocument/2006/relationships/image" Target="media/image308.png"/><Relationship Id="rId316" Type="http://schemas.openxmlformats.org/officeDocument/2006/relationships/image" Target="media/image309.png"/><Relationship Id="rId317" Type="http://schemas.openxmlformats.org/officeDocument/2006/relationships/image" Target="media/image310.png"/><Relationship Id="rId318" Type="http://schemas.openxmlformats.org/officeDocument/2006/relationships/image" Target="media/image311.png"/><Relationship Id="rId319" Type="http://schemas.openxmlformats.org/officeDocument/2006/relationships/image" Target="media/image312.png"/><Relationship Id="rId320" Type="http://schemas.openxmlformats.org/officeDocument/2006/relationships/image" Target="media/image313.png"/><Relationship Id="rId321" Type="http://schemas.openxmlformats.org/officeDocument/2006/relationships/image" Target="media/image314.png"/><Relationship Id="rId322" Type="http://schemas.openxmlformats.org/officeDocument/2006/relationships/image" Target="media/image315.png"/><Relationship Id="rId323" Type="http://schemas.openxmlformats.org/officeDocument/2006/relationships/image" Target="media/image316.png"/><Relationship Id="rId324" Type="http://schemas.openxmlformats.org/officeDocument/2006/relationships/image" Target="media/image317.png"/><Relationship Id="rId325" Type="http://schemas.openxmlformats.org/officeDocument/2006/relationships/image" Target="media/image318.png"/><Relationship Id="rId326" Type="http://schemas.openxmlformats.org/officeDocument/2006/relationships/image" Target="media/image319.png"/><Relationship Id="rId327" Type="http://schemas.openxmlformats.org/officeDocument/2006/relationships/image" Target="media/image320.png"/><Relationship Id="rId328" Type="http://schemas.openxmlformats.org/officeDocument/2006/relationships/image" Target="media/image321.png"/><Relationship Id="rId329" Type="http://schemas.openxmlformats.org/officeDocument/2006/relationships/image" Target="media/image322.png"/><Relationship Id="rId330" Type="http://schemas.openxmlformats.org/officeDocument/2006/relationships/image" Target="media/image323.png"/><Relationship Id="rId331" Type="http://schemas.openxmlformats.org/officeDocument/2006/relationships/image" Target="media/image324.png"/><Relationship Id="rId332" Type="http://schemas.openxmlformats.org/officeDocument/2006/relationships/image" Target="media/image325.png"/><Relationship Id="rId333" Type="http://schemas.openxmlformats.org/officeDocument/2006/relationships/image" Target="media/image326.png"/><Relationship Id="rId334" Type="http://schemas.openxmlformats.org/officeDocument/2006/relationships/image" Target="media/image327.png"/><Relationship Id="rId335" Type="http://schemas.openxmlformats.org/officeDocument/2006/relationships/image" Target="media/image328.png"/><Relationship Id="rId336" Type="http://schemas.openxmlformats.org/officeDocument/2006/relationships/image" Target="media/image329.png"/><Relationship Id="rId337" Type="http://schemas.openxmlformats.org/officeDocument/2006/relationships/image" Target="media/image330.png"/><Relationship Id="rId338" Type="http://schemas.openxmlformats.org/officeDocument/2006/relationships/image" Target="media/image331.png"/><Relationship Id="rId339" Type="http://schemas.openxmlformats.org/officeDocument/2006/relationships/image" Target="media/image332.png"/><Relationship Id="rId340" Type="http://schemas.openxmlformats.org/officeDocument/2006/relationships/image" Target="media/image333.png"/><Relationship Id="rId341" Type="http://schemas.openxmlformats.org/officeDocument/2006/relationships/image" Target="media/image334.png"/><Relationship Id="rId342" Type="http://schemas.openxmlformats.org/officeDocument/2006/relationships/image" Target="media/image335.png"/><Relationship Id="rId343" Type="http://schemas.openxmlformats.org/officeDocument/2006/relationships/image" Target="media/image336.png"/><Relationship Id="rId344" Type="http://schemas.openxmlformats.org/officeDocument/2006/relationships/image" Target="media/image337.png"/><Relationship Id="rId345" Type="http://schemas.openxmlformats.org/officeDocument/2006/relationships/image" Target="media/image338.png"/><Relationship Id="rId346" Type="http://schemas.openxmlformats.org/officeDocument/2006/relationships/image" Target="media/image339.png"/><Relationship Id="rId347" Type="http://schemas.openxmlformats.org/officeDocument/2006/relationships/image" Target="media/image340.png"/><Relationship Id="rId348" Type="http://schemas.openxmlformats.org/officeDocument/2006/relationships/image" Target="media/image341.png"/><Relationship Id="rId349" Type="http://schemas.openxmlformats.org/officeDocument/2006/relationships/image" Target="media/image342.png"/><Relationship Id="rId350" Type="http://schemas.openxmlformats.org/officeDocument/2006/relationships/image" Target="media/image343.png"/><Relationship Id="rId351" Type="http://schemas.openxmlformats.org/officeDocument/2006/relationships/image" Target="media/image344.png"/><Relationship Id="rId352" Type="http://schemas.openxmlformats.org/officeDocument/2006/relationships/image" Target="media/image345.png"/><Relationship Id="rId353" Type="http://schemas.openxmlformats.org/officeDocument/2006/relationships/image" Target="media/image346.png"/><Relationship Id="rId354" Type="http://schemas.openxmlformats.org/officeDocument/2006/relationships/image" Target="media/image347.png"/><Relationship Id="rId355" Type="http://schemas.openxmlformats.org/officeDocument/2006/relationships/image" Target="media/image348.png"/><Relationship Id="rId356" Type="http://schemas.openxmlformats.org/officeDocument/2006/relationships/image" Target="media/image349.png"/><Relationship Id="rId357" Type="http://schemas.openxmlformats.org/officeDocument/2006/relationships/image" Target="media/image350.png"/><Relationship Id="rId358" Type="http://schemas.openxmlformats.org/officeDocument/2006/relationships/image" Target="media/image351.png"/><Relationship Id="rId359" Type="http://schemas.openxmlformats.org/officeDocument/2006/relationships/image" Target="media/image352.png"/><Relationship Id="rId360" Type="http://schemas.openxmlformats.org/officeDocument/2006/relationships/image" Target="media/image353.png"/><Relationship Id="rId361" Type="http://schemas.openxmlformats.org/officeDocument/2006/relationships/image" Target="media/image354.png"/><Relationship Id="rId362" Type="http://schemas.openxmlformats.org/officeDocument/2006/relationships/image" Target="media/image355.png"/><Relationship Id="rId363" Type="http://schemas.openxmlformats.org/officeDocument/2006/relationships/image" Target="media/image356.png"/><Relationship Id="rId364" Type="http://schemas.openxmlformats.org/officeDocument/2006/relationships/image" Target="media/image357.png"/><Relationship Id="rId365" Type="http://schemas.openxmlformats.org/officeDocument/2006/relationships/image" Target="media/image358.png"/><Relationship Id="rId366" Type="http://schemas.openxmlformats.org/officeDocument/2006/relationships/image" Target="media/image359.png"/><Relationship Id="rId367" Type="http://schemas.openxmlformats.org/officeDocument/2006/relationships/image" Target="media/image360.png"/><Relationship Id="rId368" Type="http://schemas.openxmlformats.org/officeDocument/2006/relationships/image" Target="media/image361.png"/><Relationship Id="rId369" Type="http://schemas.openxmlformats.org/officeDocument/2006/relationships/image" Target="media/image362.jpeg"/><Relationship Id="rId370" Type="http://schemas.openxmlformats.org/officeDocument/2006/relationships/image" Target="media/image363.png"/><Relationship Id="rId371" Type="http://schemas.openxmlformats.org/officeDocument/2006/relationships/image" Target="media/image364.png"/><Relationship Id="rId372" Type="http://schemas.openxmlformats.org/officeDocument/2006/relationships/image" Target="media/image365.png"/><Relationship Id="rId373" Type="http://schemas.openxmlformats.org/officeDocument/2006/relationships/image" Target="media/image366.png"/><Relationship Id="rId374" Type="http://schemas.openxmlformats.org/officeDocument/2006/relationships/image" Target="media/image367.png"/><Relationship Id="rId375" Type="http://schemas.openxmlformats.org/officeDocument/2006/relationships/image" Target="media/image368.png"/><Relationship Id="rId376" Type="http://schemas.openxmlformats.org/officeDocument/2006/relationships/image" Target="media/image369.png"/><Relationship Id="rId377" Type="http://schemas.openxmlformats.org/officeDocument/2006/relationships/image" Target="media/image370.png"/><Relationship Id="rId378" Type="http://schemas.openxmlformats.org/officeDocument/2006/relationships/image" Target="media/image371.png"/><Relationship Id="rId379" Type="http://schemas.openxmlformats.org/officeDocument/2006/relationships/image" Target="media/image372.png"/><Relationship Id="rId380" Type="http://schemas.openxmlformats.org/officeDocument/2006/relationships/image" Target="media/image373.png"/><Relationship Id="rId381" Type="http://schemas.openxmlformats.org/officeDocument/2006/relationships/image" Target="media/image374.png"/><Relationship Id="rId382" Type="http://schemas.openxmlformats.org/officeDocument/2006/relationships/image" Target="media/image375.png"/><Relationship Id="rId383" Type="http://schemas.openxmlformats.org/officeDocument/2006/relationships/image" Target="media/image376.png"/><Relationship Id="rId384" Type="http://schemas.openxmlformats.org/officeDocument/2006/relationships/image" Target="media/image377.png"/><Relationship Id="rId385" Type="http://schemas.openxmlformats.org/officeDocument/2006/relationships/image" Target="media/image378.png"/><Relationship Id="rId386" Type="http://schemas.openxmlformats.org/officeDocument/2006/relationships/image" Target="media/image379.png"/><Relationship Id="rId387" Type="http://schemas.openxmlformats.org/officeDocument/2006/relationships/image" Target="media/image380.png"/><Relationship Id="rId388" Type="http://schemas.openxmlformats.org/officeDocument/2006/relationships/image" Target="media/image381.png"/><Relationship Id="rId389" Type="http://schemas.openxmlformats.org/officeDocument/2006/relationships/image" Target="media/image382.png"/><Relationship Id="rId390" Type="http://schemas.openxmlformats.org/officeDocument/2006/relationships/image" Target="media/image38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2021-11-15T23:10:23Z</dcterms:created>
  <dcterms:modified xsi:type="dcterms:W3CDTF">2021-11-15T23:10:23Z</dcterms:modified>
</cp:coreProperties>
</file>