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550 Cochituate 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Submitted August 5,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0001861795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Krantz: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either submitting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and your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draft registration statement or filed registration statement, we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have additional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References to prior comments are to those in our letter dated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20, 2021.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filed August 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revenue and revenue growth in your graphic disclosure. Please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balanced presentation of the company's financial health by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presenting net loss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with equal prominence to your other measures. Refer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Forms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C&amp;DI 101.02.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Summary Historical and Pro Forma Consolidated Financial and Other Data,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2 and reissue that comment in part. For each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Gross Margin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Adjusted EBITDA Margin, please present with equal or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greater prominence, its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directly comparable financial ratio calculated and presented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18,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 accordance with GAAP and its respective reconciliation to such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ratio. Refer to Item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10(e)(1)(i)(A)-(B) of Regulation S-K and footnote 27 of the SEC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Adopting Release</w:t>
      </w:r>
    </w:p>
    <w:p>
      <w:pPr>
        <w:ind w:left="96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Conditions for Use of Non-GAAP Financial Measures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(Release No. 33-8176).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</w:t>
      </w:r>
    </w:p>
    <w:p>
      <w:pPr>
        <w:spacing w:after="0" w:line="6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00" w:space="100"/>
            <w:col w:w="2239"/>
          </w:cols>
          <w:pgMar w:left="320" w:top="244" w:right="1440" w:bottom="0" w:gutter="0" w:footer="0" w:header="0"/>
          <w:type w:val="continuous"/>
        </w:sect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Consolidated Balance Sheet (as of June 30, 2021), page 85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in your response to comment 3 you intend to amend the terms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LLC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to provide for the ability of the holders to exchange their LLC Units for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A common stock and the LLC agreement will not provide for the option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to satisfy an exchange request in cash. With a view towards clarifying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please tell us if the Class A common stock issued to satisfy an LLC unit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holder's redemption request may consist of unregistered shares. Refer to ASC 815-40-25-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Estimates, page 111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your accounting policies and assumptions underlying your presentation,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and measurement of redeemable noncontrolling interest at inception and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 reporting periods, including your attribution of its respective share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OpCo's allocated profit/ loss after the Reorganization Transactions and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consummation of this offering.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Kathryn Jacobson, Senior Staff Accountant, at (202) 551-3365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Robert Littlepage, Accounting Branch Chief, at (202) 551-3361 if you have questions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comments on the financial statements and related matters. Please contact Matthew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Crispino, Staff Attorney, at (202) 551-3456 or Larry Spirgel, Office Chief, at (202) 551-3815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LastNameJason Krantz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NameDefinitive Healthcare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136" w:right="1440" w:bottom="144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18,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720" w:space="720"/>
        <w:col w:w="36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2022-03-08T21:45:11Z</dcterms:created>
  <dcterms:modified xsi:type="dcterms:W3CDTF">2022-03-08T21:45:11Z</dcterms:modified>
</cp:coreProperties>
</file>