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Shamsuddin Kate Marie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Definitive Healthcare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01/24/2024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PRODUCT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01/24/2024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33,933</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218,039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01/24/2024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3,919</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214,120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number of performance-based restricted stock units ("PSUs"), each representing a contingent right to receive one share of the Issuer's Class A Common Stock, par value $0.001, earned upon the certification of achievement of certain performance criteria by the Issuer's compensation committee. The PSUs will vest in three substantially equal installments as to 1/3rd on January 24, 2024, 1/3rd on February 1, 2025, and the remaining 1/3rd on February 1, 2026 and will be settled pursuant to the terms of the Issuer's 2021 Equity Incentive Plan (as amended from time to time), in each case subject to the Reporting Person's continued service with the Issuer through each such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of shares by the Issuer to satisfy the Reporting Person's tax withholding obligations in connection with the vesting and settlement of previously reported PSUs.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01/26/2024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8756"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2024-01-26T16:52:28Z</dcterms:created>
  <dcterms:modified xsi:type="dcterms:W3CDTF">2024-01-26T16:52:28Z</dcterms:modified>
</cp:coreProperties>
</file>