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6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424180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640"/>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78"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445770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640"/>
        <w:spacing w:after="0"/>
        <w:rPr>
          <w:sz w:val="20"/>
          <w:szCs w:val="20"/>
          <w:color w:val="auto"/>
        </w:rPr>
      </w:pPr>
      <w:r>
        <w:rPr>
          <w:rFonts w:ascii="Arial" w:cs="Arial" w:eastAsia="Arial" w:hAnsi="Arial"/>
          <w:sz w:val="36"/>
          <w:szCs w:val="36"/>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4" w:lineRule="exact"/>
        <w:rPr>
          <w:sz w:val="24"/>
          <w:szCs w:val="24"/>
          <w:color w:val="auto"/>
        </w:rPr>
      </w:pPr>
    </w:p>
    <w:p>
      <w:pPr>
        <w:ind w:left="1140" w:hanging="352"/>
        <w:spacing w:after="0"/>
        <w:tabs>
          <w:tab w:leader="none" w:pos="1140" w:val="left"/>
        </w:tabs>
        <w:numPr>
          <w:ilvl w:val="1"/>
          <w:numId w:val="1"/>
        </w:numPr>
        <w:rPr>
          <w:rFonts w:ascii="MS PGothic" w:cs="MS PGothic" w:eastAsia="MS PGothic" w:hAnsi="MS PGothic"/>
          <w:sz w:val="22"/>
          <w:szCs w:val="22"/>
          <w:color w:val="auto"/>
          <w:highlight w:val="lightGray"/>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highlight w:val="lightGray"/>
        </w:rPr>
      </w:pPr>
    </w:p>
    <w:p>
      <w:pPr>
        <w:jc w:val="both"/>
        <w:ind w:left="780" w:right="8220" w:firstLine="8"/>
        <w:spacing w:after="0" w:line="268" w:lineRule="exact"/>
        <w:tabs>
          <w:tab w:leader="none" w:pos="1131" w:val="left"/>
        </w:tabs>
        <w:numPr>
          <w:ilvl w:val="1"/>
          <w:numId w:val="1"/>
        </w:numPr>
        <w:rPr>
          <w:rFonts w:ascii="MS PGothic" w:cs="MS PGothic" w:eastAsia="MS PGothic" w:hAnsi="MS PGothic"/>
          <w:sz w:val="19"/>
          <w:szCs w:val="19"/>
          <w:color w:val="auto"/>
          <w:highlight w:val="lightGray"/>
        </w:rPr>
      </w:pPr>
      <w:r>
        <w:rPr>
          <w:rFonts w:ascii="Arial" w:cs="Arial" w:eastAsia="Arial" w:hAnsi="Arial"/>
          <w:sz w:val="19"/>
          <w:szCs w:val="19"/>
          <w:color w:val="auto"/>
        </w:rPr>
        <w:t xml:space="preserve">Rule 13d-1(c) </w:t>
      </w:r>
      <w:r>
        <w:rPr>
          <w:rFonts w:ascii="MS PGothic" w:cs="MS PGothic" w:eastAsia="MS PGothic" w:hAnsi="MS PGothic"/>
          <w:sz w:val="19"/>
          <w:szCs w:val="19"/>
          <w:color w:val="auto"/>
          <w:highlight w:val="lightGray"/>
        </w:rPr>
        <w:t>☒</w:t>
      </w:r>
      <w:r>
        <w:rPr>
          <w:rFonts w:ascii="Arial" w:cs="Arial" w:eastAsia="Arial" w:hAnsi="Arial"/>
          <w:sz w:val="19"/>
          <w:szCs w:val="19"/>
          <w:color w:val="auto"/>
        </w:rPr>
        <w:t xml:space="preserve"> Rule 13d-1(d)</w:t>
      </w:r>
    </w:p>
    <w:p>
      <w:pPr>
        <w:spacing w:after="0" w:line="169" w:lineRule="exact"/>
        <w:rPr>
          <w:rFonts w:ascii="MS PGothic" w:cs="MS PGothic" w:eastAsia="MS PGothic" w:hAnsi="MS PGothic"/>
          <w:sz w:val="19"/>
          <w:szCs w:val="19"/>
          <w:color w:val="auto"/>
          <w:highlight w:val="lightGray"/>
        </w:rPr>
      </w:pPr>
    </w:p>
    <w:p>
      <w:pPr>
        <w:spacing w:after="0" w:line="308" w:lineRule="auto"/>
        <w:rPr>
          <w:rFonts w:ascii="MS PGothic" w:cs="MS PGothic" w:eastAsia="MS PGothic" w:hAnsi="MS PGothic"/>
          <w:sz w:val="19"/>
          <w:szCs w:val="19"/>
          <w:color w:val="auto"/>
          <w:highlight w:val="lightGray"/>
        </w:rPr>
      </w:pPr>
      <w:r>
        <w:rPr>
          <w:rFonts w:ascii="Arial" w:cs="Arial" w:eastAsia="Arial" w:hAnsi="Arial"/>
          <w:sz w:val="17"/>
          <w:szCs w:val="17"/>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125730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142875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80"/>
          </w:cols>
          <w:pgMar w:left="980" w:top="69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2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1" w:lineRule="auto"/>
        <w:tabs>
          <w:tab w:leader="none" w:pos="800" w:val="left"/>
        </w:tabs>
        <w:numPr>
          <w:ilvl w:val="0"/>
          <w:numId w:val="2"/>
        </w:numPr>
        <w:rPr>
          <w:rFonts w:ascii="Arial" w:cs="Arial" w:eastAsia="Arial" w:hAnsi="Arial"/>
          <w:sz w:val="56"/>
          <w:szCs w:val="56"/>
          <w:b w:val="1"/>
          <w:bCs w:val="1"/>
          <w:color w:val="auto"/>
          <w:vertAlign w:val="subscript"/>
        </w:rPr>
      </w:pPr>
      <w:r>
        <w:rPr>
          <w:rFonts w:ascii="Arial" w:cs="Arial" w:eastAsia="Arial" w:hAnsi="Arial"/>
          <w:sz w:val="18"/>
          <w:szCs w:val="18"/>
          <w:color w:val="auto"/>
        </w:rPr>
        <w:t>NAMES OF REPORTING PERSON(S)</w:t>
      </w:r>
    </w:p>
    <w:p>
      <w:pPr>
        <w:spacing w:after="0" w:line="198" w:lineRule="exact"/>
        <w:rPr>
          <w:rFonts w:ascii="Arial" w:cs="Arial" w:eastAsia="Arial" w:hAnsi="Arial"/>
          <w:sz w:val="56"/>
          <w:szCs w:val="56"/>
          <w:b w:val="1"/>
          <w:bCs w:val="1"/>
          <w:color w:val="auto"/>
          <w:vertAlign w:val="subscript"/>
        </w:rPr>
      </w:pPr>
    </w:p>
    <w:p>
      <w:pPr>
        <w:ind w:left="800"/>
        <w:spacing w:after="0"/>
        <w:rPr>
          <w:rFonts w:ascii="Arial" w:cs="Arial" w:eastAsia="Arial" w:hAnsi="Arial"/>
          <w:sz w:val="56"/>
          <w:szCs w:val="56"/>
          <w:b w:val="1"/>
          <w:bCs w:val="1"/>
          <w:color w:val="auto"/>
          <w:vertAlign w:val="subscript"/>
        </w:rPr>
      </w:pPr>
      <w:r>
        <w:rPr>
          <w:rFonts w:ascii="Arial" w:cs="Arial" w:eastAsia="Arial" w:hAnsi="Arial"/>
          <w:sz w:val="18"/>
          <w:szCs w:val="18"/>
          <w:b w:val="1"/>
          <w:bCs w:val="1"/>
          <w:color w:val="auto"/>
        </w:rPr>
        <w:t>SE VII DHC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5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415530"/>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5"/>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26,747,318</w:t>
      </w:r>
    </w:p>
    <w:p>
      <w:pPr>
        <w:ind w:left="642" w:hanging="642"/>
        <w:spacing w:after="0" w:line="199" w:lineRule="auto"/>
        <w:tabs>
          <w:tab w:leader="none" w:pos="642"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8"/>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26,747,318</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8" w:lineRule="auto"/>
        <w:tabs>
          <w:tab w:leader="none" w:pos="860" w:val="left"/>
        </w:tabs>
        <w:numPr>
          <w:ilvl w:val="0"/>
          <w:numId w:val="9"/>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26,747,318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21.2%</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3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10"/>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SE VII DHC AIV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4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11"/>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7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13"/>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14"/>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2,791,929</w:t>
      </w:r>
    </w:p>
    <w:p>
      <w:pPr>
        <w:ind w:left="642" w:hanging="642"/>
        <w:spacing w:after="0" w:line="199" w:lineRule="auto"/>
        <w:tabs>
          <w:tab w:leader="none" w:pos="642"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16"/>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2,791,929</w:t>
      </w:r>
    </w:p>
    <w:p>
      <w:pPr>
        <w:spacing w:after="0" w:line="1" w:lineRule="exact"/>
        <w:rPr>
          <w:sz w:val="20"/>
          <w:szCs w:val="20"/>
          <w:color w:val="auto"/>
        </w:rPr>
      </w:pPr>
    </w:p>
    <w:p>
      <w:pPr>
        <w:sectPr>
          <w:pgSz w:w="11900" w:h="16838" w:orient="portrait"/>
          <w:cols w:equalWidth="0" w:num="2">
            <w:col w:w="1500" w:space="578"/>
            <w:col w:w="9162"/>
          </w:cols>
          <w:pgMar w:left="320" w:top="713" w:right="339" w:bottom="1440" w:gutter="0" w:footer="0" w:header="0"/>
          <w:type w:val="continuous"/>
        </w:sectPr>
      </w:pPr>
    </w:p>
    <w:p>
      <w:pPr>
        <w:ind w:left="860" w:hanging="604"/>
        <w:spacing w:after="0" w:line="228" w:lineRule="auto"/>
        <w:tabs>
          <w:tab w:leader="none" w:pos="860" w:val="left"/>
        </w:tabs>
        <w:numPr>
          <w:ilvl w:val="0"/>
          <w:numId w:val="17"/>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2,791,929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2.8%</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3" w:right="339" w:bottom="1440" w:gutter="0" w:footer="0" w:header="0"/>
          <w:type w:val="continuous"/>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4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18"/>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Spectrum VII Investment Managers’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4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19"/>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20"/>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21"/>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22"/>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38,865</w:t>
      </w:r>
    </w:p>
    <w:p>
      <w:pPr>
        <w:ind w:left="642" w:hanging="642"/>
        <w:spacing w:after="0" w:line="199" w:lineRule="auto"/>
        <w:tabs>
          <w:tab w:leader="none" w:pos="642" w:val="left"/>
        </w:tabs>
        <w:numPr>
          <w:ilvl w:val="0"/>
          <w:numId w:val="23"/>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24"/>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38,865</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8" w:lineRule="auto"/>
        <w:tabs>
          <w:tab w:leader="none" w:pos="860" w:val="left"/>
        </w:tabs>
        <w:numPr>
          <w:ilvl w:val="0"/>
          <w:numId w:val="25"/>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38,865</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&lt;0.1%</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5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26"/>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Spectrum VII Co-Investment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4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27"/>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28"/>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29"/>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30"/>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22,703</w:t>
      </w:r>
    </w:p>
    <w:p>
      <w:pPr>
        <w:ind w:left="642" w:hanging="642"/>
        <w:spacing w:after="0" w:line="199" w:lineRule="auto"/>
        <w:tabs>
          <w:tab w:leader="none" w:pos="642" w:val="left"/>
        </w:tabs>
        <w:numPr>
          <w:ilvl w:val="0"/>
          <w:numId w:val="31"/>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32"/>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22,703</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8" w:lineRule="auto"/>
        <w:tabs>
          <w:tab w:leader="none" w:pos="860" w:val="left"/>
        </w:tabs>
        <w:numPr>
          <w:ilvl w:val="0"/>
          <w:numId w:val="33"/>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22,703</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&lt;0.1%</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6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34"/>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Spectrum Equity Associates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380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38060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35"/>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36"/>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4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37"/>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38"/>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29,539,247</w:t>
      </w:r>
    </w:p>
    <w:p>
      <w:pPr>
        <w:ind w:left="642" w:hanging="642"/>
        <w:spacing w:after="0" w:line="199" w:lineRule="auto"/>
        <w:tabs>
          <w:tab w:leader="none" w:pos="642" w:val="left"/>
        </w:tabs>
        <w:numPr>
          <w:ilvl w:val="0"/>
          <w:numId w:val="39"/>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40"/>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29,539,247</w:t>
      </w:r>
    </w:p>
    <w:p>
      <w:pPr>
        <w:spacing w:after="0" w:line="1" w:lineRule="exact"/>
        <w:rPr>
          <w:sz w:val="20"/>
          <w:szCs w:val="20"/>
          <w:color w:val="auto"/>
        </w:rPr>
      </w:pPr>
    </w:p>
    <w:p>
      <w:pPr>
        <w:sectPr>
          <w:pgSz w:w="11900" w:h="16838" w:orient="portrait"/>
          <w:cols w:equalWidth="0" w:num="2">
            <w:col w:w="1500" w:space="578"/>
            <w:col w:w="9162"/>
          </w:cols>
          <w:pgMar w:left="320" w:top="471" w:right="339" w:bottom="1440" w:gutter="0" w:footer="0" w:header="0"/>
          <w:type w:val="continuous"/>
        </w:sectPr>
      </w:pPr>
    </w:p>
    <w:p>
      <w:pPr>
        <w:ind w:left="860" w:hanging="604"/>
        <w:spacing w:after="0" w:line="228" w:lineRule="auto"/>
        <w:tabs>
          <w:tab w:leader="none" w:pos="860" w:val="left"/>
        </w:tabs>
        <w:numPr>
          <w:ilvl w:val="0"/>
          <w:numId w:val="41"/>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29,539,247</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2"/>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2"/>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23.4%</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640" w:type="dxa"/>
            <w:vAlign w:val="bottom"/>
          </w:tcPr>
          <w:p>
            <w:pPr>
              <w:jc w:val="right"/>
              <w:ind w:right="122"/>
              <w:spacing w:after="0" w:line="183" w:lineRule="exact"/>
              <w:rPr>
                <w:sz w:val="20"/>
                <w:szCs w:val="20"/>
                <w:color w:val="auto"/>
              </w:rPr>
            </w:pPr>
            <w:r>
              <w:rPr>
                <w:rFonts w:ascii="Arial" w:cs="Arial" w:eastAsia="Arial" w:hAnsi="Arial"/>
                <w:sz w:val="21"/>
                <w:szCs w:val="21"/>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6"/>
                <w:szCs w:val="16"/>
                <w:color w:val="auto"/>
              </w:rPr>
              <w:t>TYPE OF REPORTING PERSON</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6"/>
                <w:szCs w:val="16"/>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1"/>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1" w:right="339" w:bottom="1440" w:gutter="0" w:footer="0" w:header="0"/>
          <w:type w:val="continuous"/>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7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42"/>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SEA VII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4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43"/>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44"/>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6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45"/>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46"/>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29,600,815</w:t>
      </w:r>
    </w:p>
    <w:p>
      <w:pPr>
        <w:ind w:left="642" w:hanging="642"/>
        <w:spacing w:after="0" w:line="199" w:lineRule="auto"/>
        <w:tabs>
          <w:tab w:leader="none" w:pos="642" w:val="left"/>
        </w:tabs>
        <w:numPr>
          <w:ilvl w:val="0"/>
          <w:numId w:val="47"/>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48"/>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29,600,815</w:t>
      </w:r>
    </w:p>
    <w:p>
      <w:pPr>
        <w:spacing w:after="0" w:line="1" w:lineRule="exact"/>
        <w:rPr>
          <w:sz w:val="20"/>
          <w:szCs w:val="20"/>
          <w:color w:val="auto"/>
        </w:rPr>
      </w:pPr>
    </w:p>
    <w:p>
      <w:pPr>
        <w:sectPr>
          <w:pgSz w:w="11900" w:h="16838" w:orient="portrait"/>
          <w:cols w:equalWidth="0" w:num="2">
            <w:col w:w="1500" w:space="578"/>
            <w:col w:w="9162"/>
          </w:cols>
          <w:pgMar w:left="320" w:top="686" w:right="339" w:bottom="1440" w:gutter="0" w:footer="0" w:header="0"/>
          <w:type w:val="continuous"/>
        </w:sectPr>
      </w:pPr>
    </w:p>
    <w:p>
      <w:pPr>
        <w:ind w:left="860" w:hanging="604"/>
        <w:spacing w:after="0" w:line="228" w:lineRule="auto"/>
        <w:tabs>
          <w:tab w:leader="none" w:pos="860" w:val="left"/>
        </w:tabs>
        <w:numPr>
          <w:ilvl w:val="0"/>
          <w:numId w:val="49"/>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29,600,815</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23.5%</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OO (Limited Liability Company)</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type w:val="continuous"/>
        </w:sectPr>
      </w:pPr>
    </w:p>
    <w:bookmarkStart w:id="7" w:name="page8"/>
    <w:bookmarkEnd w:id="7"/>
    <w:p>
      <w:pPr>
        <w:ind w:left="80"/>
        <w:spacing w:after="0"/>
        <w:tabs>
          <w:tab w:leader="none" w:pos="5460" w:val="left"/>
          <w:tab w:leader="none" w:pos="9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13 Pages</w:t>
      </w:r>
    </w:p>
    <w:p>
      <w:pPr>
        <w:sectPr>
          <w:pgSz w:w="11900" w:h="16838" w:orient="portrait"/>
          <w:cols w:equalWidth="0" w:num="1">
            <w:col w:w="11140"/>
          </w:cols>
          <w:pgMar w:left="320" w:top="75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 (the “Issuer”).</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550 Cochituate Rd, Framingham, Massachusetts 01701.</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 VII DHC AIV,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 VII DHC AIV Feeder,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Spectrum VII Investment Managers' Fund,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Spectrum VII Co-Investment Fund,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Spectrum Equity Associates VII,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 VII Management, LLC</w:t>
      </w:r>
    </w:p>
    <w:p>
      <w:pPr>
        <w:spacing w:after="0" w:line="200" w:lineRule="exact"/>
        <w:rPr>
          <w:sz w:val="20"/>
          <w:szCs w:val="20"/>
          <w:color w:val="auto"/>
        </w:rPr>
      </w:pP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 of the Reporting Persons is 140 New Montgomery Street, 20th Floor, San Francisco, CA 94105.</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are organized under the laws of the state of Delaware.</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$0.001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24477E103</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56" w:right="43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9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ownership information presented below represents beneficial ownership of the shares of Class A Common Stock as of the date hereof, based upon (i) 88,263,333 shares of Class A Common Stock outstanding as of November 5, 2021, as reported in the Issuer’s Form 10-Q filed on November 8, 2021, and</w:t>
      </w:r>
    </w:p>
    <w:p>
      <w:pPr>
        <w:jc w:val="both"/>
        <w:ind w:firstLine="8"/>
        <w:spacing w:after="0" w:line="255" w:lineRule="auto"/>
        <w:tabs>
          <w:tab w:leader="none" w:pos="267" w:val="left"/>
        </w:tabs>
        <w:numPr>
          <w:ilvl w:val="0"/>
          <w:numId w:val="50"/>
        </w:numPr>
        <w:rPr>
          <w:rFonts w:ascii="Arial" w:cs="Arial" w:eastAsia="Arial" w:hAnsi="Arial"/>
          <w:sz w:val="18"/>
          <w:szCs w:val="18"/>
          <w:color w:val="auto"/>
        </w:rPr>
      </w:pPr>
      <w:r>
        <w:rPr>
          <w:rFonts w:ascii="Arial" w:cs="Arial" w:eastAsia="Arial" w:hAnsi="Arial"/>
          <w:sz w:val="18"/>
          <w:szCs w:val="18"/>
          <w:color w:val="auto"/>
        </w:rPr>
        <w:t>11,000,000 shares of Class A Common Stock issued by the Issuer as reported in its prospectus supplement filed on November 19, 2021. The ownership information assumes the conversion of the Class B common stock, no par value (“Class B Common Stock”) of the Issuer held by the Reporting Persons into shares of Class A Common Stock of the Issuer on a one-to-one basis.</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420" w:type="dxa"/>
            <w:vAlign w:val="bottom"/>
            <w:tcBorders>
              <w:top w:val="single" w:sz="8" w:color="auto"/>
              <w:left w:val="single" w:sz="8" w:color="auto"/>
              <w:right w:val="single" w:sz="8" w:color="auto"/>
            </w:tcBorders>
            <w:shd w:val="clear" w:color="auto" w:fill="FFFFE1"/>
          </w:tcPr>
          <w:p>
            <w:pPr>
              <w:spacing w:after="0"/>
              <w:rPr>
                <w:sz w:val="18"/>
                <w:szCs w:val="18"/>
                <w:color w:val="auto"/>
              </w:rPr>
            </w:pPr>
          </w:p>
        </w:tc>
        <w:tc>
          <w:tcPr>
            <w:tcW w:w="1240" w:type="dxa"/>
            <w:vAlign w:val="bottom"/>
            <w:tcBorders>
              <w:top w:val="single" w:sz="8" w:color="auto"/>
              <w:right w:val="single" w:sz="8" w:color="auto"/>
            </w:tcBorders>
            <w:shd w:val="clear" w:color="auto" w:fill="FFFFE1"/>
          </w:tcPr>
          <w:p>
            <w:pPr>
              <w:spacing w:after="0"/>
              <w:rPr>
                <w:sz w:val="18"/>
                <w:szCs w:val="18"/>
                <w:color w:val="auto"/>
              </w:rPr>
            </w:pPr>
          </w:p>
        </w:tc>
        <w:tc>
          <w:tcPr>
            <w:tcW w:w="1120" w:type="dxa"/>
            <w:vAlign w:val="bottom"/>
            <w:tcBorders>
              <w:top w:val="single" w:sz="8" w:color="auto"/>
              <w:right w:val="single" w:sz="8" w:color="auto"/>
            </w:tcBorders>
            <w:shd w:val="clear" w:color="auto" w:fill="FFFFE1"/>
          </w:tcPr>
          <w:p>
            <w:pPr>
              <w:spacing w:after="0"/>
              <w:rPr>
                <w:sz w:val="18"/>
                <w:szCs w:val="18"/>
                <w:color w:val="auto"/>
              </w:rPr>
            </w:pPr>
          </w:p>
        </w:tc>
        <w:tc>
          <w:tcPr>
            <w:tcW w:w="880" w:type="dxa"/>
            <w:vAlign w:val="bottom"/>
            <w:tcBorders>
              <w:top w:val="single" w:sz="8" w:color="auto"/>
              <w:right w:val="single" w:sz="8" w:color="auto"/>
            </w:tcBorders>
            <w:vMerge w:val="restart"/>
            <w:shd w:val="clear" w:color="auto" w:fill="FFFFE1"/>
          </w:tcPr>
          <w:p>
            <w:pPr>
              <w:jc w:val="right"/>
              <w:ind w:right="190"/>
              <w:spacing w:after="0"/>
              <w:rPr>
                <w:sz w:val="20"/>
                <w:szCs w:val="20"/>
                <w:color w:val="auto"/>
              </w:rPr>
            </w:pPr>
            <w:r>
              <w:rPr>
                <w:rFonts w:ascii="Arial" w:cs="Arial" w:eastAsia="Arial" w:hAnsi="Arial"/>
                <w:sz w:val="18"/>
                <w:szCs w:val="18"/>
                <w:b w:val="1"/>
                <w:bCs w:val="1"/>
                <w:color w:val="auto"/>
              </w:rPr>
              <w:t>Sole</w:t>
            </w:r>
          </w:p>
        </w:tc>
        <w:tc>
          <w:tcPr>
            <w:tcW w:w="1120" w:type="dxa"/>
            <w:vAlign w:val="bottom"/>
            <w:tcBorders>
              <w:top w:val="single" w:sz="8" w:color="auto"/>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Shared</w:t>
            </w:r>
          </w:p>
        </w:tc>
        <w:tc>
          <w:tcPr>
            <w:tcW w:w="1240" w:type="dxa"/>
            <w:vAlign w:val="bottom"/>
            <w:tcBorders>
              <w:top w:val="single" w:sz="8" w:color="auto"/>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9"/>
              </w:rPr>
              <w:t>Sole power</w:t>
            </w:r>
          </w:p>
        </w:tc>
        <w:tc>
          <w:tcPr>
            <w:tcW w:w="1220" w:type="dxa"/>
            <w:vAlign w:val="bottom"/>
            <w:tcBorders>
              <w:top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18"/>
                <w:szCs w:val="18"/>
                <w:b w:val="1"/>
                <w:bCs w:val="1"/>
                <w:color w:val="auto"/>
                <w:w w:val="91"/>
              </w:rPr>
              <w:t>Shared</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0"/>
              </w:rPr>
              <w:t>power to</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Arial" w:cs="Arial" w:eastAsia="Arial" w:hAnsi="Arial"/>
                <w:sz w:val="18"/>
                <w:szCs w:val="18"/>
                <w:b w:val="1"/>
                <w:bCs w:val="1"/>
                <w:color w:val="auto"/>
                <w:w w:val="98"/>
              </w:rPr>
              <w:t>power to</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0"/>
              </w:rPr>
              <w:t>power to</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6"/>
              </w:rPr>
              <w:t>to dispose or</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restart"/>
            <w:shd w:val="clear" w:color="auto" w:fill="FFFFE1"/>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4"/>
              </w:rPr>
              <w:t>dispose or to</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vMerge w:val="restart"/>
            <w:shd w:val="clear" w:color="auto" w:fill="FFFFE1"/>
          </w:tcPr>
          <w:p>
            <w:pPr>
              <w:ind w:left="1540"/>
              <w:spacing w:after="0"/>
              <w:rPr>
                <w:sz w:val="20"/>
                <w:szCs w:val="20"/>
                <w:color w:val="auto"/>
              </w:rPr>
            </w:pPr>
            <w:r>
              <w:rPr>
                <w:rFonts w:ascii="Arial" w:cs="Arial" w:eastAsia="Arial" w:hAnsi="Arial"/>
                <w:sz w:val="18"/>
                <w:szCs w:val="18"/>
                <w:b w:val="1"/>
                <w:bCs w:val="1"/>
                <w:color w:val="auto"/>
              </w:rPr>
              <w:t>Reporting Person</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90"/>
              <w:spacing w:after="0"/>
              <w:rPr>
                <w:sz w:val="20"/>
                <w:szCs w:val="20"/>
                <w:color w:val="auto"/>
              </w:rPr>
            </w:pPr>
            <w:r>
              <w:rPr>
                <w:rFonts w:ascii="Arial" w:cs="Arial" w:eastAsia="Arial" w:hAnsi="Arial"/>
                <w:sz w:val="18"/>
                <w:szCs w:val="18"/>
                <w:b w:val="1"/>
                <w:bCs w:val="1"/>
                <w:color w:val="auto"/>
              </w:rPr>
              <w:t>vote or</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7"/>
              </w:rPr>
              <w:t>vote or to</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1"/>
              </w:rPr>
              <w:t>to direct the</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restart"/>
            <w:shd w:val="clear" w:color="auto" w:fill="FFFFE1"/>
          </w:tcPr>
          <w:p>
            <w:pPr>
              <w:jc w:val="right"/>
              <w:ind w:right="170"/>
              <w:spacing w:after="0"/>
              <w:rPr>
                <w:sz w:val="20"/>
                <w:szCs w:val="20"/>
                <w:color w:val="auto"/>
              </w:rPr>
            </w:pPr>
            <w:r>
              <w:rPr>
                <w:rFonts w:ascii="Arial" w:cs="Arial" w:eastAsia="Arial" w:hAnsi="Arial"/>
                <w:sz w:val="18"/>
                <w:szCs w:val="18"/>
                <w:b w:val="1"/>
                <w:bCs w:val="1"/>
                <w:color w:val="auto"/>
              </w:rPr>
              <w:t>of class:</w:t>
            </w: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direct the</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owned:</w:t>
            </w: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Arial" w:cs="Arial" w:eastAsia="Arial" w:hAnsi="Arial"/>
                <w:sz w:val="18"/>
                <w:szCs w:val="18"/>
                <w:b w:val="1"/>
                <w:bCs w:val="1"/>
                <w:color w:val="auto"/>
              </w:rPr>
              <w:t>to direct</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direct the</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5"/>
              </w:rPr>
              <w:t>disposition</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Arial" w:cs="Arial" w:eastAsia="Arial" w:hAnsi="Arial"/>
                <w:sz w:val="18"/>
                <w:szCs w:val="18"/>
                <w:b w:val="1"/>
                <w:bCs w:val="1"/>
                <w:color w:val="auto"/>
                <w:w w:val="98"/>
              </w:rPr>
              <w:t>the vote:</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vote:</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5"/>
              </w:rPr>
              <w:t>of:</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shd w:val="clear" w:color="auto" w:fill="FFFFE1"/>
          </w:tcPr>
          <w:p>
            <w:pPr>
              <w:spacing w:after="0"/>
              <w:rPr>
                <w:sz w:val="10"/>
                <w:szCs w:val="10"/>
                <w:color w:val="auto"/>
              </w:rPr>
            </w:pPr>
          </w:p>
        </w:tc>
        <w:tc>
          <w:tcPr>
            <w:tcW w:w="1240" w:type="dxa"/>
            <w:vAlign w:val="bottom"/>
            <w:tcBorders>
              <w:right w:val="single" w:sz="8" w:color="auto"/>
            </w:tcBorders>
            <w:shd w:val="clear" w:color="auto" w:fill="FFFFE1"/>
          </w:tcPr>
          <w:p>
            <w:pPr>
              <w:spacing w:after="0"/>
              <w:rPr>
                <w:sz w:val="10"/>
                <w:szCs w:val="10"/>
                <w:color w:val="auto"/>
              </w:rPr>
            </w:pPr>
          </w:p>
        </w:tc>
        <w:tc>
          <w:tcPr>
            <w:tcW w:w="1120" w:type="dxa"/>
            <w:vAlign w:val="bottom"/>
            <w:tcBorders>
              <w:right w:val="single" w:sz="8" w:color="auto"/>
            </w:tcBorders>
            <w:shd w:val="clear" w:color="auto" w:fill="FFFFE1"/>
          </w:tcPr>
          <w:p>
            <w:pPr>
              <w:spacing w:after="0"/>
              <w:rPr>
                <w:sz w:val="10"/>
                <w:szCs w:val="10"/>
                <w:color w:val="auto"/>
              </w:rPr>
            </w:pPr>
          </w:p>
        </w:tc>
        <w:tc>
          <w:tcPr>
            <w:tcW w:w="880" w:type="dxa"/>
            <w:vAlign w:val="bottom"/>
            <w:tcBorders>
              <w:right w:val="single" w:sz="8" w:color="auto"/>
            </w:tcBorders>
            <w:vMerge w:val="continue"/>
            <w:shd w:val="clear" w:color="auto" w:fill="FFFFE1"/>
          </w:tcPr>
          <w:p>
            <w:pPr>
              <w:spacing w:after="0"/>
              <w:rPr>
                <w:sz w:val="10"/>
                <w:szCs w:val="10"/>
                <w:color w:val="auto"/>
              </w:rPr>
            </w:pPr>
          </w:p>
        </w:tc>
        <w:tc>
          <w:tcPr>
            <w:tcW w:w="1120" w:type="dxa"/>
            <w:vAlign w:val="bottom"/>
            <w:tcBorders>
              <w:right w:val="single" w:sz="8" w:color="auto"/>
            </w:tcBorders>
            <w:vMerge w:val="continue"/>
            <w:shd w:val="clear" w:color="auto" w:fill="FFFFE1"/>
          </w:tcPr>
          <w:p>
            <w:pPr>
              <w:spacing w:after="0"/>
              <w:rPr>
                <w:sz w:val="10"/>
                <w:szCs w:val="10"/>
                <w:color w:val="auto"/>
              </w:rPr>
            </w:pPr>
          </w:p>
        </w:tc>
        <w:tc>
          <w:tcPr>
            <w:tcW w:w="1240" w:type="dxa"/>
            <w:vAlign w:val="bottom"/>
            <w:tcBorders>
              <w:right w:val="single" w:sz="8" w:color="auto"/>
            </w:tcBorders>
            <w:vMerge w:val="continue"/>
            <w:shd w:val="clear" w:color="auto" w:fill="FFFFE1"/>
          </w:tcPr>
          <w:p>
            <w:pPr>
              <w:spacing w:after="0"/>
              <w:rPr>
                <w:sz w:val="10"/>
                <w:szCs w:val="10"/>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6"/>
              </w:rPr>
              <w:t>of:</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bottom w:val="single" w:sz="8" w:color="auto"/>
              <w:right w:val="single" w:sz="8" w:color="auto"/>
            </w:tcBorders>
            <w:shd w:val="clear" w:color="auto" w:fill="FFFFE1"/>
          </w:tcPr>
          <w:p>
            <w:pPr>
              <w:spacing w:after="0"/>
              <w:rPr>
                <w:sz w:val="9"/>
                <w:szCs w:val="9"/>
                <w:color w:val="auto"/>
              </w:rPr>
            </w:pPr>
          </w:p>
        </w:tc>
        <w:tc>
          <w:tcPr>
            <w:tcW w:w="1240" w:type="dxa"/>
            <w:vAlign w:val="bottom"/>
            <w:tcBorders>
              <w:bottom w:val="single" w:sz="8" w:color="auto"/>
              <w:right w:val="single" w:sz="8" w:color="auto"/>
            </w:tcBorders>
            <w:shd w:val="clear" w:color="auto" w:fill="FFFFE1"/>
          </w:tcPr>
          <w:p>
            <w:pPr>
              <w:spacing w:after="0"/>
              <w:rPr>
                <w:sz w:val="9"/>
                <w:szCs w:val="9"/>
                <w:color w:val="auto"/>
              </w:rPr>
            </w:pPr>
          </w:p>
        </w:tc>
        <w:tc>
          <w:tcPr>
            <w:tcW w:w="1120" w:type="dxa"/>
            <w:vAlign w:val="bottom"/>
            <w:tcBorders>
              <w:bottom w:val="single" w:sz="8" w:color="auto"/>
              <w:right w:val="single" w:sz="8" w:color="auto"/>
            </w:tcBorders>
            <w:shd w:val="clear" w:color="auto" w:fill="FFFFE1"/>
          </w:tcPr>
          <w:p>
            <w:pPr>
              <w:spacing w:after="0"/>
              <w:rPr>
                <w:sz w:val="9"/>
                <w:szCs w:val="9"/>
                <w:color w:val="auto"/>
              </w:rPr>
            </w:pPr>
          </w:p>
        </w:tc>
        <w:tc>
          <w:tcPr>
            <w:tcW w:w="880" w:type="dxa"/>
            <w:vAlign w:val="bottom"/>
            <w:tcBorders>
              <w:bottom w:val="single" w:sz="8" w:color="auto"/>
              <w:right w:val="single" w:sz="8" w:color="auto"/>
            </w:tcBorders>
            <w:shd w:val="clear" w:color="auto" w:fill="FFFFE1"/>
          </w:tcPr>
          <w:p>
            <w:pPr>
              <w:spacing w:after="0"/>
              <w:rPr>
                <w:sz w:val="9"/>
                <w:szCs w:val="9"/>
                <w:color w:val="auto"/>
              </w:rPr>
            </w:pPr>
          </w:p>
        </w:tc>
        <w:tc>
          <w:tcPr>
            <w:tcW w:w="1120" w:type="dxa"/>
            <w:vAlign w:val="bottom"/>
            <w:tcBorders>
              <w:bottom w:val="single" w:sz="8" w:color="auto"/>
              <w:right w:val="single" w:sz="8" w:color="auto"/>
            </w:tcBorders>
            <w:shd w:val="clear" w:color="auto" w:fill="FFFFE1"/>
          </w:tcPr>
          <w:p>
            <w:pPr>
              <w:spacing w:after="0"/>
              <w:rPr>
                <w:sz w:val="9"/>
                <w:szCs w:val="9"/>
                <w:color w:val="auto"/>
              </w:rPr>
            </w:pPr>
          </w:p>
        </w:tc>
        <w:tc>
          <w:tcPr>
            <w:tcW w:w="1240" w:type="dxa"/>
            <w:vAlign w:val="bottom"/>
            <w:tcBorders>
              <w:bottom w:val="single" w:sz="8" w:color="auto"/>
              <w:right w:val="single" w:sz="8" w:color="auto"/>
            </w:tcBorders>
            <w:shd w:val="clear" w:color="auto" w:fill="FFFFE1"/>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 VII DHC AIV,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26,747,318</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26,747,318</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26,747,318</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 VII DHC AIV Feeder,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2,791,929</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2,791,929</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2,791,929</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Spectrum VII Investment Managers' Fund,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38,865</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&lt;0.1%</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38,865</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38,865</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Spectrum VII Co-Investment Fund,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22,703</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&lt;0.1%</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22,703</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22,703</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Spectrum Equity Associates VII,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29,539,247</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29,539,247</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29,539,247</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SEA VII Management, LLC</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29,600,815</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29,600,815</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29,600,815</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 VII DHC AIV, L.P. is the beneficial owner of 26,747,318 shares of Class A Common Stock issuable upon the conversion of an equal number of shares of Class B Common Stock. SE VII DHC AIV Feeder, L.P. is the beneficial owner of 2,791,929 shares of Class A Common Stock. Spectrum VII Investment Managers’ Fund, L.P. is the beneficial owner of 38,865 shares of Class A Common Stock issuable upon the conversion of an equal number of shares of Class B Common Stock. Spectrum VII Co-Investment Fund, L.P. is the beneficial owner of 22,703 shares of Class A Common Stock issuable upon the conversion of an equal number of shares of Class B Common Stock.</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Spectrum Equity Associates VII, L.P. is the general partner of SE VII DHC AIV, L.P. and SE VII DHC AIV Feeder, L.P. and as a result may be deemed to share beneficial ownership of the shares of Class A Common Stock beneficially owned by SE VII DHC AIV, L.P. and SE VII DHC AIV Feeder, L.P. SEA VII Management, LLC is the general partner of each of Spectrum VII Investment Managers’ Fund, L.P., Spectrum VII Co-Investment Fund, L.P. and Spectrum Equity Associates VII, L.P., and as a result may be deemed to share beneficial ownership of the shares of Class A Common Stock beneficially owned by the foregoing entities. Brion B. Applegate, Christopher T. Mitchell, Victor E. Parker, Jr., Benjamin C. Spero, Ronan Cunningham, Peter T. Jensen, Stephen M. LeSieur, Brian Regan and Michael W. Farrell may be deemed to share voting and dispositive power over the securities held by the Reporting Persons. Each of the foregoing individuals disclaims beneficial ownership of such securities.</w:t>
      </w:r>
    </w:p>
    <w:p>
      <w:pPr>
        <w:spacing w:after="0" w:line="3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ind w:left="1300" w:right="6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686" w:right="339" w:bottom="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ind w:left="80"/>
        <w:spacing w:after="0"/>
        <w:tabs>
          <w:tab w:leader="none" w:pos="5460" w:val="left"/>
          <w:tab w:leader="none" w:pos="9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13 Pages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18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14, 2022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 VII DHC AIV,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Spectrum Equity Associates VII, L.P.</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78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SE VII DHC AIV Feeder, L.P.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Spectrum Equity Associates VII, L.P.</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78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VII Investment Managers’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864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61"/>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Spectrum VII Co-Investment Fund, L.P.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864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905"/>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type w:val="continuous"/>
        </w:sectPr>
      </w:pPr>
    </w:p>
    <w:bookmarkStart w:id="11" w:name="page12"/>
    <w:bookmarkEnd w:id="11"/>
    <w:p>
      <w:pPr>
        <w:ind w:left="80"/>
        <w:spacing w:after="0"/>
        <w:tabs>
          <w:tab w:leader="none" w:pos="5460" w:val="left"/>
          <w:tab w:leader="none" w:pos="9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13 Pages</w:t>
      </w:r>
    </w:p>
    <w:p>
      <w:pPr>
        <w:sectPr>
          <w:pgSz w:w="11900" w:h="16838" w:orient="portrait"/>
          <w:cols w:equalWidth="0" w:num="1">
            <w:col w:w="10980"/>
          </w:cols>
          <w:pgMar w:left="320" w:top="5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Equity Associates VII,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78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SEA VII Management, LLC</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78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4131945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540" w:right="59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12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Joint Filing Agreement as of this 14th day of February,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 VII DHC AIV,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Spectrum Equity Associates VII, L.P.</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78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SE VII DHC AIV Feeder, L.P.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Spectrum Equity Associates VII, L.P.</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78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Carolina A. Picazo</w:t>
            </w:r>
          </w:p>
        </w:tc>
      </w:tr>
    </w:tbl>
    <w:p>
      <w:pPr>
        <w:ind w:left="660"/>
        <w:spacing w:after="0"/>
        <w:rPr>
          <w:sz w:val="20"/>
          <w:szCs w:val="20"/>
          <w:color w:val="auto"/>
        </w:rPr>
      </w:pPr>
      <w:r>
        <w:rPr>
          <w:rFonts w:ascii="Arial" w:cs="Arial" w:eastAsia="Arial" w:hAnsi="Arial"/>
          <w:sz w:val="18"/>
          <w:szCs w:val="18"/>
          <w:color w:val="auto"/>
        </w:rPr>
        <w:t>Chief Administrative Officer &amp; Chief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Compliance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VII Investment Managers’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864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1512"/>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1" w:right="339" w:bottom="1440" w:gutter="0" w:footer="0" w:header="0"/>
        </w:sectPr>
      </w:pPr>
    </w:p>
    <w:bookmarkStart w:id="13" w:name="page14"/>
    <w:bookmarkEnd w:id="13"/>
    <w:p>
      <w:pPr>
        <w:ind w:left="80"/>
        <w:spacing w:after="0"/>
        <w:tabs>
          <w:tab w:leader="none" w:pos="5460" w:val="left"/>
          <w:tab w:leader="none" w:pos="9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13 of 13 Pages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VII Co-Investment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864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Spectrum Equity Associates VII, L.P.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864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SEA VII Management, LLC</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Carolina A. Picazo</w:t>
            </w:r>
          </w:p>
        </w:tc>
        <w:tc>
          <w:tcPr>
            <w:tcW w:w="864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Carolina A. Picazo</w:t>
            </w: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3962"/>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lvl w:ilvl="1">
      <w:lvlJc w:val="left"/>
      <w:lvlText w:val="☐"/>
      <w:numFmt w:val="bullet"/>
      <w:start w:val="1"/>
    </w:lvl>
  </w:abstractNum>
  <w:abstractNum w:abstractNumId="1">
    <w:nsid w:val="B03E0C6"/>
    <w:multiLevelType w:val="hybridMultilevel"/>
    <w:lvl w:ilvl="0">
      <w:lvlJc w:val="left"/>
      <w:lvlText w:val="1"/>
      <w:numFmt w:val="bullet"/>
      <w:start w:val="1"/>
    </w:lvl>
  </w:abstractNum>
  <w:abstractNum w:abstractNumId="2">
    <w:nsid w:val="189A769B"/>
    <w:multiLevelType w:val="hybridMultilevel"/>
    <w:lvl w:ilvl="0">
      <w:lvlJc w:val="left"/>
      <w:lvlText w:val="3"/>
      <w:numFmt w:val="bullet"/>
      <w:start w:val="1"/>
    </w:lvl>
  </w:abstractNum>
  <w:abstractNum w:abstractNumId="3">
    <w:nsid w:val="54E49EB4"/>
    <w:multiLevelType w:val="hybridMultilevel"/>
    <w:lvl w:ilvl="0">
      <w:lvlJc w:val="left"/>
      <w:lvlText w:val="4"/>
      <w:numFmt w:val="bullet"/>
      <w:start w:val="1"/>
    </w:lvl>
  </w:abstractNum>
  <w:abstractNum w:abstractNumId="4">
    <w:nsid w:val="71F32454"/>
    <w:multiLevelType w:val="hybridMultilevel"/>
    <w:lvl w:ilvl="0">
      <w:lvlJc w:val="left"/>
      <w:lvlText w:val="5"/>
      <w:numFmt w:val="bullet"/>
      <w:start w:val="1"/>
    </w:lvl>
  </w:abstractNum>
  <w:abstractNum w:abstractNumId="5">
    <w:nsid w:val="2CA88611"/>
    <w:multiLevelType w:val="hybridMultilevel"/>
    <w:lvl w:ilvl="0">
      <w:lvlJc w:val="left"/>
      <w:lvlText w:val="6"/>
      <w:numFmt w:val="bullet"/>
      <w:start w:val="1"/>
    </w:lvl>
  </w:abstractNum>
  <w:abstractNum w:abstractNumId="6">
    <w:nsid w:val="836C40E"/>
    <w:multiLevelType w:val="hybridMultilevel"/>
    <w:lvl w:ilvl="0">
      <w:lvlJc w:val="left"/>
      <w:lvlText w:val="7"/>
      <w:numFmt w:val="bullet"/>
      <w:start w:val="1"/>
    </w:lvl>
  </w:abstractNum>
  <w:abstractNum w:abstractNumId="7">
    <w:nsid w:val="2901D82"/>
    <w:multiLevelType w:val="hybridMultilevel"/>
    <w:lvl w:ilvl="0">
      <w:lvlJc w:val="left"/>
      <w:lvlText w:val="8"/>
      <w:numFmt w:val="bullet"/>
      <w:start w:val="1"/>
    </w:lvl>
  </w:abstractNum>
  <w:abstractNum w:abstractNumId="8">
    <w:nsid w:val="3A95F874"/>
    <w:multiLevelType w:val="hybridMultilevel"/>
    <w:lvl w:ilvl="0">
      <w:lvlJc w:val="left"/>
      <w:lvlText w:val="9"/>
      <w:numFmt w:val="bullet"/>
      <w:start w:val="1"/>
    </w:lvl>
  </w:abstractNum>
  <w:abstractNum w:abstractNumId="9">
    <w:nsid w:val="8138641"/>
    <w:multiLevelType w:val="hybridMultilevel"/>
    <w:lvl w:ilvl="0">
      <w:lvlJc w:val="left"/>
      <w:lvlText w:val="1"/>
      <w:numFmt w:val="bullet"/>
      <w:start w:val="1"/>
    </w:lvl>
  </w:abstractNum>
  <w:abstractNum w:abstractNumId="10">
    <w:nsid w:val="1E7FF521"/>
    <w:multiLevelType w:val="hybridMultilevel"/>
    <w:lvl w:ilvl="0">
      <w:lvlJc w:val="left"/>
      <w:lvlText w:val="3"/>
      <w:numFmt w:val="bullet"/>
      <w:start w:val="1"/>
    </w:lvl>
  </w:abstractNum>
  <w:abstractNum w:abstractNumId="11">
    <w:nsid w:val="7C3DBD3D"/>
    <w:multiLevelType w:val="hybridMultilevel"/>
    <w:lvl w:ilvl="0">
      <w:lvlJc w:val="left"/>
      <w:lvlText w:val="4"/>
      <w:numFmt w:val="bullet"/>
      <w:start w:val="1"/>
    </w:lvl>
  </w:abstractNum>
  <w:abstractNum w:abstractNumId="12">
    <w:nsid w:val="737B8DDC"/>
    <w:multiLevelType w:val="hybridMultilevel"/>
    <w:lvl w:ilvl="0">
      <w:lvlJc w:val="left"/>
      <w:lvlText w:val="5"/>
      <w:numFmt w:val="bullet"/>
      <w:start w:val="1"/>
    </w:lvl>
  </w:abstractNum>
  <w:abstractNum w:abstractNumId="13">
    <w:nsid w:val="6CEAF087"/>
    <w:multiLevelType w:val="hybridMultilevel"/>
    <w:lvl w:ilvl="0">
      <w:lvlJc w:val="left"/>
      <w:lvlText w:val="6"/>
      <w:numFmt w:val="bullet"/>
      <w:start w:val="1"/>
    </w:lvl>
  </w:abstractNum>
  <w:abstractNum w:abstractNumId="14">
    <w:nsid w:val="22221A70"/>
    <w:multiLevelType w:val="hybridMultilevel"/>
    <w:lvl w:ilvl="0">
      <w:lvlJc w:val="left"/>
      <w:lvlText w:val="7"/>
      <w:numFmt w:val="bullet"/>
      <w:start w:val="1"/>
    </w:lvl>
  </w:abstractNum>
  <w:abstractNum w:abstractNumId="15">
    <w:nsid w:val="4516DDE9"/>
    <w:multiLevelType w:val="hybridMultilevel"/>
    <w:lvl w:ilvl="0">
      <w:lvlJc w:val="left"/>
      <w:lvlText w:val="8"/>
      <w:numFmt w:val="bullet"/>
      <w:start w:val="1"/>
    </w:lvl>
  </w:abstractNum>
  <w:abstractNum w:abstractNumId="16">
    <w:nsid w:val="3006C83E"/>
    <w:multiLevelType w:val="hybridMultilevel"/>
    <w:lvl w:ilvl="0">
      <w:lvlJc w:val="left"/>
      <w:lvlText w:val="9"/>
      <w:numFmt w:val="bullet"/>
      <w:start w:val="1"/>
    </w:lvl>
  </w:abstractNum>
  <w:abstractNum w:abstractNumId="17">
    <w:nsid w:val="614FD4A1"/>
    <w:multiLevelType w:val="hybridMultilevel"/>
    <w:lvl w:ilvl="0">
      <w:lvlJc w:val="left"/>
      <w:lvlText w:val="1"/>
      <w:numFmt w:val="bullet"/>
      <w:start w:val="1"/>
    </w:lvl>
  </w:abstractNum>
  <w:abstractNum w:abstractNumId="18">
    <w:nsid w:val="419AC241"/>
    <w:multiLevelType w:val="hybridMultilevel"/>
    <w:lvl w:ilvl="0">
      <w:lvlJc w:val="left"/>
      <w:lvlText w:val="3"/>
      <w:numFmt w:val="bullet"/>
      <w:start w:val="1"/>
    </w:lvl>
  </w:abstractNum>
  <w:abstractNum w:abstractNumId="19">
    <w:nsid w:val="5577F8E1"/>
    <w:multiLevelType w:val="hybridMultilevel"/>
    <w:lvl w:ilvl="0">
      <w:lvlJc w:val="left"/>
      <w:lvlText w:val="4"/>
      <w:numFmt w:val="bullet"/>
      <w:start w:val="1"/>
    </w:lvl>
  </w:abstractNum>
  <w:abstractNum w:abstractNumId="20">
    <w:nsid w:val="440BADFC"/>
    <w:multiLevelType w:val="hybridMultilevel"/>
    <w:lvl w:ilvl="0">
      <w:lvlJc w:val="left"/>
      <w:lvlText w:val="5"/>
      <w:numFmt w:val="bullet"/>
      <w:start w:val="1"/>
    </w:lvl>
  </w:abstractNum>
  <w:abstractNum w:abstractNumId="21">
    <w:nsid w:val="5072367"/>
    <w:multiLevelType w:val="hybridMultilevel"/>
    <w:lvl w:ilvl="0">
      <w:lvlJc w:val="left"/>
      <w:lvlText w:val="6"/>
      <w:numFmt w:val="bullet"/>
      <w:start w:val="1"/>
    </w:lvl>
  </w:abstractNum>
  <w:abstractNum w:abstractNumId="22">
    <w:nsid w:val="3804823E"/>
    <w:multiLevelType w:val="hybridMultilevel"/>
    <w:lvl w:ilvl="0">
      <w:lvlJc w:val="left"/>
      <w:lvlText w:val="7"/>
      <w:numFmt w:val="bullet"/>
      <w:start w:val="1"/>
    </w:lvl>
  </w:abstractNum>
  <w:abstractNum w:abstractNumId="23">
    <w:nsid w:val="77465F01"/>
    <w:multiLevelType w:val="hybridMultilevel"/>
    <w:lvl w:ilvl="0">
      <w:lvlJc w:val="left"/>
      <w:lvlText w:val="8"/>
      <w:numFmt w:val="bullet"/>
      <w:start w:val="1"/>
    </w:lvl>
  </w:abstractNum>
  <w:abstractNum w:abstractNumId="24">
    <w:nsid w:val="7724C67E"/>
    <w:multiLevelType w:val="hybridMultilevel"/>
    <w:lvl w:ilvl="0">
      <w:lvlJc w:val="left"/>
      <w:lvlText w:val="9"/>
      <w:numFmt w:val="bullet"/>
      <w:start w:val="1"/>
    </w:lvl>
  </w:abstractNum>
  <w:abstractNum w:abstractNumId="25">
    <w:nsid w:val="5C482A97"/>
    <w:multiLevelType w:val="hybridMultilevel"/>
    <w:lvl w:ilvl="0">
      <w:lvlJc w:val="left"/>
      <w:lvlText w:val="1"/>
      <w:numFmt w:val="bullet"/>
      <w:start w:val="1"/>
    </w:lvl>
  </w:abstractNum>
  <w:abstractNum w:abstractNumId="26">
    <w:nsid w:val="2463B9EA"/>
    <w:multiLevelType w:val="hybridMultilevel"/>
    <w:lvl w:ilvl="0">
      <w:lvlJc w:val="left"/>
      <w:lvlText w:val="3"/>
      <w:numFmt w:val="bullet"/>
      <w:start w:val="1"/>
    </w:lvl>
  </w:abstractNum>
  <w:abstractNum w:abstractNumId="27">
    <w:nsid w:val="5E884ADC"/>
    <w:multiLevelType w:val="hybridMultilevel"/>
    <w:lvl w:ilvl="0">
      <w:lvlJc w:val="left"/>
      <w:lvlText w:val="4"/>
      <w:numFmt w:val="bullet"/>
      <w:start w:val="1"/>
    </w:lvl>
  </w:abstractNum>
  <w:abstractNum w:abstractNumId="28">
    <w:nsid w:val="51EAD36B"/>
    <w:multiLevelType w:val="hybridMultilevel"/>
    <w:lvl w:ilvl="0">
      <w:lvlJc w:val="left"/>
      <w:lvlText w:val="5"/>
      <w:numFmt w:val="bullet"/>
      <w:start w:val="1"/>
    </w:lvl>
  </w:abstractNum>
  <w:abstractNum w:abstractNumId="29">
    <w:nsid w:val="2D517796"/>
    <w:multiLevelType w:val="hybridMultilevel"/>
    <w:lvl w:ilvl="0">
      <w:lvlJc w:val="left"/>
      <w:lvlText w:val="6"/>
      <w:numFmt w:val="bullet"/>
      <w:start w:val="1"/>
    </w:lvl>
  </w:abstractNum>
  <w:abstractNum w:abstractNumId="30">
    <w:nsid w:val="580BD78F"/>
    <w:multiLevelType w:val="hybridMultilevel"/>
    <w:lvl w:ilvl="0">
      <w:lvlJc w:val="left"/>
      <w:lvlText w:val="7"/>
      <w:numFmt w:val="bullet"/>
      <w:start w:val="1"/>
    </w:lvl>
  </w:abstractNum>
  <w:abstractNum w:abstractNumId="31">
    <w:nsid w:val="153EA438"/>
    <w:multiLevelType w:val="hybridMultilevel"/>
    <w:lvl w:ilvl="0">
      <w:lvlJc w:val="left"/>
      <w:lvlText w:val="8"/>
      <w:numFmt w:val="bullet"/>
      <w:start w:val="1"/>
    </w:lvl>
  </w:abstractNum>
  <w:abstractNum w:abstractNumId="32">
    <w:nsid w:val="3855585C"/>
    <w:multiLevelType w:val="hybridMultilevel"/>
    <w:lvl w:ilvl="0">
      <w:lvlJc w:val="left"/>
      <w:lvlText w:val="9"/>
      <w:numFmt w:val="bullet"/>
      <w:start w:val="1"/>
    </w:lvl>
  </w:abstractNum>
  <w:abstractNum w:abstractNumId="33">
    <w:nsid w:val="70A64E2A"/>
    <w:multiLevelType w:val="hybridMultilevel"/>
    <w:lvl w:ilvl="0">
      <w:lvlJc w:val="left"/>
      <w:lvlText w:val="1"/>
      <w:numFmt w:val="bullet"/>
      <w:start w:val="1"/>
    </w:lvl>
  </w:abstractNum>
  <w:abstractNum w:abstractNumId="34">
    <w:nsid w:val="6A2342EC"/>
    <w:multiLevelType w:val="hybridMultilevel"/>
    <w:lvl w:ilvl="0">
      <w:lvlJc w:val="left"/>
      <w:lvlText w:val="3"/>
      <w:numFmt w:val="bullet"/>
      <w:start w:val="1"/>
    </w:lvl>
  </w:abstractNum>
  <w:abstractNum w:abstractNumId="35">
    <w:nsid w:val="2A487CB0"/>
    <w:multiLevelType w:val="hybridMultilevel"/>
    <w:lvl w:ilvl="0">
      <w:lvlJc w:val="left"/>
      <w:lvlText w:val="4"/>
      <w:numFmt w:val="bullet"/>
      <w:start w:val="1"/>
    </w:lvl>
  </w:abstractNum>
  <w:abstractNum w:abstractNumId="36">
    <w:nsid w:val="1D4ED43B"/>
    <w:multiLevelType w:val="hybridMultilevel"/>
    <w:lvl w:ilvl="0">
      <w:lvlJc w:val="left"/>
      <w:lvlText w:val="5"/>
      <w:numFmt w:val="bullet"/>
      <w:start w:val="1"/>
    </w:lvl>
  </w:abstractNum>
  <w:abstractNum w:abstractNumId="37">
    <w:nsid w:val="725A06FB"/>
    <w:multiLevelType w:val="hybridMultilevel"/>
    <w:lvl w:ilvl="0">
      <w:lvlJc w:val="left"/>
      <w:lvlText w:val="6"/>
      <w:numFmt w:val="bullet"/>
      <w:start w:val="1"/>
    </w:lvl>
  </w:abstractNum>
  <w:abstractNum w:abstractNumId="38">
    <w:nsid w:val="2CD89A32"/>
    <w:multiLevelType w:val="hybridMultilevel"/>
    <w:lvl w:ilvl="0">
      <w:lvlJc w:val="left"/>
      <w:lvlText w:val="7"/>
      <w:numFmt w:val="bullet"/>
      <w:start w:val="1"/>
    </w:lvl>
  </w:abstractNum>
  <w:abstractNum w:abstractNumId="39">
    <w:nsid w:val="57E4CCAF"/>
    <w:multiLevelType w:val="hybridMultilevel"/>
    <w:lvl w:ilvl="0">
      <w:lvlJc w:val="left"/>
      <w:lvlText w:val="8"/>
      <w:numFmt w:val="bullet"/>
      <w:start w:val="1"/>
    </w:lvl>
  </w:abstractNum>
  <w:abstractNum w:abstractNumId="40">
    <w:nsid w:val="7A6D8D3C"/>
    <w:multiLevelType w:val="hybridMultilevel"/>
    <w:lvl w:ilvl="0">
      <w:lvlJc w:val="left"/>
      <w:lvlText w:val="9"/>
      <w:numFmt w:val="bullet"/>
      <w:start w:val="1"/>
    </w:lvl>
  </w:abstractNum>
  <w:abstractNum w:abstractNumId="41">
    <w:nsid w:val="4B588F54"/>
    <w:multiLevelType w:val="hybridMultilevel"/>
    <w:lvl w:ilvl="0">
      <w:lvlJc w:val="left"/>
      <w:lvlText w:val="1"/>
      <w:numFmt w:val="bullet"/>
      <w:start w:val="1"/>
    </w:lvl>
  </w:abstractNum>
  <w:abstractNum w:abstractNumId="42">
    <w:nsid w:val="542289EC"/>
    <w:multiLevelType w:val="hybridMultilevel"/>
    <w:lvl w:ilvl="0">
      <w:lvlJc w:val="left"/>
      <w:lvlText w:val="3"/>
      <w:numFmt w:val="bullet"/>
      <w:start w:val="1"/>
    </w:lvl>
  </w:abstractNum>
  <w:abstractNum w:abstractNumId="43">
    <w:nsid w:val="6DE91B18"/>
    <w:multiLevelType w:val="hybridMultilevel"/>
    <w:lvl w:ilvl="0">
      <w:lvlJc w:val="left"/>
      <w:lvlText w:val="4"/>
      <w:numFmt w:val="bullet"/>
      <w:start w:val="1"/>
    </w:lvl>
  </w:abstractNum>
  <w:abstractNum w:abstractNumId="44">
    <w:nsid w:val="38437FDB"/>
    <w:multiLevelType w:val="hybridMultilevel"/>
    <w:lvl w:ilvl="0">
      <w:lvlJc w:val="left"/>
      <w:lvlText w:val="5"/>
      <w:numFmt w:val="bullet"/>
      <w:start w:val="1"/>
    </w:lvl>
  </w:abstractNum>
  <w:abstractNum w:abstractNumId="45">
    <w:nsid w:val="7644A45C"/>
    <w:multiLevelType w:val="hybridMultilevel"/>
    <w:lvl w:ilvl="0">
      <w:lvlJc w:val="left"/>
      <w:lvlText w:val="6"/>
      <w:numFmt w:val="bullet"/>
      <w:start w:val="1"/>
    </w:lvl>
  </w:abstractNum>
  <w:abstractNum w:abstractNumId="46">
    <w:nsid w:val="32FFF902"/>
    <w:multiLevelType w:val="hybridMultilevel"/>
    <w:lvl w:ilvl="0">
      <w:lvlJc w:val="left"/>
      <w:lvlText w:val="7"/>
      <w:numFmt w:val="bullet"/>
      <w:start w:val="1"/>
    </w:lvl>
  </w:abstractNum>
  <w:abstractNum w:abstractNumId="47">
    <w:nsid w:val="684A481A"/>
    <w:multiLevelType w:val="hybridMultilevel"/>
    <w:lvl w:ilvl="0">
      <w:lvlJc w:val="left"/>
      <w:lvlText w:val="8"/>
      <w:numFmt w:val="bullet"/>
      <w:start w:val="1"/>
    </w:lvl>
  </w:abstractNum>
  <w:abstractNum w:abstractNumId="48">
    <w:nsid w:val="579478FE"/>
    <w:multiLevelType w:val="hybridMultilevel"/>
    <w:lvl w:ilvl="0">
      <w:lvlJc w:val="left"/>
      <w:lvlText w:val="9"/>
      <w:numFmt w:val="bullet"/>
      <w:start w:val="1"/>
    </w:lvl>
  </w:abstractNum>
  <w:abstractNum w:abstractNumId="49">
    <w:nsid w:val="749ABB4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2022-02-14T16:12:19Z</dcterms:created>
  <dcterms:modified xsi:type="dcterms:W3CDTF">2022-02-14T16:12:19Z</dcterms:modified>
</cp:coreProperties>
</file>