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0571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057140"/>
                    </a:xfrm>
                    <a:prstGeom prst="rect">
                      <a:avLst/>
                    </a:prstGeom>
                    <a:noFill/>
                  </pic:spPr>
                </pic:pic>
              </a:graphicData>
            </a:graphic>
          </wp:anchor>
        </w:drawing>
      </w:r>
    </w:p>
    <w:p>
      <w:pPr>
        <w:sectPr>
          <w:pgSz w:w="11900" w:h="16838" w:orient="portrait"/>
          <w:cols w:equalWidth="0" w:num="1">
            <w:col w:w="10940"/>
          </w:cols>
          <w:pgMar w:left="480" w:top="236" w:right="479" w:bottom="751"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Booth Richard Douglas</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260" w:type="dxa"/>
            <w:vAlign w:val="bottom"/>
            <w:tcBorders>
              <w:top w:val="single" w:sz="8" w:color="0000EE"/>
              <w:bottom w:val="single" w:sz="8" w:color="9A9A9A"/>
            </w:tcBorders>
          </w:tcPr>
          <w:p>
            <w:pPr>
              <w:spacing w:after="0"/>
              <w:rPr>
                <w:sz w:val="17"/>
                <w:szCs w:val="17"/>
                <w:color w:val="auto"/>
              </w:rPr>
            </w:pPr>
          </w:p>
        </w:tc>
        <w:tc>
          <w:tcPr>
            <w:tcW w:w="52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09/15/2021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Definitive Healthcare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DH</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425" w:lineRule="exact"/>
        <w:rPr>
          <w:sz w:val="24"/>
          <w:szCs w:val="24"/>
          <w:color w:val="auto"/>
        </w:rPr>
      </w:pPr>
    </w:p>
    <w:p>
      <w:pPr>
        <w:sectPr>
          <w:pgSz w:w="11900" w:h="16838" w:orient="portrait"/>
          <w:cols w:equalWidth="0" w:num="2">
            <w:col w:w="4720" w:space="280"/>
            <w:col w:w="5940"/>
          </w:cols>
          <w:pgMar w:left="480" w:top="236" w:right="479" w:bottom="751"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right="1357"/>
        <w:spacing w:after="0" w:line="269" w:lineRule="auto"/>
        <w:rPr>
          <w:sz w:val="20"/>
          <w:szCs w:val="20"/>
          <w:color w:val="auto"/>
        </w:rPr>
      </w:pPr>
      <w:r>
        <w:rPr>
          <w:rFonts w:ascii="Arial" w:cs="Arial" w:eastAsia="Arial" w:hAnsi="Arial"/>
          <w:sz w:val="20"/>
          <w:szCs w:val="20"/>
          <w:color w:val="0000FF"/>
        </w:rPr>
        <w:t>C/O DEFINITIVE HEALTHCARE CORP.</w:t>
      </w:r>
    </w:p>
    <w:p>
      <w:pPr>
        <w:spacing w:after="0" w:line="25"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550 COCHITUATE RD</w:t>
      </w:r>
    </w:p>
    <w:p>
      <w:pPr>
        <w:spacing w:after="0" w:line="334"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2020" w:type="dxa"/>
            <w:vAlign w:val="bottom"/>
          </w:tcPr>
          <w:p>
            <w:pPr>
              <w:spacing w:after="0"/>
              <w:rPr>
                <w:sz w:val="20"/>
                <w:szCs w:val="20"/>
                <w:color w:val="auto"/>
              </w:rPr>
            </w:pPr>
            <w:r>
              <w:rPr>
                <w:rFonts w:ascii="Arial" w:cs="Arial" w:eastAsia="Arial" w:hAnsi="Arial"/>
                <w:sz w:val="15"/>
                <w:szCs w:val="15"/>
                <w:color w:val="auto"/>
              </w:rPr>
              <w:t>(Street)</w:t>
            </w:r>
          </w:p>
        </w:tc>
        <w:tc>
          <w:tcPr>
            <w:tcW w:w="720" w:type="dxa"/>
            <w:vAlign w:val="bottom"/>
          </w:tcPr>
          <w:p>
            <w:pPr>
              <w:spacing w:after="0"/>
              <w:rPr>
                <w:sz w:val="15"/>
                <w:szCs w:val="15"/>
                <w:color w:val="auto"/>
              </w:rPr>
            </w:pPr>
          </w:p>
        </w:tc>
      </w:tr>
      <w:tr>
        <w:trPr>
          <w:trHeight w:val="269"/>
        </w:trPr>
        <w:tc>
          <w:tcPr>
            <w:tcW w:w="2020" w:type="dxa"/>
            <w:vAlign w:val="bottom"/>
          </w:tcPr>
          <w:p>
            <w:pPr>
              <w:ind w:left="40"/>
              <w:spacing w:after="0"/>
              <w:rPr>
                <w:sz w:val="20"/>
                <w:szCs w:val="20"/>
                <w:color w:val="auto"/>
              </w:rPr>
            </w:pPr>
            <w:r>
              <w:rPr>
                <w:rFonts w:ascii="Arial" w:cs="Arial" w:eastAsia="Arial" w:hAnsi="Arial"/>
                <w:sz w:val="20"/>
                <w:szCs w:val="20"/>
                <w:color w:val="0000FF"/>
              </w:rPr>
              <w:t>FRAMINGHAM MA</w:t>
            </w:r>
          </w:p>
        </w:tc>
        <w:tc>
          <w:tcPr>
            <w:tcW w:w="720" w:type="dxa"/>
            <w:vAlign w:val="bottom"/>
          </w:tcPr>
          <w:p>
            <w:pPr>
              <w:jc w:val="right"/>
              <w:spacing w:after="0"/>
              <w:rPr>
                <w:sz w:val="20"/>
                <w:szCs w:val="20"/>
                <w:color w:val="auto"/>
              </w:rPr>
            </w:pPr>
            <w:r>
              <w:rPr>
                <w:rFonts w:ascii="Arial" w:cs="Arial" w:eastAsia="Arial" w:hAnsi="Arial"/>
                <w:sz w:val="20"/>
                <w:szCs w:val="20"/>
                <w:color w:val="0000FF"/>
              </w:rPr>
              <w:t>01701</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tbl>
      <w:tblPr>
        <w:tblLayout w:type="fixed"/>
        <w:tblInd w:w="18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10"/>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643"/>
        <w:spacing w:after="0"/>
        <w:rPr>
          <w:sz w:val="20"/>
          <w:szCs w:val="20"/>
          <w:color w:val="auto"/>
        </w:rPr>
      </w:pPr>
      <w:r>
        <w:rPr>
          <w:rFonts w:ascii="Arial" w:cs="Arial" w:eastAsia="Arial" w:hAnsi="Arial"/>
          <w:sz w:val="20"/>
          <w:szCs w:val="20"/>
          <w:color w:val="0000FF"/>
        </w:rPr>
        <w:t>Chief Financial Officer</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4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45" w:lineRule="exact"/>
        <w:rPr>
          <w:sz w:val="24"/>
          <w:szCs w:val="24"/>
          <w:color w:val="auto"/>
        </w:rPr>
      </w:pPr>
    </w:p>
    <w:p>
      <w:pPr>
        <w:sectPr>
          <w:pgSz w:w="11900" w:h="16838" w:orient="portrait"/>
          <w:cols w:equalWidth="0" w:num="3">
            <w:col w:w="4277" w:space="720"/>
            <w:col w:w="3003" w:space="269"/>
            <w:col w:w="2671"/>
          </w:cols>
          <w:pgMar w:left="480" w:top="236" w:right="479" w:bottom="751"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36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Class A common stock</w:t>
            </w:r>
          </w:p>
        </w:tc>
        <w:tc>
          <w:tcPr>
            <w:tcW w:w="3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tcPr>
          <w:p>
            <w:pPr>
              <w:jc w:val="center"/>
              <w:spacing w:after="0"/>
              <w:rPr>
                <w:sz w:val="20"/>
                <w:szCs w:val="20"/>
                <w:color w:val="auto"/>
              </w:rPr>
            </w:pPr>
            <w:r>
              <w:rPr>
                <w:rFonts w:ascii="Arial" w:cs="Arial" w:eastAsia="Arial" w:hAnsi="Arial"/>
                <w:sz w:val="20"/>
                <w:szCs w:val="20"/>
                <w:color w:val="0000FF"/>
                <w:w w:val="83"/>
              </w:rPr>
              <w:t>61,574</w:t>
            </w:r>
            <w:r>
              <w:rPr>
                <w:rFonts w:ascii="Arial" w:cs="Arial" w:eastAsia="Arial" w:hAnsi="Arial"/>
                <w:sz w:val="25"/>
                <w:szCs w:val="25"/>
                <w:color w:val="008000"/>
                <w:w w:val="83"/>
                <w:vertAlign w:val="superscript"/>
              </w:rPr>
              <w:t>(1)</w:t>
            </w:r>
          </w:p>
        </w:tc>
        <w:tc>
          <w:tcPr>
            <w:tcW w:w="920" w:type="dxa"/>
            <w:vAlign w:val="bottom"/>
            <w:tcBorders>
              <w:bottom w:val="single" w:sz="8" w:color="2C2C2C"/>
            </w:tcBorders>
            <w:gridSpan w:val="2"/>
          </w:tcPr>
          <w:p>
            <w:pPr>
              <w:ind w:left="740"/>
              <w:spacing w:after="0"/>
              <w:rPr>
                <w:sz w:val="20"/>
                <w:szCs w:val="20"/>
                <w:color w:val="auto"/>
              </w:rPr>
            </w:pPr>
            <w:r>
              <w:rPr>
                <w:rFonts w:ascii="Arial" w:cs="Arial" w:eastAsia="Arial" w:hAnsi="Arial"/>
                <w:sz w:val="20"/>
                <w:szCs w:val="20"/>
                <w:color w:val="0000FF"/>
              </w:rPr>
              <w:t>D</w:t>
            </w:r>
          </w:p>
        </w:tc>
        <w:tc>
          <w:tcPr>
            <w:tcW w:w="9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5460" w:type="dxa"/>
            <w:vAlign w:val="bottom"/>
            <w:tcBorders>
              <w:top w:val="single" w:sz="8" w:color="2C2C2C"/>
            </w:tcBorders>
            <w:gridSpan w:val="6"/>
          </w:tcPr>
          <w:p>
            <w:pPr>
              <w:ind w:left="10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76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26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0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4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4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6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4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2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2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4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0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720" w:type="dxa"/>
            <w:vAlign w:val="bottom"/>
          </w:tcPr>
          <w:p>
            <w:pPr>
              <w:spacing w:after="0"/>
              <w:rPr>
                <w:sz w:val="4"/>
                <w:szCs w:val="4"/>
                <w:color w:val="auto"/>
              </w:rPr>
            </w:pPr>
          </w:p>
        </w:tc>
        <w:tc>
          <w:tcPr>
            <w:tcW w:w="920" w:type="dxa"/>
            <w:vAlign w:val="bottom"/>
            <w:gridSpan w:val="2"/>
            <w:vMerge w:val="restart"/>
          </w:tcPr>
          <w:p>
            <w:pPr>
              <w:ind w:left="16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940" w:type="dxa"/>
            <w:vAlign w:val="bottom"/>
          </w:tcPr>
          <w:p>
            <w:pPr>
              <w:ind w:left="4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920" w:type="dxa"/>
            <w:vAlign w:val="bottom"/>
            <w:gridSpan w:val="2"/>
          </w:tcPr>
          <w:p>
            <w:pPr>
              <w:ind w:left="16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920" w:type="dxa"/>
            <w:vAlign w:val="bottom"/>
            <w:gridSpan w:val="2"/>
          </w:tcPr>
          <w:p>
            <w:pPr>
              <w:ind w:left="160"/>
              <w:spacing w:after="0" w:line="161"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20" w:type="dxa"/>
            <w:vAlign w:val="bottom"/>
          </w:tcPr>
          <w:p>
            <w:pPr>
              <w:spacing w:after="0"/>
              <w:rPr>
                <w:sz w:val="14"/>
                <w:szCs w:val="14"/>
                <w:color w:val="auto"/>
              </w:rPr>
            </w:pPr>
          </w:p>
        </w:tc>
        <w:tc>
          <w:tcPr>
            <w:tcW w:w="920" w:type="dxa"/>
            <w:vAlign w:val="bottom"/>
            <w:gridSpan w:val="2"/>
          </w:tcPr>
          <w:p>
            <w:pPr>
              <w:ind w:left="16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2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20" w:type="dxa"/>
            <w:vAlign w:val="bottom"/>
            <w:gridSpan w:val="2"/>
          </w:tcPr>
          <w:p>
            <w:pPr>
              <w:ind w:left="16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w w:val="93"/>
              </w:rPr>
              <w:t>LLC Units of AIDH Management</w:t>
            </w:r>
          </w:p>
        </w:tc>
        <w:tc>
          <w:tcPr>
            <w:tcW w:w="1280" w:type="dxa"/>
            <w:vAlign w:val="bottom"/>
            <w:gridSpan w:val="2"/>
            <w:vMerge w:val="restart"/>
          </w:tcPr>
          <w:p>
            <w:pPr>
              <w:jc w:val="right"/>
              <w:ind w:right="261"/>
              <w:spacing w:after="0"/>
              <w:rPr>
                <w:sz w:val="20"/>
                <w:szCs w:val="20"/>
                <w:color w:val="auto"/>
              </w:rPr>
            </w:pPr>
            <w:r>
              <w:rPr>
                <w:rFonts w:ascii="Arial" w:cs="Arial" w:eastAsia="Arial" w:hAnsi="Arial"/>
                <w:sz w:val="13"/>
                <w:szCs w:val="13"/>
                <w:color w:val="008000"/>
              </w:rPr>
              <w:t>(2)(3)</w:t>
            </w:r>
          </w:p>
        </w:tc>
        <w:tc>
          <w:tcPr>
            <w:tcW w:w="900" w:type="dxa"/>
            <w:vAlign w:val="bottom"/>
            <w:vMerge w:val="restart"/>
          </w:tcPr>
          <w:p>
            <w:pPr>
              <w:jc w:val="right"/>
              <w:ind w:right="229"/>
              <w:spacing w:after="0"/>
              <w:rPr>
                <w:sz w:val="20"/>
                <w:szCs w:val="20"/>
                <w:color w:val="auto"/>
              </w:rPr>
            </w:pPr>
            <w:r>
              <w:rPr>
                <w:rFonts w:ascii="Arial" w:cs="Arial" w:eastAsia="Arial" w:hAnsi="Arial"/>
                <w:sz w:val="13"/>
                <w:szCs w:val="13"/>
                <w:color w:val="008000"/>
              </w:rPr>
              <w:t>(2)(3)</w:t>
            </w:r>
          </w:p>
        </w:tc>
        <w:tc>
          <w:tcPr>
            <w:tcW w:w="1720" w:type="dxa"/>
            <w:vAlign w:val="bottom"/>
          </w:tcPr>
          <w:p>
            <w:pPr>
              <w:jc w:val="center"/>
              <w:spacing w:after="0"/>
              <w:rPr>
                <w:sz w:val="20"/>
                <w:szCs w:val="20"/>
                <w:color w:val="auto"/>
              </w:rPr>
            </w:pPr>
            <w:r>
              <w:rPr>
                <w:rFonts w:ascii="Arial" w:cs="Arial" w:eastAsia="Arial" w:hAnsi="Arial"/>
                <w:sz w:val="20"/>
                <w:szCs w:val="20"/>
                <w:color w:val="0000FF"/>
                <w:w w:val="89"/>
              </w:rPr>
              <w:t>Class A common</w:t>
            </w:r>
          </w:p>
        </w:tc>
        <w:tc>
          <w:tcPr>
            <w:tcW w:w="880" w:type="dxa"/>
            <w:vAlign w:val="bottom"/>
            <w:vMerge w:val="restart"/>
          </w:tcPr>
          <w:p>
            <w:pPr>
              <w:ind w:left="160"/>
              <w:spacing w:after="0"/>
              <w:rPr>
                <w:sz w:val="20"/>
                <w:szCs w:val="20"/>
                <w:color w:val="auto"/>
              </w:rPr>
            </w:pPr>
            <w:r>
              <w:rPr>
                <w:rFonts w:ascii="Arial" w:cs="Arial" w:eastAsia="Arial" w:hAnsi="Arial"/>
                <w:sz w:val="20"/>
                <w:szCs w:val="20"/>
                <w:color w:val="0000FF"/>
                <w:w w:val="96"/>
              </w:rPr>
              <w:t>486,827</w:t>
            </w:r>
          </w:p>
        </w:tc>
        <w:tc>
          <w:tcPr>
            <w:tcW w:w="40" w:type="dxa"/>
            <w:vAlign w:val="bottom"/>
          </w:tcPr>
          <w:p>
            <w:pPr>
              <w:spacing w:after="0"/>
              <w:rPr>
                <w:sz w:val="24"/>
                <w:szCs w:val="24"/>
                <w:color w:val="auto"/>
              </w:rPr>
            </w:pPr>
          </w:p>
        </w:tc>
        <w:tc>
          <w:tcPr>
            <w:tcW w:w="940" w:type="dxa"/>
            <w:vAlign w:val="bottom"/>
            <w:vMerge w:val="restart"/>
          </w:tcPr>
          <w:p>
            <w:pPr>
              <w:ind w:left="320"/>
              <w:spacing w:after="0"/>
              <w:rPr>
                <w:sz w:val="20"/>
                <w:szCs w:val="20"/>
                <w:color w:val="auto"/>
              </w:rPr>
            </w:pPr>
            <w:r>
              <w:rPr>
                <w:rFonts w:ascii="Arial" w:cs="Arial" w:eastAsia="Arial" w:hAnsi="Arial"/>
                <w:sz w:val="13"/>
                <w:szCs w:val="13"/>
                <w:color w:val="008000"/>
              </w:rPr>
              <w:t>(2)(3)</w:t>
            </w:r>
          </w:p>
        </w:tc>
        <w:tc>
          <w:tcPr>
            <w:tcW w:w="940" w:type="dxa"/>
            <w:vAlign w:val="bottom"/>
            <w:vMerge w:val="restart"/>
          </w:tcPr>
          <w:p>
            <w:pPr>
              <w:ind w:left="400"/>
              <w:spacing w:after="0"/>
              <w:rPr>
                <w:sz w:val="20"/>
                <w:szCs w:val="20"/>
                <w:color w:val="auto"/>
              </w:rPr>
            </w:pPr>
            <w:r>
              <w:rPr>
                <w:rFonts w:ascii="Arial" w:cs="Arial" w:eastAsia="Arial" w:hAnsi="Arial"/>
                <w:sz w:val="20"/>
                <w:szCs w:val="20"/>
                <w:color w:val="0000FF"/>
              </w:rPr>
              <w:t>D</w:t>
            </w: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760" w:type="dxa"/>
            <w:vAlign w:val="bottom"/>
            <w:vMerge w:val="restart"/>
          </w:tcPr>
          <w:p>
            <w:pPr>
              <w:ind w:left="80"/>
              <w:spacing w:after="0"/>
              <w:rPr>
                <w:sz w:val="20"/>
                <w:szCs w:val="20"/>
                <w:color w:val="auto"/>
              </w:rPr>
            </w:pPr>
            <w:r>
              <w:rPr>
                <w:rFonts w:ascii="Arial" w:cs="Arial" w:eastAsia="Arial" w:hAnsi="Arial"/>
                <w:sz w:val="20"/>
                <w:szCs w:val="20"/>
                <w:color w:val="0000FF"/>
              </w:rPr>
              <w:t>Holdings, LLC</w:t>
            </w:r>
          </w:p>
        </w:tc>
        <w:tc>
          <w:tcPr>
            <w:tcW w:w="1280" w:type="dxa"/>
            <w:vAlign w:val="bottom"/>
            <w:gridSpan w:val="2"/>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1720" w:type="dxa"/>
            <w:vAlign w:val="bottom"/>
            <w:vMerge w:val="restart"/>
          </w:tcPr>
          <w:p>
            <w:pPr>
              <w:jc w:val="center"/>
              <w:spacing w:after="0"/>
              <w:rPr>
                <w:sz w:val="20"/>
                <w:szCs w:val="20"/>
                <w:color w:val="auto"/>
              </w:rPr>
            </w:pPr>
            <w:r>
              <w:rPr>
                <w:rFonts w:ascii="Arial" w:cs="Arial" w:eastAsia="Arial" w:hAnsi="Arial"/>
                <w:sz w:val="20"/>
                <w:szCs w:val="20"/>
                <w:color w:val="0000FF"/>
                <w:w w:val="85"/>
              </w:rPr>
              <w:t>stock</w:t>
            </w:r>
          </w:p>
        </w:tc>
        <w:tc>
          <w:tcPr>
            <w:tcW w:w="8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720" w:type="dxa"/>
            <w:vAlign w:val="bottom"/>
            <w:vMerge w:val="continue"/>
          </w:tcPr>
          <w:p>
            <w:pPr>
              <w:spacing w:after="0"/>
              <w:rPr>
                <w:sz w:val="10"/>
                <w:szCs w:val="10"/>
                <w:color w:val="auto"/>
              </w:rPr>
            </w:pPr>
          </w:p>
        </w:tc>
        <w:tc>
          <w:tcPr>
            <w:tcW w:w="8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18"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4"/>
          <w:szCs w:val="24"/>
          <w:color w:val="auto"/>
        </w:rPr>
      </w:pPr>
    </w:p>
    <w:p>
      <w:pPr>
        <w:ind w:left="40" w:right="80" w:firstLine="5"/>
        <w:spacing w:after="0" w:line="267" w:lineRule="auto"/>
        <w:tabs>
          <w:tab w:leader="none" w:pos="19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Represents (i) 7,407 shares of Class A common stock and (ii) 54,167 restricted stock units subject to time-based vesting, 25% of which vest on the first anniversary of the date of grant, and the remaining 75% of which vest in substantially equal installments at the end of each three-month period measured from the first anniversary of the date of grant for a period of 36 months, subject to the Reporting Person's continued service with the Issuer and the terms of the applicable award agreement.</w:t>
      </w:r>
    </w:p>
    <w:p>
      <w:pPr>
        <w:spacing w:after="0" w:line="17" w:lineRule="exact"/>
        <w:rPr>
          <w:rFonts w:ascii="Arial" w:cs="Arial" w:eastAsia="Arial" w:hAnsi="Arial"/>
          <w:sz w:val="14"/>
          <w:szCs w:val="14"/>
          <w:color w:val="008000"/>
        </w:rPr>
      </w:pPr>
    </w:p>
    <w:p>
      <w:pPr>
        <w:ind w:left="40" w:right="200" w:firstLine="5"/>
        <w:spacing w:after="0" w:line="236"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AIDH Management Holdings, LLC ("Management Holdings") is a special purpose investment vehicle through which interests in AIDH Topco, LLC are indirectly owned. Certain unvested awards vest in equal installments on each of the first, second and third anniversaries of the Issuer's initial public offering, and the remainder of the unvested awards continue to vest pursuant to a four-year annual vesting schedule. Once vested the Reporting Person may exchange LLC Units of Management Holdings for LLC Units of AIDH Topco, LLC on a one-for-one basis, which are exchanged for shares of Class A common stock of the Issuer on a one-for-one basis, subject to certain exceptions, conditions and adjustments. The LLC Units of Management Holdings have no expiration date.</w:t>
      </w:r>
    </w:p>
    <w:p>
      <w:pPr>
        <w:spacing w:after="0" w:line="37" w:lineRule="exact"/>
        <w:rPr>
          <w:rFonts w:ascii="Arial" w:cs="Arial" w:eastAsia="Arial" w:hAnsi="Arial"/>
          <w:sz w:val="15"/>
          <w:szCs w:val="15"/>
          <w:color w:val="008000"/>
        </w:rPr>
      </w:pPr>
    </w:p>
    <w:p>
      <w:pPr>
        <w:ind w:left="40" w:right="160" w:firstLine="5"/>
        <w:spacing w:after="0" w:line="283" w:lineRule="auto"/>
        <w:tabs>
          <w:tab w:leader="none" w:pos="19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(Continued from Footnote 2) At the time of any such exchange, an equal number of shares of Class B Common Stock of the Issuer held by the Reporting Person, which have no economic value and entitle holders thereof to one vote per share on all matters on which stockholders of the Issuer are entitled to vote generally, are cancelled.</w:t>
      </w:r>
    </w:p>
    <w:p>
      <w:pPr>
        <w:spacing w:after="0" w:line="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24 - Power of Attorney</w:t>
      </w:r>
    </w:p>
    <w:p>
      <w:pPr>
        <w:spacing w:after="0" w:line="38"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6"/>
              </w:rPr>
              <w:t>By: /s/ David Samuels, as</w:t>
            </w:r>
          </w:p>
        </w:tc>
        <w:tc>
          <w:tcPr>
            <w:tcW w:w="18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09/15/2021</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751" w:gutter="0" w:footer="0" w:header="0"/>
          <w:type w:val="continuous"/>
        </w:sectPr>
      </w:pPr>
    </w:p>
    <w:bookmarkStart w:id="1" w:name="page2"/>
    <w:bookmarkEnd w:id="1"/>
    <w:p>
      <w:pPr>
        <w:ind w:left="3620"/>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739" w:firstLine="936"/>
        <w:spacing w:after="0" w:line="271"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Jason Krantz, Richard Booth and David Samuels of Definitive Healthcare Corp. (the "Company") or any of them signing singly, and with full power of substitution, the undersigned's true and lawful attorney-in-fact to:</w:t>
      </w:r>
    </w:p>
    <w:p>
      <w:pPr>
        <w:spacing w:after="0" w:line="205" w:lineRule="exact"/>
        <w:rPr>
          <w:sz w:val="20"/>
          <w:szCs w:val="20"/>
          <w:color w:val="auto"/>
        </w:rPr>
      </w:pPr>
    </w:p>
    <w:p>
      <w:pPr>
        <w:ind w:left="1520" w:right="619" w:hanging="584"/>
        <w:spacing w:after="0" w:line="268" w:lineRule="auto"/>
        <w:tabs>
          <w:tab w:leader="none" w:pos="15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or any rule or regulation of the SEC;</w:t>
      </w:r>
    </w:p>
    <w:p>
      <w:pPr>
        <w:spacing w:after="0" w:line="206" w:lineRule="exact"/>
        <w:rPr>
          <w:rFonts w:ascii="Courier New" w:cs="Courier New" w:eastAsia="Courier New" w:hAnsi="Courier New"/>
          <w:sz w:val="18"/>
          <w:szCs w:val="18"/>
          <w:color w:val="auto"/>
        </w:rPr>
      </w:pPr>
    </w:p>
    <w:p>
      <w:pPr>
        <w:ind w:left="1520" w:right="739" w:hanging="584"/>
        <w:spacing w:after="0" w:line="237" w:lineRule="auto"/>
        <w:tabs>
          <w:tab w:leader="none" w:pos="1520"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with respect to the Company, Schedules 13D and 13G and Forms 3, 4, and 5 in accordance with Sections 13 and 16(a) of the Securities Exchange Act of 1934 and the rules thereunder;</w:t>
      </w:r>
    </w:p>
    <w:p>
      <w:pPr>
        <w:spacing w:after="0" w:line="230" w:lineRule="exact"/>
        <w:rPr>
          <w:rFonts w:ascii="Courier New" w:cs="Courier New" w:eastAsia="Courier New" w:hAnsi="Courier New"/>
          <w:sz w:val="20"/>
          <w:szCs w:val="20"/>
          <w:color w:val="auto"/>
        </w:rPr>
      </w:pPr>
    </w:p>
    <w:p>
      <w:pPr>
        <w:ind w:left="1520" w:right="619" w:hanging="584"/>
        <w:spacing w:after="0" w:line="237" w:lineRule="auto"/>
        <w:tabs>
          <w:tab w:leader="none" w:pos="1520"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Schedules 13D or 13G or Form 3, 4, or 5, complete and execute any amendment or amendments thereto, and timely file such form with the SEC and any stock exchange or similar authority; and</w:t>
      </w:r>
    </w:p>
    <w:p>
      <w:pPr>
        <w:spacing w:after="0" w:line="233" w:lineRule="exact"/>
        <w:rPr>
          <w:rFonts w:ascii="Courier New" w:cs="Courier New" w:eastAsia="Courier New" w:hAnsi="Courier New"/>
          <w:sz w:val="20"/>
          <w:szCs w:val="20"/>
          <w:color w:val="auto"/>
        </w:rPr>
      </w:pPr>
    </w:p>
    <w:p>
      <w:pPr>
        <w:ind w:left="1520" w:right="619" w:hanging="584"/>
        <w:spacing w:after="0" w:line="237" w:lineRule="auto"/>
        <w:tabs>
          <w:tab w:leader="none" w:pos="1520"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36" w:lineRule="exact"/>
        <w:rPr>
          <w:sz w:val="20"/>
          <w:szCs w:val="20"/>
          <w:color w:val="auto"/>
        </w:rPr>
      </w:pPr>
    </w:p>
    <w:p>
      <w:pPr>
        <w:ind w:right="739" w:firstLine="936"/>
        <w:spacing w:after="0" w:line="238" w:lineRule="auto"/>
        <w:rPr>
          <w:sz w:val="20"/>
          <w:szCs w:val="20"/>
          <w:color w:val="auto"/>
        </w:rPr>
      </w:pPr>
      <w:r>
        <w:rPr>
          <w:rFonts w:ascii="Courier New" w:cs="Courier New" w:eastAsia="Courier New" w:hAnsi="Courier New"/>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Sections 13 and 16 of the Securities Exchange Act of 1934.</w:t>
      </w:r>
    </w:p>
    <w:p>
      <w:pPr>
        <w:spacing w:after="0" w:line="231" w:lineRule="exact"/>
        <w:rPr>
          <w:sz w:val="20"/>
          <w:szCs w:val="20"/>
          <w:color w:val="auto"/>
        </w:rPr>
      </w:pPr>
    </w:p>
    <w:p>
      <w:pPr>
        <w:jc w:val="both"/>
        <w:ind w:right="739" w:firstLine="936"/>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32" w:lineRule="exact"/>
        <w:rPr>
          <w:sz w:val="20"/>
          <w:szCs w:val="20"/>
          <w:color w:val="auto"/>
        </w:rPr>
      </w:pPr>
    </w:p>
    <w:p>
      <w:pPr>
        <w:ind w:right="619" w:firstLine="936"/>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8th day of August, 2021.</w:t>
      </w:r>
    </w:p>
    <w:p>
      <w:pPr>
        <w:spacing w:after="0" w:line="200" w:lineRule="exact"/>
        <w:rPr>
          <w:sz w:val="20"/>
          <w:szCs w:val="20"/>
          <w:color w:val="auto"/>
        </w:rPr>
      </w:pPr>
    </w:p>
    <w:p>
      <w:pPr>
        <w:spacing w:after="0" w:line="249" w:lineRule="exact"/>
        <w:rPr>
          <w:sz w:val="20"/>
          <w:szCs w:val="20"/>
          <w:color w:val="auto"/>
        </w:rPr>
      </w:pPr>
    </w:p>
    <w:p>
      <w:pPr>
        <w:ind w:left="4680"/>
        <w:spacing w:after="0"/>
        <w:rPr>
          <w:sz w:val="20"/>
          <w:szCs w:val="20"/>
          <w:color w:val="auto"/>
        </w:rPr>
      </w:pPr>
      <w:r>
        <w:rPr>
          <w:rFonts w:ascii="Courier New" w:cs="Courier New" w:eastAsia="Courier New" w:hAnsi="Courier New"/>
          <w:sz w:val="20"/>
          <w:szCs w:val="20"/>
          <w:color w:val="auto"/>
        </w:rPr>
        <w:t>By: /s/ Richard Booth</w:t>
      </w:r>
    </w:p>
    <w:p>
      <w:pPr>
        <w:spacing w:after="0" w:line="5" w:lineRule="exact"/>
        <w:rPr>
          <w:sz w:val="20"/>
          <w:szCs w:val="20"/>
          <w:color w:val="auto"/>
        </w:rPr>
      </w:pPr>
    </w:p>
    <w:p>
      <w:pPr>
        <w:ind w:left="4680"/>
        <w:spacing w:after="0"/>
        <w:rPr>
          <w:sz w:val="20"/>
          <w:szCs w:val="20"/>
          <w:color w:val="auto"/>
        </w:rPr>
      </w:pPr>
      <w:r>
        <w:rPr>
          <w:rFonts w:ascii="Courier New" w:cs="Courier New" w:eastAsia="Courier New" w:hAnsi="Courier New"/>
          <w:sz w:val="18"/>
          <w:szCs w:val="18"/>
          <w:color w:val="auto"/>
        </w:rPr>
        <w:t>----------------------------------------</w:t>
      </w:r>
    </w:p>
    <w:p>
      <w:pPr>
        <w:spacing w:after="0" w:line="15" w:lineRule="exact"/>
        <w:rPr>
          <w:sz w:val="20"/>
          <w:szCs w:val="20"/>
          <w:color w:val="auto"/>
        </w:rPr>
      </w:pPr>
    </w:p>
    <w:p>
      <w:pPr>
        <w:ind w:left="4680"/>
        <w:spacing w:after="0"/>
        <w:rPr>
          <w:sz w:val="20"/>
          <w:szCs w:val="20"/>
          <w:color w:val="auto"/>
        </w:rPr>
      </w:pPr>
      <w:r>
        <w:rPr>
          <w:rFonts w:ascii="Courier New" w:cs="Courier New" w:eastAsia="Courier New" w:hAnsi="Courier New"/>
          <w:sz w:val="20"/>
          <w:szCs w:val="20"/>
          <w:color w:val="auto"/>
        </w:rPr>
        <w:t>Name: Richard Booth</w:t>
      </w:r>
    </w:p>
    <w:sectPr>
      <w:pgSz w:w="11900" w:h="16838" w:orient="portrait"/>
      <w:cols w:equalWidth="0" w:num="1">
        <w:col w:w="9979"/>
      </w:cols>
      <w:pgMar w:left="4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641054" TargetMode="External"/><Relationship Id="rId11" Type="http://schemas.openxmlformats.org/officeDocument/2006/relationships/hyperlink" Target="http://www.sec.gov/cgi-bin/browse-edgar?action=getcompany&amp;CIK=000186179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2021-09-15T19:34:02Z</dcterms:created>
  <dcterms:modified xsi:type="dcterms:W3CDTF">2021-09-15T19:34:02Z</dcterms:modified>
</cp:coreProperties>
</file>