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Arial" w:cs="Arial" w:eastAsia="Arial" w:hAnsi="Arial"/>
          <w:sz w:val="19"/>
          <w:szCs w:val="19"/>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310" w:lineRule="exact"/>
        <w:rPr>
          <w:sz w:val="24"/>
          <w:szCs w:val="24"/>
          <w:color w:val="auto"/>
        </w:rPr>
      </w:pPr>
    </w:p>
    <w:p>
      <w:pPr>
        <w:ind w:left="320"/>
        <w:spacing w:after="0" w:line="26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-183515</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060" w:type="dxa"/>
            <w:vAlign w:val="bottom"/>
          </w:tcPr>
          <w:p>
            <w:pPr>
              <w:jc w:val="center"/>
              <w:ind w:right="423"/>
              <w:spacing w:after="0"/>
              <w:rPr>
                <w:sz w:val="20"/>
                <w:szCs w:val="20"/>
                <w:color w:val="auto"/>
              </w:rPr>
            </w:pPr>
            <w:r>
              <w:rPr>
                <w:rFonts w:ascii="Arial" w:cs="Arial" w:eastAsia="Arial" w:hAnsi="Arial"/>
                <w:sz w:val="19"/>
                <w:szCs w:val="19"/>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03"/>
              <w:spacing w:after="0" w:line="122"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60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40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7"/>
        </w:trPr>
        <w:tc>
          <w:tcPr>
            <w:tcW w:w="60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jc w:val="center"/>
              <w:ind w:right="403"/>
              <w:spacing w:after="0" w:line="172" w:lineRule="exact"/>
              <w:rPr>
                <w:sz w:val="20"/>
                <w:szCs w:val="20"/>
                <w:color w:val="auto"/>
              </w:rPr>
            </w:pPr>
            <w:r>
              <w:rPr>
                <w:rFonts w:ascii="Arial" w:cs="Arial" w:eastAsia="Arial" w:hAnsi="Arial"/>
                <w:sz w:val="19"/>
                <w:szCs w:val="19"/>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0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060" w:type="dxa"/>
            <w:vAlign w:val="bottom"/>
            <w:vMerge w:val="restart"/>
          </w:tcPr>
          <w:p>
            <w:pPr>
              <w:jc w:val="center"/>
              <w:ind w:right="403"/>
              <w:spacing w:after="0"/>
              <w:rPr>
                <w:sz w:val="20"/>
                <w:szCs w:val="20"/>
                <w:color w:val="auto"/>
              </w:rPr>
            </w:pPr>
            <w:r>
              <w:rPr>
                <w:rFonts w:ascii="Arial" w:cs="Arial" w:eastAsia="Arial" w:hAnsi="Arial"/>
                <w:sz w:val="12"/>
                <w:szCs w:val="12"/>
                <w:color w:val="auto"/>
                <w:w w:val="98"/>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60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5137150</wp:posOffset>
            </wp:positionH>
            <wp:positionV relativeFrom="paragraph">
              <wp:posOffset>-577215</wp:posOffset>
            </wp:positionV>
            <wp:extent cx="55245" cy="5905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45" cy="590550"/>
                    </a:xfrm>
                    <a:prstGeom prst="rect">
                      <a:avLst/>
                    </a:prstGeom>
                    <a:noFill/>
                  </pic:spPr>
                </pic:pic>
              </a:graphicData>
            </a:graphic>
          </wp:anchor>
        </w:drawing>
        <w:drawing>
          <wp:anchor simplePos="0" relativeHeight="251657728" behindDoc="1" locked="0" layoutInCell="0" allowOverlap="1">
            <wp:simplePos x="0" y="0"/>
            <wp:positionH relativeFrom="column">
              <wp:posOffset>3841115</wp:posOffset>
            </wp:positionH>
            <wp:positionV relativeFrom="paragraph">
              <wp:posOffset>-577215</wp:posOffset>
            </wp:positionV>
            <wp:extent cx="55245" cy="590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90550"/>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13335</wp:posOffset>
            </wp:positionV>
            <wp:extent cx="7004050" cy="9486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4050" cy="9486265"/>
                    </a:xfrm>
                    <a:prstGeom prst="rect">
                      <a:avLst/>
                    </a:prstGeom>
                    <a:noFill/>
                  </pic:spPr>
                </pic:pic>
              </a:graphicData>
            </a:graphic>
          </wp:anchor>
        </w:drawing>
      </w:r>
    </w:p>
    <w:p>
      <w:pPr>
        <w:spacing w:after="0" w:line="36" w:lineRule="exact"/>
        <w:rPr>
          <w:sz w:val="24"/>
          <w:szCs w:val="24"/>
          <w:color w:val="auto"/>
        </w:rPr>
      </w:pPr>
    </w:p>
    <w:p>
      <w:pPr>
        <w:sectPr>
          <w:pgSz w:w="11900" w:h="16856" w:orient="portrait"/>
          <w:cols w:equalWidth="0" w:num="2">
            <w:col w:w="2260" w:space="520"/>
            <w:col w:w="8300"/>
          </w:cols>
          <w:pgMar w:left="460" w:top="215" w:right="359" w:bottom="0" w:gutter="0" w:footer="0" w:header="0"/>
        </w:sectPr>
      </w:pPr>
    </w:p>
    <w:tbl>
      <w:tblPr>
        <w:tblLayout w:type="fixed"/>
        <w:tblInd w:w="0" w:type="dxa"/>
        <w:tblCellMar>
          <w:top w:w="0" w:type="dxa"/>
          <w:left w:w="0" w:type="dxa"/>
          <w:bottom w:w="0" w:type="dxa"/>
          <w:right w:w="0" w:type="dxa"/>
        </w:tblCellMar>
      </w:tblPr>
      <w:tr>
        <w:trPr>
          <w:trHeight w:val="218"/>
        </w:trPr>
        <w:tc>
          <w:tcPr>
            <w:tcW w:w="254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gridSpan w:val="3"/>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3"/>
            <w:vMerge w:val="restart"/>
          </w:tcPr>
          <w:p>
            <w:pPr>
              <w:spacing w:after="0"/>
              <w:rPr>
                <w:rFonts w:ascii="Arial" w:cs="Arial" w:eastAsia="Arial" w:hAnsi="Arial"/>
                <w:sz w:val="19"/>
                <w:szCs w:val="19"/>
                <w:color w:val="0000EE"/>
              </w:rPr>
            </w:pPr>
            <w:hyperlink r:id="rId12">
              <w:r>
                <w:rPr>
                  <w:rFonts w:ascii="Arial" w:cs="Arial" w:eastAsia="Arial" w:hAnsi="Arial"/>
                  <w:sz w:val="19"/>
                  <w:szCs w:val="19"/>
                  <w:color w:val="0000EE"/>
                </w:rPr>
                <w:t>SEA VII Management, LLC</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95" w:lineRule="exact"/>
              <w:rPr>
                <w:rFonts w:ascii="Arial" w:cs="Arial" w:eastAsia="Arial" w:hAnsi="Arial"/>
                <w:sz w:val="10"/>
                <w:szCs w:val="10"/>
                <w:color w:val="0000EE"/>
              </w:rPr>
            </w:pPr>
            <w:hyperlink r:id="rId13">
              <w:r>
                <w:rPr>
                  <w:rFonts w:ascii="Arial" w:cs="Arial" w:eastAsia="Arial" w:hAnsi="Arial"/>
                  <w:sz w:val="10"/>
                  <w:szCs w:val="10"/>
                  <w:color w:val="0000EE"/>
                </w:rPr>
                <w:t xml:space="preserve">Definitive Healthcare Corp. </w:t>
              </w:r>
            </w:hyperlink>
            <w:r>
              <w:rPr>
                <w:rFonts w:ascii="Arial" w:cs="Arial" w:eastAsia="Arial" w:hAnsi="Arial"/>
                <w:sz w:val="10"/>
                <w:szCs w:val="10"/>
                <w:color w:val="000000"/>
              </w:rPr>
              <w:t>[</w:t>
            </w:r>
            <w:r>
              <w:rPr>
                <w:rFonts w:ascii="Arial" w:cs="Arial" w:eastAsia="Arial" w:hAnsi="Arial"/>
                <w:sz w:val="10"/>
                <w:szCs w:val="10"/>
                <w:color w:val="0000EE"/>
              </w:rPr>
              <w:t xml:space="preserve"> </w:t>
            </w:r>
            <w:r>
              <w:rPr>
                <w:rFonts w:ascii="Arial" w:cs="Arial" w:eastAsia="Arial" w:hAnsi="Arial"/>
                <w:sz w:val="9"/>
                <w:szCs w:val="9"/>
                <w:color w:val="0000FF"/>
              </w:rPr>
              <w:t>DH</w:t>
            </w:r>
            <w:r>
              <w:rPr>
                <w:rFonts w:ascii="Arial" w:cs="Arial" w:eastAsia="Arial" w:hAnsi="Arial"/>
                <w:sz w:val="10"/>
                <w:szCs w:val="10"/>
                <w:color w:val="0000EE"/>
              </w:rPr>
              <w:t xml:space="preserve"> </w:t>
            </w:r>
            <w:r>
              <w:rPr>
                <w:rFonts w:ascii="Arial" w:cs="Arial" w:eastAsia="Arial" w:hAnsi="Arial"/>
                <w:sz w:val="10"/>
                <w:szCs w:val="10"/>
                <w:color w:val="000000"/>
              </w:rPr>
              <w:t>]</w:t>
            </w:r>
          </w:p>
        </w:tc>
        <w:tc>
          <w:tcPr>
            <w:tcW w:w="1640" w:type="dxa"/>
            <w:vAlign w:val="bottom"/>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4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40" w:type="dxa"/>
            <w:vAlign w:val="bottom"/>
            <w:gridSpan w:val="3"/>
            <w:vMerge w:val="continue"/>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120" w:type="dxa"/>
            <w:vAlign w:val="bottom"/>
            <w:tcBorders>
              <w:bottom w:val="single" w:sz="8" w:color="0000EE"/>
            </w:tcBorders>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vMerge w:val="restart"/>
          </w:tcPr>
          <w:p>
            <w:pPr>
              <w:ind w:left="260"/>
              <w:spacing w:after="0"/>
              <w:rPr>
                <w:sz w:val="20"/>
                <w:szCs w:val="20"/>
                <w:color w:val="auto"/>
              </w:rPr>
            </w:pPr>
            <w:r>
              <w:rPr>
                <w:rFonts w:ascii="Arial" w:cs="Arial" w:eastAsia="Arial" w:hAnsi="Arial"/>
                <w:sz w:val="15"/>
                <w:szCs w:val="15"/>
                <w:color w:val="0000FF"/>
              </w:rPr>
              <w:t xml:space="preserve">X   </w:t>
            </w:r>
            <w:r>
              <w:rPr>
                <w:rFonts w:ascii="Arial" w:cs="Arial" w:eastAsia="Arial" w:hAnsi="Arial"/>
                <w:sz w:val="11"/>
                <w:szCs w:val="11"/>
                <w:color w:val="000000"/>
              </w:rPr>
              <w:t>Director</w:t>
            </w:r>
          </w:p>
        </w:tc>
        <w:tc>
          <w:tcPr>
            <w:tcW w:w="1660" w:type="dxa"/>
            <w:vAlign w:val="bottom"/>
            <w:vMerge w:val="restart"/>
          </w:tcPr>
          <w:p>
            <w:pPr>
              <w:ind w:left="200"/>
              <w:spacing w:after="0"/>
              <w:rPr>
                <w:sz w:val="20"/>
                <w:szCs w:val="20"/>
                <w:color w:val="auto"/>
              </w:rPr>
            </w:pPr>
            <w:r>
              <w:rPr>
                <w:rFonts w:ascii="Arial" w:cs="Arial" w:eastAsia="Arial" w:hAnsi="Arial"/>
                <w:sz w:val="15"/>
                <w:szCs w:val="15"/>
                <w:color w:val="0000FF"/>
              </w:rPr>
              <w:t xml:space="preserve">X   </w:t>
            </w:r>
            <w:r>
              <w:rPr>
                <w:rFonts w:ascii="Arial" w:cs="Arial" w:eastAsia="Arial" w:hAnsi="Arial"/>
                <w:sz w:val="11"/>
                <w:szCs w:val="11"/>
                <w:color w:val="000000"/>
              </w:rPr>
              <w:t>10% Owner</w:t>
            </w:r>
          </w:p>
        </w:tc>
        <w:tc>
          <w:tcPr>
            <w:tcW w:w="0" w:type="dxa"/>
            <w:vAlign w:val="bottom"/>
          </w:tcPr>
          <w:p>
            <w:pPr>
              <w:spacing w:after="0"/>
              <w:rPr>
                <w:sz w:val="1"/>
                <w:szCs w:val="1"/>
                <w:color w:val="auto"/>
              </w:rPr>
            </w:pPr>
          </w:p>
        </w:tc>
      </w:tr>
      <w:tr>
        <w:trPr>
          <w:trHeight w:val="51"/>
        </w:trPr>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4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Borders>
              <w:top w:val="single" w:sz="8" w:color="0000EE"/>
            </w:tcBorders>
          </w:tcPr>
          <w:p>
            <w:pPr>
              <w:spacing w:after="0"/>
              <w:rPr>
                <w:sz w:val="7"/>
                <w:szCs w:val="7"/>
                <w:color w:val="auto"/>
              </w:rPr>
            </w:pPr>
          </w:p>
        </w:tc>
        <w:tc>
          <w:tcPr>
            <w:tcW w:w="1100" w:type="dxa"/>
            <w:vAlign w:val="bottom"/>
            <w:tcBorders>
              <w:top w:val="single" w:sz="8" w:color="0000EE"/>
            </w:tcBorders>
          </w:tcPr>
          <w:p>
            <w:pPr>
              <w:spacing w:after="0"/>
              <w:rPr>
                <w:sz w:val="7"/>
                <w:szCs w:val="7"/>
                <w:color w:val="auto"/>
              </w:rPr>
            </w:pPr>
          </w:p>
        </w:tc>
        <w:tc>
          <w:tcPr>
            <w:tcW w:w="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1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64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212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64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660" w:type="dxa"/>
            <w:vAlign w:val="bottom"/>
            <w:vMerge w:val="restart"/>
          </w:tcPr>
          <w:p>
            <w:pPr>
              <w:ind w:left="5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4"/>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640" w:type="dxa"/>
            <w:vAlign w:val="bottom"/>
            <w:vMerge w:val="continue"/>
          </w:tcPr>
          <w:p>
            <w:pPr>
              <w:spacing w:after="0"/>
              <w:rPr>
                <w:sz w:val="8"/>
                <w:szCs w:val="8"/>
                <w:color w:val="auto"/>
              </w:rPr>
            </w:pPr>
          </w:p>
        </w:tc>
        <w:tc>
          <w:tcPr>
            <w:tcW w:w="1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12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640" w:type="dxa"/>
            <w:vAlign w:val="bottom"/>
            <w:vMerge w:val="restart"/>
          </w:tcPr>
          <w:p>
            <w:pPr>
              <w:ind w:left="580"/>
              <w:spacing w:after="0"/>
              <w:rPr>
                <w:sz w:val="20"/>
                <w:szCs w:val="20"/>
                <w:color w:val="auto"/>
              </w:rPr>
            </w:pPr>
            <w:r>
              <w:rPr>
                <w:rFonts w:ascii="Arial" w:cs="Arial" w:eastAsia="Arial" w:hAnsi="Arial"/>
                <w:sz w:val="12"/>
                <w:szCs w:val="12"/>
                <w:color w:val="auto"/>
              </w:rPr>
              <w:t>below)</w:t>
            </w:r>
          </w:p>
        </w:tc>
        <w:tc>
          <w:tcPr>
            <w:tcW w:w="1660" w:type="dxa"/>
            <w:vAlign w:val="bottom"/>
            <w:vMerge w:val="restart"/>
          </w:tcPr>
          <w:p>
            <w:pPr>
              <w:ind w:left="5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46"/>
        </w:trPr>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60" w:type="dxa"/>
            <w:vAlign w:val="bottom"/>
          </w:tcPr>
          <w:p>
            <w:pPr>
              <w:spacing w:after="0" w:line="46" w:lineRule="exact"/>
              <w:rPr>
                <w:sz w:val="20"/>
                <w:szCs w:val="20"/>
                <w:color w:val="auto"/>
              </w:rPr>
            </w:pPr>
            <w:r>
              <w:rPr>
                <w:rFonts w:ascii="Arial" w:cs="Arial" w:eastAsia="Arial" w:hAnsi="Arial"/>
                <w:sz w:val="5"/>
                <w:szCs w:val="5"/>
                <w:color w:val="auto"/>
              </w:rPr>
              <w:t>(Last)</w:t>
            </w:r>
          </w:p>
        </w:tc>
        <w:tc>
          <w:tcPr>
            <w:tcW w:w="1380" w:type="dxa"/>
            <w:vAlign w:val="bottom"/>
            <w:gridSpan w:val="2"/>
          </w:tcPr>
          <w:p>
            <w:pPr>
              <w:ind w:left="160"/>
              <w:spacing w:after="0" w:line="46" w:lineRule="exact"/>
              <w:rPr>
                <w:sz w:val="20"/>
                <w:szCs w:val="20"/>
                <w:color w:val="auto"/>
              </w:rPr>
            </w:pPr>
            <w:r>
              <w:rPr>
                <w:rFonts w:ascii="Arial" w:cs="Arial" w:eastAsia="Arial" w:hAnsi="Arial"/>
                <w:sz w:val="5"/>
                <w:szCs w:val="5"/>
                <w:color w:val="auto"/>
              </w:rPr>
              <w:t>(First)</w:t>
            </w:r>
          </w:p>
        </w:tc>
        <w:tc>
          <w:tcPr>
            <w:tcW w:w="5140" w:type="dxa"/>
            <w:vAlign w:val="bottom"/>
            <w:gridSpan w:val="5"/>
          </w:tcPr>
          <w:p>
            <w:pPr>
              <w:ind w:left="20"/>
              <w:spacing w:after="0" w:line="46" w:lineRule="exact"/>
              <w:rPr>
                <w:sz w:val="20"/>
                <w:szCs w:val="20"/>
                <w:color w:val="auto"/>
              </w:rPr>
            </w:pPr>
            <w:r>
              <w:rPr>
                <w:rFonts w:ascii="Arial" w:cs="Arial" w:eastAsia="Arial" w:hAnsi="Arial"/>
                <w:sz w:val="5"/>
                <w:szCs w:val="5"/>
                <w:color w:val="auto"/>
              </w:rPr>
              <w:t>(Middle)</w:t>
            </w:r>
          </w:p>
        </w:tc>
        <w:tc>
          <w:tcPr>
            <w:tcW w:w="1640" w:type="dxa"/>
            <w:vAlign w:val="bottom"/>
            <w:vMerge w:val="continue"/>
          </w:tcPr>
          <w:p>
            <w:pPr>
              <w:spacing w:after="0"/>
              <w:rPr>
                <w:sz w:val="3"/>
                <w:szCs w:val="3"/>
                <w:color w:val="auto"/>
              </w:rPr>
            </w:pPr>
          </w:p>
        </w:tc>
        <w:tc>
          <w:tcPr>
            <w:tcW w:w="16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Arial" w:cs="Arial" w:eastAsia="Arial" w:hAnsi="Arial"/>
                <w:sz w:val="15"/>
                <w:szCs w:val="15"/>
                <w:color w:val="0000FF"/>
                <w:w w:val="98"/>
              </w:rPr>
              <w:t>140 NEW MONTGOMERY STREET,</w:t>
            </w: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40" w:type="dxa"/>
            <w:vAlign w:val="bottom"/>
            <w:gridSpan w:val="3"/>
          </w:tcPr>
          <w:p>
            <w:pPr>
              <w:ind w:left="60"/>
              <w:spacing w:after="0" w:line="125" w:lineRule="exact"/>
              <w:rPr>
                <w:sz w:val="20"/>
                <w:szCs w:val="20"/>
                <w:color w:val="auto"/>
              </w:rPr>
            </w:pPr>
            <w:r>
              <w:rPr>
                <w:rFonts w:ascii="Arial" w:cs="Arial" w:eastAsia="Arial" w:hAnsi="Arial"/>
                <w:sz w:val="12"/>
                <w:szCs w:val="12"/>
                <w:color w:val="auto"/>
              </w:rPr>
              <w:t>3. Date of Earliest Transaction (Month/Day/Year)</w:t>
            </w:r>
          </w:p>
        </w:tc>
        <w:tc>
          <w:tcPr>
            <w:tcW w:w="16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40" w:type="dxa"/>
            <w:vAlign w:val="bottom"/>
            <w:gridSpan w:val="3"/>
            <w:vMerge w:val="continue"/>
          </w:tcPr>
          <w:p>
            <w:pPr>
              <w:spacing w:after="0"/>
              <w:rPr>
                <w:sz w:val="16"/>
                <w:szCs w:val="16"/>
                <w:color w:val="auto"/>
              </w:rPr>
            </w:pPr>
          </w:p>
        </w:tc>
        <w:tc>
          <w:tcPr>
            <w:tcW w:w="3480" w:type="dxa"/>
            <w:vAlign w:val="bottom"/>
            <w:gridSpan w:val="4"/>
          </w:tcPr>
          <w:p>
            <w:pPr>
              <w:ind w:left="1360"/>
              <w:spacing w:after="0"/>
              <w:rPr>
                <w:sz w:val="20"/>
                <w:szCs w:val="20"/>
                <w:color w:val="auto"/>
              </w:rPr>
            </w:pPr>
            <w:r>
              <w:rPr>
                <w:rFonts w:ascii="Arial" w:cs="Arial" w:eastAsia="Arial" w:hAnsi="Arial"/>
                <w:sz w:val="15"/>
                <w:szCs w:val="15"/>
                <w:color w:val="0000FF"/>
              </w:rPr>
              <w:t>09/17/2021</w:t>
            </w:r>
          </w:p>
        </w:tc>
        <w:tc>
          <w:tcPr>
            <w:tcW w:w="1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5"/>
                <w:szCs w:val="15"/>
                <w:color w:val="0000FF"/>
              </w:rPr>
              <w:t>20TH FLOOR</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3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1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1660" w:type="dxa"/>
            <w:vAlign w:val="bottom"/>
            <w:tcBorders>
              <w:bottom w:val="single" w:sz="8" w:color="2C2C2C"/>
            </w:tcBorders>
          </w:tcPr>
          <w:p>
            <w:pPr>
              <w:spacing w:after="0"/>
              <w:rPr>
                <w:sz w:val="2"/>
                <w:szCs w:val="2"/>
                <w:color w:val="auto"/>
              </w:rPr>
            </w:pPr>
          </w:p>
        </w:tc>
        <w:tc>
          <w:tcPr>
            <w:tcW w:w="3300" w:type="dxa"/>
            <w:vAlign w:val="bottom"/>
            <w:tcBorders>
              <w:bottom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160" w:type="dxa"/>
            <w:vAlign w:val="bottom"/>
            <w:gridSpan w:val="3"/>
            <w:vMerge w:val="continue"/>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40" w:type="dxa"/>
            <w:vAlign w:val="bottom"/>
            <w:gridSpan w:val="3"/>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20"/>
                <w:szCs w:val="20"/>
                <w:color w:val="auto"/>
              </w:rPr>
            </w:pPr>
            <w:r>
              <w:rPr>
                <w:rFonts w:ascii="Arial" w:cs="Arial" w:eastAsia="Arial" w:hAnsi="Arial"/>
                <w:sz w:val="15"/>
                <w:szCs w:val="15"/>
                <w:color w:val="0000FF"/>
              </w:rPr>
              <w:t>SAN</w:t>
            </w:r>
          </w:p>
        </w:tc>
        <w:tc>
          <w:tcPr>
            <w:tcW w:w="1380" w:type="dxa"/>
            <w:vAlign w:val="bottom"/>
            <w:gridSpan w:val="2"/>
            <w:vMerge w:val="restart"/>
          </w:tcPr>
          <w:p>
            <w:pPr>
              <w:ind w:left="160"/>
              <w:spacing w:after="0"/>
              <w:rPr>
                <w:sz w:val="20"/>
                <w:szCs w:val="20"/>
                <w:color w:val="auto"/>
              </w:rPr>
            </w:pPr>
            <w:r>
              <w:rPr>
                <w:rFonts w:ascii="Arial" w:cs="Arial" w:eastAsia="Arial" w:hAnsi="Arial"/>
                <w:sz w:val="15"/>
                <w:szCs w:val="15"/>
                <w:color w:val="0000FF"/>
              </w:rPr>
              <w:t>CA</w:t>
            </w:r>
          </w:p>
        </w:tc>
        <w:tc>
          <w:tcPr>
            <w:tcW w:w="1220" w:type="dxa"/>
            <w:vAlign w:val="bottom"/>
            <w:vMerge w:val="restart"/>
          </w:tcPr>
          <w:p>
            <w:pPr>
              <w:ind w:left="20"/>
              <w:spacing w:after="0"/>
              <w:rPr>
                <w:sz w:val="20"/>
                <w:szCs w:val="20"/>
                <w:color w:val="auto"/>
              </w:rPr>
            </w:pPr>
            <w:r>
              <w:rPr>
                <w:rFonts w:ascii="Arial" w:cs="Arial" w:eastAsia="Arial" w:hAnsi="Arial"/>
                <w:sz w:val="15"/>
                <w:szCs w:val="15"/>
                <w:color w:val="0000FF"/>
              </w:rPr>
              <w:t>94105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30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5"/>
                <w:szCs w:val="15"/>
                <w:color w:val="0000FF"/>
              </w:rPr>
              <w:t>FRANCISCO</w:t>
            </w:r>
          </w:p>
        </w:tc>
        <w:tc>
          <w:tcPr>
            <w:tcW w:w="138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300" w:type="dxa"/>
            <w:vAlign w:val="bottom"/>
            <w:gridSpan w:val="2"/>
            <w:vMerge w:val="restart"/>
          </w:tcPr>
          <w:p>
            <w:pPr>
              <w:ind w:left="260"/>
              <w:spacing w:after="0"/>
              <w:rPr>
                <w:sz w:val="20"/>
                <w:szCs w:val="20"/>
                <w:color w:val="auto"/>
              </w:rPr>
            </w:pPr>
            <w:r>
              <w:rPr>
                <w:rFonts w:ascii="Arial" w:cs="Arial" w:eastAsia="Arial" w:hAnsi="Arial"/>
                <w:sz w:val="15"/>
                <w:szCs w:val="15"/>
                <w:color w:val="0000FF"/>
              </w:rPr>
              <w:t xml:space="preserve">X   </w:t>
            </w:r>
            <w:r>
              <w:rPr>
                <w:rFonts w:ascii="Arial" w:cs="Arial" w:eastAsia="Arial" w:hAnsi="Arial"/>
                <w:sz w:val="11"/>
                <w:szCs w:val="11"/>
                <w:color w:val="000000"/>
              </w:rPr>
              <w:t>Form filed by More than One Reporting Person</w:t>
            </w: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Arial" w:cs="Arial" w:eastAsia="Arial" w:hAnsi="Arial"/>
                <w:sz w:val="12"/>
                <w:szCs w:val="12"/>
                <w:color w:val="auto"/>
              </w:rPr>
              <w:t>(City)</w:t>
            </w:r>
          </w:p>
        </w:tc>
        <w:tc>
          <w:tcPr>
            <w:tcW w:w="1380" w:type="dxa"/>
            <w:vAlign w:val="bottom"/>
            <w:gridSpan w:val="2"/>
          </w:tcPr>
          <w:p>
            <w:pPr>
              <w:ind w:left="160"/>
              <w:spacing w:after="0"/>
              <w:rPr>
                <w:sz w:val="20"/>
                <w:szCs w:val="20"/>
                <w:color w:val="auto"/>
              </w:rPr>
            </w:pPr>
            <w:r>
              <w:rPr>
                <w:rFonts w:ascii="Arial" w:cs="Arial" w:eastAsia="Arial" w:hAnsi="Arial"/>
                <w:sz w:val="12"/>
                <w:szCs w:val="12"/>
                <w:color w:val="auto"/>
              </w:rPr>
              <w:t>(State)</w:t>
            </w:r>
          </w:p>
        </w:tc>
        <w:tc>
          <w:tcPr>
            <w:tcW w:w="5140" w:type="dxa"/>
            <w:vAlign w:val="bottom"/>
            <w:gridSpan w:val="5"/>
          </w:tcPr>
          <w:p>
            <w:pPr>
              <w:ind w:left="20"/>
              <w:spacing w:after="0"/>
              <w:rPr>
                <w:sz w:val="20"/>
                <w:szCs w:val="20"/>
                <w:color w:val="auto"/>
              </w:rPr>
            </w:pPr>
            <w:r>
              <w:rPr>
                <w:rFonts w:ascii="Arial" w:cs="Arial" w:eastAsia="Arial" w:hAnsi="Arial"/>
                <w:sz w:val="12"/>
                <w:szCs w:val="12"/>
                <w:color w:val="auto"/>
              </w:rPr>
              <w:t>(Zip)</w:t>
            </w:r>
          </w:p>
        </w:tc>
        <w:tc>
          <w:tcPr>
            <w:tcW w:w="16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tcPr>
          <w:p>
            <w:pPr>
              <w:spacing w:after="0"/>
              <w:rPr>
                <w:sz w:val="10"/>
                <w:szCs w:val="10"/>
                <w:color w:val="auto"/>
              </w:rPr>
            </w:pPr>
          </w:p>
        </w:tc>
        <w:tc>
          <w:tcPr>
            <w:tcW w:w="3300" w:type="dxa"/>
            <w:vAlign w:val="bottom"/>
            <w:tcBorders>
              <w:bottom w:val="single" w:sz="8" w:color="2C2C2C"/>
            </w:tcBorders>
            <w:gridSpan w:val="2"/>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780" w:type="dxa"/>
            <w:vAlign w:val="bottom"/>
            <w:gridSpan w:val="6"/>
          </w:tcPr>
          <w:p>
            <w:pPr>
              <w:ind w:left="2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20" w:type="dxa"/>
            <w:vAlign w:val="bottom"/>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8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60" w:type="dxa"/>
            <w:vAlign w:val="bottom"/>
          </w:tcPr>
          <w:p>
            <w:pPr>
              <w:ind w:left="40"/>
              <w:spacing w:after="0"/>
              <w:rPr>
                <w:sz w:val="20"/>
                <w:szCs w:val="20"/>
                <w:color w:val="auto"/>
              </w:rPr>
            </w:pPr>
            <w:r>
              <w:rPr>
                <w:rFonts w:ascii="Arial" w:cs="Arial" w:eastAsia="Arial" w:hAnsi="Arial"/>
                <w:sz w:val="11"/>
                <w:szCs w:val="11"/>
                <w:b w:val="1"/>
                <w:bCs w:val="1"/>
                <w:color w:val="auto"/>
              </w:rPr>
              <w:t>5. Amount of</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860" w:type="dxa"/>
            <w:vAlign w:val="bottom"/>
          </w:tcPr>
          <w:p>
            <w:pPr>
              <w:ind w:left="1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7"/>
        </w:trPr>
        <w:tc>
          <w:tcPr>
            <w:tcW w:w="2420" w:type="dxa"/>
            <w:vAlign w:val="bottom"/>
          </w:tcPr>
          <w:p>
            <w:pPr>
              <w:spacing w:after="0"/>
              <w:rPr>
                <w:sz w:val="10"/>
                <w:szCs w:val="10"/>
                <w:color w:val="auto"/>
              </w:rPr>
            </w:pPr>
          </w:p>
        </w:tc>
        <w:tc>
          <w:tcPr>
            <w:tcW w:w="1780" w:type="dxa"/>
            <w:vAlign w:val="bottom"/>
          </w:tcPr>
          <w:p>
            <w:pPr>
              <w:ind w:left="860"/>
              <w:spacing w:after="0" w:line="117"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3"/>
          </w:tcPr>
          <w:p>
            <w:pPr>
              <w:ind w:left="80"/>
              <w:spacing w:after="0" w:line="117" w:lineRule="exact"/>
              <w:rPr>
                <w:sz w:val="20"/>
                <w:szCs w:val="20"/>
                <w:color w:val="auto"/>
              </w:rPr>
            </w:pPr>
            <w:r>
              <w:rPr>
                <w:rFonts w:ascii="Arial" w:cs="Arial" w:eastAsia="Arial" w:hAnsi="Arial"/>
                <w:sz w:val="11"/>
                <w:szCs w:val="11"/>
                <w:b w:val="1"/>
                <w:bCs w:val="1"/>
                <w:color w:val="auto"/>
              </w:rPr>
              <w:t>Disposed Of (D) (Instr. 3, 4 and 5)</w:t>
            </w:r>
          </w:p>
        </w:tc>
        <w:tc>
          <w:tcPr>
            <w:tcW w:w="1260" w:type="dxa"/>
            <w:vAlign w:val="bottom"/>
          </w:tcPr>
          <w:p>
            <w:pPr>
              <w:ind w:left="40"/>
              <w:spacing w:after="0" w:line="117" w:lineRule="exact"/>
              <w:rPr>
                <w:sz w:val="20"/>
                <w:szCs w:val="20"/>
                <w:color w:val="auto"/>
              </w:rPr>
            </w:pPr>
            <w:r>
              <w:rPr>
                <w:rFonts w:ascii="Arial" w:cs="Arial" w:eastAsia="Arial" w:hAnsi="Arial"/>
                <w:sz w:val="11"/>
                <w:szCs w:val="11"/>
                <w:b w:val="1"/>
                <w:bCs w:val="1"/>
                <w:color w:val="auto"/>
              </w:rPr>
              <w:t>Securities Beneficially</w:t>
            </w:r>
          </w:p>
        </w:tc>
        <w:tc>
          <w:tcPr>
            <w:tcW w:w="88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Form: Direct</w:t>
            </w:r>
          </w:p>
        </w:tc>
        <w:tc>
          <w:tcPr>
            <w:tcW w:w="860" w:type="dxa"/>
            <w:vAlign w:val="bottom"/>
          </w:tcPr>
          <w:p>
            <w:pPr>
              <w:ind w:left="120"/>
              <w:spacing w:after="0" w:line="117"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780" w:type="dxa"/>
            <w:vAlign w:val="bottom"/>
          </w:tcPr>
          <w:p>
            <w:pPr>
              <w:ind w:left="860"/>
              <w:spacing w:after="0" w:line="119" w:lineRule="exact"/>
              <w:rPr>
                <w:sz w:val="20"/>
                <w:szCs w:val="20"/>
                <w:color w:val="auto"/>
              </w:rPr>
            </w:pPr>
            <w:r>
              <w:rPr>
                <w:rFonts w:ascii="Arial" w:cs="Arial" w:eastAsia="Arial" w:hAnsi="Arial"/>
                <w:sz w:val="11"/>
                <w:szCs w:val="11"/>
                <w:b w:val="1"/>
                <w:bCs w:val="1"/>
                <w:color w:val="auto"/>
                <w:w w:val="99"/>
              </w:rPr>
              <w:t>(Month/Day/Year)</w:t>
            </w: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Owned Following</w:t>
            </w:r>
          </w:p>
        </w:tc>
        <w:tc>
          <w:tcPr>
            <w:tcW w:w="88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(D) or Indirect</w:t>
            </w:r>
          </w:p>
        </w:tc>
        <w:tc>
          <w:tcPr>
            <w:tcW w:w="86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Reported</w:t>
            </w:r>
          </w:p>
        </w:tc>
        <w:tc>
          <w:tcPr>
            <w:tcW w:w="88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(I) (Instr. 4)</w:t>
            </w:r>
          </w:p>
        </w:tc>
        <w:tc>
          <w:tcPr>
            <w:tcW w:w="860" w:type="dxa"/>
            <w:vAlign w:val="bottom"/>
          </w:tcPr>
          <w:p>
            <w:pPr>
              <w:ind w:left="120"/>
              <w:spacing w:after="0" w:line="119"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60" w:type="dxa"/>
            <w:vAlign w:val="bottom"/>
            <w:vMerge w:val="restart"/>
          </w:tcPr>
          <w:p>
            <w:pPr>
              <w:ind w:left="40"/>
              <w:spacing w:after="0" w:line="119" w:lineRule="exact"/>
              <w:rPr>
                <w:sz w:val="20"/>
                <w:szCs w:val="20"/>
                <w:color w:val="auto"/>
              </w:rPr>
            </w:pPr>
            <w:r>
              <w:rPr>
                <w:rFonts w:ascii="Arial" w:cs="Arial" w:eastAsia="Arial" w:hAnsi="Arial"/>
                <w:sz w:val="11"/>
                <w:szCs w:val="11"/>
                <w:b w:val="1"/>
                <w:bCs w:val="1"/>
                <w:color w:val="auto"/>
              </w:rPr>
              <w:t>Transaction(s) (Instr. 3</w:t>
            </w:r>
          </w:p>
        </w:tc>
        <w:tc>
          <w:tcPr>
            <w:tcW w:w="880" w:type="dxa"/>
            <w:vAlign w:val="bottom"/>
          </w:tcPr>
          <w:p>
            <w:pPr>
              <w:spacing w:after="0"/>
              <w:rPr>
                <w:sz w:val="5"/>
                <w:szCs w:val="5"/>
                <w:color w:val="auto"/>
              </w:rPr>
            </w:pPr>
          </w:p>
        </w:tc>
        <w:tc>
          <w:tcPr>
            <w:tcW w:w="860" w:type="dxa"/>
            <w:vAlign w:val="bottom"/>
            <w:vMerge w:val="restart"/>
          </w:tcPr>
          <w:p>
            <w:pPr>
              <w:ind w:left="120"/>
              <w:spacing w:after="0" w:line="119"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4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9"/>
        </w:trPr>
        <w:tc>
          <w:tcPr>
            <w:tcW w:w="24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20"/>
              <w:spacing w:after="0" w:line="119" w:lineRule="exact"/>
              <w:rPr>
                <w:sz w:val="20"/>
                <w:szCs w:val="20"/>
                <w:color w:val="auto"/>
              </w:rPr>
            </w:pPr>
            <w:r>
              <w:rPr>
                <w:rFonts w:ascii="Arial" w:cs="Arial" w:eastAsia="Arial" w:hAnsi="Arial"/>
                <w:sz w:val="11"/>
                <w:szCs w:val="11"/>
                <w:b w:val="1"/>
                <w:bCs w:val="1"/>
                <w:color w:val="auto"/>
              </w:rPr>
              <w:t>(A) or</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6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and 4)</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60" w:type="dxa"/>
            <w:vAlign w:val="bottom"/>
            <w:vMerge w:val="continue"/>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4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gridSpan w:val="6"/>
            <w:vMerge w:val="restart"/>
          </w:tcPr>
          <w:p>
            <w:pPr>
              <w:ind w:left="60"/>
              <w:spacing w:after="0"/>
              <w:rPr>
                <w:sz w:val="20"/>
                <w:szCs w:val="20"/>
                <w:color w:val="auto"/>
              </w:rPr>
            </w:pPr>
            <w:r>
              <w:rPr>
                <w:rFonts w:ascii="Arial" w:cs="Arial" w:eastAsia="Arial" w:hAnsi="Arial"/>
                <w:sz w:val="15"/>
                <w:szCs w:val="15"/>
                <w:color w:val="0000FF"/>
              </w:rPr>
              <w:t>Class A Common Stock</w:t>
            </w:r>
          </w:p>
        </w:tc>
        <w:tc>
          <w:tcPr>
            <w:tcW w:w="980" w:type="dxa"/>
            <w:vAlign w:val="bottom"/>
          </w:tcPr>
          <w:p>
            <w:pPr>
              <w:spacing w:after="0"/>
              <w:rPr>
                <w:sz w:val="20"/>
                <w:szCs w:val="20"/>
                <w:color w:val="auto"/>
              </w:rPr>
            </w:pPr>
          </w:p>
        </w:tc>
        <w:tc>
          <w:tcPr>
            <w:tcW w:w="760" w:type="dxa"/>
            <w:vAlign w:val="bottom"/>
            <w:gridSpan w:val="2"/>
            <w:vMerge w:val="restart"/>
          </w:tcPr>
          <w:p>
            <w:pPr>
              <w:spacing w:after="0"/>
              <w:rPr>
                <w:sz w:val="20"/>
                <w:szCs w:val="20"/>
                <w:color w:val="auto"/>
              </w:rPr>
            </w:pPr>
            <w:r>
              <w:rPr>
                <w:rFonts w:ascii="Arial" w:cs="Arial" w:eastAsia="Arial" w:hAnsi="Arial"/>
                <w:sz w:val="15"/>
                <w:szCs w:val="15"/>
                <w:color w:val="0000FF"/>
                <w:w w:val="98"/>
              </w:rPr>
              <w:t>09/17/2021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color w:val="0000FF"/>
              </w:rPr>
              <w:t>S</w:t>
            </w:r>
          </w:p>
        </w:tc>
        <w:tc>
          <w:tcPr>
            <w:tcW w:w="1140" w:type="dxa"/>
            <w:vAlign w:val="bottom"/>
            <w:gridSpan w:val="2"/>
            <w:vMerge w:val="restart"/>
          </w:tcPr>
          <w:p>
            <w:pPr>
              <w:jc w:val="right"/>
              <w:ind w:right="324"/>
              <w:spacing w:after="0"/>
              <w:rPr>
                <w:sz w:val="20"/>
                <w:szCs w:val="20"/>
                <w:color w:val="auto"/>
              </w:rPr>
            </w:pPr>
            <w:r>
              <w:rPr>
                <w:rFonts w:ascii="Arial" w:cs="Arial" w:eastAsia="Arial" w:hAnsi="Arial"/>
                <w:sz w:val="15"/>
                <w:szCs w:val="15"/>
                <w:color w:val="0000FF"/>
              </w:rPr>
              <w:t>66,857</w:t>
            </w:r>
          </w:p>
        </w:tc>
        <w:tc>
          <w:tcPr>
            <w:tcW w:w="140" w:type="dxa"/>
            <w:vAlign w:val="bottom"/>
            <w:vMerge w:val="restart"/>
          </w:tcPr>
          <w:p>
            <w:pPr>
              <w:spacing w:after="0"/>
              <w:rPr>
                <w:sz w:val="20"/>
                <w:szCs w:val="20"/>
                <w:color w:val="auto"/>
              </w:rPr>
            </w:pPr>
            <w:r>
              <w:rPr>
                <w:rFonts w:ascii="Arial" w:cs="Arial" w:eastAsia="Arial" w:hAnsi="Arial"/>
                <w:sz w:val="15"/>
                <w:szCs w:val="15"/>
                <w:color w:val="0000FF"/>
              </w:rPr>
              <w:t>D</w:t>
            </w:r>
          </w:p>
        </w:tc>
        <w:tc>
          <w:tcPr>
            <w:tcW w:w="820" w:type="dxa"/>
            <w:vAlign w:val="bottom"/>
            <w:vMerge w:val="restart"/>
          </w:tcPr>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color w:val="0000FF"/>
              </w:rPr>
              <w:t>25.3125</w:t>
            </w:r>
          </w:p>
        </w:tc>
        <w:tc>
          <w:tcPr>
            <w:tcW w:w="1720" w:type="dxa"/>
            <w:vAlign w:val="bottom"/>
            <w:gridSpan w:val="2"/>
            <w:vMerge w:val="restart"/>
          </w:tcPr>
          <w:p>
            <w:pPr>
              <w:jc w:val="center"/>
              <w:ind w:right="407"/>
              <w:spacing w:after="0"/>
              <w:rPr>
                <w:sz w:val="20"/>
                <w:szCs w:val="20"/>
                <w:color w:val="auto"/>
              </w:rPr>
            </w:pPr>
            <w:r>
              <w:rPr>
                <w:rFonts w:ascii="Arial" w:cs="Arial" w:eastAsia="Arial" w:hAnsi="Arial"/>
                <w:sz w:val="30"/>
                <w:szCs w:val="30"/>
                <w:color w:val="0000FF"/>
                <w:w w:val="88"/>
                <w:vertAlign w:val="subscript"/>
              </w:rPr>
              <w:t>2,885,876</w:t>
            </w:r>
            <w:r>
              <w:rPr>
                <w:rFonts w:ascii="Arial" w:cs="Arial" w:eastAsia="Arial" w:hAnsi="Arial"/>
                <w:sz w:val="10"/>
                <w:szCs w:val="10"/>
                <w:color w:val="008000"/>
                <w:w w:val="88"/>
              </w:rPr>
              <w:t>(1)(2)(3)(4)</w:t>
            </w:r>
          </w:p>
        </w:tc>
        <w:tc>
          <w:tcPr>
            <w:tcW w:w="580" w:type="dxa"/>
            <w:vAlign w:val="bottom"/>
            <w:vMerge w:val="restart"/>
          </w:tcPr>
          <w:p>
            <w:pPr>
              <w:ind w:left="40"/>
              <w:spacing w:after="0"/>
              <w:rPr>
                <w:sz w:val="20"/>
                <w:szCs w:val="20"/>
                <w:color w:val="auto"/>
              </w:rPr>
            </w:pPr>
            <w:r>
              <w:rPr>
                <w:rFonts w:ascii="Arial" w:cs="Arial" w:eastAsia="Arial" w:hAnsi="Arial"/>
                <w:sz w:val="15"/>
                <w:szCs w:val="15"/>
                <w:color w:val="0000FF"/>
              </w:rPr>
              <w:t>I</w:t>
            </w:r>
          </w:p>
        </w:tc>
        <w:tc>
          <w:tcPr>
            <w:tcW w:w="640" w:type="dxa"/>
            <w:vAlign w:val="bottom"/>
            <w:gridSpan w:val="2"/>
          </w:tcPr>
          <w:p>
            <w:pPr>
              <w:ind w:left="20"/>
              <w:spacing w:after="0"/>
              <w:rPr>
                <w:sz w:val="20"/>
                <w:szCs w:val="20"/>
                <w:color w:val="auto"/>
              </w:rPr>
            </w:pPr>
            <w:r>
              <w:rPr>
                <w:rFonts w:ascii="Arial" w:cs="Arial" w:eastAsia="Arial" w:hAnsi="Arial"/>
                <w:sz w:val="15"/>
                <w:szCs w:val="15"/>
                <w:color w:val="0000FF"/>
              </w:rPr>
              <w:t>See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380" w:type="dxa"/>
            <w:vAlign w:val="bottom"/>
            <w:gridSpan w:val="6"/>
            <w:vMerge w:val="continue"/>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760" w:type="dxa"/>
            <w:vAlign w:val="bottom"/>
            <w:gridSpan w:val="3"/>
            <w:vMerge w:val="restart"/>
          </w:tcPr>
          <w:p>
            <w:pPr>
              <w:ind w:left="20"/>
              <w:spacing w:after="0" w:line="245" w:lineRule="exact"/>
              <w:rPr>
                <w:sz w:val="20"/>
                <w:szCs w:val="20"/>
                <w:color w:val="auto"/>
              </w:rPr>
            </w:pPr>
            <w:r>
              <w:rPr>
                <w:rFonts w:ascii="Arial" w:cs="Arial" w:eastAsia="Arial" w:hAnsi="Arial"/>
                <w:sz w:val="28"/>
                <w:szCs w:val="28"/>
                <w:color w:val="0000FF"/>
                <w:w w:val="91"/>
                <w:vertAlign w:val="subscript"/>
              </w:rPr>
              <w:t>notes</w:t>
            </w:r>
            <w:r>
              <w:rPr>
                <w:rFonts w:ascii="Arial" w:cs="Arial" w:eastAsia="Arial" w:hAnsi="Arial"/>
                <w:sz w:val="9"/>
                <w:szCs w:val="9"/>
                <w:color w:val="008000"/>
                <w:w w:val="91"/>
              </w:rPr>
              <w:t>(3)(4)(5)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380" w:type="dxa"/>
            <w:vAlign w:val="bottom"/>
            <w:gridSpan w:val="6"/>
            <w:vMerge w:val="restart"/>
          </w:tcPr>
          <w:p>
            <w:pPr>
              <w:ind w:left="60"/>
              <w:spacing w:after="0"/>
              <w:rPr>
                <w:sz w:val="20"/>
                <w:szCs w:val="20"/>
                <w:color w:val="auto"/>
              </w:rPr>
            </w:pPr>
            <w:r>
              <w:rPr>
                <w:rFonts w:ascii="Arial" w:cs="Arial" w:eastAsia="Arial" w:hAnsi="Arial"/>
                <w:sz w:val="15"/>
                <w:szCs w:val="15"/>
                <w:color w:val="0000FF"/>
              </w:rPr>
              <w:t>Class B Common Stock</w:t>
            </w:r>
          </w:p>
        </w:tc>
        <w:tc>
          <w:tcPr>
            <w:tcW w:w="980" w:type="dxa"/>
            <w:vAlign w:val="bottom"/>
          </w:tcPr>
          <w:p>
            <w:pPr>
              <w:spacing w:after="0"/>
              <w:rPr>
                <w:sz w:val="20"/>
                <w:szCs w:val="20"/>
                <w:color w:val="auto"/>
              </w:rPr>
            </w:pPr>
          </w:p>
        </w:tc>
        <w:tc>
          <w:tcPr>
            <w:tcW w:w="760" w:type="dxa"/>
            <w:vAlign w:val="bottom"/>
            <w:gridSpan w:val="2"/>
            <w:vMerge w:val="restart"/>
          </w:tcPr>
          <w:p>
            <w:pPr>
              <w:spacing w:after="0"/>
              <w:rPr>
                <w:sz w:val="20"/>
                <w:szCs w:val="20"/>
                <w:color w:val="auto"/>
              </w:rPr>
            </w:pPr>
            <w:r>
              <w:rPr>
                <w:rFonts w:ascii="Arial" w:cs="Arial" w:eastAsia="Arial" w:hAnsi="Arial"/>
                <w:sz w:val="15"/>
                <w:szCs w:val="15"/>
                <w:color w:val="0000FF"/>
                <w:w w:val="98"/>
              </w:rPr>
              <w:t>09/17/2021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color w:val="0000FF"/>
              </w:rPr>
              <w:t>C</w:t>
            </w:r>
          </w:p>
        </w:tc>
        <w:tc>
          <w:tcPr>
            <w:tcW w:w="1140" w:type="dxa"/>
            <w:vAlign w:val="bottom"/>
            <w:gridSpan w:val="2"/>
            <w:vMerge w:val="restart"/>
          </w:tcPr>
          <w:p>
            <w:pPr>
              <w:jc w:val="right"/>
              <w:ind w:right="284"/>
              <w:spacing w:after="0"/>
              <w:rPr>
                <w:sz w:val="20"/>
                <w:szCs w:val="20"/>
                <w:color w:val="auto"/>
              </w:rPr>
            </w:pPr>
            <w:r>
              <w:rPr>
                <w:rFonts w:ascii="Arial" w:cs="Arial" w:eastAsia="Arial" w:hAnsi="Arial"/>
                <w:sz w:val="15"/>
                <w:szCs w:val="15"/>
                <w:color w:val="0000FF"/>
              </w:rPr>
              <w:t>641,983</w:t>
            </w:r>
          </w:p>
        </w:tc>
        <w:tc>
          <w:tcPr>
            <w:tcW w:w="140" w:type="dxa"/>
            <w:vAlign w:val="bottom"/>
            <w:vMerge w:val="restart"/>
          </w:tcPr>
          <w:p>
            <w:pPr>
              <w:spacing w:after="0"/>
              <w:rPr>
                <w:sz w:val="20"/>
                <w:szCs w:val="20"/>
                <w:color w:val="auto"/>
              </w:rPr>
            </w:pPr>
            <w:r>
              <w:rPr>
                <w:rFonts w:ascii="Arial" w:cs="Arial" w:eastAsia="Arial" w:hAnsi="Arial"/>
                <w:sz w:val="15"/>
                <w:szCs w:val="15"/>
                <w:color w:val="0000FF"/>
              </w:rPr>
              <w:t>D</w:t>
            </w:r>
          </w:p>
        </w:tc>
        <w:tc>
          <w:tcPr>
            <w:tcW w:w="820" w:type="dxa"/>
            <w:vAlign w:val="bottom"/>
            <w:vMerge w:val="restart"/>
          </w:tcPr>
          <w:p>
            <w:pPr>
              <w:jc w:val="right"/>
              <w:ind w:right="179"/>
              <w:spacing w:after="0"/>
              <w:rPr>
                <w:sz w:val="20"/>
                <w:szCs w:val="20"/>
                <w:color w:val="auto"/>
              </w:rPr>
            </w:pPr>
            <w:r>
              <w:rPr>
                <w:rFonts w:ascii="Arial" w:cs="Arial" w:eastAsia="Arial" w:hAnsi="Arial"/>
                <w:sz w:val="10"/>
                <w:szCs w:val="10"/>
                <w:color w:val="008000"/>
              </w:rPr>
              <w:t>(2)</w:t>
            </w:r>
          </w:p>
        </w:tc>
        <w:tc>
          <w:tcPr>
            <w:tcW w:w="1720" w:type="dxa"/>
            <w:vAlign w:val="bottom"/>
            <w:gridSpan w:val="2"/>
            <w:vMerge w:val="restart"/>
          </w:tcPr>
          <w:p>
            <w:pPr>
              <w:jc w:val="center"/>
              <w:ind w:right="387"/>
              <w:spacing w:after="0"/>
              <w:rPr>
                <w:sz w:val="20"/>
                <w:szCs w:val="20"/>
                <w:color w:val="auto"/>
              </w:rPr>
            </w:pPr>
            <w:r>
              <w:rPr>
                <w:rFonts w:ascii="Arial" w:cs="Arial" w:eastAsia="Arial" w:hAnsi="Arial"/>
                <w:sz w:val="30"/>
                <w:szCs w:val="30"/>
                <w:color w:val="0000FF"/>
                <w:w w:val="83"/>
                <w:vertAlign w:val="subscript"/>
              </w:rPr>
              <w:t>27,710,989</w:t>
            </w:r>
            <w:r>
              <w:rPr>
                <w:rFonts w:ascii="Arial" w:cs="Arial" w:eastAsia="Arial" w:hAnsi="Arial"/>
                <w:sz w:val="10"/>
                <w:szCs w:val="10"/>
                <w:color w:val="008000"/>
                <w:w w:val="83"/>
              </w:rPr>
              <w:t>(1)(2)(3)(4)</w:t>
            </w:r>
          </w:p>
        </w:tc>
        <w:tc>
          <w:tcPr>
            <w:tcW w:w="580" w:type="dxa"/>
            <w:vAlign w:val="bottom"/>
            <w:vMerge w:val="restart"/>
          </w:tcPr>
          <w:p>
            <w:pPr>
              <w:ind w:left="40"/>
              <w:spacing w:after="0"/>
              <w:rPr>
                <w:sz w:val="20"/>
                <w:szCs w:val="20"/>
                <w:color w:val="auto"/>
              </w:rPr>
            </w:pPr>
            <w:r>
              <w:rPr>
                <w:rFonts w:ascii="Arial" w:cs="Arial" w:eastAsia="Arial" w:hAnsi="Arial"/>
                <w:sz w:val="15"/>
                <w:szCs w:val="15"/>
                <w:color w:val="0000FF"/>
              </w:rPr>
              <w:t>I</w:t>
            </w:r>
          </w:p>
        </w:tc>
        <w:tc>
          <w:tcPr>
            <w:tcW w:w="640" w:type="dxa"/>
            <w:vAlign w:val="bottom"/>
            <w:gridSpan w:val="2"/>
          </w:tcPr>
          <w:p>
            <w:pPr>
              <w:ind w:left="20"/>
              <w:spacing w:after="0"/>
              <w:rPr>
                <w:sz w:val="20"/>
                <w:szCs w:val="20"/>
                <w:color w:val="auto"/>
              </w:rPr>
            </w:pPr>
            <w:r>
              <w:rPr>
                <w:rFonts w:ascii="Arial" w:cs="Arial" w:eastAsia="Arial" w:hAnsi="Arial"/>
                <w:sz w:val="15"/>
                <w:szCs w:val="15"/>
                <w:color w:val="0000FF"/>
              </w:rPr>
              <w:t>See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380" w:type="dxa"/>
            <w:vAlign w:val="bottom"/>
            <w:gridSpan w:val="6"/>
            <w:vMerge w:val="continue"/>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760" w:type="dxa"/>
            <w:vAlign w:val="bottom"/>
            <w:gridSpan w:val="3"/>
            <w:vMerge w:val="restart"/>
          </w:tcPr>
          <w:p>
            <w:pPr>
              <w:ind w:left="20"/>
              <w:spacing w:after="0" w:line="245" w:lineRule="exact"/>
              <w:rPr>
                <w:sz w:val="20"/>
                <w:szCs w:val="20"/>
                <w:color w:val="auto"/>
              </w:rPr>
            </w:pPr>
            <w:r>
              <w:rPr>
                <w:rFonts w:ascii="Arial" w:cs="Arial" w:eastAsia="Arial" w:hAnsi="Arial"/>
                <w:sz w:val="28"/>
                <w:szCs w:val="28"/>
                <w:color w:val="0000FF"/>
                <w:w w:val="91"/>
                <w:vertAlign w:val="subscript"/>
              </w:rPr>
              <w:t>notes</w:t>
            </w:r>
            <w:r>
              <w:rPr>
                <w:rFonts w:ascii="Arial" w:cs="Arial" w:eastAsia="Arial" w:hAnsi="Arial"/>
                <w:sz w:val="9"/>
                <w:szCs w:val="9"/>
                <w:color w:val="008000"/>
                <w:w w:val="91"/>
              </w:rPr>
              <w:t>(3)(4)(5)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gridSpan w:val="3"/>
            <w:vMerge w:val="continue"/>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160" w:type="dxa"/>
            <w:vAlign w:val="bottom"/>
            <w:gridSpan w:val="12"/>
          </w:tcPr>
          <w:p>
            <w:pPr>
              <w:ind w:left="38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560" w:type="dxa"/>
            <w:vAlign w:val="bottom"/>
            <w:gridSpan w:val="10"/>
          </w:tcPr>
          <w:p>
            <w:pPr>
              <w:ind w:left="6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20" w:type="dxa"/>
            <w:vAlign w:val="bottom"/>
          </w:tcPr>
          <w:p>
            <w:pPr>
              <w:spacing w:after="0"/>
              <w:rPr>
                <w:sz w:val="13"/>
                <w:szCs w:val="13"/>
                <w:color w:val="auto"/>
              </w:rPr>
            </w:pP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3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4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Conversion</w:t>
            </w:r>
          </w:p>
        </w:tc>
        <w:tc>
          <w:tcPr>
            <w:tcW w:w="102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Derivative</w:t>
            </w:r>
          </w:p>
        </w:tc>
        <w:tc>
          <w:tcPr>
            <w:tcW w:w="136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Expiration Date</w:t>
            </w:r>
          </w:p>
        </w:tc>
        <w:tc>
          <w:tcPr>
            <w:tcW w:w="14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Securities Underlying</w:t>
            </w:r>
          </w:p>
        </w:tc>
        <w:tc>
          <w:tcPr>
            <w:tcW w:w="6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110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Ownership</w:t>
            </w:r>
          </w:p>
        </w:tc>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of 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or Exercise</w:t>
            </w:r>
          </w:p>
        </w:tc>
        <w:tc>
          <w:tcPr>
            <w:tcW w:w="102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Securities</w:t>
            </w:r>
          </w:p>
        </w:tc>
        <w:tc>
          <w:tcPr>
            <w:tcW w:w="136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1440" w:type="dxa"/>
            <w:vAlign w:val="bottom"/>
            <w:gridSpan w:val="3"/>
          </w:tcPr>
          <w:p>
            <w:pPr>
              <w:ind w:left="60"/>
              <w:spacing w:after="0" w:line="119" w:lineRule="exact"/>
              <w:rPr>
                <w:sz w:val="20"/>
                <w:szCs w:val="20"/>
                <w:color w:val="auto"/>
              </w:rPr>
            </w:pPr>
            <w:r>
              <w:rPr>
                <w:rFonts w:ascii="Arial" w:cs="Arial" w:eastAsia="Arial" w:hAnsi="Arial"/>
                <w:sz w:val="11"/>
                <w:szCs w:val="11"/>
                <w:b w:val="1"/>
                <w:bCs w:val="1"/>
                <w:color w:val="auto"/>
              </w:rPr>
              <w:t>Derivative Security (Instr.</w:t>
            </w:r>
          </w:p>
        </w:tc>
        <w:tc>
          <w:tcPr>
            <w:tcW w:w="6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110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rPr>
              <w:t>(Instr. 3)</w:t>
            </w: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Price of</w:t>
            </w: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(Month/Day/Year)</w:t>
            </w:r>
          </w:p>
        </w:tc>
        <w:tc>
          <w:tcPr>
            <w:tcW w:w="3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8)</w:t>
            </w:r>
          </w:p>
        </w:tc>
        <w:tc>
          <w:tcPr>
            <w:tcW w:w="420" w:type="dxa"/>
            <w:vAlign w:val="bottom"/>
          </w:tcPr>
          <w:p>
            <w:pPr>
              <w:spacing w:after="0"/>
              <w:rPr>
                <w:sz w:val="10"/>
                <w:szCs w:val="10"/>
                <w:color w:val="auto"/>
              </w:rPr>
            </w:pPr>
          </w:p>
        </w:tc>
        <w:tc>
          <w:tcPr>
            <w:tcW w:w="100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Acquired (A) or</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ind w:left="60"/>
              <w:spacing w:after="0" w:line="119" w:lineRule="exact"/>
              <w:rPr>
                <w:sz w:val="20"/>
                <w:szCs w:val="20"/>
                <w:color w:val="auto"/>
              </w:rPr>
            </w:pPr>
            <w:r>
              <w:rPr>
                <w:rFonts w:ascii="Arial" w:cs="Arial" w:eastAsia="Arial" w:hAnsi="Arial"/>
                <w:sz w:val="11"/>
                <w:szCs w:val="11"/>
                <w:b w:val="1"/>
                <w:bCs w:val="1"/>
                <w:color w:val="auto"/>
                <w:w w:val="96"/>
              </w:rPr>
              <w:t>3 and 4)</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5)</w:t>
            </w:r>
          </w:p>
        </w:tc>
        <w:tc>
          <w:tcPr>
            <w:tcW w:w="110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9"/>
              </w:rPr>
              <w:t>Beneficially Owned</w:t>
            </w:r>
          </w:p>
        </w:tc>
        <w:tc>
          <w:tcPr>
            <w:tcW w:w="58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640" w:type="dxa"/>
            <w:vAlign w:val="bottom"/>
            <w:gridSpan w:val="2"/>
          </w:tcPr>
          <w:p>
            <w:pPr>
              <w:ind w:left="60"/>
              <w:spacing w:after="0" w:line="119" w:lineRule="exact"/>
              <w:rPr>
                <w:sz w:val="20"/>
                <w:szCs w:val="20"/>
                <w:color w:val="auto"/>
              </w:rPr>
            </w:pPr>
            <w:r>
              <w:rPr>
                <w:rFonts w:ascii="Arial" w:cs="Arial" w:eastAsia="Arial" w:hAnsi="Arial"/>
                <w:sz w:val="11"/>
                <w:szCs w:val="11"/>
                <w:b w:val="1"/>
                <w:bCs w:val="1"/>
                <w:color w:val="auto"/>
                <w:w w:val="98"/>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Derivative</w:t>
            </w: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Disposed of (D)</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00" w:type="dxa"/>
            <w:vAlign w:val="bottom"/>
          </w:tcPr>
          <w:p>
            <w:pPr>
              <w:ind w:left="80"/>
              <w:spacing w:after="0" w:line="119" w:lineRule="exact"/>
              <w:rPr>
                <w:sz w:val="20"/>
                <w:szCs w:val="20"/>
                <w:color w:val="auto"/>
              </w:rPr>
            </w:pPr>
            <w:r>
              <w:rPr>
                <w:rFonts w:ascii="Arial" w:cs="Arial" w:eastAsia="Arial" w:hAnsi="Arial"/>
                <w:sz w:val="11"/>
                <w:szCs w:val="11"/>
                <w:b w:val="1"/>
                <w:bCs w:val="1"/>
                <w:color w:val="auto"/>
                <w:w w:val="97"/>
              </w:rPr>
              <w:t>Following Reported</w:t>
            </w:r>
          </w:p>
        </w:tc>
        <w:tc>
          <w:tcPr>
            <w:tcW w:w="7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or Indirect</w:t>
            </w:r>
          </w:p>
        </w:tc>
        <w:tc>
          <w:tcPr>
            <w:tcW w:w="5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(Instr. 4)</w:t>
            </w:r>
          </w:p>
        </w:tc>
        <w:tc>
          <w:tcPr>
            <w:tcW w:w="1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Security</w:t>
            </w: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0" w:type="dxa"/>
            <w:vAlign w:val="bottom"/>
            <w:gridSpan w:val="3"/>
          </w:tcPr>
          <w:p>
            <w:pPr>
              <w:ind w:left="40"/>
              <w:spacing w:after="0" w:line="119" w:lineRule="exact"/>
              <w:rPr>
                <w:sz w:val="20"/>
                <w:szCs w:val="20"/>
                <w:color w:val="auto"/>
              </w:rPr>
            </w:pPr>
            <w:r>
              <w:rPr>
                <w:rFonts w:ascii="Arial" w:cs="Arial" w:eastAsia="Arial" w:hAnsi="Arial"/>
                <w:sz w:val="11"/>
                <w:szCs w:val="11"/>
                <w:b w:val="1"/>
                <w:bCs w:val="1"/>
                <w:color w:val="auto"/>
              </w:rPr>
              <w:t>(Instr. 3, 4 and 5)</w:t>
            </w: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0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Transaction(s)</w:t>
            </w:r>
          </w:p>
        </w:tc>
        <w:tc>
          <w:tcPr>
            <w:tcW w:w="70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(I) (Instr. 4)</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 or</w:t>
            </w:r>
          </w:p>
        </w:tc>
        <w:tc>
          <w:tcPr>
            <w:tcW w:w="6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ind w:left="40"/>
              <w:spacing w:after="0" w:line="119" w:lineRule="exact"/>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line="119" w:lineRule="exact"/>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ind w:left="20"/>
              <w:spacing w:after="0" w:line="119" w:lineRule="exact"/>
              <w:rPr>
                <w:sz w:val="20"/>
                <w:szCs w:val="20"/>
                <w:color w:val="auto"/>
              </w:rPr>
            </w:pPr>
            <w:r>
              <w:rPr>
                <w:rFonts w:ascii="Arial" w:cs="Arial" w:eastAsia="Arial" w:hAnsi="Arial"/>
                <w:sz w:val="11"/>
                <w:szCs w:val="11"/>
                <w:b w:val="1"/>
                <w:bCs w:val="1"/>
                <w:color w:val="auto"/>
              </w:rPr>
              <w:t>Number of</w:t>
            </w:r>
          </w:p>
        </w:tc>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gridSpan w:val="3"/>
          </w:tcPr>
          <w:p>
            <w:pPr>
              <w:ind w:left="40"/>
              <w:spacing w:after="0"/>
              <w:rPr>
                <w:sz w:val="20"/>
                <w:szCs w:val="20"/>
                <w:color w:val="auto"/>
              </w:rPr>
            </w:pPr>
            <w:r>
              <w:rPr>
                <w:rFonts w:ascii="Arial" w:cs="Arial" w:eastAsia="Arial" w:hAnsi="Arial"/>
                <w:sz w:val="11"/>
                <w:szCs w:val="11"/>
                <w:b w:val="1"/>
                <w:bCs w:val="1"/>
                <w:color w:val="auto"/>
              </w:rPr>
              <w:t>(A)  (D)</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2"/>
                <w:szCs w:val="12"/>
                <w:color w:val="auto"/>
              </w:rPr>
            </w:pPr>
          </w:p>
        </w:tc>
        <w:tc>
          <w:tcPr>
            <w:tcW w:w="82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6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640" w:type="dxa"/>
            <w:vAlign w:val="bottom"/>
            <w:gridSpan w:val="2"/>
          </w:tcPr>
          <w:p>
            <w:pPr>
              <w:ind w:left="60"/>
              <w:spacing w:after="0"/>
              <w:rPr>
                <w:sz w:val="20"/>
                <w:szCs w:val="20"/>
                <w:color w:val="auto"/>
              </w:rPr>
            </w:pPr>
            <w:r>
              <w:rPr>
                <w:rFonts w:ascii="Arial" w:cs="Arial" w:eastAsia="Arial" w:hAnsi="Arial"/>
                <w:sz w:val="12"/>
                <w:szCs w:val="12"/>
                <w:color w:val="0000FF"/>
              </w:rPr>
              <w:t>LLC Units</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color w:val="0000FF"/>
                <w:w w:val="86"/>
              </w:rPr>
              <w:t>Class A</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0"/>
                <w:szCs w:val="10"/>
                <w:color w:val="008000"/>
                <w:w w:val="81"/>
              </w:rPr>
              <w:t>(3)</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640" w:type="dxa"/>
            <w:vAlign w:val="bottom"/>
            <w:gridSpan w:val="2"/>
            <w:vMerge w:val="restart"/>
          </w:tcPr>
          <w:p>
            <w:pPr>
              <w:ind w:left="60"/>
              <w:spacing w:after="0" w:line="131" w:lineRule="exact"/>
              <w:rPr>
                <w:sz w:val="20"/>
                <w:szCs w:val="20"/>
                <w:color w:val="auto"/>
              </w:rPr>
            </w:pPr>
            <w:r>
              <w:rPr>
                <w:rFonts w:ascii="Arial" w:cs="Arial" w:eastAsia="Arial" w:hAnsi="Arial"/>
                <w:sz w:val="12"/>
                <w:szCs w:val="12"/>
                <w:color w:val="0000FF"/>
              </w:rPr>
              <w:t>of AIDH</w:t>
            </w:r>
          </w:p>
        </w:tc>
        <w:tc>
          <w:tcPr>
            <w:tcW w:w="720" w:type="dxa"/>
            <w:vAlign w:val="bottom"/>
            <w:vMerge w:val="restart"/>
          </w:tcPr>
          <w:p>
            <w:pPr>
              <w:ind w:left="300"/>
              <w:spacing w:after="0"/>
              <w:rPr>
                <w:sz w:val="20"/>
                <w:szCs w:val="20"/>
                <w:color w:val="auto"/>
              </w:rPr>
            </w:pPr>
            <w:r>
              <w:rPr>
                <w:rFonts w:ascii="Arial" w:cs="Arial" w:eastAsia="Arial" w:hAnsi="Arial"/>
                <w:sz w:val="10"/>
                <w:szCs w:val="10"/>
                <w:color w:val="008000"/>
              </w:rPr>
              <w:t>(2)</w:t>
            </w: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gridSpan w:val="2"/>
            <w:vMerge w:val="restart"/>
          </w:tcPr>
          <w:p>
            <w:pPr>
              <w:ind w:left="100"/>
              <w:spacing w:after="0" w:line="187" w:lineRule="exact"/>
              <w:rPr>
                <w:sz w:val="20"/>
                <w:szCs w:val="20"/>
                <w:color w:val="auto"/>
              </w:rPr>
            </w:pPr>
            <w:r>
              <w:rPr>
                <w:rFonts w:ascii="Arial" w:cs="Arial" w:eastAsia="Arial" w:hAnsi="Arial"/>
                <w:sz w:val="21"/>
                <w:szCs w:val="21"/>
                <w:color w:val="0000FF"/>
                <w:vertAlign w:val="subscript"/>
              </w:rPr>
              <w:t>C</w:t>
            </w:r>
            <w:r>
              <w:rPr>
                <w:rFonts w:ascii="Arial" w:cs="Arial" w:eastAsia="Arial" w:hAnsi="Arial"/>
                <w:sz w:val="9"/>
                <w:szCs w:val="9"/>
                <w:color w:val="008000"/>
              </w:rPr>
              <w:t>(1)</w:t>
            </w:r>
          </w:p>
        </w:tc>
        <w:tc>
          <w:tcPr>
            <w:tcW w:w="1000" w:type="dxa"/>
            <w:vAlign w:val="bottom"/>
            <w:gridSpan w:val="3"/>
            <w:vMerge w:val="restart"/>
          </w:tcPr>
          <w:p>
            <w:pPr>
              <w:ind w:left="320"/>
              <w:spacing w:after="0" w:line="187" w:lineRule="exact"/>
              <w:rPr>
                <w:sz w:val="20"/>
                <w:szCs w:val="20"/>
                <w:color w:val="auto"/>
              </w:rPr>
            </w:pPr>
            <w:r>
              <w:rPr>
                <w:rFonts w:ascii="Arial" w:cs="Arial" w:eastAsia="Arial" w:hAnsi="Arial"/>
                <w:sz w:val="12"/>
                <w:szCs w:val="12"/>
                <w:color w:val="0000FF"/>
                <w:w w:val="88"/>
              </w:rPr>
              <w:t>641,983</w:t>
            </w:r>
            <w:r>
              <w:rPr>
                <w:rFonts w:ascii="Arial" w:cs="Arial" w:eastAsia="Arial" w:hAnsi="Arial"/>
                <w:sz w:val="19"/>
                <w:szCs w:val="19"/>
                <w:color w:val="008000"/>
                <w:w w:val="88"/>
                <w:vertAlign w:val="superscript"/>
              </w:rPr>
              <w:t>(1)(2)</w:t>
            </w:r>
          </w:p>
        </w:tc>
        <w:tc>
          <w:tcPr>
            <w:tcW w:w="700" w:type="dxa"/>
            <w:vAlign w:val="bottom"/>
            <w:vMerge w:val="restart"/>
          </w:tcPr>
          <w:p>
            <w:pPr>
              <w:ind w:left="300"/>
              <w:spacing w:after="0"/>
              <w:rPr>
                <w:sz w:val="20"/>
                <w:szCs w:val="20"/>
                <w:color w:val="auto"/>
              </w:rPr>
            </w:pPr>
            <w:r>
              <w:rPr>
                <w:rFonts w:ascii="Arial" w:cs="Arial" w:eastAsia="Arial" w:hAnsi="Arial"/>
                <w:sz w:val="10"/>
                <w:szCs w:val="10"/>
                <w:color w:val="008000"/>
              </w:rPr>
              <w:t>(6)</w:t>
            </w:r>
          </w:p>
        </w:tc>
        <w:tc>
          <w:tcPr>
            <w:tcW w:w="660" w:type="dxa"/>
            <w:vAlign w:val="bottom"/>
            <w:vMerge w:val="restart"/>
          </w:tcPr>
          <w:p>
            <w:pPr>
              <w:jc w:val="right"/>
              <w:ind w:right="198"/>
              <w:spacing w:after="0"/>
              <w:rPr>
                <w:sz w:val="20"/>
                <w:szCs w:val="20"/>
                <w:color w:val="auto"/>
              </w:rPr>
            </w:pPr>
            <w:r>
              <w:rPr>
                <w:rFonts w:ascii="Arial" w:cs="Arial" w:eastAsia="Arial" w:hAnsi="Arial"/>
                <w:sz w:val="10"/>
                <w:szCs w:val="10"/>
                <w:color w:val="008000"/>
              </w:rPr>
              <w:t>(6)</w:t>
            </w:r>
          </w:p>
        </w:tc>
        <w:tc>
          <w:tcPr>
            <w:tcW w:w="4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vMerge w:val="restart"/>
          </w:tcPr>
          <w:p>
            <w:pPr>
              <w:ind w:left="20"/>
              <w:spacing w:after="0" w:line="187" w:lineRule="exact"/>
              <w:rPr>
                <w:sz w:val="20"/>
                <w:szCs w:val="20"/>
                <w:color w:val="auto"/>
              </w:rPr>
            </w:pPr>
            <w:r>
              <w:rPr>
                <w:rFonts w:ascii="Arial" w:cs="Arial" w:eastAsia="Arial" w:hAnsi="Arial"/>
                <w:sz w:val="15"/>
                <w:szCs w:val="15"/>
                <w:color w:val="0000FF"/>
                <w:w w:val="91"/>
              </w:rPr>
              <w:t>641,983</w:t>
            </w:r>
            <w:r>
              <w:rPr>
                <w:rFonts w:ascii="Arial" w:cs="Arial" w:eastAsia="Arial" w:hAnsi="Arial"/>
                <w:sz w:val="19"/>
                <w:szCs w:val="19"/>
                <w:color w:val="008000"/>
                <w:w w:val="91"/>
                <w:vertAlign w:val="superscript"/>
              </w:rPr>
              <w:t>(1)(2)</w:t>
            </w:r>
          </w:p>
        </w:tc>
        <w:tc>
          <w:tcPr>
            <w:tcW w:w="620" w:type="dxa"/>
            <w:vAlign w:val="bottom"/>
          </w:tcPr>
          <w:p>
            <w:pPr>
              <w:spacing w:after="0"/>
              <w:rPr>
                <w:sz w:val="5"/>
                <w:szCs w:val="5"/>
                <w:color w:val="auto"/>
              </w:rPr>
            </w:pPr>
          </w:p>
        </w:tc>
        <w:tc>
          <w:tcPr>
            <w:tcW w:w="1100" w:type="dxa"/>
            <w:vAlign w:val="bottom"/>
            <w:vMerge w:val="restart"/>
          </w:tcPr>
          <w:p>
            <w:pPr>
              <w:ind w:left="80"/>
              <w:spacing w:after="0" w:line="187" w:lineRule="exact"/>
              <w:rPr>
                <w:sz w:val="20"/>
                <w:szCs w:val="20"/>
                <w:color w:val="auto"/>
              </w:rPr>
            </w:pPr>
            <w:r>
              <w:rPr>
                <w:rFonts w:ascii="Arial" w:cs="Arial" w:eastAsia="Arial" w:hAnsi="Arial"/>
                <w:sz w:val="21"/>
                <w:szCs w:val="21"/>
                <w:color w:val="0000FF"/>
                <w:w w:val="87"/>
                <w:vertAlign w:val="subscript"/>
              </w:rPr>
              <w:t>27,710,989</w:t>
            </w:r>
            <w:r>
              <w:rPr>
                <w:rFonts w:ascii="Arial" w:cs="Arial" w:eastAsia="Arial" w:hAnsi="Arial"/>
                <w:sz w:val="9"/>
                <w:szCs w:val="9"/>
                <w:color w:val="008000"/>
                <w:w w:val="87"/>
              </w:rPr>
              <w:t>(3)(4)(5)(6)</w:t>
            </w:r>
          </w:p>
        </w:tc>
        <w:tc>
          <w:tcPr>
            <w:tcW w:w="580" w:type="dxa"/>
            <w:vAlign w:val="bottom"/>
            <w:vMerge w:val="restart"/>
          </w:tcPr>
          <w:p>
            <w:pPr>
              <w:ind w:left="280"/>
              <w:spacing w:after="0" w:line="187" w:lineRule="exact"/>
              <w:rPr>
                <w:sz w:val="20"/>
                <w:szCs w:val="20"/>
                <w:color w:val="auto"/>
              </w:rPr>
            </w:pPr>
            <w:r>
              <w:rPr>
                <w:rFonts w:ascii="Arial" w:cs="Arial" w:eastAsia="Arial" w:hAnsi="Arial"/>
                <w:sz w:val="21"/>
                <w:szCs w:val="21"/>
                <w:color w:val="0000FF"/>
                <w:vertAlign w:val="subscript"/>
              </w:rPr>
              <w:t>I</w:t>
            </w:r>
            <w:r>
              <w:rPr>
                <w:rFonts w:ascii="Arial" w:cs="Arial" w:eastAsia="Arial" w:hAnsi="Arial"/>
                <w:sz w:val="9"/>
                <w:szCs w:val="9"/>
                <w:color w:val="008000"/>
              </w:rPr>
              <w:t>(1)</w:t>
            </w:r>
          </w:p>
        </w:tc>
        <w:tc>
          <w:tcPr>
            <w:tcW w:w="120" w:type="dxa"/>
            <w:vAlign w:val="bottom"/>
          </w:tcPr>
          <w:p>
            <w:pPr>
              <w:spacing w:after="0"/>
              <w:rPr>
                <w:sz w:val="5"/>
                <w:szCs w:val="5"/>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color w:val="0000FF"/>
                <w:w w:val="81"/>
              </w:rPr>
              <w:t>See notes</w:t>
            </w:r>
          </w:p>
        </w:tc>
        <w:tc>
          <w:tcPr>
            <w:tcW w:w="120" w:type="dxa"/>
            <w:vAlign w:val="bottom"/>
            <w:vMerge w:val="continue"/>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64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900" w:type="dxa"/>
            <w:vAlign w:val="bottom"/>
            <w:gridSpan w:val="2"/>
            <w:vMerge w:val="restart"/>
          </w:tcPr>
          <w:p>
            <w:pPr>
              <w:ind w:left="220"/>
              <w:spacing w:after="0" w:line="128" w:lineRule="exact"/>
              <w:rPr>
                <w:sz w:val="20"/>
                <w:szCs w:val="20"/>
                <w:color w:val="auto"/>
              </w:rPr>
            </w:pPr>
            <w:r>
              <w:rPr>
                <w:rFonts w:ascii="Arial" w:cs="Arial" w:eastAsia="Arial" w:hAnsi="Arial"/>
                <w:sz w:val="12"/>
                <w:szCs w:val="12"/>
                <w:color w:val="0000FF"/>
              </w:rPr>
              <w:t>09/17/2021</w:t>
            </w: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0" w:type="dxa"/>
            <w:vAlign w:val="bottom"/>
            <w:gridSpan w:val="3"/>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20" w:type="dxa"/>
            <w:vAlign w:val="bottom"/>
            <w:gridSpan w:val="2"/>
            <w:vMerge w:val="restart"/>
          </w:tcPr>
          <w:p>
            <w:pPr>
              <w:ind w:left="80"/>
              <w:spacing w:after="0" w:line="128" w:lineRule="exact"/>
              <w:rPr>
                <w:sz w:val="20"/>
                <w:szCs w:val="20"/>
                <w:color w:val="auto"/>
              </w:rPr>
            </w:pPr>
            <w:r>
              <w:rPr>
                <w:rFonts w:ascii="Arial" w:cs="Arial" w:eastAsia="Arial" w:hAnsi="Arial"/>
                <w:sz w:val="12"/>
                <w:szCs w:val="12"/>
                <w:color w:val="0000FF"/>
              </w:rPr>
              <w:t>Common</w:t>
            </w:r>
          </w:p>
        </w:tc>
        <w:tc>
          <w:tcPr>
            <w:tcW w:w="82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color w:val="0000FF"/>
              </w:rPr>
              <w:t>25.3125</w:t>
            </w:r>
          </w:p>
        </w:tc>
        <w:tc>
          <w:tcPr>
            <w:tcW w:w="11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640" w:type="dxa"/>
            <w:vAlign w:val="bottom"/>
            <w:gridSpan w:val="2"/>
            <w:vMerge w:val="restart"/>
          </w:tcPr>
          <w:p>
            <w:pPr>
              <w:ind w:left="60"/>
              <w:spacing w:after="0" w:line="131" w:lineRule="exact"/>
              <w:rPr>
                <w:sz w:val="20"/>
                <w:szCs w:val="20"/>
                <w:color w:val="auto"/>
              </w:rPr>
            </w:pPr>
            <w:r>
              <w:rPr>
                <w:rFonts w:ascii="Arial" w:cs="Arial" w:eastAsia="Arial" w:hAnsi="Arial"/>
                <w:sz w:val="12"/>
                <w:szCs w:val="12"/>
                <w:color w:val="0000FF"/>
              </w:rPr>
              <w:t>Topco,</w:t>
            </w:r>
          </w:p>
        </w:tc>
        <w:tc>
          <w:tcPr>
            <w:tcW w:w="720" w:type="dxa"/>
            <w:vAlign w:val="bottom"/>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64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vMerge w:val="restart"/>
          </w:tcPr>
          <w:p>
            <w:pPr>
              <w:ind w:left="160"/>
              <w:spacing w:after="0"/>
              <w:rPr>
                <w:sz w:val="20"/>
                <w:szCs w:val="20"/>
                <w:color w:val="auto"/>
              </w:rPr>
            </w:pPr>
            <w:r>
              <w:rPr>
                <w:rFonts w:ascii="Arial" w:cs="Arial" w:eastAsia="Arial" w:hAnsi="Arial"/>
                <w:sz w:val="12"/>
                <w:szCs w:val="12"/>
                <w:color w:val="0000FF"/>
                <w:w w:val="99"/>
              </w:rPr>
              <w:t>Stock</w:t>
            </w: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ind w:left="60"/>
              <w:spacing w:after="0" w:line="75" w:lineRule="exact"/>
              <w:rPr>
                <w:sz w:val="20"/>
                <w:szCs w:val="20"/>
                <w:color w:val="auto"/>
              </w:rPr>
            </w:pPr>
            <w:r>
              <w:rPr>
                <w:rFonts w:ascii="Arial" w:cs="Arial" w:eastAsia="Arial" w:hAnsi="Arial"/>
                <w:sz w:val="7"/>
                <w:szCs w:val="7"/>
                <w:color w:val="008000"/>
              </w:rPr>
              <w:t>(4)(5)</w:t>
            </w:r>
          </w:p>
        </w:tc>
        <w:tc>
          <w:tcPr>
            <w:tcW w:w="1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640" w:type="dxa"/>
            <w:vAlign w:val="bottom"/>
            <w:gridSpan w:val="2"/>
            <w:vMerge w:val="restart"/>
          </w:tcPr>
          <w:p>
            <w:pPr>
              <w:ind w:left="60"/>
              <w:spacing w:after="0"/>
              <w:rPr>
                <w:sz w:val="20"/>
                <w:szCs w:val="20"/>
                <w:color w:val="auto"/>
              </w:rPr>
            </w:pPr>
            <w:r>
              <w:rPr>
                <w:rFonts w:ascii="Arial" w:cs="Arial" w:eastAsia="Arial" w:hAnsi="Arial"/>
                <w:sz w:val="12"/>
                <w:szCs w:val="12"/>
                <w:color w:val="0000FF"/>
              </w:rPr>
              <w:t>LLC</w:t>
            </w: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640" w:type="dxa"/>
            <w:vAlign w:val="bottom"/>
            <w:gridSpan w:val="2"/>
            <w:vMerge w:val="continue"/>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380" w:type="dxa"/>
            <w:vAlign w:val="bottom"/>
            <w:gridSpan w:val="6"/>
          </w:tcPr>
          <w:p>
            <w:pPr>
              <w:ind w:left="60"/>
              <w:spacing w:after="0" w:line="214" w:lineRule="exact"/>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2280" w:type="dxa"/>
            <w:vAlign w:val="bottom"/>
            <w:gridSpan w:val="5"/>
          </w:tcPr>
          <w:p>
            <w:pPr>
              <w:spacing w:after="0" w:line="197" w:lineRule="exact"/>
              <w:rPr>
                <w:rFonts w:ascii="Arial" w:cs="Arial" w:eastAsia="Arial" w:hAnsi="Arial"/>
                <w:sz w:val="19"/>
                <w:szCs w:val="19"/>
                <w:color w:val="0000EE"/>
                <w:w w:val="99"/>
              </w:rPr>
            </w:pPr>
            <w:hyperlink r:id="rId12">
              <w:r>
                <w:rPr>
                  <w:rFonts w:ascii="Arial" w:cs="Arial" w:eastAsia="Arial" w:hAnsi="Arial"/>
                  <w:sz w:val="19"/>
                  <w:szCs w:val="19"/>
                  <w:color w:val="0000EE"/>
                  <w:w w:val="99"/>
                </w:rPr>
                <w:t>SEA VII Management, LLC</w:t>
              </w:r>
            </w:hyperlink>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10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3"/>
                <w:szCs w:val="23"/>
                <w:color w:val="auto"/>
              </w:rPr>
            </w:pPr>
          </w:p>
        </w:tc>
        <w:tc>
          <w:tcPr>
            <w:tcW w:w="1020" w:type="dxa"/>
            <w:vAlign w:val="bottom"/>
            <w:gridSpan w:val="3"/>
          </w:tcPr>
          <w:p>
            <w:pPr>
              <w:ind w:left="140"/>
              <w:spacing w:after="0"/>
              <w:rPr>
                <w:sz w:val="20"/>
                <w:szCs w:val="20"/>
                <w:color w:val="auto"/>
              </w:rPr>
            </w:pPr>
            <w:r>
              <w:rPr>
                <w:rFonts w:ascii="Arial" w:cs="Arial" w:eastAsia="Arial" w:hAnsi="Arial"/>
                <w:sz w:val="12"/>
                <w:szCs w:val="12"/>
                <w:color w:val="auto"/>
              </w:rPr>
              <w:t>(First)</w:t>
            </w:r>
          </w:p>
        </w:tc>
        <w:tc>
          <w:tcPr>
            <w:tcW w:w="980" w:type="dxa"/>
            <w:vAlign w:val="bottom"/>
          </w:tcPr>
          <w:p>
            <w:pPr>
              <w:ind w:left="540"/>
              <w:spacing w:after="0"/>
              <w:rPr>
                <w:sz w:val="20"/>
                <w:szCs w:val="20"/>
                <w:color w:val="auto"/>
              </w:rPr>
            </w:pPr>
            <w:r>
              <w:rPr>
                <w:rFonts w:ascii="Arial" w:cs="Arial" w:eastAsia="Arial" w:hAnsi="Arial"/>
                <w:sz w:val="12"/>
                <w:szCs w:val="12"/>
                <w:color w:val="auto"/>
                <w:w w:val="96"/>
              </w:rPr>
              <w:t>(Middle)</w:t>
            </w: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3260" w:type="dxa"/>
            <w:vAlign w:val="bottom"/>
            <w:gridSpan w:val="6"/>
          </w:tcPr>
          <w:p>
            <w:pPr>
              <w:spacing w:after="0"/>
              <w:rPr>
                <w:sz w:val="20"/>
                <w:szCs w:val="20"/>
                <w:color w:val="auto"/>
              </w:rPr>
            </w:pPr>
            <w:r>
              <w:rPr>
                <w:rFonts w:ascii="Arial" w:cs="Arial" w:eastAsia="Arial" w:hAnsi="Arial"/>
                <w:sz w:val="15"/>
                <w:szCs w:val="15"/>
                <w:color w:val="0000FF"/>
              </w:rPr>
              <w:t>140 NEW MONTGOMERY STREET,</w:t>
            </w: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0000FF"/>
              </w:rPr>
              <w:t>20TH FLOOR</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0000FF"/>
              </w:rPr>
              <w:t>SAN FRANCISCO</w:t>
            </w:r>
          </w:p>
        </w:tc>
        <w:tc>
          <w:tcPr>
            <w:tcW w:w="1020" w:type="dxa"/>
            <w:vAlign w:val="bottom"/>
            <w:gridSpan w:val="3"/>
          </w:tcPr>
          <w:p>
            <w:pPr>
              <w:ind w:left="140"/>
              <w:spacing w:after="0"/>
              <w:rPr>
                <w:sz w:val="20"/>
                <w:szCs w:val="20"/>
                <w:color w:val="auto"/>
              </w:rPr>
            </w:pPr>
            <w:r>
              <w:rPr>
                <w:rFonts w:ascii="Arial" w:cs="Arial" w:eastAsia="Arial" w:hAnsi="Arial"/>
                <w:sz w:val="15"/>
                <w:szCs w:val="15"/>
                <w:color w:val="0000FF"/>
              </w:rPr>
              <w:t>CA</w:t>
            </w:r>
          </w:p>
        </w:tc>
        <w:tc>
          <w:tcPr>
            <w:tcW w:w="980" w:type="dxa"/>
            <w:vAlign w:val="bottom"/>
          </w:tcPr>
          <w:p>
            <w:pPr>
              <w:ind w:left="540"/>
              <w:spacing w:after="0"/>
              <w:rPr>
                <w:sz w:val="20"/>
                <w:szCs w:val="20"/>
                <w:color w:val="auto"/>
              </w:rPr>
            </w:pPr>
            <w:r>
              <w:rPr>
                <w:rFonts w:ascii="Arial" w:cs="Arial" w:eastAsia="Arial" w:hAnsi="Arial"/>
                <w:sz w:val="15"/>
                <w:szCs w:val="15"/>
                <w:color w:val="0000FF"/>
              </w:rPr>
              <w:t>94105</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10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720" w:type="dxa"/>
            <w:vAlign w:val="bottom"/>
          </w:tcPr>
          <w:p>
            <w:pPr>
              <w:spacing w:after="0"/>
              <w:rPr>
                <w:sz w:val="23"/>
                <w:szCs w:val="23"/>
                <w:color w:val="auto"/>
              </w:rPr>
            </w:pPr>
          </w:p>
        </w:tc>
        <w:tc>
          <w:tcPr>
            <w:tcW w:w="1020" w:type="dxa"/>
            <w:vAlign w:val="bottom"/>
            <w:gridSpan w:val="3"/>
          </w:tcPr>
          <w:p>
            <w:pPr>
              <w:ind w:left="140"/>
              <w:spacing w:after="0"/>
              <w:rPr>
                <w:sz w:val="20"/>
                <w:szCs w:val="20"/>
                <w:color w:val="auto"/>
              </w:rPr>
            </w:pPr>
            <w:r>
              <w:rPr>
                <w:rFonts w:ascii="Arial" w:cs="Arial" w:eastAsia="Arial" w:hAnsi="Arial"/>
                <w:sz w:val="12"/>
                <w:szCs w:val="12"/>
                <w:color w:val="auto"/>
              </w:rPr>
              <w:t>(State)</w:t>
            </w:r>
          </w:p>
        </w:tc>
        <w:tc>
          <w:tcPr>
            <w:tcW w:w="980" w:type="dxa"/>
            <w:vAlign w:val="bottom"/>
          </w:tcPr>
          <w:p>
            <w:pPr>
              <w:ind w:left="540"/>
              <w:spacing w:after="0"/>
              <w:rPr>
                <w:sz w:val="20"/>
                <w:szCs w:val="20"/>
                <w:color w:val="auto"/>
              </w:rPr>
            </w:pPr>
            <w:r>
              <w:rPr>
                <w:rFonts w:ascii="Arial" w:cs="Arial" w:eastAsia="Arial" w:hAnsi="Arial"/>
                <w:sz w:val="12"/>
                <w:szCs w:val="12"/>
                <w:color w:val="auto"/>
              </w:rPr>
              <w:t>(Zip)</w:t>
            </w: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1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gridSpan w:val="3"/>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380" w:type="dxa"/>
            <w:vAlign w:val="bottom"/>
            <w:gridSpan w:val="6"/>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2280" w:type="dxa"/>
            <w:vAlign w:val="bottom"/>
            <w:gridSpan w:val="5"/>
          </w:tcPr>
          <w:p>
            <w:pPr>
              <w:spacing w:after="0" w:line="197" w:lineRule="exact"/>
              <w:rPr>
                <w:rFonts w:ascii="Arial" w:cs="Arial" w:eastAsia="Arial" w:hAnsi="Arial"/>
                <w:sz w:val="19"/>
                <w:szCs w:val="19"/>
                <w:color w:val="0000EE"/>
              </w:rPr>
            </w:pPr>
            <w:hyperlink r:id="rId14">
              <w:r>
                <w:rPr>
                  <w:rFonts w:ascii="Arial" w:cs="Arial" w:eastAsia="Arial" w:hAnsi="Arial"/>
                  <w:sz w:val="19"/>
                  <w:szCs w:val="19"/>
                  <w:color w:val="0000EE"/>
                </w:rPr>
                <w:t>SE VII DHC AIV, L.P.</w:t>
              </w:r>
            </w:hyperlink>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10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3"/>
                <w:szCs w:val="23"/>
                <w:color w:val="auto"/>
              </w:rPr>
            </w:pPr>
          </w:p>
        </w:tc>
        <w:tc>
          <w:tcPr>
            <w:tcW w:w="1020" w:type="dxa"/>
            <w:vAlign w:val="bottom"/>
            <w:gridSpan w:val="3"/>
          </w:tcPr>
          <w:p>
            <w:pPr>
              <w:ind w:left="140"/>
              <w:spacing w:after="0"/>
              <w:rPr>
                <w:sz w:val="20"/>
                <w:szCs w:val="20"/>
                <w:color w:val="auto"/>
              </w:rPr>
            </w:pPr>
            <w:r>
              <w:rPr>
                <w:rFonts w:ascii="Arial" w:cs="Arial" w:eastAsia="Arial" w:hAnsi="Arial"/>
                <w:sz w:val="12"/>
                <w:szCs w:val="12"/>
                <w:color w:val="auto"/>
              </w:rPr>
              <w:t>(First)</w:t>
            </w:r>
          </w:p>
        </w:tc>
        <w:tc>
          <w:tcPr>
            <w:tcW w:w="980" w:type="dxa"/>
            <w:vAlign w:val="bottom"/>
          </w:tcPr>
          <w:p>
            <w:pPr>
              <w:ind w:left="540"/>
              <w:spacing w:after="0"/>
              <w:rPr>
                <w:sz w:val="20"/>
                <w:szCs w:val="20"/>
                <w:color w:val="auto"/>
              </w:rPr>
            </w:pPr>
            <w:r>
              <w:rPr>
                <w:rFonts w:ascii="Arial" w:cs="Arial" w:eastAsia="Arial" w:hAnsi="Arial"/>
                <w:sz w:val="12"/>
                <w:szCs w:val="12"/>
                <w:color w:val="auto"/>
                <w:w w:val="96"/>
              </w:rPr>
              <w:t>(Middle)</w:t>
            </w: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3260" w:type="dxa"/>
            <w:vAlign w:val="bottom"/>
            <w:gridSpan w:val="6"/>
          </w:tcPr>
          <w:p>
            <w:pPr>
              <w:spacing w:after="0"/>
              <w:rPr>
                <w:sz w:val="20"/>
                <w:szCs w:val="20"/>
                <w:color w:val="auto"/>
              </w:rPr>
            </w:pPr>
            <w:r>
              <w:rPr>
                <w:rFonts w:ascii="Arial" w:cs="Arial" w:eastAsia="Arial" w:hAnsi="Arial"/>
                <w:sz w:val="15"/>
                <w:szCs w:val="15"/>
                <w:color w:val="0000FF"/>
              </w:rPr>
              <w:t>140 NEW MONTGOMERY STREET,</w:t>
            </w: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0000FF"/>
              </w:rPr>
              <w:t>20TH FLOOR</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0000FF"/>
              </w:rPr>
              <w:t>SAN FRANCISCO</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540"/>
              <w:spacing w:after="0"/>
              <w:rPr>
                <w:sz w:val="20"/>
                <w:szCs w:val="20"/>
                <w:color w:val="auto"/>
              </w:rPr>
            </w:pPr>
            <w:r>
              <w:rPr>
                <w:rFonts w:ascii="Arial" w:cs="Arial" w:eastAsia="Arial" w:hAnsi="Arial"/>
                <w:sz w:val="15"/>
                <w:szCs w:val="15"/>
                <w:color w:val="0000FF"/>
              </w:rPr>
              <w:t>94105</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10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720" w:type="dxa"/>
            <w:vAlign w:val="bottom"/>
          </w:tcPr>
          <w:p>
            <w:pPr>
              <w:spacing w:after="0"/>
              <w:rPr>
                <w:sz w:val="23"/>
                <w:szCs w:val="23"/>
                <w:color w:val="auto"/>
              </w:rPr>
            </w:pPr>
          </w:p>
        </w:tc>
        <w:tc>
          <w:tcPr>
            <w:tcW w:w="1020" w:type="dxa"/>
            <w:vAlign w:val="bottom"/>
            <w:gridSpan w:val="3"/>
          </w:tcPr>
          <w:p>
            <w:pPr>
              <w:ind w:left="140"/>
              <w:spacing w:after="0"/>
              <w:rPr>
                <w:sz w:val="20"/>
                <w:szCs w:val="20"/>
                <w:color w:val="auto"/>
              </w:rPr>
            </w:pPr>
            <w:r>
              <w:rPr>
                <w:rFonts w:ascii="Arial" w:cs="Arial" w:eastAsia="Arial" w:hAnsi="Arial"/>
                <w:sz w:val="12"/>
                <w:szCs w:val="12"/>
                <w:color w:val="auto"/>
              </w:rPr>
              <w:t>(State)</w:t>
            </w:r>
          </w:p>
        </w:tc>
        <w:tc>
          <w:tcPr>
            <w:tcW w:w="980" w:type="dxa"/>
            <w:vAlign w:val="bottom"/>
          </w:tcPr>
          <w:p>
            <w:pPr>
              <w:ind w:left="540"/>
              <w:spacing w:after="0"/>
              <w:rPr>
                <w:sz w:val="20"/>
                <w:szCs w:val="20"/>
                <w:color w:val="auto"/>
              </w:rPr>
            </w:pPr>
            <w:r>
              <w:rPr>
                <w:rFonts w:ascii="Arial" w:cs="Arial" w:eastAsia="Arial" w:hAnsi="Arial"/>
                <w:sz w:val="12"/>
                <w:szCs w:val="12"/>
                <w:color w:val="auto"/>
              </w:rPr>
              <w:t>(Zip)</w:t>
            </w: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7"/>
        </w:trPr>
        <w:tc>
          <w:tcPr>
            <w:tcW w:w="1840" w:type="dxa"/>
            <w:vAlign w:val="bottom"/>
            <w:tcBorders>
              <w:bottom w:val="single" w:sz="8" w:color="2C2C2C"/>
            </w:tcBorders>
            <w:gridSpan w:val="4"/>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380" w:type="dxa"/>
            <w:vAlign w:val="bottom"/>
            <w:gridSpan w:val="6"/>
          </w:tcPr>
          <w:p>
            <w:pPr>
              <w:ind w:left="60"/>
              <w:spacing w:after="0"/>
              <w:rPr>
                <w:sz w:val="20"/>
                <w:szCs w:val="20"/>
                <w:color w:val="auto"/>
              </w:rPr>
            </w:pPr>
            <w:r>
              <w:rPr>
                <w:rFonts w:ascii="Arial" w:cs="Arial" w:eastAsia="Arial" w:hAnsi="Arial"/>
                <w:sz w:val="12"/>
                <w:szCs w:val="12"/>
                <w:color w:val="auto"/>
                <w:w w:val="99"/>
              </w:rPr>
              <w:t>1. Name and Address of Reporting Person</w:t>
            </w:r>
            <w:r>
              <w:rPr>
                <w:rFonts w:ascii="Arial" w:cs="Arial" w:eastAsia="Arial" w:hAnsi="Arial"/>
                <w:sz w:val="19"/>
                <w:szCs w:val="19"/>
                <w:color w:val="auto"/>
                <w:w w:val="99"/>
                <w:vertAlign w:val="superscript"/>
              </w:rPr>
              <w:t>*</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17"/>
                <w:szCs w:val="17"/>
                <w:color w:val="auto"/>
              </w:rPr>
            </w:pPr>
          </w:p>
        </w:tc>
        <w:tc>
          <w:tcPr>
            <w:tcW w:w="4020" w:type="dxa"/>
            <w:vAlign w:val="bottom"/>
            <w:gridSpan w:val="8"/>
          </w:tcPr>
          <w:p>
            <w:pPr>
              <w:spacing w:after="0" w:line="197" w:lineRule="exact"/>
              <w:rPr>
                <w:rFonts w:ascii="Arial" w:cs="Arial" w:eastAsia="Arial" w:hAnsi="Arial"/>
                <w:sz w:val="19"/>
                <w:szCs w:val="19"/>
                <w:color w:val="0000EE"/>
              </w:rPr>
            </w:pPr>
            <w:hyperlink r:id="rId15">
              <w:r>
                <w:rPr>
                  <w:rFonts w:ascii="Arial" w:cs="Arial" w:eastAsia="Arial" w:hAnsi="Arial"/>
                  <w:sz w:val="19"/>
                  <w:szCs w:val="19"/>
                  <w:color w:val="0000EE"/>
                </w:rPr>
                <w:t>Spectrum VII Investment Managers' Fund, L.P.</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540" w:type="dxa"/>
            <w:vAlign w:val="bottom"/>
            <w:tcBorders>
              <w:top w:val="single" w:sz="8" w:color="0000EE"/>
              <w:bottom w:val="single" w:sz="8" w:color="9A9A9A"/>
            </w:tcBorders>
          </w:tcPr>
          <w:p>
            <w:pPr>
              <w:spacing w:after="0"/>
              <w:rPr>
                <w:sz w:val="13"/>
                <w:szCs w:val="13"/>
                <w:color w:val="auto"/>
              </w:rPr>
            </w:pPr>
          </w:p>
        </w:tc>
        <w:tc>
          <w:tcPr>
            <w:tcW w:w="72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4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98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10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720" w:type="dxa"/>
            <w:vAlign w:val="bottom"/>
          </w:tcPr>
          <w:p>
            <w:pPr>
              <w:spacing w:after="0"/>
              <w:rPr>
                <w:sz w:val="23"/>
                <w:szCs w:val="23"/>
                <w:color w:val="auto"/>
              </w:rPr>
            </w:pPr>
          </w:p>
        </w:tc>
        <w:tc>
          <w:tcPr>
            <w:tcW w:w="1020" w:type="dxa"/>
            <w:vAlign w:val="bottom"/>
            <w:gridSpan w:val="3"/>
          </w:tcPr>
          <w:p>
            <w:pPr>
              <w:ind w:left="140"/>
              <w:spacing w:after="0"/>
              <w:rPr>
                <w:sz w:val="20"/>
                <w:szCs w:val="20"/>
                <w:color w:val="auto"/>
              </w:rPr>
            </w:pPr>
            <w:r>
              <w:rPr>
                <w:rFonts w:ascii="Arial" w:cs="Arial" w:eastAsia="Arial" w:hAnsi="Arial"/>
                <w:sz w:val="12"/>
                <w:szCs w:val="12"/>
                <w:color w:val="auto"/>
              </w:rPr>
              <w:t>(First)</w:t>
            </w:r>
          </w:p>
        </w:tc>
        <w:tc>
          <w:tcPr>
            <w:tcW w:w="980" w:type="dxa"/>
            <w:vAlign w:val="bottom"/>
          </w:tcPr>
          <w:p>
            <w:pPr>
              <w:ind w:left="540"/>
              <w:spacing w:after="0"/>
              <w:rPr>
                <w:sz w:val="20"/>
                <w:szCs w:val="20"/>
                <w:color w:val="auto"/>
              </w:rPr>
            </w:pPr>
            <w:r>
              <w:rPr>
                <w:rFonts w:ascii="Arial" w:cs="Arial" w:eastAsia="Arial" w:hAnsi="Arial"/>
                <w:sz w:val="12"/>
                <w:szCs w:val="12"/>
                <w:color w:val="auto"/>
                <w:w w:val="96"/>
              </w:rPr>
              <w:t>(Middle)</w:t>
            </w: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100" w:type="dxa"/>
            <w:vAlign w:val="bottom"/>
          </w:tcPr>
          <w:p>
            <w:pPr>
              <w:spacing w:after="0"/>
              <w:rPr>
                <w:sz w:val="21"/>
                <w:szCs w:val="21"/>
                <w:color w:val="auto"/>
              </w:rPr>
            </w:pPr>
          </w:p>
        </w:tc>
        <w:tc>
          <w:tcPr>
            <w:tcW w:w="3260" w:type="dxa"/>
            <w:vAlign w:val="bottom"/>
            <w:gridSpan w:val="6"/>
          </w:tcPr>
          <w:p>
            <w:pPr>
              <w:spacing w:after="0"/>
              <w:rPr>
                <w:sz w:val="20"/>
                <w:szCs w:val="20"/>
                <w:color w:val="auto"/>
              </w:rPr>
            </w:pPr>
            <w:r>
              <w:rPr>
                <w:rFonts w:ascii="Arial" w:cs="Arial" w:eastAsia="Arial" w:hAnsi="Arial"/>
                <w:sz w:val="15"/>
                <w:szCs w:val="15"/>
                <w:color w:val="0000FF"/>
              </w:rPr>
              <w:t>140 NEW MONTGOMERY STREET,</w:t>
            </w: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0000FF"/>
              </w:rPr>
              <w:t>20TH FLOOR</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Arial" w:cs="Arial" w:eastAsia="Arial" w:hAnsi="Arial"/>
                <w:sz w:val="15"/>
                <w:szCs w:val="15"/>
                <w:color w:val="0000FF"/>
              </w:rPr>
              <w:t>SAN FRANCISCO</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ind w:left="540"/>
              <w:spacing w:after="0"/>
              <w:rPr>
                <w:sz w:val="20"/>
                <w:szCs w:val="20"/>
                <w:color w:val="auto"/>
              </w:rPr>
            </w:pPr>
            <w:r>
              <w:rPr>
                <w:rFonts w:ascii="Arial" w:cs="Arial" w:eastAsia="Arial" w:hAnsi="Arial"/>
                <w:sz w:val="15"/>
                <w:szCs w:val="15"/>
                <w:color w:val="0000FF"/>
              </w:rPr>
              <w:t>94105</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7007860</wp:posOffset>
            </wp:positionH>
            <wp:positionV relativeFrom="paragraph">
              <wp:posOffset>-6010275</wp:posOffset>
            </wp:positionV>
            <wp:extent cx="27940" cy="1562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7940" cy="1562735"/>
                    </a:xfrm>
                    <a:prstGeom prst="rect">
                      <a:avLst/>
                    </a:prstGeom>
                    <a:noFill/>
                  </pic:spPr>
                </pic:pic>
              </a:graphicData>
            </a:graphic>
          </wp:anchor>
        </w:drawing>
      </w:r>
    </w:p>
    <w:p>
      <w:pPr>
        <w:sectPr>
          <w:pgSz w:w="11900" w:h="16856" w:orient="portrait"/>
          <w:cols w:equalWidth="0" w:num="1">
            <w:col w:w="11080"/>
          </w:cols>
          <w:pgMar w:left="460" w:top="215" w:right="359" w:bottom="0" w:gutter="0" w:footer="0" w:header="0"/>
          <w:type w:val="continuous"/>
        </w:sectPr>
      </w:pPr>
    </w:p>
    <w:p>
      <w:pPr>
        <w:spacing w:after="0" w:line="286" w:lineRule="exact"/>
        <w:rPr>
          <w:sz w:val="20"/>
          <w:szCs w:val="20"/>
          <w:color w:val="auto"/>
        </w:rPr>
      </w:pPr>
    </w:p>
    <w:p>
      <w:pPr>
        <w:ind w:left="100"/>
        <w:spacing w:after="0"/>
        <w:tabs>
          <w:tab w:leader="none" w:pos="148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ectPr>
          <w:pgSz w:w="11900" w:h="16856" w:orient="portrait"/>
          <w:cols w:equalWidth="0" w:num="1">
            <w:col w:w="11080"/>
          </w:cols>
          <w:pgMar w:left="460" w:top="215" w:right="359" w:bottom="0" w:gutter="0" w:footer="0" w:header="0"/>
          <w:type w:val="continuous"/>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276225</wp:posOffset>
            </wp:positionH>
            <wp:positionV relativeFrom="page">
              <wp:posOffset>88900</wp:posOffset>
            </wp:positionV>
            <wp:extent cx="2813685" cy="4813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3685" cy="4813300"/>
                    </a:xfrm>
                    <a:prstGeom prst="rect">
                      <a:avLst/>
                    </a:prstGeom>
                    <a:noFill/>
                  </pic:spPr>
                </pic:pic>
              </a:graphicData>
            </a:graphic>
          </wp:anchor>
        </w:drawing>
      </w:r>
    </w:p>
    <w:p>
      <w:pPr>
        <w:ind w:left="29"/>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69"/>
        <w:spacing w:after="0"/>
        <w:rPr>
          <w:rFonts w:ascii="Arial" w:cs="Arial" w:eastAsia="Arial" w:hAnsi="Arial"/>
          <w:sz w:val="19"/>
          <w:szCs w:val="19"/>
          <w:u w:val="single" w:color="auto"/>
          <w:color w:val="0000EE"/>
        </w:rPr>
      </w:pPr>
      <w:hyperlink r:id="rId18">
        <w:r>
          <w:rPr>
            <w:rFonts w:ascii="Arial" w:cs="Arial" w:eastAsia="Arial" w:hAnsi="Arial"/>
            <w:sz w:val="19"/>
            <w:szCs w:val="19"/>
            <w:u w:val="single" w:color="auto"/>
            <w:color w:val="0000EE"/>
          </w:rPr>
          <w:t>SE VII DHC AIV Feeder, L.P.</w:t>
        </w:r>
      </w:hyperlink>
    </w:p>
    <w:p>
      <w:pPr>
        <w:spacing w:after="0" w:line="282" w:lineRule="exact"/>
        <w:rPr>
          <w:sz w:val="20"/>
          <w:szCs w:val="20"/>
          <w:color w:val="auto"/>
        </w:rPr>
      </w:pPr>
    </w:p>
    <w:tbl>
      <w:tblPr>
        <w:tblLayout w:type="fixed"/>
        <w:tblInd w:w="29" w:type="dxa"/>
        <w:tblCellMar>
          <w:top w:w="0" w:type="dxa"/>
          <w:left w:w="0" w:type="dxa"/>
          <w:bottom w:w="0" w:type="dxa"/>
          <w:right w:w="0" w:type="dxa"/>
        </w:tblCellMar>
      </w:tblPr>
      <w:tr>
        <w:trPr>
          <w:trHeight w:val="141"/>
        </w:trPr>
        <w:tc>
          <w:tcPr>
            <w:tcW w:w="40" w:type="dxa"/>
            <w:vAlign w:val="bottom"/>
          </w:tcPr>
          <w:p>
            <w:pPr>
              <w:spacing w:after="0"/>
              <w:rPr>
                <w:sz w:val="12"/>
                <w:szCs w:val="12"/>
                <w:color w:val="auto"/>
              </w:rPr>
            </w:pPr>
          </w:p>
        </w:tc>
        <w:tc>
          <w:tcPr>
            <w:tcW w:w="1300" w:type="dxa"/>
            <w:vAlign w:val="bottom"/>
          </w:tcPr>
          <w:p>
            <w:pPr>
              <w:spacing w:after="0"/>
              <w:rPr>
                <w:sz w:val="20"/>
                <w:szCs w:val="20"/>
                <w:color w:val="auto"/>
              </w:rPr>
            </w:pPr>
            <w:r>
              <w:rPr>
                <w:rFonts w:ascii="Arial" w:cs="Arial" w:eastAsia="Arial" w:hAnsi="Arial"/>
                <w:sz w:val="12"/>
                <w:szCs w:val="12"/>
                <w:color w:val="auto"/>
              </w:rPr>
              <w:t>(Last)</w:t>
            </w:r>
          </w:p>
        </w:tc>
        <w:tc>
          <w:tcPr>
            <w:tcW w:w="1320" w:type="dxa"/>
            <w:vAlign w:val="bottom"/>
          </w:tcPr>
          <w:p>
            <w:pPr>
              <w:ind w:left="100"/>
              <w:spacing w:after="0"/>
              <w:rPr>
                <w:sz w:val="20"/>
                <w:szCs w:val="20"/>
                <w:color w:val="auto"/>
              </w:rPr>
            </w:pPr>
            <w:r>
              <w:rPr>
                <w:rFonts w:ascii="Arial" w:cs="Arial" w:eastAsia="Arial" w:hAnsi="Arial"/>
                <w:sz w:val="12"/>
                <w:szCs w:val="12"/>
                <w:color w:val="auto"/>
              </w:rPr>
              <w:t>(First)</w:t>
            </w:r>
          </w:p>
        </w:tc>
        <w:tc>
          <w:tcPr>
            <w:tcW w:w="1560" w:type="dxa"/>
            <w:vAlign w:val="bottom"/>
          </w:tcPr>
          <w:p>
            <w:pPr>
              <w:ind w:left="200"/>
              <w:spacing w:after="0"/>
              <w:rPr>
                <w:sz w:val="20"/>
                <w:szCs w:val="20"/>
                <w:color w:val="auto"/>
              </w:rPr>
            </w:pPr>
            <w:r>
              <w:rPr>
                <w:rFonts w:ascii="Arial" w:cs="Arial" w:eastAsia="Arial" w:hAnsi="Arial"/>
                <w:sz w:val="12"/>
                <w:szCs w:val="12"/>
                <w:color w:val="auto"/>
              </w:rPr>
              <w:t>(Middle)</w:t>
            </w:r>
          </w:p>
        </w:tc>
      </w:tr>
      <w:tr>
        <w:trPr>
          <w:trHeight w:val="249"/>
        </w:trPr>
        <w:tc>
          <w:tcPr>
            <w:tcW w:w="4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Arial" w:cs="Arial" w:eastAsia="Arial" w:hAnsi="Arial"/>
                <w:sz w:val="15"/>
                <w:szCs w:val="15"/>
                <w:color w:val="0000FF"/>
              </w:rPr>
              <w:t>140 NEW MONTGOMERY STREET,</w:t>
            </w:r>
          </w:p>
        </w:tc>
        <w:tc>
          <w:tcPr>
            <w:tcW w:w="156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5"/>
                <w:szCs w:val="15"/>
                <w:color w:val="0000FF"/>
              </w:rPr>
              <w:t>20TH FLOOR</w:t>
            </w:r>
          </w:p>
        </w:tc>
        <w:tc>
          <w:tcPr>
            <w:tcW w:w="13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36"/>
        </w:trPr>
        <w:tc>
          <w:tcPr>
            <w:tcW w:w="4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r>
      <w:tr>
        <w:trPr>
          <w:trHeight w:val="236"/>
        </w:trPr>
        <w:tc>
          <w:tcPr>
            <w:tcW w:w="13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4"/>
        </w:trPr>
        <w:tc>
          <w:tcPr>
            <w:tcW w:w="4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5"/>
                <w:szCs w:val="15"/>
                <w:color w:val="0000FF"/>
              </w:rPr>
              <w:t>SAN FRANCISCO</w:t>
            </w:r>
          </w:p>
        </w:tc>
        <w:tc>
          <w:tcPr>
            <w:tcW w:w="1320" w:type="dxa"/>
            <w:vAlign w:val="bottom"/>
          </w:tcPr>
          <w:p>
            <w:pPr>
              <w:ind w:left="100"/>
              <w:spacing w:after="0"/>
              <w:rPr>
                <w:sz w:val="20"/>
                <w:szCs w:val="20"/>
                <w:color w:val="auto"/>
              </w:rPr>
            </w:pPr>
            <w:r>
              <w:rPr>
                <w:rFonts w:ascii="Arial" w:cs="Arial" w:eastAsia="Arial" w:hAnsi="Arial"/>
                <w:sz w:val="15"/>
                <w:szCs w:val="15"/>
                <w:color w:val="0000FF"/>
              </w:rPr>
              <w:t>CA</w:t>
            </w:r>
          </w:p>
        </w:tc>
        <w:tc>
          <w:tcPr>
            <w:tcW w:w="1560" w:type="dxa"/>
            <w:vAlign w:val="bottom"/>
          </w:tcPr>
          <w:p>
            <w:pPr>
              <w:ind w:left="200"/>
              <w:spacing w:after="0"/>
              <w:rPr>
                <w:sz w:val="20"/>
                <w:szCs w:val="20"/>
                <w:color w:val="auto"/>
              </w:rPr>
            </w:pPr>
            <w:r>
              <w:rPr>
                <w:rFonts w:ascii="Arial" w:cs="Arial" w:eastAsia="Arial" w:hAnsi="Arial"/>
                <w:sz w:val="15"/>
                <w:szCs w:val="15"/>
                <w:color w:val="0000FF"/>
              </w:rPr>
              <w:t>94105</w:t>
            </w:r>
          </w:p>
        </w:tc>
      </w:tr>
      <w:tr>
        <w:trPr>
          <w:trHeight w:val="136"/>
        </w:trPr>
        <w:tc>
          <w:tcPr>
            <w:tcW w:w="4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r>
      <w:tr>
        <w:trPr>
          <w:trHeight w:val="271"/>
        </w:trPr>
        <w:tc>
          <w:tcPr>
            <w:tcW w:w="4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tcPr>
          <w:p>
            <w:pPr>
              <w:ind w:left="100"/>
              <w:spacing w:after="0"/>
              <w:rPr>
                <w:sz w:val="20"/>
                <w:szCs w:val="20"/>
                <w:color w:val="auto"/>
              </w:rPr>
            </w:pPr>
            <w:r>
              <w:rPr>
                <w:rFonts w:ascii="Arial" w:cs="Arial" w:eastAsia="Arial" w:hAnsi="Arial"/>
                <w:sz w:val="12"/>
                <w:szCs w:val="12"/>
                <w:color w:val="auto"/>
              </w:rPr>
              <w:t>(State)</w:t>
            </w:r>
          </w:p>
        </w:tc>
        <w:tc>
          <w:tcPr>
            <w:tcW w:w="1560" w:type="dxa"/>
            <w:vAlign w:val="bottom"/>
          </w:tcPr>
          <w:p>
            <w:pPr>
              <w:ind w:left="20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p>
    <w:p>
      <w:pPr>
        <w:ind w:left="29"/>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69"/>
        <w:spacing w:after="0"/>
        <w:rPr>
          <w:rFonts w:ascii="Arial" w:cs="Arial" w:eastAsia="Arial" w:hAnsi="Arial"/>
          <w:sz w:val="19"/>
          <w:szCs w:val="19"/>
          <w:u w:val="single" w:color="auto"/>
          <w:color w:val="0000EE"/>
        </w:rPr>
      </w:pPr>
      <w:hyperlink r:id="rId19">
        <w:r>
          <w:rPr>
            <w:rFonts w:ascii="Arial" w:cs="Arial" w:eastAsia="Arial" w:hAnsi="Arial"/>
            <w:sz w:val="19"/>
            <w:szCs w:val="19"/>
            <w:u w:val="single" w:color="auto"/>
            <w:color w:val="0000EE"/>
          </w:rPr>
          <w:t>Spectrum VII Co-Investment Fund, L.P.</w:t>
        </w:r>
      </w:hyperlink>
    </w:p>
    <w:p>
      <w:pPr>
        <w:spacing w:after="0" w:line="282" w:lineRule="exact"/>
        <w:rPr>
          <w:sz w:val="20"/>
          <w:szCs w:val="20"/>
          <w:color w:val="auto"/>
        </w:rPr>
      </w:pPr>
    </w:p>
    <w:tbl>
      <w:tblPr>
        <w:tblLayout w:type="fixed"/>
        <w:tblInd w:w="29" w:type="dxa"/>
        <w:tblCellMar>
          <w:top w:w="0" w:type="dxa"/>
          <w:left w:w="0" w:type="dxa"/>
          <w:bottom w:w="0" w:type="dxa"/>
          <w:right w:w="0" w:type="dxa"/>
        </w:tblCellMar>
      </w:tblPr>
      <w:tr>
        <w:trPr>
          <w:trHeight w:val="141"/>
        </w:trPr>
        <w:tc>
          <w:tcPr>
            <w:tcW w:w="40" w:type="dxa"/>
            <w:vAlign w:val="bottom"/>
          </w:tcPr>
          <w:p>
            <w:pPr>
              <w:spacing w:after="0"/>
              <w:rPr>
                <w:sz w:val="12"/>
                <w:szCs w:val="12"/>
                <w:color w:val="auto"/>
              </w:rPr>
            </w:pPr>
          </w:p>
        </w:tc>
        <w:tc>
          <w:tcPr>
            <w:tcW w:w="1300" w:type="dxa"/>
            <w:vAlign w:val="bottom"/>
          </w:tcPr>
          <w:p>
            <w:pPr>
              <w:spacing w:after="0"/>
              <w:rPr>
                <w:sz w:val="20"/>
                <w:szCs w:val="20"/>
                <w:color w:val="auto"/>
              </w:rPr>
            </w:pPr>
            <w:r>
              <w:rPr>
                <w:rFonts w:ascii="Arial" w:cs="Arial" w:eastAsia="Arial" w:hAnsi="Arial"/>
                <w:sz w:val="12"/>
                <w:szCs w:val="12"/>
                <w:color w:val="auto"/>
              </w:rPr>
              <w:t>(Last)</w:t>
            </w:r>
          </w:p>
        </w:tc>
        <w:tc>
          <w:tcPr>
            <w:tcW w:w="1320" w:type="dxa"/>
            <w:vAlign w:val="bottom"/>
          </w:tcPr>
          <w:p>
            <w:pPr>
              <w:ind w:left="100"/>
              <w:spacing w:after="0"/>
              <w:rPr>
                <w:sz w:val="20"/>
                <w:szCs w:val="20"/>
                <w:color w:val="auto"/>
              </w:rPr>
            </w:pPr>
            <w:r>
              <w:rPr>
                <w:rFonts w:ascii="Arial" w:cs="Arial" w:eastAsia="Arial" w:hAnsi="Arial"/>
                <w:sz w:val="12"/>
                <w:szCs w:val="12"/>
                <w:color w:val="auto"/>
              </w:rPr>
              <w:t>(First)</w:t>
            </w:r>
          </w:p>
        </w:tc>
        <w:tc>
          <w:tcPr>
            <w:tcW w:w="1560" w:type="dxa"/>
            <w:vAlign w:val="bottom"/>
          </w:tcPr>
          <w:p>
            <w:pPr>
              <w:ind w:left="200"/>
              <w:spacing w:after="0"/>
              <w:rPr>
                <w:sz w:val="20"/>
                <w:szCs w:val="20"/>
                <w:color w:val="auto"/>
              </w:rPr>
            </w:pPr>
            <w:r>
              <w:rPr>
                <w:rFonts w:ascii="Arial" w:cs="Arial" w:eastAsia="Arial" w:hAnsi="Arial"/>
                <w:sz w:val="12"/>
                <w:szCs w:val="12"/>
                <w:color w:val="auto"/>
              </w:rPr>
              <w:t>(Middle)</w:t>
            </w:r>
          </w:p>
        </w:tc>
      </w:tr>
      <w:tr>
        <w:trPr>
          <w:trHeight w:val="249"/>
        </w:trPr>
        <w:tc>
          <w:tcPr>
            <w:tcW w:w="4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Arial" w:cs="Arial" w:eastAsia="Arial" w:hAnsi="Arial"/>
                <w:sz w:val="15"/>
                <w:szCs w:val="15"/>
                <w:color w:val="0000FF"/>
              </w:rPr>
              <w:t>140 NEW MONTGOMERY STREET,</w:t>
            </w:r>
          </w:p>
        </w:tc>
        <w:tc>
          <w:tcPr>
            <w:tcW w:w="156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5"/>
                <w:szCs w:val="15"/>
                <w:color w:val="0000FF"/>
              </w:rPr>
              <w:t>20TH FLOOR</w:t>
            </w:r>
          </w:p>
        </w:tc>
        <w:tc>
          <w:tcPr>
            <w:tcW w:w="13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36"/>
        </w:trPr>
        <w:tc>
          <w:tcPr>
            <w:tcW w:w="4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r>
      <w:tr>
        <w:trPr>
          <w:trHeight w:val="236"/>
        </w:trPr>
        <w:tc>
          <w:tcPr>
            <w:tcW w:w="13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4"/>
        </w:trPr>
        <w:tc>
          <w:tcPr>
            <w:tcW w:w="4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5"/>
                <w:szCs w:val="15"/>
                <w:color w:val="0000FF"/>
              </w:rPr>
              <w:t>SAN FRANCISCO</w:t>
            </w:r>
          </w:p>
        </w:tc>
        <w:tc>
          <w:tcPr>
            <w:tcW w:w="1320" w:type="dxa"/>
            <w:vAlign w:val="bottom"/>
          </w:tcPr>
          <w:p>
            <w:pPr>
              <w:ind w:left="100"/>
              <w:spacing w:after="0"/>
              <w:rPr>
                <w:sz w:val="20"/>
                <w:szCs w:val="20"/>
                <w:color w:val="auto"/>
              </w:rPr>
            </w:pPr>
            <w:r>
              <w:rPr>
                <w:rFonts w:ascii="Arial" w:cs="Arial" w:eastAsia="Arial" w:hAnsi="Arial"/>
                <w:sz w:val="15"/>
                <w:szCs w:val="15"/>
                <w:color w:val="0000FF"/>
              </w:rPr>
              <w:t>CA</w:t>
            </w:r>
          </w:p>
        </w:tc>
        <w:tc>
          <w:tcPr>
            <w:tcW w:w="1560" w:type="dxa"/>
            <w:vAlign w:val="bottom"/>
          </w:tcPr>
          <w:p>
            <w:pPr>
              <w:ind w:left="200"/>
              <w:spacing w:after="0"/>
              <w:rPr>
                <w:sz w:val="20"/>
                <w:szCs w:val="20"/>
                <w:color w:val="auto"/>
              </w:rPr>
            </w:pPr>
            <w:r>
              <w:rPr>
                <w:rFonts w:ascii="Arial" w:cs="Arial" w:eastAsia="Arial" w:hAnsi="Arial"/>
                <w:sz w:val="15"/>
                <w:szCs w:val="15"/>
                <w:color w:val="0000FF"/>
              </w:rPr>
              <w:t>94105</w:t>
            </w:r>
          </w:p>
        </w:tc>
      </w:tr>
      <w:tr>
        <w:trPr>
          <w:trHeight w:val="136"/>
        </w:trPr>
        <w:tc>
          <w:tcPr>
            <w:tcW w:w="4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r>
      <w:tr>
        <w:trPr>
          <w:trHeight w:val="271"/>
        </w:trPr>
        <w:tc>
          <w:tcPr>
            <w:tcW w:w="4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tcPr>
          <w:p>
            <w:pPr>
              <w:ind w:left="100"/>
              <w:spacing w:after="0"/>
              <w:rPr>
                <w:sz w:val="20"/>
                <w:szCs w:val="20"/>
                <w:color w:val="auto"/>
              </w:rPr>
            </w:pPr>
            <w:r>
              <w:rPr>
                <w:rFonts w:ascii="Arial" w:cs="Arial" w:eastAsia="Arial" w:hAnsi="Arial"/>
                <w:sz w:val="12"/>
                <w:szCs w:val="12"/>
                <w:color w:val="auto"/>
              </w:rPr>
              <w:t>(State)</w:t>
            </w:r>
          </w:p>
        </w:tc>
        <w:tc>
          <w:tcPr>
            <w:tcW w:w="1560" w:type="dxa"/>
            <w:vAlign w:val="bottom"/>
          </w:tcPr>
          <w:p>
            <w:pPr>
              <w:ind w:left="20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p>
    <w:p>
      <w:pPr>
        <w:ind w:left="29"/>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69"/>
        <w:spacing w:after="0"/>
        <w:rPr>
          <w:rFonts w:ascii="Arial" w:cs="Arial" w:eastAsia="Arial" w:hAnsi="Arial"/>
          <w:sz w:val="19"/>
          <w:szCs w:val="19"/>
          <w:u w:val="single" w:color="auto"/>
          <w:color w:val="0000EE"/>
        </w:rPr>
      </w:pPr>
      <w:hyperlink r:id="rId20">
        <w:r>
          <w:rPr>
            <w:rFonts w:ascii="Arial" w:cs="Arial" w:eastAsia="Arial" w:hAnsi="Arial"/>
            <w:sz w:val="19"/>
            <w:szCs w:val="19"/>
            <w:u w:val="single" w:color="auto"/>
            <w:color w:val="0000EE"/>
          </w:rPr>
          <w:t>Spectrum Equity Associates VII, L.P.</w:t>
        </w:r>
      </w:hyperlink>
    </w:p>
    <w:p>
      <w:pPr>
        <w:spacing w:after="0" w:line="282" w:lineRule="exact"/>
        <w:rPr>
          <w:sz w:val="20"/>
          <w:szCs w:val="20"/>
          <w:color w:val="auto"/>
        </w:rPr>
      </w:pPr>
    </w:p>
    <w:tbl>
      <w:tblPr>
        <w:tblLayout w:type="fixed"/>
        <w:tblInd w:w="29" w:type="dxa"/>
        <w:tblCellMar>
          <w:top w:w="0" w:type="dxa"/>
          <w:left w:w="0" w:type="dxa"/>
          <w:bottom w:w="0" w:type="dxa"/>
          <w:right w:w="0" w:type="dxa"/>
        </w:tblCellMar>
      </w:tblPr>
      <w:tr>
        <w:trPr>
          <w:trHeight w:val="141"/>
        </w:trPr>
        <w:tc>
          <w:tcPr>
            <w:tcW w:w="40" w:type="dxa"/>
            <w:vAlign w:val="bottom"/>
          </w:tcPr>
          <w:p>
            <w:pPr>
              <w:spacing w:after="0"/>
              <w:rPr>
                <w:sz w:val="12"/>
                <w:szCs w:val="12"/>
                <w:color w:val="auto"/>
              </w:rPr>
            </w:pPr>
          </w:p>
        </w:tc>
        <w:tc>
          <w:tcPr>
            <w:tcW w:w="1300" w:type="dxa"/>
            <w:vAlign w:val="bottom"/>
          </w:tcPr>
          <w:p>
            <w:pPr>
              <w:spacing w:after="0"/>
              <w:rPr>
                <w:sz w:val="20"/>
                <w:szCs w:val="20"/>
                <w:color w:val="auto"/>
              </w:rPr>
            </w:pPr>
            <w:r>
              <w:rPr>
                <w:rFonts w:ascii="Arial" w:cs="Arial" w:eastAsia="Arial" w:hAnsi="Arial"/>
                <w:sz w:val="12"/>
                <w:szCs w:val="12"/>
                <w:color w:val="auto"/>
              </w:rPr>
              <w:t>(Last)</w:t>
            </w:r>
          </w:p>
        </w:tc>
        <w:tc>
          <w:tcPr>
            <w:tcW w:w="1320" w:type="dxa"/>
            <w:vAlign w:val="bottom"/>
          </w:tcPr>
          <w:p>
            <w:pPr>
              <w:ind w:left="100"/>
              <w:spacing w:after="0"/>
              <w:rPr>
                <w:sz w:val="20"/>
                <w:szCs w:val="20"/>
                <w:color w:val="auto"/>
              </w:rPr>
            </w:pPr>
            <w:r>
              <w:rPr>
                <w:rFonts w:ascii="Arial" w:cs="Arial" w:eastAsia="Arial" w:hAnsi="Arial"/>
                <w:sz w:val="12"/>
                <w:szCs w:val="12"/>
                <w:color w:val="auto"/>
              </w:rPr>
              <w:t>(First)</w:t>
            </w:r>
          </w:p>
        </w:tc>
        <w:tc>
          <w:tcPr>
            <w:tcW w:w="1560" w:type="dxa"/>
            <w:vAlign w:val="bottom"/>
          </w:tcPr>
          <w:p>
            <w:pPr>
              <w:ind w:left="200"/>
              <w:spacing w:after="0"/>
              <w:rPr>
                <w:sz w:val="20"/>
                <w:szCs w:val="20"/>
                <w:color w:val="auto"/>
              </w:rPr>
            </w:pPr>
            <w:r>
              <w:rPr>
                <w:rFonts w:ascii="Arial" w:cs="Arial" w:eastAsia="Arial" w:hAnsi="Arial"/>
                <w:sz w:val="12"/>
                <w:szCs w:val="12"/>
                <w:color w:val="auto"/>
              </w:rPr>
              <w:t>(Middle)</w:t>
            </w:r>
          </w:p>
        </w:tc>
      </w:tr>
      <w:tr>
        <w:trPr>
          <w:trHeight w:val="249"/>
        </w:trPr>
        <w:tc>
          <w:tcPr>
            <w:tcW w:w="40" w:type="dxa"/>
            <w:vAlign w:val="bottom"/>
          </w:tcPr>
          <w:p>
            <w:pPr>
              <w:spacing w:after="0"/>
              <w:rPr>
                <w:sz w:val="21"/>
                <w:szCs w:val="21"/>
                <w:color w:val="auto"/>
              </w:rPr>
            </w:pPr>
          </w:p>
        </w:tc>
        <w:tc>
          <w:tcPr>
            <w:tcW w:w="2620" w:type="dxa"/>
            <w:vAlign w:val="bottom"/>
            <w:gridSpan w:val="2"/>
          </w:tcPr>
          <w:p>
            <w:pPr>
              <w:spacing w:after="0"/>
              <w:rPr>
                <w:sz w:val="20"/>
                <w:szCs w:val="20"/>
                <w:color w:val="auto"/>
              </w:rPr>
            </w:pPr>
            <w:r>
              <w:rPr>
                <w:rFonts w:ascii="Arial" w:cs="Arial" w:eastAsia="Arial" w:hAnsi="Arial"/>
                <w:sz w:val="15"/>
                <w:szCs w:val="15"/>
                <w:color w:val="0000FF"/>
              </w:rPr>
              <w:t>140 NEW MONTGOMERY STREET,</w:t>
            </w:r>
          </w:p>
        </w:tc>
        <w:tc>
          <w:tcPr>
            <w:tcW w:w="1560" w:type="dxa"/>
            <w:vAlign w:val="bottom"/>
          </w:tcPr>
          <w:p>
            <w:pPr>
              <w:spacing w:after="0"/>
              <w:rPr>
                <w:sz w:val="21"/>
                <w:szCs w:val="2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Arial" w:cs="Arial" w:eastAsia="Arial" w:hAnsi="Arial"/>
                <w:sz w:val="15"/>
                <w:szCs w:val="15"/>
                <w:color w:val="0000FF"/>
              </w:rPr>
              <w:t>20TH FLOOR</w:t>
            </w:r>
          </w:p>
        </w:tc>
        <w:tc>
          <w:tcPr>
            <w:tcW w:w="13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136"/>
        </w:trPr>
        <w:tc>
          <w:tcPr>
            <w:tcW w:w="4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r>
      <w:tr>
        <w:trPr>
          <w:trHeight w:val="236"/>
        </w:trPr>
        <w:tc>
          <w:tcPr>
            <w:tcW w:w="134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4"/>
        </w:trPr>
        <w:tc>
          <w:tcPr>
            <w:tcW w:w="4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5"/>
                <w:szCs w:val="15"/>
                <w:color w:val="0000FF"/>
              </w:rPr>
              <w:t>SAN FRANCISCO</w:t>
            </w:r>
          </w:p>
        </w:tc>
        <w:tc>
          <w:tcPr>
            <w:tcW w:w="1320" w:type="dxa"/>
            <w:vAlign w:val="bottom"/>
          </w:tcPr>
          <w:p>
            <w:pPr>
              <w:ind w:left="100"/>
              <w:spacing w:after="0"/>
              <w:rPr>
                <w:sz w:val="20"/>
                <w:szCs w:val="20"/>
                <w:color w:val="auto"/>
              </w:rPr>
            </w:pPr>
            <w:r>
              <w:rPr>
                <w:rFonts w:ascii="Arial" w:cs="Arial" w:eastAsia="Arial" w:hAnsi="Arial"/>
                <w:sz w:val="15"/>
                <w:szCs w:val="15"/>
                <w:color w:val="0000FF"/>
              </w:rPr>
              <w:t>CA</w:t>
            </w:r>
          </w:p>
        </w:tc>
        <w:tc>
          <w:tcPr>
            <w:tcW w:w="1560" w:type="dxa"/>
            <w:vAlign w:val="bottom"/>
          </w:tcPr>
          <w:p>
            <w:pPr>
              <w:ind w:left="200"/>
              <w:spacing w:after="0"/>
              <w:rPr>
                <w:sz w:val="20"/>
                <w:szCs w:val="20"/>
                <w:color w:val="auto"/>
              </w:rPr>
            </w:pPr>
            <w:r>
              <w:rPr>
                <w:rFonts w:ascii="Arial" w:cs="Arial" w:eastAsia="Arial" w:hAnsi="Arial"/>
                <w:sz w:val="15"/>
                <w:szCs w:val="15"/>
                <w:color w:val="0000FF"/>
              </w:rPr>
              <w:t>94105</w:t>
            </w:r>
          </w:p>
        </w:tc>
      </w:tr>
      <w:tr>
        <w:trPr>
          <w:trHeight w:val="136"/>
        </w:trPr>
        <w:tc>
          <w:tcPr>
            <w:tcW w:w="40" w:type="dxa"/>
            <w:vAlign w:val="bottom"/>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320" w:type="dxa"/>
            <w:vAlign w:val="bottom"/>
            <w:tcBorders>
              <w:bottom w:val="single" w:sz="8" w:color="9A9A9A"/>
            </w:tcBorders>
          </w:tcPr>
          <w:p>
            <w:pPr>
              <w:spacing w:after="0"/>
              <w:rPr>
                <w:sz w:val="11"/>
                <w:szCs w:val="11"/>
                <w:color w:val="auto"/>
              </w:rPr>
            </w:pPr>
          </w:p>
        </w:tc>
        <w:tc>
          <w:tcPr>
            <w:tcW w:w="1560" w:type="dxa"/>
            <w:vAlign w:val="bottom"/>
            <w:tcBorders>
              <w:bottom w:val="single" w:sz="8" w:color="9A9A9A"/>
            </w:tcBorders>
          </w:tcPr>
          <w:p>
            <w:pPr>
              <w:spacing w:after="0"/>
              <w:rPr>
                <w:sz w:val="11"/>
                <w:szCs w:val="11"/>
                <w:color w:val="auto"/>
              </w:rPr>
            </w:pPr>
          </w:p>
        </w:tc>
      </w:tr>
      <w:tr>
        <w:trPr>
          <w:trHeight w:val="271"/>
        </w:trPr>
        <w:tc>
          <w:tcPr>
            <w:tcW w:w="4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2"/>
                <w:szCs w:val="12"/>
                <w:color w:val="auto"/>
              </w:rPr>
              <w:t>(City)</w:t>
            </w:r>
          </w:p>
        </w:tc>
        <w:tc>
          <w:tcPr>
            <w:tcW w:w="1320" w:type="dxa"/>
            <w:vAlign w:val="bottom"/>
          </w:tcPr>
          <w:p>
            <w:pPr>
              <w:ind w:left="100"/>
              <w:spacing w:after="0"/>
              <w:rPr>
                <w:sz w:val="20"/>
                <w:szCs w:val="20"/>
                <w:color w:val="auto"/>
              </w:rPr>
            </w:pPr>
            <w:r>
              <w:rPr>
                <w:rFonts w:ascii="Arial" w:cs="Arial" w:eastAsia="Arial" w:hAnsi="Arial"/>
                <w:sz w:val="12"/>
                <w:szCs w:val="12"/>
                <w:color w:val="auto"/>
              </w:rPr>
              <w:t>(State)</w:t>
            </w:r>
          </w:p>
        </w:tc>
        <w:tc>
          <w:tcPr>
            <w:tcW w:w="1560" w:type="dxa"/>
            <w:vAlign w:val="bottom"/>
          </w:tcPr>
          <w:p>
            <w:pPr>
              <w:ind w:left="200"/>
              <w:spacing w:after="0"/>
              <w:rPr>
                <w:sz w:val="20"/>
                <w:szCs w:val="20"/>
                <w:color w:val="auto"/>
              </w:rPr>
            </w:pPr>
            <w:r>
              <w:rPr>
                <w:rFonts w:ascii="Arial" w:cs="Arial" w:eastAsia="Arial" w:hAnsi="Arial"/>
                <w:sz w:val="12"/>
                <w:szCs w:val="12"/>
                <w:color w:val="auto"/>
              </w:rPr>
              <w:t>(Zip)</w:t>
            </w:r>
          </w:p>
        </w:tc>
      </w:tr>
    </w:tbl>
    <w:p>
      <w:pPr>
        <w:spacing w:after="0" w:line="118" w:lineRule="exact"/>
        <w:rPr>
          <w:sz w:val="20"/>
          <w:szCs w:val="20"/>
          <w:color w:val="auto"/>
        </w:rPr>
      </w:pPr>
    </w:p>
    <w:p>
      <w:pPr>
        <w:ind w:left="9"/>
        <w:spacing w:after="0"/>
        <w:rPr>
          <w:sz w:val="20"/>
          <w:szCs w:val="20"/>
          <w:color w:val="auto"/>
        </w:rPr>
      </w:pPr>
      <w:r>
        <w:rPr>
          <w:rFonts w:ascii="Arial" w:cs="Arial" w:eastAsia="Arial" w:hAnsi="Arial"/>
          <w:sz w:val="12"/>
          <w:szCs w:val="12"/>
          <w:b w:val="1"/>
          <w:bCs w:val="1"/>
          <w:color w:val="auto"/>
        </w:rPr>
        <w:t>Explanation of Responses:</w:t>
      </w:r>
    </w:p>
    <w:p>
      <w:pPr>
        <w:spacing w:after="0" w:line="46" w:lineRule="exact"/>
        <w:rPr>
          <w:sz w:val="20"/>
          <w:szCs w:val="20"/>
          <w:color w:val="auto"/>
        </w:rPr>
      </w:pPr>
    </w:p>
    <w:p>
      <w:pPr>
        <w:ind w:left="109" w:hanging="109"/>
        <w:spacing w:after="0"/>
        <w:tabs>
          <w:tab w:leader="none" w:pos="1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text of footnote (1).</w:t>
      </w:r>
    </w:p>
    <w:p>
      <w:pPr>
        <w:spacing w:after="0" w:line="40" w:lineRule="exact"/>
        <w:rPr>
          <w:rFonts w:ascii="Arial" w:cs="Arial" w:eastAsia="Arial" w:hAnsi="Arial"/>
          <w:sz w:val="12"/>
          <w:szCs w:val="12"/>
          <w:color w:val="008000"/>
        </w:rPr>
      </w:pPr>
    </w:p>
    <w:p>
      <w:pPr>
        <w:ind w:left="109" w:hanging="109"/>
        <w:spacing w:after="0"/>
        <w:tabs>
          <w:tab w:leader="none" w:pos="1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text of footnote (2).</w:t>
      </w:r>
    </w:p>
    <w:p>
      <w:pPr>
        <w:spacing w:after="0" w:line="40" w:lineRule="exact"/>
        <w:rPr>
          <w:rFonts w:ascii="Arial" w:cs="Arial" w:eastAsia="Arial" w:hAnsi="Arial"/>
          <w:sz w:val="12"/>
          <w:szCs w:val="12"/>
          <w:color w:val="008000"/>
        </w:rPr>
      </w:pPr>
    </w:p>
    <w:p>
      <w:pPr>
        <w:ind w:left="109" w:hanging="109"/>
        <w:spacing w:after="0"/>
        <w:tabs>
          <w:tab w:leader="none" w:pos="1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text of footnote (3).</w:t>
      </w:r>
    </w:p>
    <w:p>
      <w:pPr>
        <w:spacing w:after="0" w:line="40" w:lineRule="exact"/>
        <w:rPr>
          <w:rFonts w:ascii="Arial" w:cs="Arial" w:eastAsia="Arial" w:hAnsi="Arial"/>
          <w:sz w:val="12"/>
          <w:szCs w:val="12"/>
          <w:color w:val="008000"/>
        </w:rPr>
      </w:pPr>
    </w:p>
    <w:p>
      <w:pPr>
        <w:ind w:left="109" w:hanging="109"/>
        <w:spacing w:after="0"/>
        <w:tabs>
          <w:tab w:leader="none" w:pos="1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text of footnote (4).</w:t>
      </w:r>
    </w:p>
    <w:p>
      <w:pPr>
        <w:spacing w:after="0" w:line="40" w:lineRule="exact"/>
        <w:rPr>
          <w:rFonts w:ascii="Arial" w:cs="Arial" w:eastAsia="Arial" w:hAnsi="Arial"/>
          <w:sz w:val="12"/>
          <w:szCs w:val="12"/>
          <w:color w:val="008000"/>
        </w:rPr>
      </w:pPr>
    </w:p>
    <w:p>
      <w:pPr>
        <w:ind w:left="109" w:hanging="109"/>
        <w:spacing w:after="0"/>
        <w:tabs>
          <w:tab w:leader="none" w:pos="1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text of footnote (5).</w:t>
      </w:r>
    </w:p>
    <w:p>
      <w:pPr>
        <w:spacing w:after="0" w:line="40" w:lineRule="exact"/>
        <w:rPr>
          <w:rFonts w:ascii="Arial" w:cs="Arial" w:eastAsia="Arial" w:hAnsi="Arial"/>
          <w:sz w:val="12"/>
          <w:szCs w:val="12"/>
          <w:color w:val="008000"/>
        </w:rPr>
      </w:pPr>
    </w:p>
    <w:p>
      <w:pPr>
        <w:ind w:left="109" w:hanging="109"/>
        <w:spacing w:after="0"/>
        <w:tabs>
          <w:tab w:leader="none" w:pos="10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See Exhibit 99.1 for text of footnote (6).</w:t>
      </w:r>
    </w:p>
    <w:p>
      <w:pPr>
        <w:spacing w:after="0" w:line="34"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Remarks:</w:t>
      </w:r>
    </w:p>
    <w:p>
      <w:pPr>
        <w:spacing w:after="0" w:line="59" w:lineRule="exact"/>
        <w:rPr>
          <w:sz w:val="20"/>
          <w:szCs w:val="20"/>
          <w:color w:val="auto"/>
        </w:rPr>
      </w:pPr>
    </w:p>
    <w:p>
      <w:pPr>
        <w:ind w:left="9"/>
        <w:spacing w:after="0" w:line="235" w:lineRule="auto"/>
        <w:rPr>
          <w:sz w:val="20"/>
          <w:szCs w:val="20"/>
          <w:color w:val="auto"/>
        </w:rPr>
      </w:pPr>
      <w:r>
        <w:rPr>
          <w:rFonts w:ascii="Arial" w:cs="Arial" w:eastAsia="Arial" w:hAnsi="Arial"/>
          <w:sz w:val="12"/>
          <w:szCs w:val="12"/>
          <w:color w:val="008000"/>
        </w:rPr>
        <w:t>Christopher T. Mitchell, a Managing Director of Spectrum and Jeffrey C. Haywood, a Managing Director of Spectrum (together, the "Spectrum Directors"), each serve on the board of directors of the Issuer, and have been deputized to represent the Reporting Persons on the board of directors. By virtue of the Spectrum Directors' representation, for purposes of Section 16 of the Securities Exchange Act of 1934, each of the Reporting Persons may be deemed directors by deputization of the Issuer. The Spectrum Directors have filed separate Section 16 reports disclosing securities of the Issuer that they may be deemed to beneficially own for Section 16 purposes. Exhibit 99.1 (Footnotes to Form 4).</w:t>
      </w:r>
    </w:p>
    <w:p>
      <w:pPr>
        <w:sectPr>
          <w:pgSz w:w="11900" w:h="16866" w:orient="portrait"/>
          <w:cols w:equalWidth="0" w:num="1">
            <w:col w:w="10869"/>
          </w:cols>
          <w:pgMar w:left="491" w:top="215" w:right="539" w:bottom="0" w:gutter="0" w:footer="0" w:header="0"/>
        </w:sectPr>
      </w:pPr>
    </w:p>
    <w:p>
      <w:pPr>
        <w:spacing w:after="0" w:line="55"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SEA VII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290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29055" cy="7620"/>
                    </a:xfrm>
                    <a:prstGeom prst="rect">
                      <a:avLst/>
                    </a:prstGeom>
                    <a:noFill/>
                  </pic:spPr>
                </pic:pic>
              </a:graphicData>
            </a:graphic>
          </wp:anchor>
        </w:drawing>
      </w:r>
    </w:p>
    <w:p>
      <w:pPr>
        <w:spacing w:after="0" w:line="3"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By: /s/ Carolina A. Picazo,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9222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29222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Administrative 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3634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23634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77914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79145" cy="7620"/>
                    </a:xfrm>
                    <a:prstGeom prst="rect">
                      <a:avLst/>
                    </a:prstGeom>
                    <a:noFill/>
                  </pic:spPr>
                </pic:pic>
              </a:graphicData>
            </a:graphic>
          </wp:anchor>
        </w:drawing>
      </w:r>
    </w:p>
    <w:p>
      <w:pPr>
        <w:spacing w:after="0" w:line="39"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SE VII DHC AIV,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08394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083945" cy="7620"/>
                    </a:xfrm>
                    <a:prstGeom prst="rect">
                      <a:avLst/>
                    </a:prstGeom>
                    <a:noFill/>
                  </pic:spPr>
                </pic:pic>
              </a:graphicData>
            </a:graphic>
          </wp:anchor>
        </w:drawing>
      </w:r>
    </w:p>
    <w:p>
      <w:pPr>
        <w:spacing w:after="0" w:line="3"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Spectrum Equity Associates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8968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8968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4"/>
          <w:szCs w:val="14"/>
          <w:color w:val="0000FF"/>
        </w:rPr>
        <w:t>L.P., its general partner, By: 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-2540</wp:posOffset>
            </wp:positionV>
            <wp:extent cx="13049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7620"/>
                    </a:xfrm>
                    <a:prstGeom prst="rect">
                      <a:avLst/>
                    </a:prstGeom>
                    <a:noFill/>
                  </pic:spPr>
                </pic:pic>
              </a:graphicData>
            </a:graphic>
          </wp:anchor>
        </w:drawing>
      </w:r>
    </w:p>
    <w:p>
      <w:pPr>
        <w:spacing w:after="0" w:line="9" w:lineRule="exact"/>
        <w:rPr>
          <w:sz w:val="20"/>
          <w:szCs w:val="20"/>
          <w:color w:val="auto"/>
        </w:rPr>
      </w:pPr>
    </w:p>
    <w:p>
      <w:pPr>
        <w:ind w:left="6569"/>
        <w:spacing w:after="0"/>
        <w:rPr>
          <w:sz w:val="20"/>
          <w:szCs w:val="20"/>
          <w:color w:val="auto"/>
        </w:rPr>
      </w:pPr>
      <w:r>
        <w:rPr>
          <w:rFonts w:ascii="Arial" w:cs="Arial" w:eastAsia="Arial" w:hAnsi="Arial"/>
          <w:sz w:val="14"/>
          <w:szCs w:val="14"/>
          <w:color w:val="0000FF"/>
        </w:rPr>
        <w:t>VII 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-2540</wp:posOffset>
            </wp:positionV>
            <wp:extent cx="136017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60170" cy="7620"/>
                    </a:xfrm>
                    <a:prstGeom prst="rect">
                      <a:avLst/>
                    </a:prstGeom>
                    <a:noFill/>
                  </pic:spPr>
                </pic:pic>
              </a:graphicData>
            </a:graphic>
          </wp:anchor>
        </w:drawing>
      </w:r>
    </w:p>
    <w:p>
      <w:pPr>
        <w:spacing w:after="0" w:line="9" w:lineRule="exact"/>
        <w:rPr>
          <w:sz w:val="20"/>
          <w:szCs w:val="20"/>
          <w:color w:val="auto"/>
        </w:rPr>
      </w:pPr>
    </w:p>
    <w:p>
      <w:pPr>
        <w:ind w:left="6569"/>
        <w:spacing w:after="0"/>
        <w:rPr>
          <w:sz w:val="20"/>
          <w:szCs w:val="20"/>
          <w:color w:val="auto"/>
        </w:rPr>
      </w:pPr>
      <w:r>
        <w:rPr>
          <w:rFonts w:ascii="Arial" w:cs="Arial" w:eastAsia="Arial" w:hAnsi="Arial"/>
          <w:sz w:val="14"/>
          <w:szCs w:val="14"/>
          <w:color w:val="0000FF"/>
        </w:rPr>
        <w:t>partner, By: /s/Carolina A. Picazo,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-2540</wp:posOffset>
            </wp:positionV>
            <wp:extent cx="134810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48105" cy="7620"/>
                    </a:xfrm>
                    <a:prstGeom prst="rect">
                      <a:avLst/>
                    </a:prstGeom>
                    <a:noFill/>
                  </pic:spPr>
                </pic:pic>
              </a:graphicData>
            </a:graphic>
          </wp:anchor>
        </w:drawing>
      </w:r>
    </w:p>
    <w:p>
      <w:pPr>
        <w:spacing w:after="0" w:line="9" w:lineRule="exact"/>
        <w:rPr>
          <w:sz w:val="20"/>
          <w:szCs w:val="20"/>
          <w:color w:val="auto"/>
        </w:rPr>
      </w:pPr>
    </w:p>
    <w:p>
      <w:pPr>
        <w:ind w:left="6569"/>
        <w:spacing w:after="0"/>
        <w:rPr>
          <w:sz w:val="20"/>
          <w:szCs w:val="20"/>
          <w:color w:val="auto"/>
        </w:rPr>
      </w:pPr>
      <w:r>
        <w:rPr>
          <w:rFonts w:ascii="Arial" w:cs="Arial" w:eastAsia="Arial" w:hAnsi="Arial"/>
          <w:sz w:val="14"/>
          <w:szCs w:val="14"/>
          <w:color w:val="0000FF"/>
        </w:rPr>
        <w:t>its Chief Administrative Officer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-2540</wp:posOffset>
            </wp:positionV>
            <wp:extent cx="135318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53185" cy="7620"/>
                    </a:xfrm>
                    <a:prstGeom prst="rect">
                      <a:avLst/>
                    </a:prstGeom>
                    <a:noFill/>
                  </pic:spPr>
                </pic:pic>
              </a:graphicData>
            </a:graphic>
          </wp:anchor>
        </w:drawing>
      </w:r>
    </w:p>
    <w:p>
      <w:pPr>
        <w:spacing w:after="0" w:line="9"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02108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021080" cy="7620"/>
                    </a:xfrm>
                    <a:prstGeom prst="rect">
                      <a:avLst/>
                    </a:prstGeom>
                    <a:noFill/>
                  </pic:spPr>
                </pic:pic>
              </a:graphicData>
            </a:graphic>
          </wp:anchor>
        </w:drawing>
      </w:r>
    </w:p>
    <w:p>
      <w:pPr>
        <w:spacing w:after="0" w:line="39"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SE VII DHC AIV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2524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325245" cy="7620"/>
                    </a:xfrm>
                    <a:prstGeom prst="rect">
                      <a:avLst/>
                    </a:prstGeom>
                    <a:noFill/>
                  </pic:spPr>
                </pic:pic>
              </a:graphicData>
            </a:graphic>
          </wp:anchor>
        </w:drawing>
      </w:r>
    </w:p>
    <w:p>
      <w:pPr>
        <w:spacing w:after="0" w:line="3"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By: Spectrum Equity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7063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27063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VII, 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801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80160"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SEA 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09664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09664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general partner, By: /s/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5539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5539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A. Picazo, Chief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5984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59840"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Officer &amp; Chief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2204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12204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28067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280670" cy="7620"/>
                    </a:xfrm>
                    <a:prstGeom prst="rect">
                      <a:avLst/>
                    </a:prstGeom>
                    <a:noFill/>
                  </pic:spPr>
                </pic:pic>
              </a:graphicData>
            </a:graphic>
          </wp:anchor>
        </w:drawing>
      </w:r>
    </w:p>
    <w:p>
      <w:pPr>
        <w:spacing w:after="0" w:line="39"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SPECTRUM VII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32778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27785" cy="7620"/>
                    </a:xfrm>
                    <a:prstGeom prst="rect">
                      <a:avLst/>
                    </a:prstGeom>
                    <a:noFill/>
                  </pic:spPr>
                </pic:pic>
              </a:graphicData>
            </a:graphic>
          </wp:anchor>
        </w:drawing>
      </w:r>
    </w:p>
    <w:p>
      <w:pPr>
        <w:spacing w:after="0" w:line="3"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MANAGERS'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5095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250950"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SEA 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09664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09664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general partner, By: /s/ Carolina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5539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539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A. Picazo, Chief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5984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59840"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Officer &amp; Chief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2204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12204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28067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280670" cy="7620"/>
                    </a:xfrm>
                    <a:prstGeom prst="rect">
                      <a:avLst/>
                    </a:prstGeom>
                    <a:noFill/>
                  </pic:spPr>
                </pic:pic>
              </a:graphicData>
            </a:graphic>
          </wp:anchor>
        </w:drawing>
      </w:r>
    </w:p>
    <w:p>
      <w:pPr>
        <w:spacing w:after="0" w:line="39"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SPECTRUM VII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87122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871220" cy="7620"/>
                    </a:xfrm>
                    <a:prstGeom prst="rect">
                      <a:avLst/>
                    </a:prstGeom>
                    <a:noFill/>
                  </pic:spPr>
                </pic:pic>
              </a:graphicData>
            </a:graphic>
          </wp:anchor>
        </w:drawing>
      </w:r>
    </w:p>
    <w:p>
      <w:pPr>
        <w:spacing w:after="0" w:line="3"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INVESTMENT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30937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309370"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/s/ Carolina A. Picazo,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2649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126490"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Administrative Officer &amp;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23634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23634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77914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79145" cy="7620"/>
                    </a:xfrm>
                    <a:prstGeom prst="rect">
                      <a:avLst/>
                    </a:prstGeom>
                    <a:noFill/>
                  </pic:spPr>
                </pic:pic>
              </a:graphicData>
            </a:graphic>
          </wp:anchor>
        </w:drawing>
      </w:r>
    </w:p>
    <w:p>
      <w:pPr>
        <w:spacing w:after="0" w:line="39"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SPECTRUM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90614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906145" cy="7620"/>
                    </a:xfrm>
                    <a:prstGeom prst="rect">
                      <a:avLst/>
                    </a:prstGeom>
                    <a:noFill/>
                  </pic:spPr>
                </pic:pic>
              </a:graphicData>
            </a:graphic>
          </wp:anchor>
        </w:drawing>
      </w:r>
    </w:p>
    <w:p>
      <w:pPr>
        <w:spacing w:after="0" w:line="3" w:lineRule="exact"/>
        <w:rPr>
          <w:sz w:val="20"/>
          <w:szCs w:val="20"/>
          <w:color w:val="auto"/>
        </w:rPr>
      </w:pPr>
    </w:p>
    <w:p>
      <w:pPr>
        <w:ind w:left="6569"/>
        <w:spacing w:after="0"/>
        <w:rPr>
          <w:sz w:val="20"/>
          <w:szCs w:val="20"/>
          <w:color w:val="auto"/>
        </w:rPr>
      </w:pPr>
      <w:r>
        <w:rPr>
          <w:rFonts w:ascii="Arial" w:cs="Arial" w:eastAsia="Arial" w:hAnsi="Arial"/>
          <w:sz w:val="14"/>
          <w:szCs w:val="14"/>
          <w:color w:val="0000FF"/>
        </w:rPr>
        <w:t>ASSOCIATES VII, L.P., By: SEA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-2540</wp:posOffset>
            </wp:positionV>
            <wp:extent cx="134429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44295" cy="7620"/>
                    </a:xfrm>
                    <a:prstGeom prst="rect">
                      <a:avLst/>
                    </a:prstGeom>
                    <a:noFill/>
                  </pic:spPr>
                </pic:pic>
              </a:graphicData>
            </a:graphic>
          </wp:anchor>
        </w:drawing>
      </w:r>
    </w:p>
    <w:p>
      <w:pPr>
        <w:spacing w:after="0" w:line="9"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9951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19951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partner, By: /s/ Carolina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06235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06235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44640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3"/>
          <w:szCs w:val="13"/>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44640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44640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3"/>
          <w:szCs w:val="13"/>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44640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44640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color w:val="0000FF"/>
        </w:rPr>
        <w:t>09/21/2021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44640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446405" cy="7620"/>
                    </a:xfrm>
                    <a:prstGeom prst="rect">
                      <a:avLst/>
                    </a:prstGeom>
                    <a:noFill/>
                  </pic:spPr>
                </pic:pic>
              </a:graphicData>
            </a:graphic>
          </wp:anchor>
        </w:drawing>
      </w:r>
    </w:p>
    <w:p>
      <w:pPr>
        <w:sectPr>
          <w:pgSz w:w="11900" w:h="16866" w:orient="portrait"/>
          <w:cols w:equalWidth="0" w:num="2">
            <w:col w:w="8709" w:space="60"/>
            <w:col w:w="2100"/>
          </w:cols>
          <w:pgMar w:left="491" w:top="215" w:right="539" w:bottom="0" w:gutter="0" w:footer="0" w:header="0"/>
          <w:type w:val="continuous"/>
        </w:sectPr>
      </w:pPr>
    </w:p>
    <w:bookmarkStart w:id="2" w:name="page3"/>
    <w:bookmarkEnd w:id="2"/>
    <w:p>
      <w:pPr>
        <w:ind w:left="6569"/>
        <w:spacing w:after="0"/>
        <w:rPr>
          <w:sz w:val="20"/>
          <w:szCs w:val="20"/>
          <w:color w:val="auto"/>
        </w:rPr>
      </w:pPr>
      <w:r>
        <w:rPr>
          <w:rFonts w:ascii="Arial" w:cs="Arial" w:eastAsia="Arial" w:hAnsi="Arial"/>
          <w:sz w:val="15"/>
          <w:szCs w:val="15"/>
          <w:color w:val="0000FF"/>
        </w:rPr>
        <w:t>Picazo, Chief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-6350</wp:posOffset>
            </wp:positionV>
            <wp:extent cx="113982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1139825" cy="7620"/>
                    </a:xfrm>
                    <a:prstGeom prst="rect">
                      <a:avLst/>
                    </a:prstGeom>
                    <a:noFill/>
                  </pic:spPr>
                </pic:pic>
              </a:graphicData>
            </a:graphic>
          </wp:anchor>
        </w:drawing>
      </w:r>
    </w:p>
    <w:p>
      <w:pPr>
        <w:spacing w:after="0" w:line="3" w:lineRule="exact"/>
        <w:rPr>
          <w:sz w:val="20"/>
          <w:szCs w:val="20"/>
          <w:color w:val="auto"/>
        </w:rPr>
      </w:pPr>
    </w:p>
    <w:p>
      <w:pPr>
        <w:ind w:left="6569"/>
        <w:spacing w:after="0"/>
        <w:rPr>
          <w:sz w:val="20"/>
          <w:szCs w:val="20"/>
          <w:color w:val="auto"/>
        </w:rPr>
      </w:pPr>
      <w:r>
        <w:rPr>
          <w:rFonts w:ascii="Arial" w:cs="Arial" w:eastAsia="Arial" w:hAnsi="Arial"/>
          <w:sz w:val="15"/>
          <w:szCs w:val="15"/>
          <w:color w:val="0000FF"/>
        </w:rPr>
        <w:t>Officer &amp; Chief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112204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1122045" cy="7620"/>
                    </a:xfrm>
                    <a:prstGeom prst="rect">
                      <a:avLst/>
                    </a:prstGeom>
                    <a:noFill/>
                  </pic:spPr>
                </pic:pic>
              </a:graphicData>
            </a:graphic>
          </wp:anchor>
        </w:drawing>
      </w:r>
    </w:p>
    <w:p>
      <w:pPr>
        <w:ind w:left="6569"/>
        <w:spacing w:after="0"/>
        <w:rPr>
          <w:sz w:val="20"/>
          <w:szCs w:val="20"/>
          <w:color w:val="auto"/>
        </w:rPr>
      </w:pPr>
      <w:r>
        <w:rPr>
          <w:rFonts w:ascii="Arial" w:cs="Arial" w:eastAsia="Arial" w:hAnsi="Arial"/>
          <w:sz w:val="15"/>
          <w:szCs w:val="15"/>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4167505</wp:posOffset>
            </wp:positionH>
            <wp:positionV relativeFrom="paragraph">
              <wp:posOffset>-10160</wp:posOffset>
            </wp:positionV>
            <wp:extent cx="28067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280670" cy="7620"/>
                    </a:xfrm>
                    <a:prstGeom prst="rect">
                      <a:avLst/>
                    </a:prstGeom>
                    <a:noFill/>
                  </pic:spPr>
                </pic:pic>
              </a:graphicData>
            </a:graphic>
          </wp:anchor>
        </w:drawing>
      </w:r>
    </w:p>
    <w:p>
      <w:pPr>
        <w:spacing w:after="0" w:line="46" w:lineRule="exact"/>
        <w:rPr>
          <w:sz w:val="20"/>
          <w:szCs w:val="20"/>
          <w:color w:val="auto"/>
        </w:rPr>
      </w:pPr>
    </w:p>
    <w:p>
      <w:pPr>
        <w:ind w:left="6569"/>
        <w:spacing w:after="0"/>
        <w:tabs>
          <w:tab w:leader="none" w:pos="8749"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0"/>
          <w:szCs w:val="20"/>
          <w:color w:val="auto"/>
        </w:rPr>
      </w:pPr>
    </w:p>
    <w:p>
      <w:pPr>
        <w:ind w:left="9"/>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28" w:lineRule="exact"/>
        <w:rPr>
          <w:sz w:val="20"/>
          <w:szCs w:val="20"/>
          <w:color w:val="auto"/>
        </w:rPr>
      </w:pPr>
    </w:p>
    <w:p>
      <w:pPr>
        <w:ind w:left="9"/>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0" w:lineRule="exact"/>
        <w:rPr>
          <w:sz w:val="20"/>
          <w:szCs w:val="20"/>
          <w:color w:val="auto"/>
        </w:rPr>
      </w:pPr>
    </w:p>
    <w:p>
      <w:pPr>
        <w:jc w:val="both"/>
        <w:ind w:left="9" w:right="3119" w:hanging="9"/>
        <w:spacing w:after="0" w:line="335" w:lineRule="auto"/>
        <w:tabs>
          <w:tab w:leader="none" w:pos="135"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9"/>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69"/>
          </w:cols>
          <w:pgMar w:left="491" w:top="132" w:right="1440" w:bottom="1440" w:gutter="0" w:footer="0" w:header="0"/>
        </w:sectPr>
      </w:pPr>
    </w:p>
    <w:bookmarkStart w:id="3" w:name="page4"/>
    <w:bookmarkEnd w:id="3"/>
    <w:p>
      <w:pPr>
        <w:jc w:val="right"/>
        <w:ind w:right="2599"/>
        <w:spacing w:after="0"/>
        <w:rPr>
          <w:sz w:val="20"/>
          <w:szCs w:val="20"/>
          <w:color w:val="auto"/>
        </w:rPr>
      </w:pPr>
      <w:r>
        <w:rPr>
          <w:rFonts w:ascii="Courier New" w:cs="Courier New" w:eastAsia="Courier New" w:hAnsi="Courier New"/>
          <w:sz w:val="15"/>
          <w:szCs w:val="15"/>
          <w:color w:val="auto"/>
        </w:rPr>
        <w:t>Exhibit 99.1</w:t>
      </w:r>
    </w:p>
    <w:p>
      <w:pPr>
        <w:spacing w:after="0" w:line="186" w:lineRule="exact"/>
        <w:rPr>
          <w:sz w:val="20"/>
          <w:szCs w:val="20"/>
          <w:color w:val="auto"/>
        </w:rPr>
      </w:pPr>
    </w:p>
    <w:p>
      <w:pPr>
        <w:ind w:left="2965"/>
        <w:spacing w:after="0"/>
        <w:rPr>
          <w:sz w:val="20"/>
          <w:szCs w:val="20"/>
          <w:color w:val="auto"/>
        </w:rPr>
      </w:pPr>
      <w:r>
        <w:rPr>
          <w:rFonts w:ascii="Courier New" w:cs="Courier New" w:eastAsia="Courier New" w:hAnsi="Courier New"/>
          <w:sz w:val="15"/>
          <w:szCs w:val="15"/>
          <w:color w:val="auto"/>
        </w:rPr>
        <w:t>Explanatory Note</w:t>
      </w:r>
    </w:p>
    <w:p>
      <w:pPr>
        <w:spacing w:after="0" w:line="186" w:lineRule="exact"/>
        <w:rPr>
          <w:sz w:val="20"/>
          <w:szCs w:val="20"/>
          <w:color w:val="auto"/>
        </w:rPr>
      </w:pPr>
    </w:p>
    <w:p>
      <w:pPr>
        <w:ind w:left="2785"/>
        <w:spacing w:after="0"/>
        <w:rPr>
          <w:sz w:val="20"/>
          <w:szCs w:val="20"/>
          <w:color w:val="auto"/>
        </w:rPr>
      </w:pPr>
      <w:r>
        <w:rPr>
          <w:rFonts w:ascii="Courier New" w:cs="Courier New" w:eastAsia="Courier New" w:hAnsi="Courier New"/>
          <w:sz w:val="15"/>
          <w:szCs w:val="15"/>
          <w:color w:val="auto"/>
        </w:rPr>
        <w:t>Footnotes to Form 4</w:t>
      </w:r>
    </w:p>
    <w:p>
      <w:pPr>
        <w:spacing w:after="0" w:line="186" w:lineRule="exact"/>
        <w:rPr>
          <w:sz w:val="20"/>
          <w:szCs w:val="20"/>
          <w:color w:val="auto"/>
        </w:rPr>
      </w:pPr>
    </w:p>
    <w:p>
      <w:pPr>
        <w:ind w:left="5" w:right="2599" w:hanging="5"/>
        <w:spacing w:after="0" w:line="251" w:lineRule="auto"/>
        <w:tabs>
          <w:tab w:leader="none" w:pos="37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September 15, 2021, the Issuer used the proceeds from the underwriters' exercise of their option to purchase additional shares to repurchase at a price of $25.3125 per share or unit, as applicable, (a) 66,857 shares of Class A common stock from SE VII DHC AIV Feeder, L.P. ("Spectrum Feeder"), and to purchase (b) an aggregate of 641,983 LLC Units of AIDH Topco, LLC ("LLC Units"), including (i) 640,508 LLC Units from SE VII DHC AIV, L.P. ("SE VII DHC AIV"); (ii) 931 LLC Units from Spectrum VII Investment Managers Fund, L.P. ("Spectrum Investment Managers Fund"); and (iii) 544 LLC Units from Spectrum VII Co-Investment Fund, L.P. ("Spectrum VII Co-Investment Fund" and, together with Spectrum Feeder, SE VII DHC AIV, Spectrum Investment Managers' Fund and Spectrum VII Co-Investment Fund, the "Spectrum Funds"). This transaction was approved by the board of directors of the Issuer for purposes of Rule 16b-3 of the Securities Exchange Act of 1934, as amended.</w:t>
      </w:r>
    </w:p>
    <w:p>
      <w:pPr>
        <w:spacing w:after="0" w:line="182" w:lineRule="exact"/>
        <w:rPr>
          <w:rFonts w:ascii="Courier New" w:cs="Courier New" w:eastAsia="Courier New" w:hAnsi="Courier New"/>
          <w:sz w:val="15"/>
          <w:szCs w:val="15"/>
          <w:color w:val="auto"/>
        </w:rPr>
      </w:pPr>
    </w:p>
    <w:p>
      <w:pPr>
        <w:ind w:left="5" w:right="2599" w:hanging="5"/>
        <w:spacing w:after="0" w:line="252" w:lineRule="auto"/>
        <w:tabs>
          <w:tab w:leader="none" w:pos="37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Exchange Agreement permits holders of LLC Units to exchange their LLC Units for shares of Class A Common Stock on a one-for-one basis, subject to certain exceptions, conditions and adjustments. At the time of any such exchange, an equal number of shares of Class B Common Stock of the Issuer held by the Reporting Person, which have no economic value and entitle holders thereof to one vote per share on all matters on which stockholders of the Issuer are entitled to vote generally, are cancelled.</w:t>
      </w:r>
    </w:p>
    <w:p>
      <w:pPr>
        <w:spacing w:after="0" w:line="175" w:lineRule="exact"/>
        <w:rPr>
          <w:rFonts w:ascii="Courier New" w:cs="Courier New" w:eastAsia="Courier New" w:hAnsi="Courier New"/>
          <w:sz w:val="15"/>
          <w:szCs w:val="15"/>
          <w:color w:val="auto"/>
        </w:rPr>
      </w:pPr>
    </w:p>
    <w:p>
      <w:pPr>
        <w:ind w:left="5" w:right="2599" w:hanging="5"/>
        <w:spacing w:after="0" w:line="252" w:lineRule="auto"/>
        <w:tabs>
          <w:tab w:leader="none" w:pos="37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reported transactions, SEA VII Management, LLC ("Spectrum") manages the Spectrum Funds that collectively own 2,885,876 shares of Class A common stock of the Issuer and 27,710,989 shares of Class B common stock of the Issuer, which are represented as follows: (i) 2,885,876 shares of Class A common stock held directly by Spectrum Feeder, (ii) 27,647,349 shares of Class B common stock held directly by SE VII DHC AIV; (iii) 40,173 shares of Class B common stock held directly by Spectrum Investment Managers Fund; and (iv) 23,467 shares of Class B common stock held directly by Spectrum VII Co-Investment Fund" and, together with Spectrum Feeder, SE VII DHC AIV, Spectrum Investment Managers' Fund and Spectrum VII Co-Investment Fund, the "Spectrum Funds").</w:t>
      </w:r>
    </w:p>
    <w:p>
      <w:pPr>
        <w:spacing w:after="0" w:line="174" w:lineRule="exact"/>
        <w:rPr>
          <w:rFonts w:ascii="Courier New" w:cs="Courier New" w:eastAsia="Courier New" w:hAnsi="Courier New"/>
          <w:sz w:val="15"/>
          <w:szCs w:val="15"/>
          <w:color w:val="auto"/>
        </w:rPr>
      </w:pPr>
    </w:p>
    <w:p>
      <w:pPr>
        <w:ind w:left="5" w:right="2599" w:hanging="5"/>
        <w:spacing w:after="0" w:line="257" w:lineRule="auto"/>
        <w:tabs>
          <w:tab w:leader="none" w:pos="37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SEA VII Management, LLC is the general partner of Spectrum Equity Associates VII, L.P., which in turn is the general partner of the Spectrum Funds.</w:t>
      </w:r>
    </w:p>
    <w:p>
      <w:pPr>
        <w:spacing w:after="0" w:line="170" w:lineRule="exact"/>
        <w:rPr>
          <w:rFonts w:ascii="Courier New" w:cs="Courier New" w:eastAsia="Courier New" w:hAnsi="Courier New"/>
          <w:sz w:val="15"/>
          <w:szCs w:val="15"/>
          <w:color w:val="auto"/>
        </w:rPr>
      </w:pPr>
    </w:p>
    <w:p>
      <w:pPr>
        <w:ind w:left="365" w:hanging="365"/>
        <w:spacing w:after="0"/>
        <w:tabs>
          <w:tab w:leader="none" w:pos="36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Reporting Person disclaims Section 16 beneficial ownership of the</w:t>
      </w:r>
    </w:p>
    <w:p>
      <w:pPr>
        <w:spacing w:after="0" w:line="8" w:lineRule="exact"/>
        <w:rPr>
          <w:rFonts w:ascii="Courier New" w:cs="Courier New" w:eastAsia="Courier New" w:hAnsi="Courier New"/>
          <w:sz w:val="15"/>
          <w:szCs w:val="15"/>
          <w:color w:val="auto"/>
        </w:rPr>
      </w:pPr>
    </w:p>
    <w:p>
      <w:pPr>
        <w:ind w:left="5" w:right="2699"/>
        <w:spacing w:after="0" w:line="25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reported herein except to the extent of its pecuniary interest therein, if any, and the inclusion of these shares in this report shall not be deemed an admission of beneficial ownership of any of the reported shares for purposes of Section 16 or any other purpose.</w:t>
      </w:r>
    </w:p>
    <w:p>
      <w:pPr>
        <w:spacing w:after="0" w:line="173" w:lineRule="exact"/>
        <w:rPr>
          <w:rFonts w:ascii="Courier New" w:cs="Courier New" w:eastAsia="Courier New" w:hAnsi="Courier New"/>
          <w:sz w:val="15"/>
          <w:szCs w:val="15"/>
          <w:color w:val="auto"/>
        </w:rPr>
      </w:pPr>
    </w:p>
    <w:p>
      <w:pPr>
        <w:ind w:left="5" w:right="2599" w:hanging="5"/>
        <w:spacing w:after="0" w:line="252" w:lineRule="auto"/>
        <w:tabs>
          <w:tab w:leader="none" w:pos="375"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Reporting Person may exchange the LLC Units for shares of Class A Common Stock of the Issuer on a one-for-one basis, subject to certain exceptions, conditions and adjustments. The LLC Units have no expiration date. At the time of any such exchange, an equal number of shares of Class B Common Stock of the Issuer held by the Reporting Person, which have no economic value and entitle holders thereof to one vote per share on all matters on which stockholders of the Issuer are entitled to vote generally, are cancelled.</w:t>
      </w:r>
    </w:p>
    <w:sectPr>
      <w:pgSz w:w="11900" w:h="16838" w:orient="portrait"/>
      <w:cols w:equalWidth="0" w:num="1">
        <w:col w:w="10004"/>
      </w:cols>
      <w:pgMar w:left="455"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12" Type="http://schemas.openxmlformats.org/officeDocument/2006/relationships/hyperlink" Target="http://www.sec.gov/cgi-bin/browse-edgar?action=getcompany&amp;CIK=0001824265" TargetMode="External"/><Relationship Id="rId13" Type="http://schemas.openxmlformats.org/officeDocument/2006/relationships/hyperlink" Target="http://www.sec.gov/cgi-bin/browse-edgar?action=getcompany&amp;CIK=0001861795" TargetMode="External"/><Relationship Id="rId14" Type="http://schemas.openxmlformats.org/officeDocument/2006/relationships/hyperlink" Target="http://www.sec.gov/cgi-bin/browse-edgar?action=getcompany&amp;CIK=0001879386" TargetMode="External"/><Relationship Id="rId15" Type="http://schemas.openxmlformats.org/officeDocument/2006/relationships/hyperlink" Target="http://www.sec.gov/cgi-bin/browse-edgar?action=getcompany&amp;CIK=0001626997" TargetMode="External"/><Relationship Id="rId18" Type="http://schemas.openxmlformats.org/officeDocument/2006/relationships/hyperlink" Target="http://www.sec.gov/cgi-bin/browse-edgar?action=getcompany&amp;CIK=0001879377" TargetMode="External"/><Relationship Id="rId19" Type="http://schemas.openxmlformats.org/officeDocument/2006/relationships/hyperlink" Target="http://www.sec.gov/cgi-bin/browse-edgar?action=getcompany&amp;CIK=0001822087" TargetMode="External"/><Relationship Id="rId20" Type="http://schemas.openxmlformats.org/officeDocument/2006/relationships/hyperlink" Target="http://www.sec.gov/cgi-bin/browse-edgar?action=getcompany&amp;CIK=00018242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2021-09-21T19:53:13Z</dcterms:created>
  <dcterms:modified xsi:type="dcterms:W3CDTF">2021-09-21T19:53:13Z</dcterms:modified>
</cp:coreProperties>
</file>