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720" w:right="20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215265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Definitive Healthcare Corp.</w:t>
      </w:r>
    </w:p>
    <w:p>
      <w:pPr>
        <w:spacing w:after="0" w:line="50"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860" w:type="dxa"/>
        <w:tblCellMar>
          <w:top w:w="0" w:type="dxa"/>
          <w:left w:w="0" w:type="dxa"/>
          <w:bottom w:w="0" w:type="dxa"/>
          <w:right w:w="0" w:type="dxa"/>
        </w:tblCellMar>
      </w:tblPr>
      <w:tr>
        <w:trPr>
          <w:trHeight w:val="212"/>
        </w:trPr>
        <w:tc>
          <w:tcPr>
            <w:tcW w:w="1420" w:type="dxa"/>
            <w:vAlign w:val="bottom"/>
          </w:tcPr>
          <w:p>
            <w:pPr>
              <w:spacing w:after="0"/>
              <w:rPr>
                <w:sz w:val="18"/>
                <w:szCs w:val="18"/>
                <w:color w:val="auto"/>
              </w:rPr>
            </w:pPr>
          </w:p>
        </w:tc>
        <w:tc>
          <w:tcPr>
            <w:tcW w:w="3620" w:type="dxa"/>
            <w:vAlign w:val="bottom"/>
            <w:gridSpan w:val="2"/>
          </w:tcPr>
          <w:p>
            <w:pPr>
              <w:jc w:val="center"/>
              <w:ind w:right="2530"/>
              <w:spacing w:after="0"/>
              <w:rPr>
                <w:sz w:val="20"/>
                <w:szCs w:val="20"/>
                <w:color w:val="auto"/>
              </w:rPr>
            </w:pPr>
            <w:r>
              <w:rPr>
                <w:rFonts w:ascii="Arial" w:cs="Arial" w:eastAsia="Arial" w:hAnsi="Arial"/>
                <w:sz w:val="18"/>
                <w:szCs w:val="18"/>
                <w:b w:val="1"/>
                <w:bCs w:val="1"/>
                <w:color w:val="auto"/>
                <w:w w:val="91"/>
              </w:rPr>
              <w:t>Delaware</w:t>
            </w:r>
          </w:p>
        </w:tc>
        <w:tc>
          <w:tcPr>
            <w:tcW w:w="3360" w:type="dxa"/>
            <w:vAlign w:val="bottom"/>
            <w:gridSpan w:val="2"/>
          </w:tcPr>
          <w:p>
            <w:pPr>
              <w:jc w:val="right"/>
              <w:ind w:right="402"/>
              <w:spacing w:after="0"/>
              <w:rPr>
                <w:sz w:val="20"/>
                <w:szCs w:val="20"/>
                <w:color w:val="auto"/>
              </w:rPr>
            </w:pPr>
            <w:r>
              <w:rPr>
                <w:rFonts w:ascii="Arial" w:cs="Arial" w:eastAsia="Arial" w:hAnsi="Arial"/>
                <w:sz w:val="18"/>
                <w:szCs w:val="18"/>
                <w:b w:val="1"/>
                <w:bCs w:val="1"/>
                <w:color w:val="auto"/>
              </w:rPr>
              <w:t>86-3988281</w:t>
            </w:r>
          </w:p>
        </w:tc>
        <w:tc>
          <w:tcPr>
            <w:tcW w:w="300" w:type="dxa"/>
            <w:vAlign w:val="bottom"/>
          </w:tcPr>
          <w:p>
            <w:pPr>
              <w:spacing w:after="0"/>
              <w:rPr>
                <w:sz w:val="18"/>
                <w:szCs w:val="18"/>
                <w:color w:val="auto"/>
              </w:rPr>
            </w:pPr>
          </w:p>
        </w:tc>
      </w:tr>
      <w:tr>
        <w:trPr>
          <w:trHeight w:val="186"/>
        </w:trPr>
        <w:tc>
          <w:tcPr>
            <w:tcW w:w="5040" w:type="dxa"/>
            <w:vAlign w:val="bottom"/>
            <w:gridSpan w:val="3"/>
          </w:tcPr>
          <w:p>
            <w:pPr>
              <w:jc w:val="center"/>
              <w:ind w:right="1110"/>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60" w:type="dxa"/>
            <w:vAlign w:val="bottom"/>
            <w:gridSpan w:val="3"/>
          </w:tcPr>
          <w:p>
            <w:pPr>
              <w:jc w:val="center"/>
              <w:ind w:left="1137"/>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426"/>
        </w:trPr>
        <w:tc>
          <w:tcPr>
            <w:tcW w:w="5040" w:type="dxa"/>
            <w:vAlign w:val="bottom"/>
            <w:gridSpan w:val="3"/>
          </w:tcPr>
          <w:p>
            <w:pPr>
              <w:jc w:val="center"/>
              <w:ind w:right="1110"/>
              <w:spacing w:after="0"/>
              <w:rPr>
                <w:sz w:val="20"/>
                <w:szCs w:val="20"/>
                <w:color w:val="auto"/>
              </w:rPr>
            </w:pPr>
            <w:r>
              <w:rPr>
                <w:rFonts w:ascii="Arial" w:cs="Arial" w:eastAsia="Arial" w:hAnsi="Arial"/>
                <w:sz w:val="18"/>
                <w:szCs w:val="18"/>
                <w:b w:val="1"/>
                <w:bCs w:val="1"/>
                <w:color w:val="auto"/>
                <w:w w:val="91"/>
              </w:rPr>
              <w:t>550 Cochituate Rd</w:t>
            </w:r>
          </w:p>
        </w:tc>
        <w:tc>
          <w:tcPr>
            <w:tcW w:w="15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25"/>
        </w:trPr>
        <w:tc>
          <w:tcPr>
            <w:tcW w:w="5040" w:type="dxa"/>
            <w:vAlign w:val="bottom"/>
            <w:gridSpan w:val="3"/>
          </w:tcPr>
          <w:p>
            <w:pPr>
              <w:jc w:val="center"/>
              <w:ind w:right="1110"/>
              <w:spacing w:after="0"/>
              <w:rPr>
                <w:sz w:val="20"/>
                <w:szCs w:val="20"/>
                <w:color w:val="auto"/>
              </w:rPr>
            </w:pPr>
            <w:r>
              <w:rPr>
                <w:rFonts w:ascii="Arial" w:cs="Arial" w:eastAsia="Arial" w:hAnsi="Arial"/>
                <w:sz w:val="18"/>
                <w:szCs w:val="18"/>
                <w:b w:val="1"/>
                <w:bCs w:val="1"/>
                <w:color w:val="auto"/>
                <w:w w:val="89"/>
              </w:rPr>
              <w:t>Framingham, Massachusetts</w:t>
            </w:r>
          </w:p>
        </w:tc>
        <w:tc>
          <w:tcPr>
            <w:tcW w:w="3360" w:type="dxa"/>
            <w:vAlign w:val="bottom"/>
            <w:gridSpan w:val="2"/>
          </w:tcPr>
          <w:p>
            <w:pPr>
              <w:jc w:val="right"/>
              <w:ind w:right="622"/>
              <w:spacing w:after="0"/>
              <w:rPr>
                <w:sz w:val="20"/>
                <w:szCs w:val="20"/>
                <w:color w:val="auto"/>
              </w:rPr>
            </w:pPr>
            <w:r>
              <w:rPr>
                <w:rFonts w:ascii="Arial" w:cs="Arial" w:eastAsia="Arial" w:hAnsi="Arial"/>
                <w:sz w:val="18"/>
                <w:szCs w:val="18"/>
                <w:b w:val="1"/>
                <w:bCs w:val="1"/>
                <w:color w:val="auto"/>
              </w:rPr>
              <w:t>01701</w:t>
            </w:r>
          </w:p>
        </w:tc>
        <w:tc>
          <w:tcPr>
            <w:tcW w:w="300" w:type="dxa"/>
            <w:vAlign w:val="bottom"/>
          </w:tcPr>
          <w:p>
            <w:pPr>
              <w:spacing w:after="0"/>
              <w:rPr>
                <w:sz w:val="19"/>
                <w:szCs w:val="19"/>
                <w:color w:val="auto"/>
              </w:rPr>
            </w:pPr>
          </w:p>
        </w:tc>
      </w:tr>
      <w:tr>
        <w:trPr>
          <w:trHeight w:val="186"/>
        </w:trPr>
        <w:tc>
          <w:tcPr>
            <w:tcW w:w="5040" w:type="dxa"/>
            <w:vAlign w:val="bottom"/>
            <w:gridSpan w:val="3"/>
          </w:tcPr>
          <w:p>
            <w:pPr>
              <w:jc w:val="center"/>
              <w:ind w:right="113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520" w:type="dxa"/>
            <w:vAlign w:val="bottom"/>
          </w:tcPr>
          <w:p>
            <w:pPr>
              <w:spacing w:after="0"/>
              <w:rPr>
                <w:sz w:val="16"/>
                <w:szCs w:val="16"/>
                <w:color w:val="auto"/>
              </w:rPr>
            </w:pPr>
          </w:p>
        </w:tc>
        <w:tc>
          <w:tcPr>
            <w:tcW w:w="21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8"/>
              </w:rPr>
              <w:t>(Zip Code)</w:t>
            </w:r>
          </w:p>
        </w:tc>
      </w:tr>
      <w:tr>
        <w:trPr>
          <w:trHeight w:val="354"/>
        </w:trPr>
        <w:tc>
          <w:tcPr>
            <w:tcW w:w="5040" w:type="dxa"/>
            <w:vAlign w:val="bottom"/>
            <w:gridSpan w:val="3"/>
          </w:tcPr>
          <w:p>
            <w:pPr>
              <w:jc w:val="center"/>
              <w:ind w:right="1110"/>
              <w:spacing w:after="0"/>
              <w:rPr>
                <w:sz w:val="20"/>
                <w:szCs w:val="20"/>
                <w:color w:val="auto"/>
              </w:rPr>
            </w:pPr>
            <w:r>
              <w:rPr>
                <w:rFonts w:ascii="Arial" w:cs="Arial" w:eastAsia="Arial" w:hAnsi="Arial"/>
                <w:sz w:val="14"/>
                <w:szCs w:val="14"/>
                <w:b w:val="1"/>
                <w:bCs w:val="1"/>
                <w:color w:val="auto"/>
                <w:w w:val="93"/>
              </w:rPr>
              <w:t>Title of Each Class</w:t>
            </w:r>
          </w:p>
        </w:tc>
        <w:tc>
          <w:tcPr>
            <w:tcW w:w="3660" w:type="dxa"/>
            <w:vAlign w:val="bottom"/>
            <w:gridSpan w:val="3"/>
          </w:tcPr>
          <w:p>
            <w:pPr>
              <w:jc w:val="center"/>
              <w:ind w:left="1137"/>
              <w:spacing w:after="0"/>
              <w:rPr>
                <w:sz w:val="20"/>
                <w:szCs w:val="20"/>
                <w:color w:val="auto"/>
              </w:rPr>
            </w:pPr>
            <w:r>
              <w:rPr>
                <w:rFonts w:ascii="Arial" w:cs="Arial" w:eastAsia="Arial" w:hAnsi="Arial"/>
                <w:sz w:val="14"/>
                <w:szCs w:val="14"/>
                <w:b w:val="1"/>
                <w:bCs w:val="1"/>
                <w:color w:val="auto"/>
                <w:w w:val="92"/>
              </w:rPr>
              <w:t>Name of Each Exchange on Which</w:t>
            </w:r>
          </w:p>
        </w:tc>
      </w:tr>
      <w:tr>
        <w:trPr>
          <w:trHeight w:val="171"/>
        </w:trPr>
        <w:tc>
          <w:tcPr>
            <w:tcW w:w="1420" w:type="dxa"/>
            <w:vAlign w:val="bottom"/>
          </w:tcPr>
          <w:p>
            <w:pPr>
              <w:spacing w:after="0"/>
              <w:rPr>
                <w:sz w:val="14"/>
                <w:szCs w:val="14"/>
                <w:color w:val="auto"/>
              </w:rPr>
            </w:pPr>
          </w:p>
        </w:tc>
        <w:tc>
          <w:tcPr>
            <w:tcW w:w="3620" w:type="dxa"/>
            <w:vAlign w:val="bottom"/>
            <w:gridSpan w:val="2"/>
          </w:tcPr>
          <w:p>
            <w:pPr>
              <w:jc w:val="center"/>
              <w:ind w:right="2530"/>
              <w:spacing w:after="0"/>
              <w:rPr>
                <w:sz w:val="20"/>
                <w:szCs w:val="20"/>
                <w:color w:val="auto"/>
              </w:rPr>
            </w:pPr>
            <w:r>
              <w:rPr>
                <w:rFonts w:ascii="Arial" w:cs="Arial" w:eastAsia="Arial" w:hAnsi="Arial"/>
                <w:sz w:val="14"/>
                <w:szCs w:val="14"/>
                <w:b w:val="1"/>
                <w:bCs w:val="1"/>
                <w:color w:val="auto"/>
                <w:w w:val="91"/>
              </w:rPr>
              <w:t>to be Registered</w:t>
            </w:r>
          </w:p>
        </w:tc>
        <w:tc>
          <w:tcPr>
            <w:tcW w:w="1520" w:type="dxa"/>
            <w:vAlign w:val="bottom"/>
          </w:tcPr>
          <w:p>
            <w:pPr>
              <w:spacing w:after="0"/>
              <w:rPr>
                <w:sz w:val="14"/>
                <w:szCs w:val="14"/>
                <w:color w:val="auto"/>
              </w:rPr>
            </w:pPr>
          </w:p>
        </w:tc>
        <w:tc>
          <w:tcPr>
            <w:tcW w:w="21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0"/>
              </w:rPr>
              <w:t>Each Class is to be Registered</w:t>
            </w:r>
          </w:p>
        </w:tc>
      </w:tr>
      <w:tr>
        <w:trPr>
          <w:trHeight w:val="228"/>
        </w:trPr>
        <w:tc>
          <w:tcPr>
            <w:tcW w:w="1420" w:type="dxa"/>
            <w:vAlign w:val="bottom"/>
          </w:tcPr>
          <w:p>
            <w:pPr>
              <w:ind w:left="260"/>
              <w:spacing w:after="0"/>
              <w:rPr>
                <w:sz w:val="20"/>
                <w:szCs w:val="20"/>
                <w:color w:val="auto"/>
              </w:rPr>
            </w:pPr>
            <w:r>
              <w:rPr>
                <w:rFonts w:ascii="Arial" w:cs="Arial" w:eastAsia="Arial" w:hAnsi="Arial"/>
                <w:sz w:val="18"/>
                <w:szCs w:val="18"/>
                <w:b w:val="1"/>
                <w:bCs w:val="1"/>
                <w:color w:val="auto"/>
                <w:w w:val="83"/>
              </w:rPr>
              <w:t>Common Stock,</w:t>
            </w:r>
          </w:p>
        </w:tc>
        <w:tc>
          <w:tcPr>
            <w:tcW w:w="100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$0.001 par</w:t>
            </w:r>
          </w:p>
        </w:tc>
        <w:tc>
          <w:tcPr>
            <w:tcW w:w="2620" w:type="dxa"/>
            <w:vAlign w:val="bottom"/>
          </w:tcPr>
          <w:p>
            <w:pPr>
              <w:spacing w:after="0"/>
              <w:rPr>
                <w:sz w:val="20"/>
                <w:szCs w:val="20"/>
                <w:color w:val="auto"/>
              </w:rPr>
            </w:pPr>
            <w:r>
              <w:rPr>
                <w:rFonts w:ascii="Arial" w:cs="Arial" w:eastAsia="Arial" w:hAnsi="Arial"/>
                <w:sz w:val="18"/>
                <w:szCs w:val="18"/>
                <w:b w:val="1"/>
                <w:bCs w:val="1"/>
                <w:color w:val="auto"/>
              </w:rPr>
              <w:t>value per share</w:t>
            </w:r>
          </w:p>
        </w:tc>
        <w:tc>
          <w:tcPr>
            <w:tcW w:w="1520" w:type="dxa"/>
            <w:vAlign w:val="bottom"/>
          </w:tcPr>
          <w:p>
            <w:pPr>
              <w:ind w:left="1220"/>
              <w:spacing w:after="0"/>
              <w:rPr>
                <w:sz w:val="20"/>
                <w:szCs w:val="20"/>
                <w:color w:val="auto"/>
              </w:rPr>
            </w:pPr>
            <w:r>
              <w:rPr>
                <w:rFonts w:ascii="Arial" w:cs="Arial" w:eastAsia="Arial" w:hAnsi="Arial"/>
                <w:sz w:val="18"/>
                <w:szCs w:val="18"/>
                <w:b w:val="1"/>
                <w:bCs w:val="1"/>
                <w:color w:val="auto"/>
                <w:w w:val="87"/>
              </w:rPr>
              <w:t>The</w:t>
            </w:r>
          </w:p>
        </w:tc>
        <w:tc>
          <w:tcPr>
            <w:tcW w:w="18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w w:val="97"/>
              </w:rPr>
              <w:t>Nasdaq Stock Market</w:t>
            </w:r>
          </w:p>
        </w:tc>
        <w:tc>
          <w:tcPr>
            <w:tcW w:w="300" w:type="dxa"/>
            <w:vAlign w:val="bottom"/>
          </w:tcPr>
          <w:p>
            <w:pPr>
              <w:spacing w:after="0"/>
              <w:rPr>
                <w:sz w:val="20"/>
                <w:szCs w:val="20"/>
                <w:color w:val="auto"/>
              </w:rPr>
            </w:pPr>
            <w:r>
              <w:rPr>
                <w:rFonts w:ascii="Arial" w:cs="Arial" w:eastAsia="Arial" w:hAnsi="Arial"/>
                <w:sz w:val="18"/>
                <w:szCs w:val="18"/>
                <w:b w:val="1"/>
                <w:bCs w:val="1"/>
                <w:color w:val="auto"/>
                <w:w w:val="79"/>
              </w:rPr>
              <w:t>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219710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firstLine="4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ind w:firstLine="44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4"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333-258990 (if applicable)</w:t>
      </w:r>
    </w:p>
    <w:p>
      <w:pPr>
        <w:spacing w:after="0" w:line="20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20"/>
          </w:cols>
          <w:pgMar w:left="440" w:top="368" w:right="7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 Description of Registrant’s Securities to be Registered.</w:t>
      </w:r>
    </w:p>
    <w:p>
      <w:pPr>
        <w:spacing w:after="0" w:line="12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For a description of the securities to be registered hereunder, reference is made to the information set forth under the heading “Description of Capital Stock” in the Registrant’s prospectus, which constitutes a part of the Registrant’s Registration Statement on Form S-1 (File No. 333-258990), originally filed with the Securities and Exchange Commission on August 20, 2021, as amended by any amendments to such Registration Statement, and by any prospectus subsequently filed pursuant to Rule 424(b) under the Securities Act of 1933, as amended, which description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jc w:val="both"/>
        <w:ind w:firstLine="440"/>
        <w:spacing w:after="0" w:line="342" w:lineRule="auto"/>
        <w:rPr>
          <w:sz w:val="20"/>
          <w:szCs w:val="20"/>
          <w:color w:val="auto"/>
        </w:rPr>
      </w:pPr>
      <w:r>
        <w:rPr>
          <w:rFonts w:ascii="Arial" w:cs="Arial" w:eastAsia="Arial" w:hAnsi="Arial"/>
          <w:sz w:val="16"/>
          <w:szCs w:val="16"/>
          <w:color w:val="auto"/>
        </w:rPr>
        <w:t>Under the Instructions as to Exhibits with respect to Form 8-A, no exhibits are required to be filed because no other securities of the Registrant are registered on the Nasdaq Stock Market LLC and the securities registered hereby are not being registered pursuant to Section 12(g) of the Exchange Act.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September 15,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Definitive Healthcare Corp.</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Samuels</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Legal Officer, Secretary</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2021-09-15T05:38:29Z</dcterms:created>
  <dcterms:modified xsi:type="dcterms:W3CDTF">2021-09-15T05:38:29Z</dcterms:modified>
</cp:coreProperties>
</file>