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99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Samuels David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992"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992"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25,000</w:t>
            </w:r>
            <w:r>
              <w:rPr>
                <w:rFonts w:ascii="Arial" w:cs="Arial" w:eastAsia="Arial" w:hAnsi="Arial"/>
                <w:sz w:val="25"/>
                <w:szCs w:val="25"/>
                <w:color w:val="008000"/>
                <w:w w:val="83"/>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3"/>
              </w:rPr>
              <w:t>LLC Units of AIDH Management</w:t>
            </w:r>
          </w:p>
        </w:tc>
        <w:tc>
          <w:tcPr>
            <w:tcW w:w="128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(2)(3)</w:t>
            </w:r>
          </w:p>
        </w:tc>
        <w:tc>
          <w:tcPr>
            <w:tcW w:w="17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vMerge w:val="restart"/>
          </w:tcPr>
          <w:p>
            <w:pPr>
              <w:ind w:left="160"/>
              <w:spacing w:after="0"/>
              <w:rPr>
                <w:sz w:val="20"/>
                <w:szCs w:val="20"/>
                <w:color w:val="auto"/>
              </w:rPr>
            </w:pPr>
            <w:r>
              <w:rPr>
                <w:rFonts w:ascii="Arial" w:cs="Arial" w:eastAsia="Arial" w:hAnsi="Arial"/>
                <w:sz w:val="20"/>
                <w:szCs w:val="20"/>
                <w:color w:val="0000FF"/>
                <w:w w:val="96"/>
              </w:rPr>
              <w:t>228,200</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stock units subject to time-based vesting, 25% of which vest on the first anniversary of the date of grant, and the remaining 75% of which vest in substantially equal installments at the end of each three-month period measured from the first anniversary of the date of grant for a period of 36 months, subject to the Reporting Person's continued service with the Issuer and the terms of the applicable award agreement.</w:t>
      </w:r>
    </w:p>
    <w:p>
      <w:pPr>
        <w:spacing w:after="0" w:line="35" w:lineRule="exact"/>
        <w:rPr>
          <w:rFonts w:ascii="Arial" w:cs="Arial" w:eastAsia="Arial" w:hAnsi="Arial"/>
          <w:sz w:val="15"/>
          <w:szCs w:val="15"/>
          <w:color w:val="008000"/>
        </w:rPr>
      </w:pPr>
    </w:p>
    <w:p>
      <w:pPr>
        <w:ind w:left="40" w:right="20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(Continued form Footnote 2)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By: /s/ David Samuels</w:t>
            </w:r>
          </w:p>
        </w:tc>
        <w:tc>
          <w:tcPr>
            <w:tcW w:w="900" w:type="dxa"/>
            <w:vAlign w:val="bottom"/>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4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92"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David Samuels</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David Samuels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99313"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2021-09-15T19:33:51Z</dcterms:created>
  <dcterms:modified xsi:type="dcterms:W3CDTF">2021-09-15T19:33:51Z</dcterms:modified>
</cp:coreProperties>
</file>