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0800"/>
          </w:cols>
          <w:pgMar w:left="440" w:top="382" w:right="659" w:bottom="1440" w:gutter="0" w:footer="0" w:header="0"/>
        </w:sectPr>
      </w:pPr>
    </w:p>
    <w:p>
      <w:pPr>
        <w:spacing w:after="0" w:line="246" w:lineRule="exact"/>
        <w:rPr>
          <w:sz w:val="24"/>
          <w:szCs w:val="24"/>
          <w:color w:val="auto"/>
        </w:rPr>
      </w:pPr>
    </w:p>
    <w:p>
      <w:pPr>
        <w:ind w:left="2040"/>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line="25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N-CEN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right"/>
        <w:spacing w:after="0" w:line="25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369" w:lineRule="exact"/>
        <w:rPr>
          <w:sz w:val="24"/>
          <w:szCs w:val="24"/>
          <w:color w:val="auto"/>
        </w:rPr>
      </w:pPr>
    </w:p>
    <w:p>
      <w:pPr>
        <w:sectPr>
          <w:pgSz w:w="11900" w:h="16838" w:orient="portrait"/>
          <w:cols w:equalWidth="0" w:num="4">
            <w:col w:w="3020" w:space="280"/>
            <w:col w:w="2520" w:space="20"/>
            <w:col w:w="1440" w:space="80"/>
            <w:col w:w="3440"/>
          </w:cols>
          <w:pgMar w:left="440" w:top="382" w:right="659" w:bottom="1440" w:gutter="0" w:footer="0" w:header="0"/>
          <w:type w:val="continuous"/>
        </w:sectPr>
      </w:pPr>
    </w:p>
    <w:p>
      <w:pPr>
        <w:ind w:left="3300"/>
        <w:spacing w:after="0"/>
        <w:rPr>
          <w:sz w:val="20"/>
          <w:szCs w:val="20"/>
          <w:color w:val="auto"/>
        </w:rPr>
      </w:pPr>
      <w:r>
        <w:rPr>
          <w:rFonts w:ascii="Arial" w:cs="Arial" w:eastAsia="Arial" w:hAnsi="Arial"/>
          <w:sz w:val="18"/>
          <w:szCs w:val="18"/>
          <w:color w:val="auto"/>
        </w:rPr>
        <w:t>For Period Ended: June 30, 2023</w:t>
      </w:r>
    </w:p>
    <w:p>
      <w:pPr>
        <w:spacing w:after="0" w:line="117" w:lineRule="exact"/>
        <w:rPr>
          <w:sz w:val="24"/>
          <w:szCs w:val="24"/>
          <w:color w:val="auto"/>
        </w:rPr>
      </w:pPr>
    </w:p>
    <w:p>
      <w:pPr>
        <w:ind w:left="3560" w:hanging="259"/>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51" w:lineRule="exact"/>
        <w:rPr>
          <w:rFonts w:ascii="MS PGothic" w:cs="MS PGothic" w:eastAsia="MS PGothic" w:hAnsi="MS PGothic"/>
          <w:sz w:val="18"/>
          <w:szCs w:val="18"/>
          <w:color w:val="auto"/>
        </w:rPr>
      </w:pPr>
    </w:p>
    <w:p>
      <w:pPr>
        <w:ind w:left="3560" w:hanging="259"/>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9"/>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9"/>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02"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168910</wp:posOffset>
            </wp:positionV>
            <wp:extent cx="692658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37719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-10160</wp:posOffset>
            </wp:positionV>
            <wp:extent cx="685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86"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PART I — REGISTRANT INFORMATION</w:t>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Definitive Healthcare Corp.</w:t>
      </w:r>
    </w:p>
    <w:p>
      <w:pPr>
        <w:spacing w:after="0" w:line="3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Full Name of Registrant</w:t>
      </w:r>
    </w:p>
    <w:p>
      <w:pPr>
        <w:spacing w:after="0" w:line="20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492 Old Connecticut Path, Suite 401</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Framingham, Massachusetts 01701</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City, State and Zip Code</w:t>
      </w:r>
    </w:p>
    <w:p>
      <w:pPr>
        <w:spacing w:after="0" w:line="31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PART II—RULES 12b-25(b) AND (c)</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Rule12b-25(b), the following should be completed. (Check box if appropriate)</w:t>
      </w:r>
    </w:p>
    <w:p>
      <w:pPr>
        <w:spacing w:after="0" w:line="197" w:lineRule="exact"/>
        <w:rPr>
          <w:sz w:val="24"/>
          <w:szCs w:val="24"/>
          <w:color w:val="auto"/>
        </w:rPr>
      </w:pPr>
    </w:p>
    <w:p>
      <w:pPr>
        <w:ind w:left="880" w:hanging="327"/>
        <w:spacing w:after="0"/>
        <w:tabs>
          <w:tab w:leader="none" w:pos="8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880" w:hanging="327"/>
        <w:spacing w:after="0"/>
        <w:tabs>
          <w:tab w:leader="none" w:pos="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w:t>
      </w:r>
    </w:p>
    <w:p>
      <w:pPr>
        <w:spacing w:after="0" w:line="32" w:lineRule="exact"/>
        <w:rPr>
          <w:rFonts w:ascii="Arial" w:cs="Arial" w:eastAsia="Arial" w:hAnsi="Arial"/>
          <w:sz w:val="16"/>
          <w:szCs w:val="16"/>
          <w:color w:val="auto"/>
        </w:rPr>
      </w:pPr>
    </w:p>
    <w:p>
      <w:pPr>
        <w:ind w:left="880" w:hanging="740"/>
        <w:spacing w:after="0" w:line="200" w:lineRule="auto"/>
        <w:tabs>
          <w:tab w:leader="none" w:pos="88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880" w:hanging="327"/>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-816610</wp:posOffset>
            </wp:positionV>
            <wp:extent cx="825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ectPr>
          <w:pgSz w:w="11900" w:h="16838" w:orient="portrait"/>
          <w:cols w:equalWidth="0" w:num="1">
            <w:col w:w="10800"/>
          </w:cols>
          <w:pgMar w:left="440" w:top="382" w:right="65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PART III—NARRATIVE</w:t>
      </w:r>
    </w:p>
    <w:p>
      <w:pPr>
        <w:spacing w:after="0" w:line="229"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N-CEN, N-CSR, or the transition report or portion thereof, could not be filed within the prescribed time period.</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Definitive Healthcare Corp. (the “Company”) is unable to file, without unreasonable effort or expense, its Quarterly Report on Form 10-Q for the quarter ended June 30, 2023 (the “Q2 2023 Quarterly Report”) with the Securities and Exchange Commission (the “SEC”) within the prescribed time period.</w:t>
      </w:r>
    </w:p>
    <w:p>
      <w:pPr>
        <w:spacing w:after="0" w:line="184"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As previously disclosed, on July 31, 2023, the Audit Committee of the Board of Directors of the Company (the “Audit Committee”), based on the recommendation of, and after consultation with, the Company’s management, and as discussed with Deloitte &amp; Touche LLP (“Deloitte &amp; Touche”), the Company’s independent registered public accounting firm, concluded that the Company’s previously issued audited consolidated financial statements as of December 31, 2022 and 2021 and for the years ended December 31, 2022, 2021, and 2020, included in the Company’s Annual Report on Form 10-K for the year ended December 31, 2022 (the “2022 Annual Report”), and the Company’s unaudited condensed consolidated financial statements included in the Quarterly Reports on Form 10-Q for the quarterly periods within those years (the “Historical Quarterly Reports”), as well as the unaudited condensed consolidated financial statements included in the Company’s Quarterly Report on Form 10-Q for the quarter ended March 31, 2023 (the “Q1 2023 Quarterly Report” and, together with the 2022 Annual Report and the Historical Quarterly Reports, the “Reports,” and all financial statements, included in the Reports, collectively the “Affected Financials”), should no longer be relied upon and should be restated due to the matters described below.</w:t>
      </w:r>
    </w:p>
    <w:p>
      <w:pPr>
        <w:spacing w:after="0" w:line="18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While the Company is still in the process of assessing the taxability of certain customers, the Company determined that it did not accrue sales taxes and will record sales tax accruals through general and administrative expense as of the end of the periods presented in the Reports.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voluntarily disclosures.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The Company also expects to adjust tax receivable agreement (“TRA”) remeasurement gains and losses and amounts attributable to noncontrolling interests for an allocable share of the sales tax adjustment amounts.</w:t>
      </w:r>
    </w:p>
    <w:p>
      <w:pPr>
        <w:spacing w:after="0" w:line="172" w:lineRule="exact"/>
        <w:rPr>
          <w:sz w:val="20"/>
          <w:szCs w:val="20"/>
          <w:color w:val="auto"/>
        </w:rPr>
      </w:pPr>
    </w:p>
    <w:p>
      <w:pPr>
        <w:jc w:val="center"/>
        <w:ind w:right="96"/>
        <w:spacing w:after="0"/>
        <w:rPr>
          <w:sz w:val="20"/>
          <w:szCs w:val="20"/>
          <w:color w:val="auto"/>
        </w:rPr>
      </w:pPr>
      <w:r>
        <w:rPr>
          <w:rFonts w:ascii="Arial" w:cs="Arial" w:eastAsia="Arial" w:hAnsi="Arial"/>
          <w:sz w:val="17"/>
          <w:szCs w:val="17"/>
          <w:color w:val="auto"/>
        </w:rPr>
        <w:t>The Company expects to record an aggregate increase to previously reported general and administrative expense of between $6.8 million to</w:t>
      </w:r>
    </w:p>
    <w:p>
      <w:pPr>
        <w:spacing w:after="0" w:line="35"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$10.2 million over the periods impacted, with an offset to accrued expenses. In addition, TRA remeasurement gains recorded in other income (expense), net are expected to increase previously reported gains between $0.5 million to $0.7 million over the periods impacted, with offsets to the TRA liability, net of current portion and additional paid-in-capital. Lastly, the amounts attributable to noncontrolling interest for its allocable share of the sales tax adjustment amounts will increase previously reported loss allocable to noncontrolling interests between $1.1 million to $1.7 million over the periods impacted, with offsets to noncontrolling interests and additional paid-in-capital within stockholders’ equity.</w:t>
      </w:r>
    </w:p>
    <w:p>
      <w:pPr>
        <w:spacing w:after="0" w:line="178"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Despite working diligently to timely file its Q2 2023 Quarterly Report, the Company will be unable to complete all work necessary to timely file its Q2 2023 Quarterly Report, including the determination of all required adjustments thereto and the corresponding impact on the financial statements to be included in the Company’s Q2 2023 Quarterly Report and evaluation of its internal controls and procedures and disclosure controls and procedures. The Company expects to file its Q2 2023 Quarterly Report with the SEC as soon as practicable, and no later than the fifth calendar day following the prescribed due date, in accordance with Rule 12b-25.</w:t>
      </w:r>
    </w:p>
    <w:p>
      <w:pPr>
        <w:spacing w:after="0" w:line="2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IV—OTHER INFORMATION</w:t>
      </w:r>
    </w:p>
    <w:p>
      <w:pPr>
        <w:spacing w:after="0" w:line="256" w:lineRule="exact"/>
        <w:rPr>
          <w:sz w:val="20"/>
          <w:szCs w:val="20"/>
          <w:color w:val="auto"/>
        </w:rPr>
      </w:pPr>
    </w:p>
    <w:p>
      <w:pPr>
        <w:ind w:left="664" w:hanging="664"/>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44" w:type="dxa"/>
        <w:tblCellMar>
          <w:top w:w="0" w:type="dxa"/>
          <w:left w:w="0" w:type="dxa"/>
          <w:bottom w:w="0" w:type="dxa"/>
          <w:right w:w="0" w:type="dxa"/>
        </w:tblCellMar>
      </w:tblPr>
      <w:tr>
        <w:trPr>
          <w:trHeight w:val="230"/>
        </w:trPr>
        <w:tc>
          <w:tcPr>
            <w:tcW w:w="4420" w:type="dxa"/>
            <w:vAlign w:val="bottom"/>
          </w:tcPr>
          <w:p>
            <w:pPr>
              <w:jc w:val="center"/>
              <w:ind w:left="39"/>
              <w:spacing w:after="0"/>
              <w:rPr>
                <w:sz w:val="20"/>
                <w:szCs w:val="20"/>
                <w:color w:val="auto"/>
              </w:rPr>
            </w:pPr>
            <w:r>
              <w:rPr>
                <w:rFonts w:ascii="Arial" w:cs="Arial" w:eastAsia="Arial" w:hAnsi="Arial"/>
                <w:sz w:val="18"/>
                <w:szCs w:val="18"/>
                <w:color w:val="auto"/>
                <w:w w:val="92"/>
              </w:rPr>
              <w:t>Richard Booth</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color w:val="auto"/>
              </w:rPr>
              <w:t>508</w:t>
            </w:r>
          </w:p>
        </w:tc>
        <w:tc>
          <w:tcPr>
            <w:tcW w:w="4860" w:type="dxa"/>
            <w:vAlign w:val="bottom"/>
            <w:gridSpan w:val="2"/>
          </w:tcPr>
          <w:p>
            <w:pPr>
              <w:jc w:val="right"/>
              <w:ind w:right="1788"/>
              <w:spacing w:after="0"/>
              <w:rPr>
                <w:sz w:val="20"/>
                <w:szCs w:val="20"/>
                <w:color w:val="auto"/>
              </w:rPr>
            </w:pPr>
            <w:r>
              <w:rPr>
                <w:rFonts w:ascii="Arial" w:cs="Arial" w:eastAsia="Arial" w:hAnsi="Arial"/>
                <w:sz w:val="18"/>
                <w:szCs w:val="18"/>
                <w:color w:val="auto"/>
              </w:rPr>
              <w:t>720-4224</w:t>
            </w:r>
          </w:p>
        </w:tc>
      </w:tr>
      <w:tr>
        <w:trPr>
          <w:trHeight w:val="176"/>
        </w:trPr>
        <w:tc>
          <w:tcPr>
            <w:tcW w:w="442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color w:val="auto"/>
                <w:w w:val="94"/>
              </w:rPr>
              <w:t>(Name)</w:t>
            </w:r>
          </w:p>
        </w:tc>
        <w:tc>
          <w:tcPr>
            <w:tcW w:w="320" w:type="dxa"/>
            <w:vAlign w:val="bottom"/>
          </w:tcPr>
          <w:p>
            <w:pPr>
              <w:spacing w:after="0"/>
              <w:rPr>
                <w:sz w:val="15"/>
                <w:szCs w:val="15"/>
                <w:color w:val="auto"/>
              </w:rPr>
            </w:pPr>
          </w:p>
        </w:tc>
        <w:tc>
          <w:tcPr>
            <w:tcW w:w="88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color w:val="auto"/>
                <w:w w:val="94"/>
              </w:rPr>
              <w:t>(Area Code)</w:t>
            </w:r>
          </w:p>
        </w:tc>
        <w:tc>
          <w:tcPr>
            <w:tcW w:w="320" w:type="dxa"/>
            <w:vAlign w:val="bottom"/>
          </w:tcPr>
          <w:p>
            <w:pPr>
              <w:spacing w:after="0"/>
              <w:rPr>
                <w:sz w:val="15"/>
                <w:szCs w:val="15"/>
                <w:color w:val="auto"/>
              </w:rPr>
            </w:pPr>
          </w:p>
        </w:tc>
        <w:tc>
          <w:tcPr>
            <w:tcW w:w="4540" w:type="dxa"/>
            <w:vAlign w:val="bottom"/>
            <w:tcBorders>
              <w:top w:val="single" w:sz="8" w:color="auto"/>
            </w:tcBorders>
          </w:tcPr>
          <w:p>
            <w:pPr>
              <w:jc w:val="center"/>
              <w:ind w:left="28"/>
              <w:spacing w:after="0"/>
              <w:rPr>
                <w:sz w:val="20"/>
                <w:szCs w:val="20"/>
                <w:color w:val="auto"/>
              </w:rPr>
            </w:pPr>
            <w:r>
              <w:rPr>
                <w:rFonts w:ascii="Arial" w:cs="Arial" w:eastAsia="Arial" w:hAnsi="Arial"/>
                <w:sz w:val="14"/>
                <w:szCs w:val="14"/>
                <w:color w:val="auto"/>
                <w:w w:val="92"/>
              </w:rPr>
              <w:t>(Telephone Number)</w:t>
            </w:r>
          </w:p>
        </w:tc>
      </w:tr>
    </w:tbl>
    <w:p>
      <w:pPr>
        <w:spacing w:after="0" w:line="60" w:lineRule="exact"/>
        <w:rPr>
          <w:sz w:val="20"/>
          <w:szCs w:val="20"/>
          <w:color w:val="auto"/>
        </w:rPr>
      </w:pPr>
    </w:p>
    <w:p>
      <w:pPr>
        <w:ind w:left="664" w:right="400" w:hanging="664"/>
        <w:spacing w:after="0" w:line="287" w:lineRule="auto"/>
        <w:tabs>
          <w:tab w:leader="none" w:pos="664"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664"/>
        <w:spacing w:after="0" w:line="207" w:lineRule="exact"/>
        <w:tabs>
          <w:tab w:leader="none" w:pos="3704" w:val="left"/>
        </w:tabs>
        <w:rPr>
          <w:sz w:val="20"/>
          <w:szCs w:val="20"/>
          <w:color w:val="auto"/>
        </w:rPr>
      </w:pPr>
      <w:r>
        <w:rPr>
          <w:rFonts w:ascii="Arial" w:cs="Arial" w:eastAsia="Arial" w:hAnsi="Arial"/>
          <w:sz w:val="18"/>
          <w:szCs w:val="18"/>
          <w:color w:val="auto"/>
        </w:rPr>
        <w:t>filed? If answer is 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283210</wp:posOffset>
            </wp:positionV>
            <wp:extent cx="66440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4005" cy="8255"/>
                    </a:xfrm>
                    <a:prstGeom prst="rect">
                      <a:avLst/>
                    </a:prstGeom>
                    <a:noFill/>
                  </pic:spPr>
                </pic:pic>
              </a:graphicData>
            </a:graphic>
          </wp:anchor>
        </w:drawing>
      </w:r>
    </w:p>
    <w:p>
      <w:pPr>
        <w:sectPr>
          <w:pgSz w:w="11900" w:h="16838" w:orient="portrait"/>
          <w:cols w:equalWidth="0" w:num="1">
            <w:col w:w="11024"/>
          </w:cols>
          <w:pgMar w:left="436" w:top="486" w:right="439" w:bottom="1440" w:gutter="0" w:footer="0" w:header="0"/>
        </w:sectPr>
      </w:pPr>
    </w:p>
    <w:bookmarkStart w:id="2" w:name="page3"/>
    <w:bookmarkEnd w:id="2"/>
    <w:p>
      <w:pPr>
        <w:ind w:left="444" w:hanging="444"/>
        <w:spacing w:after="0"/>
        <w:tabs>
          <w:tab w:leader="none" w:pos="444"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Is it anticipated that any significant change in results of operations from the corresponding period for the last fiscal year will be reflected by the</w:t>
      </w:r>
    </w:p>
    <w:p>
      <w:pPr>
        <w:spacing w:after="0" w:line="41" w:lineRule="exact"/>
        <w:rPr>
          <w:sz w:val="20"/>
          <w:szCs w:val="20"/>
          <w:color w:val="auto"/>
        </w:rPr>
      </w:pPr>
    </w:p>
    <w:p>
      <w:pPr>
        <w:ind w:left="444"/>
        <w:spacing w:after="0" w:line="207" w:lineRule="exact"/>
        <w:tabs>
          <w:tab w:leader="none" w:pos="5944"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8"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As a result of the matters discussed in Part III above, the Company is not yet able to make a reasonable estimate of the anticipated changes in its results of operations for the quarter ended June 30, 2023 as compared to June 30, 2022.</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220" w:firstLine="440"/>
        <w:spacing w:after="0" w:line="290" w:lineRule="auto"/>
        <w:rPr>
          <w:sz w:val="20"/>
          <w:szCs w:val="20"/>
          <w:color w:val="auto"/>
        </w:rPr>
      </w:pPr>
      <w:r>
        <w:rPr>
          <w:rFonts w:ascii="Arial" w:cs="Arial" w:eastAsia="Arial" w:hAnsi="Arial"/>
          <w:sz w:val="16"/>
          <w:szCs w:val="16"/>
          <w:color w:val="auto"/>
        </w:rPr>
        <w:t>This Form 12b-25 contains forward-looking statements within the meaning of Section 27A of the Securities Act of 1933, as amended, and Section 21E of the Securities Exchange Act of 1934, as amended. Forward-looking statements include all statements that do not relate solely to historical or current facts, and can generally be identified by words or phrases written in the future tense and/or preceded by words such as “likely,” “should,” “may,” “will,” “contemplates,” “anticipates,” “intends,” “plans,” “seeks,” “believes,” “estimates,” “expects” or similar words or variations thereof, or the negative thereof, references to future periods, or by the inclusion of forecasts or projections. Examples of forward-looking statements include, but are not limited to, statements regarding the expected quantitative effects of the restatement described above[, the Company’s expectation that it will make adjustments to the [sales tax accrual charge] in future periods as and if it obtains sales tax exemption certificates from customers and any benefits from its voluntary disclosures] and the Company’s expected timing for filing the Q2 2023 Quarterly Report.</w:t>
      </w:r>
    </w:p>
    <w:p>
      <w:pPr>
        <w:spacing w:after="0" w:line="165"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Forward-looking statements are based on the Company’s current expectations and assumptions regarding the Company’s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but are not limited to: the discovery of additional information relevant to the Affected Financials; changes in the effects of the restatement on the Company’s financial statements or financial results; [the Company’s ability to obtain additional sales tax exemption certificates from customers; the Company’s ability to obtain any waivers of interest and penalties or other benefits from its voluntary disclosures]; and the risk that the completion and filing of the Q2 2023 Quarterly Report will take longer than expected and will not be completed by the extension period provided by Rule 12b-25 of the Securities Exchange Act of 1934, as amended. Additional factors or events that could cause actual results to differ from these forward-looking statements may emerge from time to time, and it is not possible for the Company to predict all of them.</w:t>
      </w:r>
    </w:p>
    <w:p>
      <w:pPr>
        <w:spacing w:after="0" w:line="168"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For additional discussion of factors that could impact the Company’s operational and financial results, refer to the Company’s Annual Report on Form 10-K for the fiscal year ended December 31, 2022, its Quarterly Reports on Form 10-Q, Current Reports on Form 8-K and other subsequent SEC filings, which are or will be available on the Investor Relations page of the Company’s website at ir.definitivehc.com and on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All information in this Form 12b-25 speaks only as of the date on which it is made. The Company undertakes no obligation to publicly update this information, whether as a result of new information, future developments or otherwise, except as may be required by law.</w:t>
      </w:r>
    </w:p>
    <w:p>
      <w:pPr>
        <w:sectPr>
          <w:pgSz w:w="11900" w:h="16838" w:orient="portrait"/>
          <w:cols w:equalWidth="0" w:num="1">
            <w:col w:w="10984"/>
          </w:cols>
          <w:pgMar w:left="436" w:top="598"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163195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(Name of Registrant as Specified in Charter)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1, 2023</w:t>
            </w:r>
          </w:p>
        </w:tc>
        <w:tc>
          <w:tcPr>
            <w:tcW w:w="7440" w:type="dxa"/>
            <w:vAlign w:val="bottom"/>
            <w:gridSpan w:val="2"/>
          </w:tcPr>
          <w:p>
            <w:pPr>
              <w:ind w:left="204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ICHARD</w:t>
            </w:r>
            <w:r>
              <w:rPr>
                <w:rFonts w:ascii="Arial" w:cs="Arial" w:eastAsia="Arial" w:hAnsi="Arial"/>
                <w:sz w:val="18"/>
                <w:szCs w:val="18"/>
                <w:color w:val="auto"/>
              </w:rPr>
              <w:t xml:space="preserve"> B</w:t>
            </w:r>
            <w:r>
              <w:rPr>
                <w:rFonts w:ascii="Arial" w:cs="Arial" w:eastAsia="Arial" w:hAnsi="Arial"/>
                <w:sz w:val="14"/>
                <w:szCs w:val="14"/>
                <w:color w:val="auto"/>
              </w:rPr>
              <w:t>OOTH</w:t>
            </w:r>
          </w:p>
        </w:tc>
      </w:tr>
      <w:tr>
        <w:trPr>
          <w:trHeight w:val="195"/>
        </w:trPr>
        <w:tc>
          <w:tcPr>
            <w:tcW w:w="3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Richard Booth</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Chief Financial Officer</w:t>
            </w:r>
          </w:p>
        </w:tc>
      </w:tr>
    </w:tbl>
    <w:p>
      <w:pPr>
        <w:spacing w:after="0" w:line="1" w:lineRule="exact"/>
        <w:rPr>
          <w:sz w:val="20"/>
          <w:szCs w:val="20"/>
          <w:color w:val="auto"/>
        </w:rPr>
      </w:pPr>
    </w:p>
    <w:sectPr>
      <w:pgSz w:w="11900" w:h="16838" w:orient="portrait"/>
      <w:cols w:equalWidth="0" w:num="1">
        <w:col w:w="11020"/>
      </w:cols>
      <w:pgMar w:left="440"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2023-08-01T08:09:14Z</dcterms:created>
  <dcterms:modified xsi:type="dcterms:W3CDTF">2023-08-01T08:09:14Z</dcterms:modified>
</cp:coreProperties>
</file>