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50508.htm"/>
      <w:bookmarkStart w:id="1" w:name="ksdh20250508"/>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May 8, 2025</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May 8, 2025, Definitive Healthcare Corp. (the “Company”) issued a press release announcing its financial results for the first quarter ended March 31, 2025. A copy of the press release is furnished as Exhibit 99.1 to this Current Report on Form 8-K and is incorporated by reference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May 8, 2025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jc w:val="right"/>
        <w:rPr/>
      </w:pPr>
      <w:r>
        <w:rPr/>
        <w:t> </w:t>
      </w:r>
    </w:p>
    <w:p>
      <w:pPr>
        <w:pStyle w:val="TextBody"/>
        <w:bidi w:val="0"/>
        <w:jc w:val="center"/>
        <w:rPr/>
      </w:pPr>
      <w:r>
        <w:rPr/>
        <w:t> </w:t>
      </w:r>
    </w:p>
    <w:p>
      <w:pPr>
        <w:pStyle w:val="TextBody"/>
        <w:bidi w:val="0"/>
        <w:spacing w:before="0" w:after="240"/>
        <w:jc w:val="center"/>
        <w:rPr>
          <w:rFonts w:ascii="Arial" w:hAnsi="Arial"/>
          <w:b/>
          <w:color w:val="000000"/>
          <w:sz w:val="22"/>
        </w:rPr>
      </w:pPr>
      <w:r>
        <w:rPr>
          <w:rFonts w:ascii="Arial" w:hAnsi="Arial"/>
          <w:b/>
          <w:color w:val="000000"/>
          <w:sz w:val="22"/>
        </w:rPr>
        <w:t>Definitive Healthcare Reports Financial Results for First Quarter Fiscal Year 2025</w:t>
      </w:r>
    </w:p>
    <w:p>
      <w:pPr>
        <w:pStyle w:val="TextBody"/>
        <w:bidi w:val="0"/>
        <w:spacing w:before="0" w:after="120"/>
        <w:jc w:val="center"/>
        <w:rPr>
          <w:rFonts w:ascii="Arial" w:hAnsi="Arial"/>
          <w:i/>
          <w:color w:val="000000"/>
          <w:sz w:val="22"/>
        </w:rPr>
      </w:pPr>
      <w:r>
        <w:rPr>
          <w:rFonts w:ascii="Arial" w:hAnsi="Arial"/>
          <w:i/>
          <w:color w:val="000000"/>
          <w:sz w:val="22"/>
        </w:rPr>
        <w:t>First Quarter Revenue Exceeded Guidance</w:t>
      </w:r>
    </w:p>
    <w:p>
      <w:pPr>
        <w:pStyle w:val="TextBody"/>
        <w:bidi w:val="0"/>
        <w:spacing w:before="0" w:after="120"/>
        <w:jc w:val="left"/>
        <w:rPr>
          <w:rFonts w:ascii="Times New Roman" w:hAnsi="Times New Roman"/>
          <w:sz w:val="20"/>
        </w:rPr>
      </w:pPr>
      <w:r>
        <w:rPr>
          <w:rFonts w:ascii="Arial" w:hAnsi="Arial"/>
          <w:b/>
          <w:color w:val="000000"/>
          <w:sz w:val="22"/>
        </w:rPr>
        <w:t>Framingham, MA (May 8, 2025)</w:t>
      </w:r>
      <w:r>
        <w:rPr>
          <w:rFonts w:ascii="Times New Roman" w:hAnsi="Times New Roman"/>
          <w:color w:val="000000"/>
          <w:sz w:val="20"/>
        </w:rPr>
        <w:t xml:space="preserve"> – </w:t>
      </w:r>
      <w:r>
        <w:rPr>
          <w:rFonts w:ascii="Arial" w:hAnsi="Arial"/>
          <w:color w:val="000000"/>
          <w:sz w:val="22"/>
        </w:rPr>
        <w:t>Definitive Healthcare Corp. (“Definitive Healthcare” or the “Company”) (Nasdaq: DH), an industry leader in healthcare commercial intelligence, today announced financial results for the quarter ended March 31, 2025.</w:t>
      </w:r>
      <w:r>
        <w:rPr>
          <w:rFonts w:ascii="Times New Roman" w:hAnsi="Times New Roman"/>
          <w:color w:val="000000"/>
          <w:sz w:val="20"/>
        </w:rPr>
        <w:t xml:space="preserve"> </w:t>
      </w:r>
    </w:p>
    <w:p>
      <w:pPr>
        <w:pStyle w:val="TextBody"/>
        <w:bidi w:val="0"/>
        <w:jc w:val="both"/>
        <w:rPr>
          <w:rFonts w:ascii="Arial" w:hAnsi="Arial"/>
          <w:b/>
          <w:color w:val="000000"/>
          <w:sz w:val="22"/>
        </w:rPr>
      </w:pPr>
      <w:r>
        <w:rPr>
          <w:rFonts w:ascii="Arial" w:hAnsi="Arial"/>
          <w:b/>
          <w:color w:val="000000"/>
          <w:sz w:val="22"/>
        </w:rPr>
        <w:t>First Quarter 2025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$59.2 million, a decrease of 7% from $63.5 million in Q1 2024.</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Net Loss</w:t>
      </w:r>
      <w:r>
        <w:rPr>
          <w:rFonts w:ascii="Arial" w:hAnsi="Arial"/>
          <w:color w:val="000000"/>
          <w:sz w:val="22"/>
        </w:rPr>
        <w:t>, inclusive of goodwill impairment charges of $176.5 million, was $(155.1) million, or (262)% of revenue, compared to $(12.7) million or (20)% of revenue in Q1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$7.0 million, compared to $13.0 million in Q1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$14.7 million, or 25% of revenue, compared to $20.0 million, or 32% of revenue in Q1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$26.1 million in the quarter.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$22.9 million in the quarter.</w:t>
      </w:r>
    </w:p>
    <w:p>
      <w:pPr>
        <w:pStyle w:val="TextBody"/>
        <w:bidi w:val="0"/>
        <w:spacing w:before="0" w:after="120"/>
        <w:jc w:val="left"/>
        <w:rPr/>
      </w:pPr>
      <w:r>
        <w:rPr/>
        <w:t> </w:t>
      </w:r>
    </w:p>
    <w:p>
      <w:pPr>
        <w:pStyle w:val="TextBody"/>
        <w:bidi w:val="0"/>
        <w:spacing w:before="120" w:after="120"/>
        <w:jc w:val="left"/>
        <w:rPr>
          <w:color w:val="000000"/>
        </w:rPr>
      </w:pPr>
      <w:r>
        <w:rPr>
          <w:color w:val="000000"/>
        </w:rPr>
        <w:t>“</w:t>
      </w:r>
      <w:r>
        <w:rPr>
          <w:rFonts w:ascii="Arial" w:hAnsi="Arial"/>
          <w:color w:val="000000"/>
          <w:sz w:val="22"/>
        </w:rPr>
        <w:t>We delivered first quarter results above the high end of our guidance for both revenue and earnings, reflecting solid new logo momentum across markets, and our continued focus on operational efficiency,” said Kevin Coop, CEO of Definitive Healthcare. “Even with rising macroeconomic uncertainty, we remain firmly on track to meet our full-year financial targets.”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360" w:after="283"/>
        <w:jc w:val="both"/>
        <w:rPr>
          <w:rFonts w:ascii="Arial" w:hAnsi="Arial"/>
          <w:b/>
          <w:color w:val="000000"/>
          <w:sz w:val="22"/>
        </w:rPr>
      </w:pPr>
      <w:r>
        <w:rPr>
          <w:rFonts w:ascii="Arial" w:hAnsi="Arial"/>
          <w:b/>
          <w:color w:val="000000"/>
          <w:sz w:val="22"/>
        </w:rPr>
        <w:t>Customer Wins</w:t>
      </w:r>
    </w:p>
    <w:p>
      <w:pPr>
        <w:pStyle w:val="TextBody"/>
        <w:bidi w:val="0"/>
        <w:spacing w:before="240" w:after="120"/>
        <w:jc w:val="left"/>
        <w:rPr>
          <w:rFonts w:ascii="Arial" w:hAnsi="Arial"/>
          <w:color w:val="000000"/>
          <w:sz w:val="22"/>
        </w:rPr>
      </w:pPr>
      <w:r>
        <w:rPr>
          <w:rFonts w:ascii="Arial" w:hAnsi="Arial"/>
          <w:color w:val="000000"/>
          <w:sz w:val="22"/>
        </w:rPr>
        <w:t>In the first quarter, Definitive Healthcare continued to win new logos and expansion opportunities across all end-markets, by providing the data, insights, and integrations that drive their critical business use cases. Customer wins for the quarter included: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California-based medical device company, focused on continuous patient monitoring, recently selected our Carevoyance platform to equip their sales team with the insights and data they need to identify high-value targets, including ambulatory surgery centers and hospitals.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regional health system in the Southern US recently selected our Populi platform to support new service line expansions, physician recruitment, and telemedicine growth opportunities, along with competitive intelligence and insights on technology adoption.</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leading office supply company recently returned to Definitive Healthcare after switching to a competitor in 2023. The decision was driven by our comprehensive data on hospitals, health systems, and post-acute care organizations, our robust affiliations and hierarchy insights that were critical for their enterprise sales team, and our ability to easily integrate with Salesforce.com.</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As we expand our focus on digital marketing activation partnerships, we recently signed two leading healthcare advertising agencies. Both agencies are currently ramping, and we expect to see momentum continuing to build in the second half of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Business Outlook</w:t>
      </w:r>
    </w:p>
    <w:p>
      <w:pPr>
        <w:pStyle w:val="TextBody"/>
        <w:bidi w:val="0"/>
        <w:spacing w:before="120" w:after="283"/>
        <w:jc w:val="both"/>
        <w:rPr>
          <w:rFonts w:ascii="Arial" w:hAnsi="Arial"/>
          <w:color w:val="000000"/>
          <w:sz w:val="22"/>
        </w:rPr>
      </w:pPr>
      <w:r>
        <w:rPr>
          <w:rFonts w:ascii="Arial" w:hAnsi="Arial"/>
          <w:color w:val="000000"/>
          <w:sz w:val="22"/>
        </w:rPr>
        <w:t>Based on information as of May 8, 2025, the Company is issuing the following financial guidance.</w:t>
      </w:r>
    </w:p>
    <w:p>
      <w:pPr>
        <w:pStyle w:val="TextBody"/>
        <w:bidi w:val="0"/>
        <w:spacing w:before="120" w:after="283"/>
        <w:jc w:val="both"/>
        <w:rPr>
          <w:rFonts w:ascii="Arial" w:hAnsi="Arial"/>
          <w:b/>
          <w:color w:val="000000"/>
          <w:sz w:val="22"/>
        </w:rPr>
      </w:pPr>
      <w:r>
        <w:rPr>
          <w:rFonts w:ascii="Arial" w:hAnsi="Arial"/>
          <w:b/>
          <w:color w:val="000000"/>
          <w:sz w:val="22"/>
        </w:rPr>
        <w:t>Second Quarter 2025:</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Revenue</w:t>
      </w:r>
      <w:r>
        <w:rPr>
          <w:color w:val="000000"/>
        </w:rPr>
        <w:t xml:space="preserve"> </w:t>
      </w:r>
      <w:r>
        <w:rPr>
          <w:rFonts w:ascii="Arial" w:hAnsi="Arial"/>
          <w:color w:val="000000"/>
          <w:sz w:val="22"/>
        </w:rPr>
        <w:t xml:space="preserve">is expected to be in the range of $58.5 – $60.0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 xml:space="preserve">is expected to be in the range of $12.0 – $13.0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EBITDA</w:t>
      </w:r>
      <w:r>
        <w:rPr>
          <w:color w:val="000000"/>
        </w:rPr>
        <w:t xml:space="preserve"> </w:t>
      </w:r>
      <w:r>
        <w:rPr>
          <w:rFonts w:ascii="Arial" w:hAnsi="Arial"/>
          <w:color w:val="000000"/>
          <w:sz w:val="22"/>
        </w:rPr>
        <w:t xml:space="preserve">is expected to be in the range of $15.0 – $16.0 million, and 25 – 27% adjusted EBITDA margin.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 xml:space="preserve">is expected to be $6.5 – $7.5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$0.04 to $0.05 per share on approximately 147.9 million weighted-average shares outstanding.</w:t>
      </w:r>
    </w:p>
    <w:p>
      <w:pPr>
        <w:pStyle w:val="TextBody"/>
        <w:bidi w:val="0"/>
        <w:spacing w:before="120" w:after="283"/>
        <w:jc w:val="both"/>
        <w:rPr>
          <w:rFonts w:ascii="Arial" w:hAnsi="Arial"/>
          <w:b/>
          <w:color w:val="000000"/>
          <w:sz w:val="22"/>
        </w:rPr>
      </w:pPr>
      <w:r>
        <w:rPr>
          <w:rFonts w:ascii="Arial" w:hAnsi="Arial"/>
          <w:b/>
          <w:color w:val="000000"/>
          <w:sz w:val="22"/>
        </w:rPr>
        <w:t>Full Year 2025:</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 xml:space="preserve">Revenue </w:t>
      </w:r>
      <w:r>
        <w:rPr>
          <w:rFonts w:ascii="Arial" w:hAnsi="Arial"/>
          <w:color w:val="000000"/>
          <w:sz w:val="22"/>
        </w:rPr>
        <w:t>is expected to be in the range of $234.0 – $240.0 million, raising the bottom end of our prior range by $4.0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is expected to be in the range of $49.0 – $53.0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 xml:space="preserve">Adjusted EBITDA </w:t>
      </w:r>
      <w:r>
        <w:rPr>
          <w:rFonts w:ascii="Arial" w:hAnsi="Arial"/>
          <w:color w:val="000000"/>
          <w:sz w:val="22"/>
        </w:rPr>
        <w:t>is expected to be in the range of $61.0 – $65.0 million, for a full-year adjusted EBITDA margin ranging from 26 – 28%.</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is expected to be $30.0 – $34.0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$0.20 – $0.23 per share on approximately 148.8 million weighted-average shares outstanding.</w:t>
      </w:r>
    </w:p>
    <w:p>
      <w:pPr>
        <w:pStyle w:val="TextBody"/>
        <w:bidi w:val="0"/>
        <w:jc w:val="left"/>
        <w:rPr>
          <w:rFonts w:ascii="Arial" w:hAnsi="Arial"/>
          <w:i/>
          <w:color w:val="000000"/>
          <w:sz w:val="22"/>
        </w:rPr>
      </w:pPr>
      <w:r>
        <w:rPr>
          <w:rFonts w:ascii="Arial" w:hAnsi="Arial"/>
          <w:i/>
          <w:color w:val="000000"/>
          <w:sz w:val="22"/>
        </w:rPr>
        <w:t>We do not provide a quantitative reconciliation of the forward-looking non-GAAP financial measures included in this press release to the most directly comparable GAAP measures due to the high variability and difficulty in predicting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Conference Call Information</w:t>
      </w:r>
    </w:p>
    <w:p>
      <w:pPr>
        <w:pStyle w:val="TextBody"/>
        <w:bidi w:val="0"/>
        <w:jc w:val="left"/>
        <w:rPr>
          <w:rFonts w:ascii="Arial" w:hAnsi="Arial"/>
          <w:color w:val="000000"/>
          <w:sz w:val="22"/>
        </w:rPr>
      </w:pPr>
      <w:r>
        <w:rPr>
          <w:rFonts w:ascii="Arial" w:hAnsi="Arial"/>
          <w:color w:val="000000"/>
          <w:sz w:val="22"/>
        </w:rPr>
        <w:t>Definitive Healthcare will host a conference call today May 8, 2025, at 5:00 p.m. (Eastern Time) to discuss the Company's full financial results and current business outlook. Participants may access the call at 1-877-358-7298 or 1-848-488-9244. Shortly after the conclusion of the call, a replay of this conference call will be available through June 7, 2025, at 1-800-645-7964 or 1-757-849-6722. The replay passcode is 1765#. A live audio webcast of the event will be available on Definitive Healthcare’s Investor Relations website at https://ir.definitivehc.com/.</w:t>
      </w:r>
    </w:p>
    <w:p>
      <w:pPr>
        <w:pStyle w:val="TextBody"/>
        <w:bidi w:val="0"/>
        <w:spacing w:before="360" w:after="283"/>
        <w:jc w:val="left"/>
        <w:rPr>
          <w:rFonts w:ascii="Arial" w:hAnsi="Arial"/>
          <w:b/>
          <w:color w:val="000000"/>
          <w:sz w:val="22"/>
        </w:rPr>
      </w:pPr>
      <w:r>
        <w:rPr>
          <w:rFonts w:ascii="Arial" w:hAnsi="Arial"/>
          <w:b/>
          <w:color w:val="000000"/>
          <w:sz w:val="22"/>
        </w:rPr>
        <w:t>About Definitive Healthcare</w:t>
      </w:r>
    </w:p>
    <w:p>
      <w:pPr>
        <w:pStyle w:val="TextBody"/>
        <w:bidi w:val="0"/>
        <w:jc w:val="left"/>
        <w:rPr>
          <w:rFonts w:ascii="Arial" w:hAnsi="Arial"/>
          <w:color w:val="000000"/>
          <w:sz w:val="22"/>
        </w:rPr>
      </w:pPr>
      <w:r>
        <w:rPr>
          <w:rFonts w:ascii="Arial" w:hAnsi="Arial"/>
          <w:color w:val="000000"/>
          <w:sz w:val="22"/>
        </w:rPr>
        <w:t>At Definitive Healthcare, our passion is to transform data, analytics and expertise into healthcare commercial intelligence. We help clients uncover the right markets, opportunities and people, so they can shape tomorrow’s healthcare industry. Learn more at 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120"/>
        <w:jc w:val="left"/>
        <w:rPr>
          <w:rFonts w:ascii="Times New Roman" w:hAnsi="Times New Roman"/>
          <w:sz w:val="20"/>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 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the possibility that our security measures are breached or unauthorized access to data is otherwise obtained; and the risks of being required to collect sales or other related taxes for subscriptions to our platform in jurisdictions where we have not historically done so.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20"/>
        <w:jc w:val="left"/>
        <w:rPr>
          <w:rFonts w:ascii="Times New Roman" w:hAnsi="Times New Roman"/>
          <w:sz w:val="20"/>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i/>
          <w:color w:val="000000"/>
          <w:sz w:val="22"/>
        </w:rPr>
        <w:t>For additional discussion of factors that could impact our operational and financial results, refer to our Quarterly Report on Form 10-Q for the three months ended March 31, 2025 that will be filed following this earnings release, as well as our Current Reports on Form 8-K and other subsequent SEC filings, which are or will be available on the Investor Relations page of our website at ir.definitivehc.com and on the SEC website at www.sec.gov.</w:t>
      </w:r>
      <w:r>
        <w:rPr>
          <w:rFonts w:ascii="Times New Roman" w:hAnsi="Times New Roman"/>
          <w:color w:val="000000"/>
          <w:sz w:val="20"/>
        </w:rPr>
        <w:t xml:space="preserve"> </w:t>
      </w:r>
    </w:p>
    <w:p>
      <w:pPr>
        <w:pStyle w:val="TextBody"/>
        <w:bidi w:val="0"/>
        <w:spacing w:before="120" w:after="120"/>
        <w:jc w:val="left"/>
        <w:rPr>
          <w:rFonts w:ascii="Arial" w:hAnsi="Arial"/>
          <w:i/>
          <w:color w:val="000000"/>
          <w:sz w:val="22"/>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Website</w:t>
      </w:r>
    </w:p>
    <w:p>
      <w:pPr>
        <w:pStyle w:val="TextBody"/>
        <w:bidi w:val="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Times New Roman" w:hAnsi="Times New Roman"/>
          <w:sz w:val="20"/>
        </w:rPr>
      </w:pPr>
      <w:r>
        <w:rPr>
          <w:rFonts w:ascii="Arial" w:hAnsi="Arial"/>
          <w:b/>
          <w:color w:val="000000"/>
          <w:sz w:val="22"/>
        </w:rPr>
        <w:t>Non-GAAP Financial Measures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required by or prepared in accordance with generally accepted accounting principles in the U.S.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define Unlevered Free Cash Flow as net cash provided by operating activities less purchases of property, equipment and other assets, plus cash interest expense, and cash payments related to transaction, integration, and restructuring related expenses, earnouts, and other non-core items. Unlevered Free Cash Flow does not represent residual cash flow available for discretionary expenditures since, among other things, we have mandatory debt service requirements.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define EBITDA as earnings before debt-related costs, including interest expense (income), net, and loss on partial extinguishment of debt, income taxes and depreciation and amortization. Adjusted EBITDA is defined as 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Arial" w:hAnsi="Arial"/>
          <w:i/>
          <w:color w:val="000000"/>
          <w:sz w:val="22"/>
        </w:rPr>
        <w:t>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i/>
          <w:color w:val="000000"/>
          <w:sz w:val="22"/>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define Adjusted Operating Income as loss from operations plus acquisition related amortization, equity-based compensation, transaction, integration, and restructuring expenses, goodwill impairments and other non-core expenses.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define Adjusted Net Income as Adjusted Operating Income less interest (expense), income net, recurring income tax (provision) benefit, foreign currency gain (loss), and tax impacts of adjustments. We define Adjusted Net Income Per Diluted Share as Adjusted Net Income divided by diluted outstanding shares.</w:t>
      </w:r>
      <w:r>
        <w:rPr>
          <w:rFonts w:ascii="Times New Roman" w:hAnsi="Times New Roman"/>
          <w:color w:val="000000"/>
          <w:sz w:val="20"/>
        </w:rPr>
        <w:t xml:space="preserve"> </w:t>
      </w:r>
    </w:p>
    <w:p>
      <w:pPr>
        <w:pStyle w:val="TextBody"/>
        <w:bidi w:val="0"/>
        <w:spacing w:before="0" w:after="120"/>
        <w:jc w:val="both"/>
        <w:rPr>
          <w:rFonts w:ascii="Arial" w:hAnsi="Arial"/>
          <w:i/>
          <w:color w:val="000000"/>
          <w:sz w:val="22"/>
        </w:rPr>
      </w:pPr>
      <w:r>
        <w:rPr>
          <w:rFonts w:ascii="Arial" w:hAnsi="Arial"/>
          <w:i/>
          <w:color w:val="000000"/>
          <w:sz w:val="22"/>
        </w:rPr>
        <w:t>In evaluating our non-GAAP financial measures, you should be aware that in the future we may incur expenses similar to those eliminated in these presentations.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Brian Denyeau</w:t>
      </w:r>
    </w:p>
    <w:p>
      <w:pPr>
        <w:pStyle w:val="TextBody"/>
        <w:bidi w:val="0"/>
        <w:jc w:val="left"/>
        <w:rPr>
          <w:rFonts w:ascii="Times New Roman" w:hAnsi="Times New Roman"/>
          <w:sz w:val="20"/>
        </w:rPr>
      </w:pPr>
      <w:r>
        <w:rPr>
          <w:rFonts w:ascii="Arial" w:hAnsi="Arial"/>
          <w:color w:val="000000"/>
          <w:sz w:val="22"/>
        </w:rPr>
        <w:t>ICR for Definitive Healthcare</w:t>
      </w:r>
      <w:r>
        <w:rPr>
          <w:rFonts w:ascii="Times New Roman" w:hAnsi="Times New Roman"/>
          <w:color w:val="000000"/>
          <w:sz w:val="20"/>
        </w:rPr>
        <w:t xml:space="preserve"> </w:t>
      </w:r>
    </w:p>
    <w:p>
      <w:pPr>
        <w:pStyle w:val="TextBody"/>
        <w:bidi w:val="0"/>
        <w:jc w:val="left"/>
        <w:rPr>
          <w:rFonts w:ascii="Arial" w:hAnsi="Arial"/>
          <w:color w:val="0000FF"/>
          <w:sz w:val="22"/>
          <w:u w:val="single"/>
        </w:rPr>
      </w:pPr>
      <w:r>
        <w:rPr>
          <w:rFonts w:ascii="Arial" w:hAnsi="Arial"/>
          <w:color w:val="0000FF"/>
          <w:sz w:val="22"/>
          <w:u w:val="single"/>
        </w:rPr>
        <w:t>brian.denyeau@icrinc.com</w:t>
      </w:r>
    </w:p>
    <w:p>
      <w:pPr>
        <w:pStyle w:val="TextBody"/>
        <w:bidi w:val="0"/>
        <w:jc w:val="left"/>
        <w:rPr>
          <w:rFonts w:ascii="Arial" w:hAnsi="Arial"/>
          <w:color w:val="000000"/>
          <w:sz w:val="22"/>
        </w:rPr>
      </w:pPr>
      <w:r>
        <w:rPr>
          <w:rFonts w:ascii="Arial" w:hAnsi="Arial"/>
          <w:color w:val="000000"/>
          <w:sz w:val="22"/>
        </w:rPr>
        <w:t>646-277-1251</w:t>
      </w:r>
    </w:p>
    <w:p>
      <w:pPr>
        <w:pStyle w:val="TextBody"/>
        <w:bidi w:val="0"/>
        <w:spacing w:before="240" w:after="283"/>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Bethany Swackhamer </w:t>
        <w:br/>
      </w:r>
      <w:r>
        <w:rPr>
          <w:rFonts w:ascii="Arial" w:hAnsi="Arial"/>
          <w:color w:val="0000FF"/>
          <w:sz w:val="22"/>
          <w:u w:val="single"/>
        </w:rPr>
        <w:t>bswackhamer@definitivehc.com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555"/>
        <w:gridCol w:w="246"/>
        <w:gridCol w:w="216"/>
        <w:gridCol w:w="954"/>
        <w:gridCol w:w="166"/>
        <w:gridCol w:w="246"/>
        <w:gridCol w:w="227"/>
        <w:gridCol w:w="1002"/>
        <w:gridCol w:w="593"/>
      </w:tblGrid>
      <w:tr>
        <w:trPr/>
        <w:tc>
          <w:tcPr>
            <w:tcW w:w="65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number of shares and par value; unaudited)</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370,172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agreements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482,195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109,646,157 and 113,953,554 shares issued and outstanding at March 31, 2025 and December 31, 2024,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38,997,184 and 38,995,217 shares issued and outstanding, respectively, at March 31, 2025, and 39,439,198 and 39,375,806 shares issued and outstanding, respectively, at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1,085,445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(640,574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607,194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4586"/>
        <w:gridCol w:w="1346"/>
        <w:gridCol w:w="211"/>
        <w:gridCol w:w="1141"/>
        <w:gridCol w:w="266"/>
        <w:gridCol w:w="246"/>
        <w:gridCol w:w="211"/>
        <w:gridCol w:w="1141"/>
        <w:gridCol w:w="266"/>
        <w:gridCol w:w="791"/>
      </w:tblGrid>
      <w:tr>
        <w:trPr/>
        <w:tc>
          <w:tcPr>
            <w:tcW w:w="458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r>
      <w:tr>
        <w:trPr/>
        <w:tc>
          <w:tcPr>
            <w:tcW w:w="102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r>
      <w:tr>
        <w:trPr/>
        <w:tc>
          <w:tcPr>
            <w:tcW w:w="102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amounts and per share data; unaudited)</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Cost of revenue exclusive of amortization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18,807</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112,782,505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117,433,520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Amounts include equity-based compensation expense as follows: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Total equity-based compensation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5663"/>
        <w:gridCol w:w="946"/>
        <w:gridCol w:w="198"/>
        <w:gridCol w:w="763"/>
        <w:gridCol w:w="270"/>
        <w:gridCol w:w="249"/>
        <w:gridCol w:w="198"/>
        <w:gridCol w:w="702"/>
        <w:gridCol w:w="1216"/>
      </w:tblGrid>
      <w:tr>
        <w:trPr/>
        <w:tc>
          <w:tcPr>
            <w:tcW w:w="56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89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9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9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(12,718</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13,226</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12,130</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3,947</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3,692</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15,582</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(Benefit from) provision for doubtful 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(20,664</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(11,007</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10,351</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2,999</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(5,683</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(1,399</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(3,794</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(2,699</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(8,745</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(8,231</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19,094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9,738</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26,066</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16,589</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property, equipment, and 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(7,706</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(12,000</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(83,826</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103,251</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73,588</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paid for acquisitions, net of cash acquired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83,545</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(24,034</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(246,250</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(3,438</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(5,806</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Payments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(6,950</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(109,706</w:t>
            </w:r>
          </w:p>
        </w:tc>
        <w:tc>
          <w:tcPr>
            <w:tcW w:w="270"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(17,194</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decrease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(24,639</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130,976</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106,099</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105,994</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2,242</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3,642</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Acquisitions: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assets acquired, net of cash acquired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13,675</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Working capital adjustment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paid for acquisitions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6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5,393</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074"/>
        <w:gridCol w:w="291"/>
        <w:gridCol w:w="937"/>
        <w:gridCol w:w="368"/>
        <w:gridCol w:w="340"/>
        <w:gridCol w:w="291"/>
        <w:gridCol w:w="937"/>
        <w:gridCol w:w="1301"/>
        <w:gridCol w:w="666"/>
      </w:tblGrid>
      <w:tr>
        <w:trPr/>
        <w:tc>
          <w:tcPr>
            <w:tcW w:w="50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Operating Cash Flow to Unlevered Free Cash Flow</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26,066</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w:t>
            </w:r>
          </w:p>
        </w:tc>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equipment, and other assets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paid in cash</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w:t>
            </w:r>
          </w:p>
        </w:tc>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integration, and restructuring expenses paid in cash </w:t>
            </w:r>
            <w:r>
              <w:rPr>
                <w:rFonts w:ascii="Times New Roman" w:hAnsi="Times New Roman"/>
                <w:color w:val="000000"/>
                <w:sz w:val="13"/>
              </w:rPr>
              <w:t>(a)</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w:t>
            </w:r>
          </w:p>
        </w:tc>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Earnout payment </w:t>
            </w:r>
            <w:r>
              <w:rPr>
                <w:rFonts w:ascii="Times New Roman" w:hAnsi="Times New Roman"/>
                <w:color w:val="000000"/>
                <w:sz w:val="13"/>
              </w:rPr>
              <w:t>(b)</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w:t>
            </w:r>
            <w:r>
              <w:rPr>
                <w:rFonts w:ascii="Times New Roman" w:hAnsi="Times New Roman"/>
                <w:color w:val="000000"/>
                <w:sz w:val="13"/>
              </w:rPr>
              <w:t>(c)</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3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130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Transaction and integration expenses paid in cash primarily represent legal, accounting, and consulting expenses related to our acquisitions. Restructuring expenses paid in cash relate to our restructuring plans.</w:t>
              <w:br/>
              <w:t xml:space="preserve">(b) Earnout payment represents final settlement of contingent consideration included in cash flow from operations. </w:t>
              <w:br/>
              <w:t>(c) Non-core items represent expenses driven by events that are typically by nature one-time, non-operational, and unrelated to our core operations.</w:t>
            </w:r>
          </w:p>
        </w:tc>
      </w:tr>
    </w:tbl>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701"/>
        <w:gridCol w:w="266"/>
        <w:gridCol w:w="1440"/>
        <w:gridCol w:w="335"/>
        <w:gridCol w:w="310"/>
        <w:gridCol w:w="266"/>
        <w:gridCol w:w="1440"/>
        <w:gridCol w:w="1193"/>
        <w:gridCol w:w="1254"/>
      </w:tblGrid>
      <w:tr>
        <w:trPr/>
        <w:tc>
          <w:tcPr>
            <w:tcW w:w="37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Net Income and</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GAAP Operating Loss to Adjusted Operating Income</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and per share amounts; unaudited)</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Income tax benefit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(income), net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Loss on partial extinguishment from debt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income, net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(19,695</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Amortization of intangible assets acquired through business combinations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Equity-based compensation</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Transaction, integration, and restructuring expenses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Goodwill impairment charge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non-core items</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 (expense) income, net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Recurring income tax benefit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Foreign currency (loss) gain</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Tax impacts of adjustments to net loss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Shares for Adjusted Net Income Per Diluted Share </w:t>
            </w:r>
            <w:r>
              <w:rPr>
                <w:rFonts w:ascii="Times New Roman" w:hAnsi="Times New Roman"/>
                <w:color w:val="000000"/>
                <w:sz w:val="13"/>
              </w:rPr>
              <w:t>(a)</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151,800,030</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156,634,698</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Income Per Share</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162,079,150 and 164,977,953 as of March 31, 2025 and 2024, respectively.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tbl>
      <w:tblPr>
        <w:tblW w:w="9658" w:type="dxa"/>
        <w:jc w:val="left"/>
        <w:tblInd w:w="0" w:type="dxa"/>
        <w:tblLayout w:type="fixed"/>
        <w:tblCellMar>
          <w:top w:w="28" w:type="dxa"/>
          <w:left w:w="28" w:type="dxa"/>
          <w:bottom w:w="28" w:type="dxa"/>
          <w:right w:w="28" w:type="dxa"/>
        </w:tblCellMar>
      </w:tblPr>
      <w:tblGrid>
        <w:gridCol w:w="4351"/>
        <w:gridCol w:w="146"/>
        <w:gridCol w:w="196"/>
        <w:gridCol w:w="601"/>
        <w:gridCol w:w="146"/>
        <w:gridCol w:w="146"/>
        <w:gridCol w:w="379"/>
        <w:gridCol w:w="746"/>
        <w:gridCol w:w="271"/>
        <w:gridCol w:w="146"/>
        <w:gridCol w:w="196"/>
        <w:gridCol w:w="601"/>
        <w:gridCol w:w="146"/>
        <w:gridCol w:w="146"/>
        <w:gridCol w:w="379"/>
        <w:gridCol w:w="746"/>
        <w:gridCol w:w="31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42"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Gross Profit and Margin to Adjusted Gross Profit and Margin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42"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 acquired through business</w:t>
              <w:br/>
              <w:t>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180"/>
        <w:gridCol w:w="270"/>
        <w:gridCol w:w="1036"/>
        <w:gridCol w:w="229"/>
        <w:gridCol w:w="201"/>
        <w:gridCol w:w="304"/>
        <w:gridCol w:w="913"/>
        <w:gridCol w:w="386"/>
        <w:gridCol w:w="201"/>
        <w:gridCol w:w="270"/>
        <w:gridCol w:w="912"/>
        <w:gridCol w:w="229"/>
        <w:gridCol w:w="201"/>
        <w:gridCol w:w="359"/>
        <w:gridCol w:w="858"/>
        <w:gridCol w:w="386"/>
        <w:gridCol w:w="270"/>
      </w:tblGrid>
      <w:tr>
        <w:trPr/>
        <w:tc>
          <w:tcPr>
            <w:tcW w:w="31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and Margin to Adjusted EBITDA and Margin</w:t>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margin</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(155,093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(income), net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 from income taxes</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partial extinguishment of debt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&amp; amortization</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13,817</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12,684</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 and margin</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(151,274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income, net </w:t>
            </w:r>
            <w:r>
              <w:rPr>
                <w:rFonts w:ascii="Times New Roman" w:hAnsi="Times New Roman"/>
                <w:color w:val="000000"/>
                <w:sz w:val="12"/>
              </w:rPr>
              <w:t>(a)</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(19,695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Equity-based compensation </w:t>
            </w:r>
            <w:r>
              <w:rPr>
                <w:rFonts w:ascii="Times New Roman" w:hAnsi="Times New Roman"/>
                <w:color w:val="000000"/>
                <w:sz w:val="12"/>
              </w:rPr>
              <w:t>(b)</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integration, and restructuring expenses </w:t>
            </w:r>
            <w:r>
              <w:rPr>
                <w:rFonts w:ascii="Times New Roman" w:hAnsi="Times New Roman"/>
                <w:color w:val="000000"/>
                <w:sz w:val="12"/>
              </w:rPr>
              <w:t>(c)</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Goodwill impairment </w:t>
            </w:r>
            <w:r>
              <w:rPr>
                <w:rFonts w:ascii="Times New Roman" w:hAnsi="Times New Roman"/>
                <w:color w:val="000000"/>
                <w:sz w:val="12"/>
              </w:rPr>
              <w:t>(d)</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non-core items </w:t>
            </w:r>
            <w:r>
              <w:rPr>
                <w:rFonts w:ascii="Times New Roman" w:hAnsi="Times New Roman"/>
                <w:color w:val="000000"/>
                <w:sz w:val="12"/>
              </w:rPr>
              <w:t>(e)</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and margin</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Primarily represents foreign exchange and Tax Receivable Agreement liability remeasurement gains and losses.</w:t>
              <w:br/>
              <w:t>(b) Equity-based compensation represents non-cash compensation expense recognized in association with equity awards made to employees and directors.</w:t>
              <w:br/>
              <w:t>(c) Transaction and integration expenses primarily represent legal, accounting, and consulting expenses and fair value adjustments for contingent consideration related to our acquisitions and strategic partnerships. Restructuring expenses relate to the 2024 Restructuring Plan as well as impairment and restructuring charges related to office closures, relocations, and consolidations.</w:t>
            </w:r>
          </w:p>
        </w:tc>
      </w:tr>
    </w:tbl>
    <w:p>
      <w:pPr>
        <w:pStyle w:val="TextBody"/>
        <w:bidi w:val="0"/>
        <w:jc w:val="left"/>
        <w:rPr/>
      </w:pPr>
      <w:r>
        <w:rPr/>
        <w:t> </w:t>
      </w:r>
    </w:p>
    <w:tbl>
      <w:tblPr>
        <w:tblW w:w="10078" w:type="dxa"/>
        <w:jc w:val="left"/>
        <w:tblInd w:w="0" w:type="dxa"/>
        <w:tblLayout w:type="fixed"/>
        <w:tblCellMar>
          <w:top w:w="28" w:type="dxa"/>
          <w:left w:w="28" w:type="dxa"/>
          <w:bottom w:w="28" w:type="dxa"/>
          <w:right w:w="28" w:type="dxa"/>
        </w:tblCellMar>
      </w:tblPr>
      <w:tblGrid>
        <w:gridCol w:w="5996"/>
        <w:gridCol w:w="546"/>
        <w:gridCol w:w="244"/>
        <w:gridCol w:w="660"/>
        <w:gridCol w:w="307"/>
        <w:gridCol w:w="284"/>
        <w:gridCol w:w="244"/>
        <w:gridCol w:w="660"/>
        <w:gridCol w:w="546"/>
        <w:gridCol w:w="591"/>
      </w:tblGrid>
      <w:tr>
        <w:trPr/>
        <w:tc>
          <w:tcPr>
            <w:tcW w:w="59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Goodwill impairment represents non-cash, pre-tax, goodwill impairment charges. We experienced declines in our market capitalization as a result of a sustained decrease in our stock price, which represented a triggering event requiring our management to perform a quantitative goodwill impairment test as of the end of the first quarter of 2025. As a result of the impairment test conducted, we determined that the fair value of our single reporting unit was lower than its carrying value and, accordingly, recorded the impairment charge.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 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non-recurring items.</w:t>
      </w:r>
    </w:p>
    <w:p>
      <w:pPr>
        <w:pStyle w:val="TextBody"/>
        <w:bidi w:val="0"/>
        <w:jc w:val="left"/>
        <w:rPr/>
      </w:pPr>
      <w:r>
        <w:rPr/>
        <w:t> </w:t>
      </w:r>
    </w:p>
    <w:tbl>
      <w:tblPr>
        <w:tblW w:w="9851" w:type="dxa"/>
        <w:jc w:val="left"/>
        <w:tblInd w:w="0" w:type="dxa"/>
        <w:tblLayout w:type="fixed"/>
        <w:tblCellMar>
          <w:top w:w="28" w:type="dxa"/>
          <w:left w:w="28" w:type="dxa"/>
          <w:bottom w:w="28" w:type="dxa"/>
          <w:right w:w="28" w:type="dxa"/>
        </w:tblCellMar>
      </w:tblPr>
      <w:tblGrid>
        <w:gridCol w:w="5771"/>
        <w:gridCol w:w="546"/>
        <w:gridCol w:w="278"/>
        <w:gridCol w:w="556"/>
        <w:gridCol w:w="325"/>
        <w:gridCol w:w="325"/>
        <w:gridCol w:w="278"/>
        <w:gridCol w:w="635"/>
        <w:gridCol w:w="546"/>
        <w:gridCol w:w="591"/>
      </w:tblGrid>
      <w:tr>
        <w:trPr/>
        <w:tc>
          <w:tcPr>
            <w:tcW w:w="57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4895</Words>
  <Characters>27914</Characters>
  <CharactersWithSpaces>33320</CharactersWithSpaces>
  <Paragraphs>2228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