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Coop Kevin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2,382,892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3,739,131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("RSUs"), each representing a contingent right to receive one share of the Issuer's Class A Common Stock, par value $0.001 (the "Class A Common Stock"), with 25% of the RSUs vesting on March 1, 2026, followed by vesting of 6.25% every three months thereafter over the subsequent three years, subject to the Reporting Person's continued service with the Issuer through each such vesting date.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Ruderman,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2728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2025-03-04T15:19:49Z</dcterms:created>
  <dcterms:modified xsi:type="dcterms:W3CDTF">2025-03-04T15:19:49Z</dcterms:modified>
</cp:coreProperties>
</file>