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Krantz Jason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4"/>
        <w:gridCol w:w="909"/>
        <w:gridCol w:w="779"/>
        <w:gridCol w:w="604"/>
        <w:gridCol w:w="342"/>
        <w:gridCol w:w="1052"/>
        <w:gridCol w:w="432"/>
        <w:gridCol w:w="597"/>
        <w:gridCol w:w="1256"/>
        <w:gridCol w:w="974"/>
        <w:gridCol w:w="11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242,719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1,258,758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 Holdings (f/k/a Jason R. Krantz 2009 Trust)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$0.001, with 100% of the RSUs vesting on March 1, 2027, subject to the Reporting Person's continued service with the Issuer through each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beneficially owned in trust by DH Holdings (fka Jason R. Krantz 2009 Trust), of which the Reporting Person is the beneficiary.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507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3542</Characters>
  <CharactersWithSpaces>4130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